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color w:val="auto"/>
          <w:sz w:val="21"/>
        </w:rPr>
        <w:id w:val="147460383"/>
        <w:docPartObj>
          <w:docPartGallery w:val="Table of Contents"/>
          <w:docPartUnique/>
        </w:docPartObj>
      </w:sdtPr>
      <w:sdtEndPr>
        <w:rPr>
          <w:rFonts w:hint="eastAsia" w:asciiTheme="minorHAnsi" w:hAnsiTheme="minorHAnsi" w:eastAsiaTheme="minorEastAsia" w:cstheme="minorBidi"/>
          <w:color w:val="auto"/>
          <w:sz w:val="20"/>
        </w:rPr>
      </w:sdtEndPr>
      <w:sdtContent>
        <w:p w14:paraId="438801F0">
          <w:pPr>
            <w:ind w:firstLine="0" w:firstLineChars="0"/>
            <w:jc w:val="center"/>
            <w:rPr>
              <w:rFonts w:cs="Times New Roman"/>
              <w:b/>
              <w:bCs/>
              <w:color w:val="auto"/>
              <w:sz w:val="28"/>
              <w:szCs w:val="28"/>
            </w:rPr>
          </w:pPr>
          <w:r>
            <w:rPr>
              <w:rFonts w:cs="Times New Roman"/>
              <w:b/>
              <w:bCs/>
              <w:color w:val="auto"/>
              <w:sz w:val="28"/>
              <w:szCs w:val="28"/>
            </w:rPr>
            <w:t>目录</w:t>
          </w:r>
        </w:p>
        <w:p w14:paraId="180B0FA2">
          <w:pPr>
            <w:pStyle w:val="8"/>
            <w:tabs>
              <w:tab w:val="right" w:leader="dot" w:pos="8306"/>
            </w:tabs>
            <w:rPr>
              <w:color w:val="auto"/>
            </w:rPr>
          </w:pPr>
          <w:r>
            <w:rPr>
              <w:rFonts w:cs="Times New Roman"/>
              <w:color w:val="auto"/>
            </w:rPr>
            <w:fldChar w:fldCharType="begin"/>
          </w:r>
          <w:r>
            <w:rPr>
              <w:rFonts w:cs="Times New Roman"/>
              <w:color w:val="auto"/>
            </w:rPr>
            <w:instrText xml:space="preserve">TOC \o "1-1" \h \u </w:instrText>
          </w:r>
          <w:r>
            <w:rPr>
              <w:rFonts w:cs="Times New Roman"/>
              <w:color w:val="auto"/>
            </w:rPr>
            <w:fldChar w:fldCharType="separate"/>
          </w:r>
          <w:r>
            <w:rPr>
              <w:rFonts w:cs="Times New Roman"/>
              <w:color w:val="auto"/>
            </w:rPr>
            <w:fldChar w:fldCharType="begin"/>
          </w:r>
          <w:r>
            <w:rPr>
              <w:rFonts w:cs="Times New Roman"/>
              <w:color w:val="auto"/>
            </w:rPr>
            <w:instrText xml:space="preserve"> HYPERLINK \l _Toc850 </w:instrText>
          </w:r>
          <w:r>
            <w:rPr>
              <w:rFonts w:cs="Times New Roman"/>
              <w:color w:val="auto"/>
            </w:rPr>
            <w:fldChar w:fldCharType="separate"/>
          </w:r>
          <w:r>
            <w:rPr>
              <w:rFonts w:hint="eastAsia"/>
              <w:color w:val="auto"/>
            </w:rPr>
            <w:t>前言</w:t>
          </w:r>
          <w:r>
            <w:rPr>
              <w:color w:val="auto"/>
            </w:rPr>
            <w:tab/>
          </w:r>
          <w:r>
            <w:rPr>
              <w:color w:val="auto"/>
            </w:rPr>
            <w:fldChar w:fldCharType="begin"/>
          </w:r>
          <w:r>
            <w:rPr>
              <w:color w:val="auto"/>
            </w:rPr>
            <w:instrText xml:space="preserve"> PAGEREF _Toc850 \h </w:instrText>
          </w:r>
          <w:r>
            <w:rPr>
              <w:color w:val="auto"/>
            </w:rPr>
            <w:fldChar w:fldCharType="separate"/>
          </w:r>
          <w:r>
            <w:rPr>
              <w:color w:val="auto"/>
            </w:rPr>
            <w:t>2</w:t>
          </w:r>
          <w:r>
            <w:rPr>
              <w:color w:val="auto"/>
            </w:rPr>
            <w:fldChar w:fldCharType="end"/>
          </w:r>
          <w:r>
            <w:rPr>
              <w:rFonts w:cs="Times New Roman"/>
              <w:color w:val="auto"/>
            </w:rPr>
            <w:fldChar w:fldCharType="end"/>
          </w:r>
        </w:p>
        <w:p w14:paraId="3E93BC0B">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_Toc2139 </w:instrText>
          </w:r>
          <w:r>
            <w:rPr>
              <w:rFonts w:cs="Times New Roman"/>
              <w:color w:val="auto"/>
            </w:rPr>
            <w:fldChar w:fldCharType="separate"/>
          </w:r>
          <w:r>
            <w:rPr>
              <w:rFonts w:hint="eastAsia"/>
              <w:color w:val="auto"/>
            </w:rPr>
            <w:t>一、 建设项目基本情况</w:t>
          </w:r>
          <w:r>
            <w:rPr>
              <w:color w:val="auto"/>
            </w:rPr>
            <w:tab/>
          </w:r>
          <w:r>
            <w:rPr>
              <w:color w:val="auto"/>
            </w:rPr>
            <w:fldChar w:fldCharType="begin"/>
          </w:r>
          <w:r>
            <w:rPr>
              <w:color w:val="auto"/>
            </w:rPr>
            <w:instrText xml:space="preserve"> PAGEREF _Toc2139 \h </w:instrText>
          </w:r>
          <w:r>
            <w:rPr>
              <w:color w:val="auto"/>
            </w:rPr>
            <w:fldChar w:fldCharType="separate"/>
          </w:r>
          <w:r>
            <w:rPr>
              <w:color w:val="auto"/>
            </w:rPr>
            <w:t>4</w:t>
          </w:r>
          <w:r>
            <w:rPr>
              <w:color w:val="auto"/>
            </w:rPr>
            <w:fldChar w:fldCharType="end"/>
          </w:r>
          <w:r>
            <w:rPr>
              <w:rFonts w:cs="Times New Roman"/>
              <w:color w:val="auto"/>
            </w:rPr>
            <w:fldChar w:fldCharType="end"/>
          </w:r>
        </w:p>
        <w:p w14:paraId="315B4C37">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_Toc11809 </w:instrText>
          </w:r>
          <w:r>
            <w:rPr>
              <w:rFonts w:cs="Times New Roman"/>
              <w:color w:val="auto"/>
            </w:rPr>
            <w:fldChar w:fldCharType="separate"/>
          </w:r>
          <w:r>
            <w:rPr>
              <w:rFonts w:hint="eastAsia"/>
              <w:color w:val="auto"/>
            </w:rPr>
            <w:t>二、 建设项目工程分析</w:t>
          </w:r>
          <w:r>
            <w:rPr>
              <w:color w:val="auto"/>
            </w:rPr>
            <w:tab/>
          </w:r>
          <w:r>
            <w:rPr>
              <w:color w:val="auto"/>
            </w:rPr>
            <w:fldChar w:fldCharType="begin"/>
          </w:r>
          <w:r>
            <w:rPr>
              <w:color w:val="auto"/>
            </w:rPr>
            <w:instrText xml:space="preserve"> PAGEREF _Toc11809 \h </w:instrText>
          </w:r>
          <w:r>
            <w:rPr>
              <w:color w:val="auto"/>
            </w:rPr>
            <w:fldChar w:fldCharType="separate"/>
          </w:r>
          <w:r>
            <w:rPr>
              <w:color w:val="auto"/>
            </w:rPr>
            <w:t>39</w:t>
          </w:r>
          <w:r>
            <w:rPr>
              <w:color w:val="auto"/>
            </w:rPr>
            <w:fldChar w:fldCharType="end"/>
          </w:r>
          <w:r>
            <w:rPr>
              <w:rFonts w:cs="Times New Roman"/>
              <w:color w:val="auto"/>
            </w:rPr>
            <w:fldChar w:fldCharType="end"/>
          </w:r>
        </w:p>
        <w:p w14:paraId="6D9363FC">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_Toc3039 </w:instrText>
          </w:r>
          <w:r>
            <w:rPr>
              <w:rFonts w:cs="Times New Roman"/>
              <w:color w:val="auto"/>
            </w:rPr>
            <w:fldChar w:fldCharType="separate"/>
          </w:r>
          <w:r>
            <w:rPr>
              <w:rFonts w:hint="eastAsia"/>
              <w:color w:val="auto"/>
            </w:rPr>
            <w:t>三、 区域</w:t>
          </w:r>
          <w:r>
            <w:rPr>
              <w:rFonts w:hint="eastAsia"/>
              <w:color w:val="auto"/>
              <w:lang w:val="en-US" w:eastAsia="zh-CN"/>
            </w:rPr>
            <w:t>生态</w:t>
          </w:r>
          <w:r>
            <w:rPr>
              <w:rFonts w:hint="eastAsia"/>
              <w:color w:val="auto"/>
            </w:rPr>
            <w:t>环境质量现状、环境保护目标及评价标准</w:t>
          </w:r>
          <w:r>
            <w:rPr>
              <w:color w:val="auto"/>
            </w:rPr>
            <w:tab/>
          </w:r>
          <w:r>
            <w:rPr>
              <w:color w:val="auto"/>
            </w:rPr>
            <w:fldChar w:fldCharType="begin"/>
          </w:r>
          <w:r>
            <w:rPr>
              <w:color w:val="auto"/>
            </w:rPr>
            <w:instrText xml:space="preserve"> PAGEREF _Toc3039 \h </w:instrText>
          </w:r>
          <w:r>
            <w:rPr>
              <w:color w:val="auto"/>
            </w:rPr>
            <w:fldChar w:fldCharType="separate"/>
          </w:r>
          <w:r>
            <w:rPr>
              <w:color w:val="auto"/>
            </w:rPr>
            <w:t>72</w:t>
          </w:r>
          <w:r>
            <w:rPr>
              <w:color w:val="auto"/>
            </w:rPr>
            <w:fldChar w:fldCharType="end"/>
          </w:r>
          <w:r>
            <w:rPr>
              <w:rFonts w:cs="Times New Roman"/>
              <w:color w:val="auto"/>
            </w:rPr>
            <w:fldChar w:fldCharType="end"/>
          </w:r>
        </w:p>
        <w:p w14:paraId="782D6CFA">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_Toc31841 </w:instrText>
          </w:r>
          <w:r>
            <w:rPr>
              <w:rFonts w:cs="Times New Roman"/>
              <w:color w:val="auto"/>
            </w:rPr>
            <w:fldChar w:fldCharType="separate"/>
          </w:r>
          <w:r>
            <w:rPr>
              <w:rFonts w:hint="eastAsia"/>
              <w:color w:val="auto"/>
            </w:rPr>
            <w:t>四、 主要</w:t>
          </w:r>
          <w:r>
            <w:rPr>
              <w:rFonts w:hint="eastAsia"/>
              <w:color w:val="auto"/>
              <w:lang w:val="en-US" w:eastAsia="zh-CN"/>
            </w:rPr>
            <w:t>生态</w:t>
          </w:r>
          <w:r>
            <w:rPr>
              <w:rFonts w:hint="eastAsia"/>
              <w:color w:val="auto"/>
            </w:rPr>
            <w:t>环境影响和保护措施</w:t>
          </w:r>
          <w:r>
            <w:rPr>
              <w:color w:val="auto"/>
            </w:rPr>
            <w:tab/>
          </w:r>
          <w:r>
            <w:rPr>
              <w:color w:val="auto"/>
            </w:rPr>
            <w:fldChar w:fldCharType="begin"/>
          </w:r>
          <w:r>
            <w:rPr>
              <w:color w:val="auto"/>
            </w:rPr>
            <w:instrText xml:space="preserve"> PAGEREF _Toc31841 \h </w:instrText>
          </w:r>
          <w:r>
            <w:rPr>
              <w:color w:val="auto"/>
            </w:rPr>
            <w:fldChar w:fldCharType="separate"/>
          </w:r>
          <w:r>
            <w:rPr>
              <w:color w:val="auto"/>
            </w:rPr>
            <w:t>91</w:t>
          </w:r>
          <w:r>
            <w:rPr>
              <w:color w:val="auto"/>
            </w:rPr>
            <w:fldChar w:fldCharType="end"/>
          </w:r>
          <w:r>
            <w:rPr>
              <w:rFonts w:cs="Times New Roman"/>
              <w:color w:val="auto"/>
            </w:rPr>
            <w:fldChar w:fldCharType="end"/>
          </w:r>
        </w:p>
        <w:p w14:paraId="74585C9A">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_Toc26836 </w:instrText>
          </w:r>
          <w:r>
            <w:rPr>
              <w:rFonts w:cs="Times New Roman"/>
              <w:color w:val="auto"/>
            </w:rPr>
            <w:fldChar w:fldCharType="separate"/>
          </w:r>
          <w:r>
            <w:rPr>
              <w:rFonts w:hint="eastAsia"/>
              <w:color w:val="auto"/>
            </w:rPr>
            <w:t xml:space="preserve">五、 </w:t>
          </w:r>
          <w:r>
            <w:rPr>
              <w:rFonts w:hint="eastAsia"/>
              <w:color w:val="auto"/>
              <w:lang w:val="en-US" w:eastAsia="zh-CN"/>
            </w:rPr>
            <w:t>生态</w:t>
          </w:r>
          <w:r>
            <w:rPr>
              <w:rFonts w:hint="eastAsia"/>
              <w:color w:val="auto"/>
            </w:rPr>
            <w:t>环境保护措施监督清单</w:t>
          </w:r>
          <w:r>
            <w:rPr>
              <w:color w:val="auto"/>
            </w:rPr>
            <w:tab/>
          </w:r>
          <w:r>
            <w:rPr>
              <w:color w:val="auto"/>
            </w:rPr>
            <w:fldChar w:fldCharType="begin"/>
          </w:r>
          <w:r>
            <w:rPr>
              <w:color w:val="auto"/>
            </w:rPr>
            <w:instrText xml:space="preserve"> PAGEREF _Toc26836 \h </w:instrText>
          </w:r>
          <w:r>
            <w:rPr>
              <w:color w:val="auto"/>
            </w:rPr>
            <w:fldChar w:fldCharType="separate"/>
          </w:r>
          <w:r>
            <w:rPr>
              <w:color w:val="auto"/>
            </w:rPr>
            <w:t>153</w:t>
          </w:r>
          <w:r>
            <w:rPr>
              <w:color w:val="auto"/>
            </w:rPr>
            <w:fldChar w:fldCharType="end"/>
          </w:r>
          <w:r>
            <w:rPr>
              <w:rFonts w:cs="Times New Roman"/>
              <w:color w:val="auto"/>
            </w:rPr>
            <w:fldChar w:fldCharType="end"/>
          </w:r>
        </w:p>
        <w:p w14:paraId="09CB9FDD">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_Toc6146 </w:instrText>
          </w:r>
          <w:r>
            <w:rPr>
              <w:rFonts w:cs="Times New Roman"/>
              <w:color w:val="auto"/>
            </w:rPr>
            <w:fldChar w:fldCharType="separate"/>
          </w:r>
          <w:r>
            <w:rPr>
              <w:color w:val="auto"/>
            </w:rPr>
            <w:t xml:space="preserve">六、 </w:t>
          </w:r>
          <w:r>
            <w:rPr>
              <w:rFonts w:hint="eastAsia"/>
              <w:color w:val="auto"/>
            </w:rPr>
            <w:t>结论</w:t>
          </w:r>
          <w:r>
            <w:rPr>
              <w:color w:val="auto"/>
            </w:rPr>
            <w:tab/>
          </w:r>
          <w:r>
            <w:rPr>
              <w:color w:val="auto"/>
            </w:rPr>
            <w:fldChar w:fldCharType="begin"/>
          </w:r>
          <w:r>
            <w:rPr>
              <w:color w:val="auto"/>
            </w:rPr>
            <w:instrText xml:space="preserve"> PAGEREF _Toc6146 \h </w:instrText>
          </w:r>
          <w:r>
            <w:rPr>
              <w:color w:val="auto"/>
            </w:rPr>
            <w:fldChar w:fldCharType="separate"/>
          </w:r>
          <w:r>
            <w:rPr>
              <w:color w:val="auto"/>
            </w:rPr>
            <w:t>155</w:t>
          </w:r>
          <w:r>
            <w:rPr>
              <w:color w:val="auto"/>
            </w:rPr>
            <w:fldChar w:fldCharType="end"/>
          </w:r>
          <w:r>
            <w:rPr>
              <w:rFonts w:cs="Times New Roman"/>
              <w:color w:val="auto"/>
            </w:rPr>
            <w:fldChar w:fldCharType="end"/>
          </w:r>
        </w:p>
        <w:p w14:paraId="74BBDC04">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_Toc24985 </w:instrText>
          </w:r>
          <w:r>
            <w:rPr>
              <w:rFonts w:cs="Times New Roman"/>
              <w:color w:val="auto"/>
            </w:rPr>
            <w:fldChar w:fldCharType="separate"/>
          </w:r>
          <w:r>
            <w:rPr>
              <w:rFonts w:hint="eastAsia"/>
              <w:color w:val="auto"/>
            </w:rPr>
            <w:t>附表</w:t>
          </w:r>
          <w:r>
            <w:rPr>
              <w:color w:val="auto"/>
            </w:rPr>
            <w:tab/>
          </w:r>
          <w:r>
            <w:rPr>
              <w:color w:val="auto"/>
            </w:rPr>
            <w:fldChar w:fldCharType="begin"/>
          </w:r>
          <w:r>
            <w:rPr>
              <w:color w:val="auto"/>
            </w:rPr>
            <w:instrText xml:space="preserve"> PAGEREF _Toc24985 \h </w:instrText>
          </w:r>
          <w:r>
            <w:rPr>
              <w:color w:val="auto"/>
            </w:rPr>
            <w:fldChar w:fldCharType="separate"/>
          </w:r>
          <w:r>
            <w:rPr>
              <w:color w:val="auto"/>
            </w:rPr>
            <w:t>156</w:t>
          </w:r>
          <w:r>
            <w:rPr>
              <w:color w:val="auto"/>
            </w:rPr>
            <w:fldChar w:fldCharType="end"/>
          </w:r>
          <w:r>
            <w:rPr>
              <w:rFonts w:cs="Times New Roman"/>
              <w:color w:val="auto"/>
            </w:rPr>
            <w:fldChar w:fldCharType="end"/>
          </w:r>
        </w:p>
        <w:p w14:paraId="0A2D1E44">
          <w:pPr>
            <w:pStyle w:val="8"/>
            <w:tabs>
              <w:tab w:val="right" w:leader="dot" w:pos="8306"/>
            </w:tabs>
            <w:rPr>
              <w:color w:val="auto"/>
            </w:rPr>
          </w:pPr>
          <w:r>
            <w:rPr>
              <w:rFonts w:cs="Times New Roman"/>
              <w:color w:val="auto"/>
            </w:rPr>
            <w:fldChar w:fldCharType="begin"/>
          </w:r>
          <w:r>
            <w:rPr>
              <w:rFonts w:cs="Times New Roman"/>
              <w:color w:val="auto"/>
            </w:rPr>
            <w:instrText xml:space="preserve"> HYPERLINK \l _Toc8547 </w:instrText>
          </w:r>
          <w:r>
            <w:rPr>
              <w:rFonts w:cs="Times New Roman"/>
              <w:color w:val="auto"/>
            </w:rPr>
            <w:fldChar w:fldCharType="separate"/>
          </w:r>
          <w:r>
            <w:rPr>
              <w:rFonts w:hint="eastAsia"/>
              <w:bCs/>
              <w:color w:val="auto"/>
              <w:highlight w:val="none"/>
            </w:rPr>
            <w:t>建设项目污染物排放量汇总表</w:t>
          </w:r>
          <w:r>
            <w:rPr>
              <w:color w:val="auto"/>
            </w:rPr>
            <w:tab/>
          </w:r>
          <w:r>
            <w:rPr>
              <w:color w:val="auto"/>
            </w:rPr>
            <w:fldChar w:fldCharType="begin"/>
          </w:r>
          <w:r>
            <w:rPr>
              <w:color w:val="auto"/>
            </w:rPr>
            <w:instrText xml:space="preserve"> PAGEREF _Toc8547 \h </w:instrText>
          </w:r>
          <w:r>
            <w:rPr>
              <w:color w:val="auto"/>
            </w:rPr>
            <w:fldChar w:fldCharType="separate"/>
          </w:r>
          <w:r>
            <w:rPr>
              <w:color w:val="auto"/>
            </w:rPr>
            <w:t>156</w:t>
          </w:r>
          <w:r>
            <w:rPr>
              <w:color w:val="auto"/>
            </w:rPr>
            <w:fldChar w:fldCharType="end"/>
          </w:r>
          <w:r>
            <w:rPr>
              <w:rFonts w:cs="Times New Roman"/>
              <w:color w:val="auto"/>
            </w:rPr>
            <w:fldChar w:fldCharType="end"/>
          </w:r>
        </w:p>
        <w:p w14:paraId="567ED037">
          <w:pPr>
            <w:widowControl/>
            <w:tabs>
              <w:tab w:val="right" w:leader="dot" w:pos="8306"/>
            </w:tabs>
            <w:ind w:firstLine="480"/>
            <w:rPr>
              <w:color w:val="auto"/>
            </w:rPr>
          </w:pPr>
          <w:r>
            <w:rPr>
              <w:rFonts w:cs="Times New Roman"/>
              <w:color w:val="auto"/>
            </w:rPr>
            <w:fldChar w:fldCharType="end"/>
          </w:r>
        </w:p>
      </w:sdtContent>
    </w:sdt>
    <w:tbl>
      <w:tblPr>
        <w:tblStyle w:val="2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3322"/>
      </w:tblGrid>
      <w:tr w14:paraId="2E503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00" w:type="dxa"/>
            <w:tcBorders>
              <w:tl2br w:val="nil"/>
              <w:tr2bl w:val="nil"/>
            </w:tcBorders>
            <w:vAlign w:val="top"/>
          </w:tcPr>
          <w:p w14:paraId="56437DB7">
            <w:pPr>
              <w:ind w:left="0" w:leftChars="0" w:firstLine="0" w:firstLineChars="0"/>
              <w:rPr>
                <w:rFonts w:hint="eastAsia"/>
                <w:b/>
                <w:bCs/>
                <w:color w:val="auto"/>
                <w:vertAlign w:val="baseline"/>
              </w:rPr>
            </w:pPr>
            <w:bookmarkStart w:id="0" w:name="_Toc31301"/>
            <w:r>
              <w:rPr>
                <w:rFonts w:hint="eastAsia"/>
                <w:b/>
                <w:bCs/>
                <w:color w:val="auto"/>
                <w:vertAlign w:val="baseline"/>
              </w:rPr>
              <w:t>附件</w:t>
            </w:r>
          </w:p>
          <w:p w14:paraId="1054B2E1">
            <w:pPr>
              <w:rPr>
                <w:rFonts w:hint="eastAsia"/>
                <w:b w:val="0"/>
                <w:bCs w:val="0"/>
                <w:color w:val="auto"/>
                <w:vertAlign w:val="baseline"/>
              </w:rPr>
            </w:pPr>
            <w:bookmarkStart w:id="1" w:name="_Toc6814"/>
            <w:r>
              <w:rPr>
                <w:rFonts w:hint="eastAsia"/>
                <w:b w:val="0"/>
                <w:bCs w:val="0"/>
                <w:color w:val="auto"/>
                <w:vertAlign w:val="baseline"/>
              </w:rPr>
              <w:t>附件1</w:t>
            </w:r>
            <w:bookmarkEnd w:id="1"/>
            <w:r>
              <w:rPr>
                <w:rFonts w:hint="eastAsia"/>
                <w:b w:val="0"/>
                <w:bCs w:val="0"/>
                <w:color w:val="auto"/>
                <w:vertAlign w:val="baseline"/>
                <w:lang w:eastAsia="zh-CN"/>
              </w:rPr>
              <w:t>环评</w:t>
            </w:r>
            <w:r>
              <w:rPr>
                <w:rFonts w:hint="eastAsia"/>
                <w:b w:val="0"/>
                <w:bCs w:val="0"/>
                <w:color w:val="auto"/>
                <w:vertAlign w:val="baseline"/>
              </w:rPr>
              <w:t>委托书</w:t>
            </w:r>
          </w:p>
          <w:p w14:paraId="1DEC4E52">
            <w:pPr>
              <w:rPr>
                <w:rFonts w:hint="eastAsia"/>
                <w:b w:val="0"/>
                <w:bCs w:val="0"/>
                <w:color w:val="auto"/>
                <w:vertAlign w:val="baseline"/>
              </w:rPr>
            </w:pPr>
            <w:bookmarkStart w:id="2" w:name="_Toc10519"/>
            <w:r>
              <w:rPr>
                <w:rFonts w:hint="eastAsia"/>
                <w:b w:val="0"/>
                <w:bCs w:val="0"/>
                <w:color w:val="auto"/>
                <w:vertAlign w:val="baseline"/>
              </w:rPr>
              <w:t>附件2</w:t>
            </w:r>
            <w:bookmarkEnd w:id="2"/>
            <w:r>
              <w:rPr>
                <w:rFonts w:hint="eastAsia"/>
                <w:b w:val="0"/>
                <w:bCs w:val="0"/>
                <w:color w:val="auto"/>
                <w:vertAlign w:val="baseline"/>
              </w:rPr>
              <w:t>备案证</w:t>
            </w:r>
            <w:bookmarkStart w:id="3" w:name="_Toc140"/>
          </w:p>
          <w:p w14:paraId="21093B46">
            <w:pPr>
              <w:rPr>
                <w:rFonts w:hint="eastAsia"/>
                <w:b w:val="0"/>
                <w:bCs w:val="0"/>
                <w:color w:val="auto"/>
                <w:vertAlign w:val="baseline"/>
                <w:lang w:val="en-US" w:eastAsia="zh-CN"/>
              </w:rPr>
            </w:pPr>
            <w:r>
              <w:rPr>
                <w:rFonts w:hint="eastAsia"/>
                <w:b w:val="0"/>
                <w:bCs w:val="0"/>
                <w:color w:val="auto"/>
                <w:vertAlign w:val="baseline"/>
              </w:rPr>
              <w:t>附件3</w:t>
            </w:r>
            <w:bookmarkEnd w:id="3"/>
            <w:r>
              <w:rPr>
                <w:rFonts w:hint="eastAsia"/>
                <w:b w:val="0"/>
                <w:bCs w:val="0"/>
                <w:color w:val="auto"/>
                <w:vertAlign w:val="baseline"/>
                <w:lang w:val="en-US" w:eastAsia="zh-CN"/>
              </w:rPr>
              <w:t>营业执照</w:t>
            </w:r>
          </w:p>
          <w:p w14:paraId="7A782A10">
            <w:pPr>
              <w:rPr>
                <w:rFonts w:hint="eastAsia"/>
                <w:b w:val="0"/>
                <w:bCs w:val="0"/>
                <w:color w:val="auto"/>
                <w:vertAlign w:val="baseline"/>
                <w:lang w:val="en-US" w:eastAsia="zh-CN"/>
              </w:rPr>
            </w:pPr>
            <w:r>
              <w:rPr>
                <w:rFonts w:hint="eastAsia"/>
                <w:b w:val="0"/>
                <w:bCs w:val="0"/>
                <w:color w:val="auto"/>
                <w:vertAlign w:val="baseline"/>
                <w:lang w:eastAsia="zh-CN"/>
              </w:rPr>
              <w:t>附件</w:t>
            </w:r>
            <w:r>
              <w:rPr>
                <w:rFonts w:hint="eastAsia"/>
                <w:b w:val="0"/>
                <w:bCs w:val="0"/>
                <w:color w:val="auto"/>
                <w:vertAlign w:val="baseline"/>
                <w:lang w:val="en-US" w:eastAsia="zh-CN"/>
              </w:rPr>
              <w:t>4厂房租赁合同</w:t>
            </w:r>
          </w:p>
          <w:p w14:paraId="6FDB949A">
            <w:pPr>
              <w:rPr>
                <w:rFonts w:hint="eastAsia"/>
                <w:b w:val="0"/>
                <w:bCs w:val="0"/>
                <w:color w:val="auto"/>
                <w:vertAlign w:val="baseline"/>
                <w:lang w:val="en-US" w:eastAsia="zh-CN"/>
              </w:rPr>
            </w:pPr>
            <w:r>
              <w:rPr>
                <w:rFonts w:hint="eastAsia"/>
                <w:b w:val="0"/>
                <w:bCs w:val="0"/>
                <w:color w:val="auto"/>
                <w:vertAlign w:val="baseline"/>
              </w:rPr>
              <w:t>附件</w:t>
            </w:r>
            <w:r>
              <w:rPr>
                <w:rFonts w:hint="eastAsia"/>
                <w:b w:val="0"/>
                <w:bCs w:val="0"/>
                <w:color w:val="auto"/>
                <w:vertAlign w:val="baseline"/>
                <w:lang w:val="en-US" w:eastAsia="zh-CN"/>
              </w:rPr>
              <w:t>5投资协议</w:t>
            </w:r>
          </w:p>
          <w:p w14:paraId="6D8FA9CA">
            <w:pPr>
              <w:rPr>
                <w:rFonts w:hint="eastAsia"/>
                <w:b w:val="0"/>
                <w:bCs w:val="0"/>
                <w:color w:val="auto"/>
                <w:vertAlign w:val="baseline"/>
                <w:lang w:val="en-US" w:eastAsia="zh-CN"/>
              </w:rPr>
            </w:pPr>
            <w:r>
              <w:rPr>
                <w:rFonts w:hint="eastAsia"/>
                <w:b w:val="0"/>
                <w:bCs w:val="0"/>
                <w:color w:val="auto"/>
                <w:vertAlign w:val="baseline"/>
              </w:rPr>
              <w:t>附件</w:t>
            </w:r>
            <w:r>
              <w:rPr>
                <w:rFonts w:hint="eastAsia"/>
                <w:b w:val="0"/>
                <w:bCs w:val="0"/>
                <w:color w:val="auto"/>
                <w:vertAlign w:val="baseline"/>
                <w:lang w:val="en-US" w:eastAsia="zh-CN"/>
              </w:rPr>
              <w:t>6证明</w:t>
            </w:r>
          </w:p>
          <w:p w14:paraId="594FFAE4">
            <w:pPr>
              <w:rPr>
                <w:rFonts w:hint="eastAsia"/>
                <w:b w:val="0"/>
                <w:bCs w:val="0"/>
                <w:color w:val="auto"/>
                <w:vertAlign w:val="baseline"/>
                <w:lang w:val="en-US" w:eastAsia="zh-CN"/>
              </w:rPr>
            </w:pPr>
            <w:r>
              <w:rPr>
                <w:rFonts w:hint="eastAsia"/>
                <w:b w:val="0"/>
                <w:bCs w:val="0"/>
                <w:color w:val="auto"/>
                <w:vertAlign w:val="baseline"/>
                <w:lang w:val="en-US" w:eastAsia="zh-CN"/>
              </w:rPr>
              <w:t>附件7麦糟协议</w:t>
            </w:r>
          </w:p>
          <w:p w14:paraId="621E5849">
            <w:pPr>
              <w:rPr>
                <w:rFonts w:hint="eastAsia"/>
                <w:b w:val="0"/>
                <w:bCs w:val="0"/>
                <w:color w:val="auto"/>
                <w:vertAlign w:val="baseline"/>
                <w:lang w:val="en-US" w:eastAsia="zh-CN"/>
              </w:rPr>
            </w:pPr>
            <w:r>
              <w:rPr>
                <w:rFonts w:hint="eastAsia"/>
                <w:b w:val="0"/>
                <w:bCs w:val="0"/>
                <w:color w:val="auto"/>
                <w:vertAlign w:val="baseline"/>
                <w:lang w:val="en-US" w:eastAsia="zh-CN"/>
              </w:rPr>
              <w:t>附件8环评技术服务合同</w:t>
            </w:r>
          </w:p>
          <w:p w14:paraId="650AF312">
            <w:pPr>
              <w:rPr>
                <w:rFonts w:hint="eastAsia"/>
                <w:b w:val="0"/>
                <w:bCs w:val="0"/>
                <w:color w:val="auto"/>
                <w:vertAlign w:val="baseline"/>
                <w:lang w:val="en-US" w:eastAsia="zh-CN"/>
              </w:rPr>
            </w:pPr>
            <w:r>
              <w:rPr>
                <w:rFonts w:hint="eastAsia"/>
                <w:b w:val="0"/>
                <w:bCs w:val="0"/>
                <w:color w:val="auto"/>
                <w:vertAlign w:val="baseline"/>
                <w:lang w:val="en-US" w:eastAsia="zh-CN"/>
              </w:rPr>
              <w:t>附件9生态管控单元查询报告</w:t>
            </w:r>
          </w:p>
          <w:p w14:paraId="62682B1A">
            <w:pPr>
              <w:rPr>
                <w:rFonts w:hint="eastAsia"/>
                <w:b w:val="0"/>
                <w:bCs w:val="0"/>
                <w:color w:val="auto"/>
                <w:vertAlign w:val="baseline"/>
                <w:lang w:val="en-US" w:eastAsia="zh-CN"/>
              </w:rPr>
            </w:pPr>
            <w:r>
              <w:rPr>
                <w:rFonts w:hint="eastAsia"/>
                <w:b w:val="0"/>
                <w:bCs w:val="0"/>
                <w:color w:val="auto"/>
                <w:vertAlign w:val="baseline"/>
                <w:lang w:val="en-US" w:eastAsia="zh-CN"/>
              </w:rPr>
              <w:t>附件10三级审核单</w:t>
            </w:r>
          </w:p>
          <w:p w14:paraId="23C285A1">
            <w:pPr>
              <w:rPr>
                <w:rFonts w:hint="eastAsia"/>
                <w:b w:val="0"/>
                <w:bCs w:val="0"/>
                <w:color w:val="auto"/>
                <w:vertAlign w:val="baseline"/>
                <w:lang w:val="en-US" w:eastAsia="zh-CN"/>
              </w:rPr>
            </w:pPr>
            <w:r>
              <w:rPr>
                <w:rFonts w:hint="eastAsia"/>
                <w:b w:val="0"/>
                <w:bCs w:val="0"/>
                <w:color w:val="auto"/>
                <w:vertAlign w:val="baseline"/>
                <w:lang w:eastAsia="zh-CN"/>
              </w:rPr>
              <w:t>附件</w:t>
            </w:r>
            <w:r>
              <w:rPr>
                <w:rFonts w:hint="eastAsia"/>
                <w:b w:val="0"/>
                <w:bCs w:val="0"/>
                <w:color w:val="auto"/>
                <w:vertAlign w:val="baseline"/>
                <w:lang w:val="en-US" w:eastAsia="zh-CN"/>
              </w:rPr>
              <w:t>11项目进度表</w:t>
            </w:r>
          </w:p>
          <w:p w14:paraId="38C62AEC">
            <w:pPr>
              <w:rPr>
                <w:rFonts w:hint="eastAsia"/>
                <w:b w:val="0"/>
                <w:bCs w:val="0"/>
                <w:color w:val="auto"/>
                <w:vertAlign w:val="baseline"/>
                <w:lang w:val="en-US" w:eastAsia="zh-CN"/>
              </w:rPr>
            </w:pPr>
            <w:r>
              <w:rPr>
                <w:rFonts w:hint="eastAsia"/>
                <w:b w:val="0"/>
                <w:bCs w:val="0"/>
                <w:color w:val="auto"/>
                <w:vertAlign w:val="baseline"/>
                <w:lang w:val="en-US" w:eastAsia="zh-CN"/>
              </w:rPr>
              <w:t>附件12排污权交易承诺书</w:t>
            </w:r>
          </w:p>
          <w:p w14:paraId="7BACC5E6">
            <w:pPr>
              <w:rPr>
                <w:rFonts w:hint="default"/>
                <w:b w:val="0"/>
                <w:bCs w:val="0"/>
                <w:color w:val="auto"/>
                <w:vertAlign w:val="baseline"/>
                <w:lang w:val="en-US" w:eastAsia="zh-CN"/>
              </w:rPr>
            </w:pPr>
            <w:r>
              <w:rPr>
                <w:rFonts w:hint="eastAsia"/>
                <w:b w:val="0"/>
                <w:bCs w:val="0"/>
                <w:color w:val="auto"/>
                <w:vertAlign w:val="baseline"/>
                <w:lang w:val="en-US" w:eastAsia="zh-CN"/>
              </w:rPr>
              <w:t>附件13厂界噪声现状检测报告</w:t>
            </w:r>
          </w:p>
          <w:p w14:paraId="6BEF58BE">
            <w:pPr>
              <w:rPr>
                <w:rFonts w:hint="default"/>
                <w:b w:val="0"/>
                <w:bCs w:val="0"/>
                <w:color w:val="auto"/>
                <w:vertAlign w:val="baseline"/>
                <w:lang w:val="en-US" w:eastAsia="zh-CN"/>
              </w:rPr>
            </w:pPr>
            <w:r>
              <w:rPr>
                <w:rFonts w:hint="eastAsia"/>
                <w:b w:val="0"/>
                <w:bCs w:val="0"/>
                <w:color w:val="auto"/>
                <w:vertAlign w:val="baseline"/>
                <w:lang w:val="en-US" w:eastAsia="zh-CN"/>
              </w:rPr>
              <w:t>附件14污水纳管情况证明</w:t>
            </w:r>
          </w:p>
          <w:p w14:paraId="54ED74BB">
            <w:pPr>
              <w:rPr>
                <w:rFonts w:hint="default"/>
                <w:b w:val="0"/>
                <w:bCs w:val="0"/>
                <w:color w:val="auto"/>
                <w:vertAlign w:val="baseline"/>
                <w:lang w:val="en-US" w:eastAsia="zh-CN"/>
              </w:rPr>
            </w:pPr>
            <w:r>
              <w:rPr>
                <w:rFonts w:hint="eastAsia"/>
                <w:b w:val="0"/>
                <w:bCs w:val="0"/>
                <w:color w:val="auto"/>
                <w:vertAlign w:val="baseline"/>
                <w:lang w:val="en-US" w:eastAsia="zh-CN"/>
              </w:rPr>
              <w:t>附件15天然气成分表</w:t>
            </w:r>
          </w:p>
          <w:p w14:paraId="1CBC08B1">
            <w:pPr>
              <w:rPr>
                <w:rFonts w:hint="default"/>
                <w:b w:val="0"/>
                <w:bCs w:val="0"/>
                <w:color w:val="auto"/>
                <w:vertAlign w:val="baseline"/>
                <w:lang w:val="en-US" w:eastAsia="zh-CN"/>
              </w:rPr>
            </w:pPr>
            <w:r>
              <w:rPr>
                <w:rFonts w:hint="eastAsia"/>
                <w:b w:val="0"/>
                <w:bCs w:val="0"/>
                <w:color w:val="auto"/>
                <w:vertAlign w:val="baseline"/>
                <w:lang w:val="en-US" w:eastAsia="zh-CN"/>
              </w:rPr>
              <w:t>附件16专家评审意见及专家签字表</w:t>
            </w:r>
          </w:p>
          <w:p w14:paraId="1E853D5A">
            <w:pPr>
              <w:rPr>
                <w:rFonts w:hint="eastAsia"/>
                <w:b/>
                <w:bCs/>
                <w:color w:val="auto"/>
                <w:vertAlign w:val="baseline"/>
              </w:rPr>
            </w:pPr>
            <w:r>
              <w:rPr>
                <w:rFonts w:hint="eastAsia"/>
                <w:b w:val="0"/>
                <w:bCs w:val="0"/>
                <w:color w:val="auto"/>
                <w:vertAlign w:val="baseline"/>
                <w:lang w:val="en-US" w:eastAsia="zh-CN"/>
              </w:rPr>
              <w:t>附件17评审意见修改对照表</w:t>
            </w:r>
          </w:p>
        </w:tc>
        <w:tc>
          <w:tcPr>
            <w:tcW w:w="3322" w:type="dxa"/>
            <w:tcBorders>
              <w:tl2br w:val="nil"/>
              <w:tr2bl w:val="nil"/>
            </w:tcBorders>
            <w:vAlign w:val="top"/>
          </w:tcPr>
          <w:p w14:paraId="32CCB451">
            <w:pPr>
              <w:ind w:left="0" w:leftChars="0" w:firstLine="0" w:firstLineChars="0"/>
              <w:rPr>
                <w:rFonts w:hint="eastAsia"/>
                <w:b/>
                <w:bCs/>
                <w:color w:val="auto"/>
                <w:vertAlign w:val="baseline"/>
              </w:rPr>
            </w:pPr>
            <w:r>
              <w:rPr>
                <w:rFonts w:hint="eastAsia"/>
                <w:b/>
                <w:bCs/>
                <w:color w:val="auto"/>
                <w:vertAlign w:val="baseline"/>
              </w:rPr>
              <w:t>附图</w:t>
            </w:r>
          </w:p>
          <w:p w14:paraId="78AF9B67">
            <w:pPr>
              <w:rPr>
                <w:rFonts w:hint="eastAsia"/>
                <w:b w:val="0"/>
                <w:bCs w:val="0"/>
                <w:color w:val="auto"/>
                <w:vertAlign w:val="baseline"/>
              </w:rPr>
            </w:pPr>
            <w:bookmarkStart w:id="4" w:name="_Toc6873"/>
            <w:r>
              <w:rPr>
                <w:rFonts w:hint="eastAsia"/>
                <w:b w:val="0"/>
                <w:bCs w:val="0"/>
                <w:color w:val="auto"/>
                <w:vertAlign w:val="baseline"/>
              </w:rPr>
              <w:t>附图1项目地理位置图</w:t>
            </w:r>
          </w:p>
          <w:p w14:paraId="72DEABB8">
            <w:pPr>
              <w:rPr>
                <w:rFonts w:hint="eastAsia"/>
                <w:b w:val="0"/>
                <w:bCs w:val="0"/>
                <w:color w:val="auto"/>
                <w:vertAlign w:val="baseline"/>
              </w:rPr>
            </w:pPr>
            <w:r>
              <w:rPr>
                <w:rFonts w:hint="eastAsia"/>
                <w:b w:val="0"/>
                <w:bCs w:val="0"/>
                <w:color w:val="auto"/>
                <w:vertAlign w:val="baseline"/>
              </w:rPr>
              <w:t>附图</w:t>
            </w:r>
            <w:r>
              <w:rPr>
                <w:rFonts w:hint="eastAsia"/>
                <w:b w:val="0"/>
                <w:bCs w:val="0"/>
                <w:color w:val="auto"/>
                <w:vertAlign w:val="baseline"/>
                <w:lang w:val="en-US" w:eastAsia="zh-CN"/>
              </w:rPr>
              <w:t>2</w:t>
            </w:r>
            <w:bookmarkEnd w:id="4"/>
            <w:r>
              <w:rPr>
                <w:rFonts w:hint="eastAsia"/>
                <w:b w:val="0"/>
                <w:bCs w:val="0"/>
                <w:color w:val="auto"/>
                <w:vertAlign w:val="baseline"/>
                <w:lang w:val="en-US" w:eastAsia="zh-CN"/>
              </w:rPr>
              <w:t>项目区水系图</w:t>
            </w:r>
          </w:p>
          <w:p w14:paraId="360062C2">
            <w:pPr>
              <w:rPr>
                <w:rFonts w:hint="eastAsia"/>
                <w:b w:val="0"/>
                <w:bCs w:val="0"/>
                <w:color w:val="auto"/>
                <w:vertAlign w:val="baseline"/>
              </w:rPr>
            </w:pPr>
            <w:bookmarkStart w:id="5" w:name="_Toc28696"/>
            <w:r>
              <w:rPr>
                <w:rFonts w:hint="eastAsia"/>
                <w:b w:val="0"/>
                <w:bCs w:val="0"/>
                <w:color w:val="auto"/>
                <w:vertAlign w:val="baseline"/>
              </w:rPr>
              <w:t>附图</w:t>
            </w:r>
            <w:r>
              <w:rPr>
                <w:rFonts w:hint="eastAsia"/>
                <w:b w:val="0"/>
                <w:bCs w:val="0"/>
                <w:color w:val="auto"/>
                <w:vertAlign w:val="baseline"/>
                <w:lang w:val="en-US" w:eastAsia="zh-CN"/>
              </w:rPr>
              <w:t>3</w:t>
            </w:r>
            <w:bookmarkEnd w:id="5"/>
            <w:r>
              <w:rPr>
                <w:rFonts w:hint="eastAsia"/>
                <w:b w:val="0"/>
                <w:bCs w:val="0"/>
                <w:color w:val="auto"/>
                <w:vertAlign w:val="baseline"/>
                <w:lang w:val="en-US" w:eastAsia="zh-CN"/>
              </w:rPr>
              <w:t>项目</w:t>
            </w:r>
            <w:r>
              <w:rPr>
                <w:rFonts w:hint="eastAsia"/>
                <w:b w:val="0"/>
                <w:bCs w:val="0"/>
                <w:color w:val="auto"/>
                <w:vertAlign w:val="baseline"/>
              </w:rPr>
              <w:t>外环境关系图</w:t>
            </w:r>
          </w:p>
          <w:p w14:paraId="6422F899">
            <w:pPr>
              <w:rPr>
                <w:rFonts w:hint="eastAsia"/>
                <w:b w:val="0"/>
                <w:bCs w:val="0"/>
                <w:color w:val="auto"/>
                <w:vertAlign w:val="baseline"/>
                <w:lang w:val="en-US" w:eastAsia="zh-CN"/>
              </w:rPr>
            </w:pPr>
            <w:bookmarkStart w:id="6" w:name="_Toc27319"/>
            <w:r>
              <w:rPr>
                <w:rFonts w:hint="eastAsia"/>
                <w:b w:val="0"/>
                <w:bCs w:val="0"/>
                <w:color w:val="auto"/>
                <w:vertAlign w:val="baseline"/>
              </w:rPr>
              <w:t>附图</w:t>
            </w:r>
            <w:r>
              <w:rPr>
                <w:rFonts w:hint="eastAsia"/>
                <w:b w:val="0"/>
                <w:bCs w:val="0"/>
                <w:color w:val="auto"/>
                <w:vertAlign w:val="baseline"/>
                <w:lang w:val="en-US" w:eastAsia="zh-CN"/>
              </w:rPr>
              <w:t>4</w:t>
            </w:r>
            <w:r>
              <w:rPr>
                <w:rFonts w:hint="eastAsia"/>
                <w:b w:val="0"/>
                <w:bCs w:val="0"/>
                <w:color w:val="auto"/>
                <w:vertAlign w:val="baseline"/>
              </w:rPr>
              <w:t>云南省主体功能区划分总图</w:t>
            </w:r>
          </w:p>
          <w:p w14:paraId="6DA427B4">
            <w:pPr>
              <w:rPr>
                <w:rFonts w:hint="eastAsia"/>
                <w:b w:val="0"/>
                <w:bCs w:val="0"/>
                <w:color w:val="auto"/>
                <w:vertAlign w:val="baseline"/>
              </w:rPr>
            </w:pPr>
            <w:r>
              <w:rPr>
                <w:rFonts w:hint="eastAsia"/>
                <w:b w:val="0"/>
                <w:bCs w:val="0"/>
                <w:color w:val="auto"/>
                <w:vertAlign w:val="baseline"/>
                <w:lang w:val="en-US" w:eastAsia="zh-CN"/>
              </w:rPr>
              <w:t>附图5</w:t>
            </w:r>
            <w:r>
              <w:rPr>
                <w:rFonts w:hint="eastAsia"/>
                <w:b w:val="0"/>
                <w:bCs w:val="0"/>
                <w:color w:val="auto"/>
                <w:vertAlign w:val="baseline"/>
              </w:rPr>
              <w:t>项目</w:t>
            </w:r>
            <w:bookmarkEnd w:id="6"/>
            <w:r>
              <w:rPr>
                <w:rFonts w:hint="eastAsia"/>
                <w:b w:val="0"/>
                <w:bCs w:val="0"/>
                <w:color w:val="auto"/>
                <w:vertAlign w:val="baseline"/>
                <w:lang w:eastAsia="zh-CN"/>
              </w:rPr>
              <w:t>区</w:t>
            </w:r>
            <w:r>
              <w:rPr>
                <w:rFonts w:hint="eastAsia"/>
                <w:b w:val="0"/>
                <w:bCs w:val="0"/>
                <w:color w:val="auto"/>
                <w:vertAlign w:val="baseline"/>
              </w:rPr>
              <w:t>平面布置</w:t>
            </w:r>
            <w:r>
              <w:rPr>
                <w:rFonts w:hint="eastAsia"/>
                <w:b w:val="0"/>
                <w:bCs w:val="0"/>
                <w:color w:val="auto"/>
                <w:vertAlign w:val="baseline"/>
                <w:lang w:eastAsia="zh-CN"/>
              </w:rPr>
              <w:t>示意</w:t>
            </w:r>
            <w:r>
              <w:rPr>
                <w:rFonts w:hint="eastAsia"/>
                <w:b w:val="0"/>
                <w:bCs w:val="0"/>
                <w:color w:val="auto"/>
                <w:vertAlign w:val="baseline"/>
              </w:rPr>
              <w:t>图</w:t>
            </w:r>
          </w:p>
          <w:p w14:paraId="4EC8BEDC">
            <w:pPr>
              <w:rPr>
                <w:rFonts w:hint="eastAsia"/>
                <w:b w:val="0"/>
                <w:bCs w:val="0"/>
                <w:color w:val="auto"/>
                <w:vertAlign w:val="baseline"/>
                <w:lang w:val="en-US" w:eastAsia="zh-CN"/>
              </w:rPr>
            </w:pPr>
            <w:r>
              <w:rPr>
                <w:rFonts w:hint="eastAsia"/>
                <w:b w:val="0"/>
                <w:bCs w:val="0"/>
                <w:color w:val="auto"/>
                <w:vertAlign w:val="baseline"/>
              </w:rPr>
              <w:t>附图</w:t>
            </w:r>
            <w:r>
              <w:rPr>
                <w:rFonts w:hint="eastAsia"/>
                <w:b w:val="0"/>
                <w:bCs w:val="0"/>
                <w:color w:val="auto"/>
                <w:vertAlign w:val="baseline"/>
                <w:lang w:val="en-US" w:eastAsia="zh-CN"/>
              </w:rPr>
              <w:t>6项目分区防渗图</w:t>
            </w:r>
          </w:p>
          <w:p w14:paraId="1EFA8EB9">
            <w:pPr>
              <w:rPr>
                <w:rFonts w:hint="eastAsia"/>
                <w:b w:val="0"/>
                <w:bCs w:val="0"/>
                <w:color w:val="auto"/>
                <w:vertAlign w:val="baseline"/>
                <w:lang w:val="en-US" w:eastAsia="zh-CN"/>
              </w:rPr>
            </w:pPr>
            <w:r>
              <w:rPr>
                <w:rFonts w:hint="eastAsia"/>
                <w:b w:val="0"/>
                <w:bCs w:val="0"/>
                <w:color w:val="auto"/>
                <w:vertAlign w:val="baseline"/>
                <w:lang w:val="en-US" w:eastAsia="zh-CN"/>
              </w:rPr>
              <w:t>附图7项目与产业园区布局规划图位置关系图</w:t>
            </w:r>
          </w:p>
          <w:p w14:paraId="42748BA4">
            <w:pPr>
              <w:rPr>
                <w:rFonts w:hint="eastAsia"/>
                <w:b/>
                <w:bCs/>
                <w:color w:val="auto"/>
                <w:vertAlign w:val="baseline"/>
              </w:rPr>
            </w:pPr>
          </w:p>
        </w:tc>
      </w:tr>
      <w:bookmarkEnd w:id="0"/>
    </w:tbl>
    <w:p w14:paraId="705004C4">
      <w:pPr>
        <w:pStyle w:val="2"/>
        <w:rPr>
          <w:color w:val="auto"/>
        </w:rPr>
      </w:pPr>
      <w:bookmarkStart w:id="7" w:name="_Toc850"/>
      <w:r>
        <w:rPr>
          <w:rFonts w:hint="eastAsia"/>
          <w:color w:val="auto"/>
        </w:rPr>
        <w:t>前言</w:t>
      </w:r>
      <w:bookmarkEnd w:id="7"/>
    </w:p>
    <w:p w14:paraId="62241546">
      <w:pPr>
        <w:keepNext w:val="0"/>
        <w:keepLines w:val="0"/>
        <w:widowControl/>
        <w:suppressLineNumbers w:val="0"/>
        <w:jc w:val="left"/>
        <w:rPr>
          <w:rFonts w:hint="eastAsia"/>
          <w:color w:val="auto"/>
          <w:lang w:eastAsia="zh-CN"/>
        </w:rPr>
      </w:pPr>
      <w:r>
        <w:rPr>
          <w:rFonts w:hint="eastAsia"/>
          <w:color w:val="auto"/>
          <w:lang w:eastAsia="zh-CN"/>
        </w:rPr>
        <w:t>麦博精酿（云南）科技有限公司成立于2025年3月，是一家从事酒类经营，酒制品生产,食品互联网销售等业务的公司，公司</w:t>
      </w:r>
      <w:r>
        <w:rPr>
          <w:rFonts w:hint="eastAsia"/>
          <w:color w:val="auto"/>
          <w:lang w:val="en-US" w:eastAsia="zh-CN"/>
        </w:rPr>
        <w:t>主要位置位于</w:t>
      </w:r>
      <w:r>
        <w:rPr>
          <w:rFonts w:hint="eastAsia"/>
          <w:color w:val="auto"/>
          <w:lang w:eastAsia="zh-CN"/>
        </w:rPr>
        <w:t>云南省玉溪市高新区春和街道春和社区九龙片区D4栋</w:t>
      </w:r>
      <w:r>
        <w:rPr>
          <w:rFonts w:hint="eastAsia"/>
          <w:color w:val="auto"/>
          <w:lang w:val="en-US" w:eastAsia="zh-CN"/>
        </w:rPr>
        <w:t>第一层</w:t>
      </w:r>
      <w:r>
        <w:rPr>
          <w:rFonts w:hint="eastAsia"/>
          <w:color w:val="auto"/>
          <w:lang w:eastAsia="zh-CN"/>
        </w:rPr>
        <w:t>。</w:t>
      </w:r>
    </w:p>
    <w:p w14:paraId="27AE7B8C">
      <w:pPr>
        <w:keepNext w:val="0"/>
        <w:keepLines w:val="0"/>
        <w:widowControl/>
        <w:suppressLineNumbers w:val="0"/>
        <w:jc w:val="left"/>
        <w:rPr>
          <w:rFonts w:hint="default"/>
          <w:color w:val="auto"/>
          <w:lang w:val="en-US" w:eastAsia="zh-CN"/>
        </w:rPr>
      </w:pPr>
      <w:r>
        <w:rPr>
          <w:rFonts w:hint="eastAsia"/>
          <w:color w:val="auto"/>
          <w:lang w:eastAsia="zh-CN"/>
        </w:rPr>
        <w:t>根据市场需求，企业拟投资1000万元在玉溪市高新区九龙池片区租用</w:t>
      </w:r>
      <w:r>
        <w:rPr>
          <w:rFonts w:hint="eastAsia"/>
          <w:color w:val="auto"/>
          <w:lang w:val="en-US" w:eastAsia="zh-CN"/>
        </w:rPr>
        <w:t>园区标准化</w:t>
      </w:r>
      <w:r>
        <w:rPr>
          <w:rFonts w:hint="eastAsia"/>
          <w:color w:val="auto"/>
          <w:lang w:eastAsia="zh-CN"/>
        </w:rPr>
        <w:t>厂房建设</w:t>
      </w:r>
      <w:r>
        <w:rPr>
          <w:rFonts w:hint="eastAsia"/>
          <w:color w:val="auto"/>
          <w:lang w:val="en-US" w:eastAsia="zh-CN"/>
        </w:rPr>
        <w:t>一条</w:t>
      </w:r>
      <w:r>
        <w:rPr>
          <w:rFonts w:hint="eastAsia"/>
          <w:color w:val="auto"/>
          <w:lang w:eastAsia="zh-CN"/>
        </w:rPr>
        <w:t>啤酒生产项目，</w:t>
      </w:r>
      <w:r>
        <w:rPr>
          <w:rFonts w:hint="eastAsia"/>
          <w:color w:val="auto"/>
          <w:lang w:val="en-US" w:eastAsia="zh-CN"/>
        </w:rPr>
        <w:t>项目备案证占地面积为1600m</w:t>
      </w:r>
      <w:r>
        <w:rPr>
          <w:rFonts w:hint="eastAsia"/>
          <w:color w:val="auto"/>
          <w:vertAlign w:val="superscript"/>
          <w:lang w:val="en-US" w:eastAsia="zh-CN"/>
        </w:rPr>
        <w:t>2</w:t>
      </w:r>
      <w:r>
        <w:rPr>
          <w:rFonts w:hint="eastAsia"/>
          <w:color w:val="auto"/>
          <w:lang w:eastAsia="zh-CN"/>
        </w:rPr>
        <w:t>，</w:t>
      </w:r>
      <w:r>
        <w:rPr>
          <w:rFonts w:hint="eastAsia"/>
          <w:color w:val="auto"/>
          <w:lang w:val="en-US" w:eastAsia="zh-CN"/>
        </w:rPr>
        <w:t>实际占地面积为1595.58m</w:t>
      </w:r>
      <w:r>
        <w:rPr>
          <w:rFonts w:hint="eastAsia"/>
          <w:color w:val="auto"/>
          <w:vertAlign w:val="superscript"/>
          <w:lang w:val="en-US" w:eastAsia="zh-CN"/>
        </w:rPr>
        <w:t>2</w:t>
      </w:r>
      <w:r>
        <w:rPr>
          <w:rFonts w:hint="eastAsia"/>
          <w:color w:val="auto"/>
          <w:lang w:val="en-US" w:eastAsia="zh-CN"/>
        </w:rPr>
        <w:t>，项目占地面积以实际面积为准，建设一条年产900吨桶装生啤和瓶装熟啤的精酿啤酒研发及酿造生产线，项目实际生产过程中，除生产备案范围内的精酿啤酒外，同时依托啤酒生产线设备开展饮料、配制酒、发酵酒的生产，本项目所有品类产品总产能合计控制为900吨/年，符合备案文件的产能要求，其中饮料、配制酒均为外购成品原辅料，仅利用现有啤酒生产线的勾兑、灌装设备完成最终调配灌装；涉及的发酵酒为外购半成品原辅料，可直接利用现有生产线已有的煮沸杀菌、发酵、灌装等工艺设备完成生产，无需新增任何生产设备，也不改变原有厂房布局与建设规模。项目预计建成后年产值2000万元，实现税收约100万元，其中地方税10万元，可提供就业岗位5人。</w:t>
      </w:r>
    </w:p>
    <w:p w14:paraId="6F2E97D3">
      <w:pPr>
        <w:keepNext w:val="0"/>
        <w:keepLines w:val="0"/>
        <w:widowControl/>
        <w:suppressLineNumbers w:val="0"/>
        <w:jc w:val="left"/>
        <w:rPr>
          <w:rFonts w:hint="eastAsia"/>
          <w:color w:val="auto"/>
          <w:lang w:val="en-US" w:eastAsia="zh-CN"/>
        </w:rPr>
      </w:pPr>
      <w:r>
        <w:rPr>
          <w:rFonts w:hint="eastAsia"/>
          <w:color w:val="auto"/>
          <w:lang w:eastAsia="zh-CN"/>
        </w:rPr>
        <w:t>本项目于</w:t>
      </w:r>
      <w:r>
        <w:rPr>
          <w:rFonts w:hint="eastAsia"/>
          <w:color w:val="auto"/>
          <w:lang w:val="en-US" w:eastAsia="zh-CN"/>
        </w:rPr>
        <w:t>2025年11月12日取得</w:t>
      </w:r>
      <w:r>
        <w:rPr>
          <w:rFonts w:hint="eastAsia"/>
          <w:color w:val="auto"/>
        </w:rPr>
        <w:t>了玉溪</w:t>
      </w:r>
      <w:r>
        <w:rPr>
          <w:rFonts w:hint="eastAsia"/>
          <w:color w:val="auto"/>
          <w:lang w:val="en-US" w:eastAsia="zh-CN"/>
        </w:rPr>
        <w:t>高新技术产业开发区管理委员会</w:t>
      </w:r>
      <w:r>
        <w:rPr>
          <w:rFonts w:hint="eastAsia"/>
          <w:color w:val="auto"/>
        </w:rPr>
        <w:t>签发的投资项目备案证（玉</w:t>
      </w:r>
      <w:r>
        <w:rPr>
          <w:rFonts w:hint="eastAsia"/>
          <w:color w:val="auto"/>
          <w:lang w:val="en-US" w:eastAsia="zh-CN"/>
        </w:rPr>
        <w:t>高开委</w:t>
      </w:r>
      <w:r>
        <w:rPr>
          <w:rFonts w:hint="eastAsia"/>
          <w:color w:val="auto"/>
        </w:rPr>
        <w:t>发备案〔202</w:t>
      </w:r>
      <w:r>
        <w:rPr>
          <w:rFonts w:hint="eastAsia"/>
          <w:color w:val="auto"/>
          <w:lang w:val="en-US" w:eastAsia="zh-CN"/>
        </w:rPr>
        <w:t>5</w:t>
      </w:r>
      <w:r>
        <w:rPr>
          <w:rFonts w:hint="eastAsia"/>
          <w:color w:val="auto"/>
        </w:rPr>
        <w:t>〕</w:t>
      </w:r>
      <w:r>
        <w:rPr>
          <w:rFonts w:hint="eastAsia"/>
          <w:color w:val="auto"/>
          <w:lang w:val="en-US" w:eastAsia="zh-CN"/>
        </w:rPr>
        <w:t>41</w:t>
      </w:r>
      <w:r>
        <w:rPr>
          <w:rFonts w:hint="eastAsia"/>
          <w:color w:val="auto"/>
        </w:rPr>
        <w:t>号）（详见附件2）</w:t>
      </w:r>
      <w:r>
        <w:rPr>
          <w:rFonts w:hint="eastAsia"/>
          <w:color w:val="auto"/>
          <w:lang w:eastAsia="zh-CN"/>
        </w:rPr>
        <w:t>。</w:t>
      </w:r>
      <w:r>
        <w:rPr>
          <w:rFonts w:hint="eastAsia"/>
          <w:color w:val="auto"/>
        </w:rPr>
        <w:t>本项目前期建设单位自主备案过程中，因工作人员填报疏忽，误将行业代码填报为C1315，本次环评编制阶段已根据项目实际啤酒生产属性，将行业代码据实更正为《国民经济行业分类》中的C1513啤酒制造，本环评文件中所有涉及行业类别的判定、污染管控标准选用、产排污核算，均以更正后的C1513 啤酒制造作为唯一依据，确保环评编制内容完全贴合项目实际属性，符合行业管控规范与环评编制要求。</w:t>
      </w:r>
    </w:p>
    <w:p w14:paraId="190109A3">
      <w:pPr>
        <w:ind w:firstLine="480"/>
        <w:rPr>
          <w:color w:val="auto"/>
        </w:rPr>
      </w:pPr>
      <w:r>
        <w:rPr>
          <w:color w:val="auto"/>
        </w:rPr>
        <w:t>根据</w:t>
      </w:r>
      <w:r>
        <w:rPr>
          <w:rFonts w:hint="eastAsia"/>
          <w:color w:val="auto"/>
          <w:lang w:eastAsia="zh-CN"/>
        </w:rPr>
        <w:t>《中华人民共和国生态环境法典》</w:t>
      </w:r>
      <w:r>
        <w:rPr>
          <w:color w:val="auto"/>
        </w:rPr>
        <w:t>、《建设项目环境保护管理条例》（国务院令第682号令），建设项目应履行环境影响评价制度。依据《建设项目环境影响评价分类管理名录》（2021版）：</w:t>
      </w:r>
      <w:r>
        <w:rPr>
          <w:rFonts w:hint="eastAsia"/>
          <w:color w:val="auto"/>
          <w:lang w:val="en-US" w:eastAsia="zh-CN"/>
        </w:rPr>
        <w:t>十二、酒、饮料制造15，25酒的制造151“其他（单纯勾兑除外）”类别，故本项目应编制生态环境影响报告表。</w:t>
      </w:r>
      <w:r>
        <w:rPr>
          <w:color w:val="auto"/>
        </w:rPr>
        <w:t>受</w:t>
      </w:r>
      <w:r>
        <w:rPr>
          <w:rFonts w:hint="eastAsia"/>
          <w:color w:val="auto"/>
          <w:lang w:eastAsia="zh-CN"/>
        </w:rPr>
        <w:t>麦博精酿（云南）科技有限公司</w:t>
      </w:r>
      <w:r>
        <w:rPr>
          <w:color w:val="auto"/>
        </w:rPr>
        <w:t>委托，由</w:t>
      </w:r>
      <w:r>
        <w:rPr>
          <w:rFonts w:hint="eastAsia"/>
          <w:color w:val="auto"/>
          <w:lang w:eastAsia="zh-CN"/>
        </w:rPr>
        <w:t>昆明鲁蓝环保科技有限公司</w:t>
      </w:r>
      <w:r>
        <w:rPr>
          <w:color w:val="auto"/>
        </w:rPr>
        <w:t>承担本项目环境影响报告表的编制工作（详见附件</w:t>
      </w:r>
      <w:r>
        <w:rPr>
          <w:rFonts w:hint="eastAsia"/>
          <w:color w:val="auto"/>
        </w:rPr>
        <w:t>1</w:t>
      </w:r>
      <w:r>
        <w:rPr>
          <w:color w:val="auto"/>
        </w:rPr>
        <w:t>）。</w:t>
      </w:r>
      <w:r>
        <w:rPr>
          <w:rFonts w:hint="eastAsia"/>
          <w:color w:val="auto"/>
          <w:lang w:eastAsia="zh-CN"/>
        </w:rPr>
        <w:t>昆明鲁蓝环保科技有限公司</w:t>
      </w:r>
      <w:r>
        <w:rPr>
          <w:color w:val="auto"/>
        </w:rPr>
        <w:t>接受委托后，进行了现场踏勘、环境状况调查、资料收集</w:t>
      </w:r>
      <w:r>
        <w:rPr>
          <w:rFonts w:hint="eastAsia"/>
          <w:color w:val="auto"/>
        </w:rPr>
        <w:t>，在</w:t>
      </w:r>
      <w:r>
        <w:rPr>
          <w:color w:val="auto"/>
        </w:rPr>
        <w:t>认真分析工程内容</w:t>
      </w:r>
      <w:r>
        <w:rPr>
          <w:rFonts w:hint="eastAsia"/>
          <w:color w:val="auto"/>
        </w:rPr>
        <w:t>的基础上</w:t>
      </w:r>
      <w:r>
        <w:rPr>
          <w:color w:val="auto"/>
        </w:rPr>
        <w:t>，编制</w:t>
      </w:r>
      <w:r>
        <w:rPr>
          <w:rFonts w:hint="eastAsia"/>
          <w:color w:val="auto"/>
        </w:rPr>
        <w:t>完成</w:t>
      </w:r>
      <w:r>
        <w:rPr>
          <w:color w:val="auto"/>
        </w:rPr>
        <w:t>了本项目</w:t>
      </w:r>
      <w:r>
        <w:rPr>
          <w:rFonts w:hint="eastAsia"/>
          <w:color w:val="auto"/>
          <w:lang w:val="en-US" w:eastAsia="zh-CN"/>
        </w:rPr>
        <w:t>生态</w:t>
      </w:r>
      <w:r>
        <w:rPr>
          <w:color w:val="auto"/>
        </w:rPr>
        <w:t>环境影响报告表，</w:t>
      </w:r>
      <w:r>
        <w:rPr>
          <w:rFonts w:hint="eastAsia"/>
          <w:color w:val="auto"/>
        </w:rPr>
        <w:t>供建设单位</w:t>
      </w:r>
      <w:r>
        <w:rPr>
          <w:color w:val="auto"/>
        </w:rPr>
        <w:t>上报</w:t>
      </w:r>
      <w:r>
        <w:rPr>
          <w:rFonts w:hint="eastAsia"/>
          <w:color w:val="auto"/>
        </w:rPr>
        <w:t>生态环境</w:t>
      </w:r>
      <w:r>
        <w:rPr>
          <w:color w:val="auto"/>
        </w:rPr>
        <w:t>行政管理部门审批</w:t>
      </w:r>
      <w:r>
        <w:rPr>
          <w:rFonts w:hint="eastAsia"/>
          <w:color w:val="auto"/>
        </w:rPr>
        <w:t>后作为项目环境管理的依据</w:t>
      </w:r>
      <w:r>
        <w:rPr>
          <w:color w:val="auto"/>
        </w:rPr>
        <w:t>。</w:t>
      </w:r>
    </w:p>
    <w:p w14:paraId="67482171">
      <w:pPr>
        <w:pStyle w:val="2"/>
        <w:numPr>
          <w:ilvl w:val="0"/>
          <w:numId w:val="2"/>
        </w:numPr>
        <w:rPr>
          <w:color w:val="auto"/>
        </w:rPr>
      </w:pPr>
      <w:bookmarkStart w:id="8" w:name="_Toc2139"/>
      <w:r>
        <w:rPr>
          <w:rFonts w:hint="eastAsia"/>
          <w:color w:val="auto"/>
        </w:rPr>
        <w:t>建设项目基本情况</w:t>
      </w:r>
      <w:bookmarkEnd w:id="8"/>
    </w:p>
    <w:tbl>
      <w:tblPr>
        <w:tblStyle w:val="23"/>
        <w:tblW w:w="92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901"/>
        <w:gridCol w:w="2475"/>
        <w:gridCol w:w="1905"/>
        <w:gridCol w:w="3488"/>
      </w:tblGrid>
      <w:tr w14:paraId="2B68D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381" w:type="dxa"/>
            <w:gridSpan w:val="2"/>
            <w:vAlign w:val="center"/>
          </w:tcPr>
          <w:p w14:paraId="7667D6F6">
            <w:pPr>
              <w:spacing w:line="240" w:lineRule="auto"/>
              <w:ind w:firstLine="0" w:firstLineChars="0"/>
              <w:jc w:val="center"/>
              <w:rPr>
                <w:color w:val="auto"/>
              </w:rPr>
            </w:pPr>
            <w:r>
              <w:rPr>
                <w:rFonts w:hint="eastAsia"/>
                <w:color w:val="auto"/>
              </w:rPr>
              <w:t>建设项目名称</w:t>
            </w:r>
          </w:p>
        </w:tc>
        <w:tc>
          <w:tcPr>
            <w:tcW w:w="7868" w:type="dxa"/>
            <w:gridSpan w:val="3"/>
            <w:vAlign w:val="center"/>
          </w:tcPr>
          <w:p w14:paraId="44D13CCC">
            <w:pPr>
              <w:spacing w:line="240" w:lineRule="auto"/>
              <w:ind w:firstLine="0" w:firstLineChars="0"/>
              <w:jc w:val="center"/>
              <w:rPr>
                <w:rFonts w:hint="default" w:eastAsia="宋体"/>
                <w:color w:val="auto"/>
                <w:lang w:val="en-US" w:eastAsia="zh-CN"/>
              </w:rPr>
            </w:pPr>
            <w:bookmarkStart w:id="18" w:name="_GoBack"/>
            <w:r>
              <w:rPr>
                <w:rFonts w:hint="eastAsia"/>
                <w:color w:val="auto"/>
                <w:lang w:val="en-US" w:eastAsia="zh-CN"/>
              </w:rPr>
              <w:t>年产900吨精酿啤酒生产线项目</w:t>
            </w:r>
            <w:bookmarkEnd w:id="18"/>
          </w:p>
        </w:tc>
      </w:tr>
      <w:tr w14:paraId="1ED9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52ED85FB">
            <w:pPr>
              <w:spacing w:line="240" w:lineRule="auto"/>
              <w:ind w:firstLine="0" w:firstLineChars="0"/>
              <w:jc w:val="center"/>
              <w:rPr>
                <w:color w:val="auto"/>
              </w:rPr>
            </w:pPr>
            <w:r>
              <w:rPr>
                <w:rFonts w:hint="eastAsia"/>
                <w:color w:val="auto"/>
              </w:rPr>
              <w:t>项目代码</w:t>
            </w:r>
          </w:p>
        </w:tc>
        <w:tc>
          <w:tcPr>
            <w:tcW w:w="7868" w:type="dxa"/>
            <w:gridSpan w:val="3"/>
            <w:vAlign w:val="center"/>
          </w:tcPr>
          <w:p w14:paraId="0AC25BEA">
            <w:pPr>
              <w:spacing w:line="240" w:lineRule="auto"/>
              <w:ind w:firstLine="0" w:firstLineChars="0"/>
              <w:jc w:val="center"/>
              <w:rPr>
                <w:rFonts w:hint="default" w:eastAsia="宋体"/>
                <w:color w:val="auto"/>
                <w:lang w:val="en-US" w:eastAsia="zh-CN"/>
              </w:rPr>
            </w:pPr>
            <w:r>
              <w:rPr>
                <w:rFonts w:hint="eastAsia"/>
                <w:color w:val="auto"/>
                <w:lang w:val="en-US" w:eastAsia="zh-CN"/>
              </w:rPr>
              <w:t>2511</w:t>
            </w:r>
            <w:r>
              <w:rPr>
                <w:rFonts w:hint="eastAsia"/>
                <w:color w:val="auto"/>
              </w:rPr>
              <w:t>-530</w:t>
            </w:r>
            <w:r>
              <w:rPr>
                <w:rFonts w:hint="eastAsia"/>
                <w:color w:val="auto"/>
                <w:lang w:val="en-US" w:eastAsia="zh-CN"/>
              </w:rPr>
              <w:t>499</w:t>
            </w:r>
            <w:r>
              <w:rPr>
                <w:rFonts w:hint="eastAsia"/>
                <w:color w:val="auto"/>
              </w:rPr>
              <w:t>-04-0</w:t>
            </w:r>
            <w:r>
              <w:rPr>
                <w:rFonts w:hint="eastAsia"/>
                <w:color w:val="auto"/>
                <w:lang w:val="en-US" w:eastAsia="zh-CN"/>
              </w:rPr>
              <w:t>5</w:t>
            </w:r>
            <w:r>
              <w:rPr>
                <w:rFonts w:hint="eastAsia"/>
                <w:color w:val="auto"/>
              </w:rPr>
              <w:t>-</w:t>
            </w:r>
            <w:r>
              <w:rPr>
                <w:rFonts w:hint="eastAsia"/>
                <w:color w:val="auto"/>
                <w:lang w:val="en-US" w:eastAsia="zh-CN"/>
              </w:rPr>
              <w:t>401295</w:t>
            </w:r>
          </w:p>
        </w:tc>
      </w:tr>
      <w:tr w14:paraId="030E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381" w:type="dxa"/>
            <w:gridSpan w:val="2"/>
            <w:vAlign w:val="center"/>
          </w:tcPr>
          <w:p w14:paraId="2CAB6375">
            <w:pPr>
              <w:spacing w:line="240" w:lineRule="auto"/>
              <w:ind w:firstLine="0" w:firstLineChars="0"/>
              <w:jc w:val="center"/>
              <w:rPr>
                <w:color w:val="auto"/>
              </w:rPr>
            </w:pPr>
            <w:r>
              <w:rPr>
                <w:rFonts w:cs="Times New Roman"/>
                <w:color w:val="auto"/>
              </w:rPr>
              <w:t>建设单位联系人</w:t>
            </w:r>
          </w:p>
        </w:tc>
        <w:tc>
          <w:tcPr>
            <w:tcW w:w="2475" w:type="dxa"/>
            <w:vAlign w:val="center"/>
          </w:tcPr>
          <w:p w14:paraId="4ECDB4C0">
            <w:pPr>
              <w:spacing w:line="240" w:lineRule="auto"/>
              <w:ind w:firstLine="0" w:firstLineChars="0"/>
              <w:jc w:val="center"/>
              <w:rPr>
                <w:rFonts w:hint="default" w:eastAsia="宋体"/>
                <w:color w:val="auto"/>
                <w:lang w:val="en-US" w:eastAsia="zh-CN"/>
              </w:rPr>
            </w:pPr>
            <w:r>
              <w:rPr>
                <w:rFonts w:hint="eastAsia"/>
                <w:color w:val="auto"/>
                <w:lang w:val="en-US" w:eastAsia="zh-CN"/>
              </w:rPr>
              <w:t>潘立亮</w:t>
            </w:r>
          </w:p>
        </w:tc>
        <w:tc>
          <w:tcPr>
            <w:tcW w:w="1905" w:type="dxa"/>
            <w:vAlign w:val="center"/>
          </w:tcPr>
          <w:p w14:paraId="672B9371">
            <w:pPr>
              <w:spacing w:line="240" w:lineRule="auto"/>
              <w:ind w:firstLine="0" w:firstLineChars="0"/>
              <w:jc w:val="center"/>
              <w:rPr>
                <w:color w:val="auto"/>
              </w:rPr>
            </w:pPr>
            <w:r>
              <w:rPr>
                <w:rFonts w:hint="eastAsia" w:ascii="宋体" w:hAnsi="宋体" w:cs="宋体"/>
                <w:color w:val="auto"/>
              </w:rPr>
              <w:t>联系方式</w:t>
            </w:r>
          </w:p>
        </w:tc>
        <w:tc>
          <w:tcPr>
            <w:tcW w:w="3488" w:type="dxa"/>
            <w:vAlign w:val="center"/>
          </w:tcPr>
          <w:p w14:paraId="4A6206D4">
            <w:pPr>
              <w:spacing w:line="240" w:lineRule="auto"/>
              <w:ind w:firstLine="0" w:firstLineChars="0"/>
              <w:jc w:val="center"/>
              <w:rPr>
                <w:rFonts w:hint="default" w:eastAsia="宋体"/>
                <w:color w:val="auto"/>
                <w:lang w:val="en-US" w:eastAsia="zh-CN"/>
              </w:rPr>
            </w:pPr>
            <w:r>
              <w:rPr>
                <w:rFonts w:hint="eastAsia"/>
                <w:color w:val="auto"/>
                <w:lang w:val="en-US" w:eastAsia="zh-CN"/>
              </w:rPr>
              <w:t>15911687019</w:t>
            </w:r>
          </w:p>
        </w:tc>
      </w:tr>
      <w:tr w14:paraId="60A6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81" w:type="dxa"/>
            <w:gridSpan w:val="2"/>
            <w:vAlign w:val="center"/>
          </w:tcPr>
          <w:p w14:paraId="745F7DBA">
            <w:pPr>
              <w:spacing w:line="240" w:lineRule="auto"/>
              <w:ind w:firstLine="0" w:firstLineChars="0"/>
              <w:jc w:val="center"/>
              <w:rPr>
                <w:color w:val="auto"/>
              </w:rPr>
            </w:pPr>
            <w:r>
              <w:rPr>
                <w:rFonts w:cs="Times New Roman"/>
                <w:color w:val="auto"/>
              </w:rPr>
              <w:t>建设地点</w:t>
            </w:r>
          </w:p>
        </w:tc>
        <w:tc>
          <w:tcPr>
            <w:tcW w:w="7868" w:type="dxa"/>
            <w:gridSpan w:val="3"/>
            <w:vAlign w:val="center"/>
          </w:tcPr>
          <w:p w14:paraId="21F9B7E0">
            <w:pPr>
              <w:spacing w:line="240" w:lineRule="auto"/>
              <w:ind w:firstLine="0" w:firstLineChars="0"/>
              <w:jc w:val="center"/>
              <w:rPr>
                <w:rFonts w:hint="default" w:eastAsia="宋体"/>
                <w:color w:val="auto"/>
                <w:lang w:val="en-US" w:eastAsia="zh-CN"/>
              </w:rPr>
            </w:pPr>
            <w:r>
              <w:rPr>
                <w:rFonts w:hint="eastAsia" w:ascii="宋体" w:hAnsi="宋体" w:cs="宋体"/>
                <w:color w:val="auto"/>
                <w:u w:val="single"/>
              </w:rPr>
              <w:t>云南</w:t>
            </w:r>
            <w:r>
              <w:rPr>
                <w:rFonts w:ascii="宋体" w:hAnsi="宋体" w:cs="宋体"/>
                <w:color w:val="auto"/>
                <w:u w:val="single"/>
              </w:rPr>
              <w:t xml:space="preserve"> </w:t>
            </w:r>
            <w:r>
              <w:rPr>
                <w:rFonts w:hint="eastAsia" w:ascii="宋体" w:hAnsi="宋体" w:cs="宋体"/>
                <w:color w:val="auto"/>
              </w:rPr>
              <w:t>省</w:t>
            </w:r>
            <w:r>
              <w:rPr>
                <w:rFonts w:ascii="宋体" w:hAnsi="宋体" w:cs="宋体"/>
                <w:color w:val="auto"/>
                <w:u w:val="single"/>
              </w:rPr>
              <w:t xml:space="preserve"> </w:t>
            </w:r>
            <w:r>
              <w:rPr>
                <w:rFonts w:hint="eastAsia" w:ascii="宋体" w:hAnsi="宋体" w:cs="宋体"/>
                <w:color w:val="auto"/>
                <w:u w:val="single"/>
              </w:rPr>
              <w:t>玉溪</w:t>
            </w:r>
            <w:r>
              <w:rPr>
                <w:rFonts w:ascii="宋体" w:hAnsi="宋体" w:cs="宋体"/>
                <w:color w:val="auto"/>
                <w:u w:val="single"/>
              </w:rPr>
              <w:t xml:space="preserve"> </w:t>
            </w:r>
            <w:r>
              <w:rPr>
                <w:rFonts w:hint="eastAsia" w:ascii="宋体" w:hAnsi="宋体" w:cs="宋体"/>
                <w:color w:val="auto"/>
              </w:rPr>
              <w:t>市</w:t>
            </w:r>
            <w:r>
              <w:rPr>
                <w:rFonts w:hint="eastAsia" w:ascii="宋体" w:hAnsi="宋体" w:cs="宋体"/>
                <w:color w:val="auto"/>
                <w:u w:val="single"/>
              </w:rPr>
              <w:t xml:space="preserve"> 红塔</w:t>
            </w:r>
            <w:r>
              <w:rPr>
                <w:rFonts w:ascii="宋体" w:hAnsi="宋体" w:cs="宋体"/>
                <w:color w:val="auto"/>
                <w:u w:val="single"/>
              </w:rPr>
              <w:t xml:space="preserve"> </w:t>
            </w:r>
            <w:r>
              <w:rPr>
                <w:rFonts w:hint="eastAsia" w:ascii="宋体" w:hAnsi="宋体" w:cs="宋体"/>
                <w:color w:val="auto"/>
              </w:rPr>
              <w:t>区</w:t>
            </w:r>
            <w:r>
              <w:rPr>
                <w:rFonts w:hint="eastAsia" w:ascii="宋体" w:hAnsi="宋体" w:cs="宋体"/>
                <w:color w:val="auto"/>
                <w:lang w:val="en-US" w:eastAsia="zh-CN"/>
              </w:rPr>
              <w:t xml:space="preserve"> </w:t>
            </w:r>
            <w:r>
              <w:rPr>
                <w:rFonts w:hint="eastAsia" w:ascii="宋体" w:hAnsi="宋体" w:cs="宋体"/>
                <w:color w:val="auto"/>
                <w:u w:val="single"/>
                <w:lang w:val="en-US" w:eastAsia="zh-CN"/>
              </w:rPr>
              <w:t>玉溪高新区九龙片区D4栋第一层</w:t>
            </w:r>
          </w:p>
        </w:tc>
      </w:tr>
      <w:tr w14:paraId="3D31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6A42FBFB">
            <w:pPr>
              <w:spacing w:line="240" w:lineRule="auto"/>
              <w:ind w:firstLine="0" w:firstLineChars="0"/>
              <w:jc w:val="center"/>
              <w:rPr>
                <w:color w:val="auto"/>
              </w:rPr>
            </w:pPr>
            <w:r>
              <w:rPr>
                <w:rFonts w:cs="Times New Roman"/>
                <w:color w:val="auto"/>
              </w:rPr>
              <w:t>地理坐标</w:t>
            </w:r>
          </w:p>
        </w:tc>
        <w:tc>
          <w:tcPr>
            <w:tcW w:w="7868" w:type="dxa"/>
            <w:gridSpan w:val="3"/>
            <w:vAlign w:val="center"/>
          </w:tcPr>
          <w:p w14:paraId="0E98E01D">
            <w:pPr>
              <w:spacing w:line="240" w:lineRule="auto"/>
              <w:ind w:firstLine="0" w:firstLineChars="0"/>
              <w:jc w:val="center"/>
              <w:rPr>
                <w:rFonts w:ascii="宋体" w:hAnsi="宋体" w:cs="宋体"/>
                <w:color w:val="auto"/>
              </w:rPr>
            </w:pPr>
            <w:r>
              <w:rPr>
                <w:rFonts w:hint="eastAsia" w:ascii="宋体" w:hAnsi="宋体" w:cs="宋体"/>
                <w:color w:val="auto"/>
              </w:rPr>
              <w:t>（</w:t>
            </w:r>
            <w:r>
              <w:rPr>
                <w:rFonts w:cs="Times New Roman"/>
                <w:color w:val="auto"/>
                <w:u w:val="single"/>
              </w:rPr>
              <w:t>102</w:t>
            </w:r>
            <w:r>
              <w:rPr>
                <w:rFonts w:cs="Times New Roman"/>
                <w:color w:val="auto"/>
              </w:rPr>
              <w:t>度</w:t>
            </w:r>
            <w:r>
              <w:rPr>
                <w:rFonts w:hint="eastAsia" w:cs="Times New Roman"/>
                <w:color w:val="auto"/>
                <w:u w:val="single"/>
                <w:lang w:val="en-US" w:eastAsia="zh-CN"/>
              </w:rPr>
              <w:t>31</w:t>
            </w:r>
            <w:r>
              <w:rPr>
                <w:rFonts w:cs="Times New Roman"/>
                <w:color w:val="auto"/>
              </w:rPr>
              <w:t>分</w:t>
            </w:r>
            <w:r>
              <w:rPr>
                <w:rFonts w:hint="eastAsia" w:cs="Times New Roman"/>
                <w:color w:val="auto"/>
                <w:u w:val="single"/>
                <w:lang w:val="en-US" w:eastAsia="zh-CN"/>
              </w:rPr>
              <w:t>48.183</w:t>
            </w:r>
            <w:r>
              <w:rPr>
                <w:rFonts w:cs="Times New Roman"/>
                <w:color w:val="auto"/>
              </w:rPr>
              <w:t>秒，</w:t>
            </w:r>
            <w:r>
              <w:rPr>
                <w:rFonts w:cs="Times New Roman"/>
                <w:color w:val="auto"/>
                <w:u w:val="single"/>
              </w:rPr>
              <w:t>24</w:t>
            </w:r>
            <w:r>
              <w:rPr>
                <w:rFonts w:cs="Times New Roman"/>
                <w:color w:val="auto"/>
              </w:rPr>
              <w:t>度</w:t>
            </w:r>
            <w:r>
              <w:rPr>
                <w:rFonts w:hint="eastAsia" w:cs="Times New Roman"/>
                <w:color w:val="auto"/>
                <w:u w:val="single"/>
                <w:lang w:val="en-US" w:eastAsia="zh-CN"/>
              </w:rPr>
              <w:t>25</w:t>
            </w:r>
            <w:r>
              <w:rPr>
                <w:rFonts w:cs="Times New Roman"/>
                <w:color w:val="auto"/>
              </w:rPr>
              <w:t>分</w:t>
            </w:r>
            <w:r>
              <w:rPr>
                <w:rFonts w:hint="eastAsia" w:cs="Times New Roman"/>
                <w:color w:val="auto"/>
                <w:u w:val="single"/>
                <w:lang w:val="en-US" w:eastAsia="zh-CN"/>
              </w:rPr>
              <w:t>8.424</w:t>
            </w:r>
            <w:r>
              <w:rPr>
                <w:rFonts w:hint="eastAsia" w:ascii="宋体" w:hAnsi="宋体" w:cs="宋体"/>
                <w:color w:val="auto"/>
              </w:rPr>
              <w:t>秒）</w:t>
            </w:r>
          </w:p>
        </w:tc>
      </w:tr>
      <w:tr w14:paraId="43A2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4F03A667">
            <w:pPr>
              <w:adjustRightInd w:val="0"/>
              <w:snapToGrid w:val="0"/>
              <w:spacing w:line="240" w:lineRule="auto"/>
              <w:ind w:firstLine="0" w:firstLineChars="0"/>
              <w:jc w:val="center"/>
              <w:rPr>
                <w:rFonts w:cs="Times New Roman"/>
                <w:color w:val="auto"/>
              </w:rPr>
            </w:pPr>
            <w:r>
              <w:rPr>
                <w:rFonts w:cs="Times New Roman"/>
                <w:color w:val="auto"/>
              </w:rPr>
              <w:t>国民经济</w:t>
            </w:r>
          </w:p>
          <w:p w14:paraId="0715BFD4">
            <w:pPr>
              <w:spacing w:line="240" w:lineRule="auto"/>
              <w:ind w:firstLine="0" w:firstLineChars="0"/>
              <w:jc w:val="center"/>
              <w:rPr>
                <w:color w:val="auto"/>
              </w:rPr>
            </w:pPr>
            <w:r>
              <w:rPr>
                <w:rFonts w:cs="Times New Roman"/>
                <w:color w:val="auto"/>
              </w:rPr>
              <w:t>行业类别</w:t>
            </w:r>
          </w:p>
        </w:tc>
        <w:tc>
          <w:tcPr>
            <w:tcW w:w="2475" w:type="dxa"/>
            <w:vAlign w:val="center"/>
          </w:tcPr>
          <w:p w14:paraId="73172E44">
            <w:pPr>
              <w:spacing w:line="240" w:lineRule="auto"/>
              <w:ind w:firstLine="0" w:firstLineChars="0"/>
              <w:jc w:val="center"/>
              <w:rPr>
                <w:rFonts w:hint="eastAsia" w:cs="Times New Roman"/>
                <w:color w:val="auto"/>
              </w:rPr>
            </w:pPr>
            <w:r>
              <w:rPr>
                <w:rFonts w:hint="eastAsia" w:cs="Times New Roman"/>
                <w:color w:val="auto"/>
              </w:rPr>
              <w:t>C</w:t>
            </w:r>
            <w:r>
              <w:rPr>
                <w:rFonts w:hint="eastAsia" w:cs="Times New Roman"/>
                <w:color w:val="auto"/>
                <w:lang w:val="en-US" w:eastAsia="zh-CN"/>
              </w:rPr>
              <w:t>1513啤酒</w:t>
            </w:r>
            <w:r>
              <w:rPr>
                <w:rFonts w:hint="eastAsia" w:cs="Times New Roman"/>
                <w:color w:val="auto"/>
              </w:rPr>
              <w:t>制造</w:t>
            </w:r>
          </w:p>
        </w:tc>
        <w:tc>
          <w:tcPr>
            <w:tcW w:w="1905" w:type="dxa"/>
            <w:vAlign w:val="center"/>
          </w:tcPr>
          <w:p w14:paraId="349993EC">
            <w:pPr>
              <w:adjustRightInd w:val="0"/>
              <w:snapToGrid w:val="0"/>
              <w:spacing w:line="240" w:lineRule="auto"/>
              <w:ind w:firstLine="0" w:firstLineChars="0"/>
              <w:jc w:val="center"/>
              <w:rPr>
                <w:rFonts w:ascii="宋体" w:hAnsi="宋体" w:cs="宋体"/>
                <w:color w:val="auto"/>
              </w:rPr>
            </w:pPr>
            <w:bookmarkStart w:id="9" w:name="_Hlk49843745"/>
            <w:r>
              <w:rPr>
                <w:rFonts w:hint="eastAsia" w:ascii="宋体" w:hAnsi="宋体" w:cs="宋体"/>
                <w:color w:val="auto"/>
              </w:rPr>
              <w:t>建设项目</w:t>
            </w:r>
          </w:p>
          <w:p w14:paraId="7900FD6E">
            <w:pPr>
              <w:spacing w:line="240" w:lineRule="auto"/>
              <w:ind w:firstLine="0" w:firstLineChars="0"/>
              <w:jc w:val="center"/>
              <w:rPr>
                <w:color w:val="auto"/>
              </w:rPr>
            </w:pPr>
            <w:r>
              <w:rPr>
                <w:rFonts w:hint="eastAsia" w:ascii="宋体" w:hAnsi="宋体" w:cs="宋体"/>
                <w:color w:val="auto"/>
              </w:rPr>
              <w:t>行业类别</w:t>
            </w:r>
            <w:bookmarkEnd w:id="9"/>
          </w:p>
        </w:tc>
        <w:tc>
          <w:tcPr>
            <w:tcW w:w="3488" w:type="dxa"/>
            <w:vAlign w:val="center"/>
          </w:tcPr>
          <w:p w14:paraId="6E84B81E">
            <w:pPr>
              <w:keepNext w:val="0"/>
              <w:keepLines w:val="0"/>
              <w:widowControl/>
              <w:suppressLineNumbers w:val="0"/>
              <w:ind w:left="0" w:leftChars="0" w:firstLine="0" w:firstLineChars="0"/>
              <w:jc w:val="center"/>
              <w:rPr>
                <w:rFonts w:hint="default"/>
                <w:color w:val="auto"/>
                <w:lang w:val="en-US"/>
              </w:rPr>
            </w:pPr>
            <w:r>
              <w:rPr>
                <w:rFonts w:hint="eastAsia" w:cs="Times New Roman"/>
                <w:color w:val="auto"/>
                <w:kern w:val="0"/>
                <w:sz w:val="24"/>
                <w:szCs w:val="24"/>
                <w:lang w:val="en-US" w:eastAsia="zh-CN" w:bidi="ar"/>
              </w:rPr>
              <w:t>25酒的</w:t>
            </w:r>
            <w:r>
              <w:rPr>
                <w:rFonts w:hint="default" w:ascii="Times New Roman" w:hAnsi="Times New Roman" w:eastAsia="宋体" w:cs="Times New Roman"/>
                <w:color w:val="auto"/>
                <w:kern w:val="0"/>
                <w:sz w:val="24"/>
                <w:szCs w:val="24"/>
                <w:lang w:val="en-US" w:eastAsia="zh-CN" w:bidi="ar"/>
              </w:rPr>
              <w:t>制造</w:t>
            </w:r>
            <w:r>
              <w:rPr>
                <w:rFonts w:hint="eastAsia" w:cs="Times New Roman"/>
                <w:color w:val="auto"/>
                <w:kern w:val="0"/>
                <w:sz w:val="24"/>
                <w:szCs w:val="24"/>
                <w:lang w:val="en-US" w:eastAsia="zh-CN" w:bidi="ar"/>
              </w:rPr>
              <w:t>151</w:t>
            </w:r>
          </w:p>
        </w:tc>
      </w:tr>
      <w:tr w14:paraId="1D75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48AE4E6E">
            <w:pPr>
              <w:spacing w:line="240" w:lineRule="auto"/>
              <w:ind w:firstLine="0" w:firstLineChars="0"/>
              <w:jc w:val="center"/>
              <w:rPr>
                <w:color w:val="auto"/>
              </w:rPr>
            </w:pPr>
            <w:r>
              <w:rPr>
                <w:rFonts w:cs="Times New Roman"/>
                <w:color w:val="auto"/>
              </w:rPr>
              <w:t>建设性质</w:t>
            </w:r>
          </w:p>
        </w:tc>
        <w:tc>
          <w:tcPr>
            <w:tcW w:w="2475" w:type="dxa"/>
            <w:vAlign w:val="center"/>
          </w:tcPr>
          <w:p w14:paraId="5030F305">
            <w:pPr>
              <w:spacing w:line="240" w:lineRule="auto"/>
              <w:ind w:firstLine="0" w:firstLineChars="0"/>
              <w:jc w:val="left"/>
              <w:rPr>
                <w:rFonts w:ascii="宋体" w:hAnsi="宋体" w:cs="宋体"/>
                <w:color w:val="auto"/>
              </w:rPr>
            </w:pPr>
            <w:r>
              <w:rPr>
                <w:rFonts w:hint="eastAsia" w:ascii="宋体" w:hAnsi="宋体" w:cs="宋体"/>
                <w:color w:val="auto"/>
                <w:lang w:eastAsia="zh-CN"/>
              </w:rPr>
              <w:t>☑</w:t>
            </w:r>
            <w:r>
              <w:rPr>
                <w:rFonts w:hint="eastAsia" w:ascii="宋体" w:hAnsi="宋体" w:cs="宋体"/>
                <w:color w:val="auto"/>
              </w:rPr>
              <w:t>新建（迁建）</w:t>
            </w:r>
          </w:p>
          <w:p w14:paraId="5A0DF5E2">
            <w:pPr>
              <w:spacing w:line="240" w:lineRule="auto"/>
              <w:ind w:firstLine="0" w:firstLineChars="0"/>
              <w:jc w:val="left"/>
              <w:rPr>
                <w:rFonts w:ascii="宋体" w:hAnsi="宋体" w:cs="宋体"/>
                <w:color w:val="auto"/>
              </w:rPr>
            </w:pPr>
            <w:r>
              <w:rPr>
                <w:rFonts w:hint="eastAsia" w:ascii="宋体" w:hAnsi="宋体" w:eastAsia="宋体" w:cs="宋体"/>
                <w:color w:val="auto"/>
                <w:lang w:eastAsia="zh-CN"/>
              </w:rPr>
              <w:t>□</w:t>
            </w:r>
            <w:r>
              <w:rPr>
                <w:rFonts w:hint="eastAsia" w:ascii="宋体" w:hAnsi="宋体" w:cs="宋体"/>
                <w:color w:val="auto"/>
              </w:rPr>
              <w:t>改建</w:t>
            </w:r>
          </w:p>
          <w:p w14:paraId="2FB9A3B0">
            <w:pPr>
              <w:spacing w:line="240" w:lineRule="auto"/>
              <w:ind w:firstLine="0" w:firstLineChars="0"/>
              <w:jc w:val="left"/>
              <w:rPr>
                <w:rFonts w:ascii="宋体" w:hAnsi="宋体" w:cs="宋体"/>
                <w:color w:val="auto"/>
              </w:rPr>
            </w:pPr>
            <w:r>
              <w:rPr>
                <w:rFonts w:hint="eastAsia" w:ascii="宋体" w:hAnsi="宋体" w:cs="宋体"/>
                <w:color w:val="auto"/>
                <w:lang w:eastAsia="zh-CN"/>
              </w:rPr>
              <w:t>□</w:t>
            </w:r>
            <w:r>
              <w:rPr>
                <w:rFonts w:hint="eastAsia" w:ascii="宋体" w:hAnsi="宋体" w:cs="宋体"/>
                <w:color w:val="auto"/>
              </w:rPr>
              <w:t>扩建</w:t>
            </w:r>
          </w:p>
          <w:p w14:paraId="1DBFA15F">
            <w:pPr>
              <w:spacing w:line="240" w:lineRule="auto"/>
              <w:ind w:firstLine="0" w:firstLineChars="0"/>
              <w:rPr>
                <w:color w:val="auto"/>
              </w:rPr>
            </w:pPr>
            <w:r>
              <w:rPr>
                <w:rFonts w:hint="eastAsia" w:ascii="宋体" w:hAnsi="宋体" w:cs="宋体"/>
                <w:color w:val="auto"/>
              </w:rPr>
              <w:t>□技术改造</w:t>
            </w:r>
          </w:p>
        </w:tc>
        <w:tc>
          <w:tcPr>
            <w:tcW w:w="1905" w:type="dxa"/>
            <w:vAlign w:val="center"/>
          </w:tcPr>
          <w:p w14:paraId="78D94A6E">
            <w:pPr>
              <w:adjustRightInd w:val="0"/>
              <w:snapToGrid w:val="0"/>
              <w:spacing w:line="240" w:lineRule="auto"/>
              <w:ind w:firstLine="0" w:firstLineChars="0"/>
              <w:jc w:val="center"/>
              <w:rPr>
                <w:rFonts w:ascii="宋体" w:hAnsi="宋体" w:cs="宋体"/>
                <w:color w:val="auto"/>
              </w:rPr>
            </w:pPr>
            <w:r>
              <w:rPr>
                <w:rFonts w:hint="eastAsia" w:ascii="宋体" w:hAnsi="宋体" w:cs="宋体"/>
                <w:color w:val="auto"/>
              </w:rPr>
              <w:t>建设项目</w:t>
            </w:r>
          </w:p>
          <w:p w14:paraId="6E309971">
            <w:pPr>
              <w:spacing w:line="240" w:lineRule="auto"/>
              <w:ind w:firstLine="0" w:firstLineChars="0"/>
              <w:jc w:val="center"/>
              <w:rPr>
                <w:color w:val="auto"/>
              </w:rPr>
            </w:pPr>
            <w:r>
              <w:rPr>
                <w:rFonts w:hint="eastAsia" w:ascii="宋体" w:hAnsi="宋体" w:cs="宋体"/>
                <w:color w:val="auto"/>
              </w:rPr>
              <w:t>申报情形</w:t>
            </w:r>
          </w:p>
        </w:tc>
        <w:tc>
          <w:tcPr>
            <w:tcW w:w="3488" w:type="dxa"/>
            <w:vAlign w:val="center"/>
          </w:tcPr>
          <w:p w14:paraId="36829276">
            <w:pPr>
              <w:spacing w:line="240" w:lineRule="auto"/>
              <w:ind w:firstLine="0" w:firstLineChars="0"/>
              <w:jc w:val="left"/>
              <w:rPr>
                <w:rFonts w:ascii="宋体" w:hAnsi="宋体" w:cs="宋体"/>
                <w:color w:val="auto"/>
              </w:rPr>
            </w:pPr>
            <w:r>
              <w:rPr>
                <w:rFonts w:hint="eastAsia" w:ascii="宋体" w:hAnsi="宋体" w:eastAsia="宋体" w:cs="宋体"/>
                <w:color w:val="auto"/>
                <w:lang w:eastAsia="zh-CN"/>
              </w:rPr>
              <w:t>☑</w:t>
            </w:r>
            <w:r>
              <w:rPr>
                <w:rFonts w:hint="eastAsia" w:ascii="宋体" w:hAnsi="宋体" w:cs="宋体"/>
                <w:color w:val="auto"/>
              </w:rPr>
              <w:t>首次申报项目</w:t>
            </w:r>
          </w:p>
          <w:p w14:paraId="050E4523">
            <w:pPr>
              <w:spacing w:line="240" w:lineRule="auto"/>
              <w:ind w:firstLine="0" w:firstLineChars="0"/>
              <w:jc w:val="left"/>
              <w:rPr>
                <w:rFonts w:ascii="宋体" w:hAnsi="宋体" w:cs="宋体"/>
                <w:color w:val="auto"/>
              </w:rPr>
            </w:pPr>
            <w:r>
              <w:rPr>
                <w:rFonts w:hint="eastAsia" w:ascii="宋体" w:hAnsi="宋体" w:cs="宋体"/>
                <w:color w:val="auto"/>
              </w:rPr>
              <w:t>□不予批准后再次申报项目</w:t>
            </w:r>
          </w:p>
          <w:p w14:paraId="49D6BDB3">
            <w:pPr>
              <w:spacing w:line="240" w:lineRule="auto"/>
              <w:ind w:firstLine="0" w:firstLineChars="0"/>
              <w:jc w:val="left"/>
              <w:rPr>
                <w:rFonts w:ascii="宋体" w:hAnsi="宋体" w:cs="宋体"/>
                <w:color w:val="auto"/>
              </w:rPr>
            </w:pPr>
            <w:r>
              <w:rPr>
                <w:rFonts w:hint="eastAsia" w:ascii="宋体" w:hAnsi="宋体" w:cs="宋体"/>
                <w:color w:val="auto"/>
                <w:lang w:eastAsia="zh-CN"/>
              </w:rPr>
              <w:t>□</w:t>
            </w:r>
            <w:r>
              <w:rPr>
                <w:rFonts w:hint="eastAsia" w:ascii="宋体" w:hAnsi="宋体" w:cs="宋体"/>
                <w:color w:val="auto"/>
              </w:rPr>
              <w:t>超五年重新审核项目</w:t>
            </w:r>
          </w:p>
          <w:p w14:paraId="0693051F">
            <w:pPr>
              <w:spacing w:line="240" w:lineRule="auto"/>
              <w:ind w:firstLine="0" w:firstLineChars="0"/>
              <w:rPr>
                <w:color w:val="auto"/>
              </w:rPr>
            </w:pPr>
            <w:r>
              <w:rPr>
                <w:rFonts w:hint="eastAsia" w:ascii="宋体" w:hAnsi="宋体" w:cs="宋体"/>
                <w:color w:val="auto"/>
              </w:rPr>
              <w:t>□重大变动重新报批项目</w:t>
            </w:r>
          </w:p>
        </w:tc>
      </w:tr>
      <w:tr w14:paraId="69515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4526B90A">
            <w:pPr>
              <w:adjustRightInd w:val="0"/>
              <w:snapToGrid w:val="0"/>
              <w:spacing w:line="240" w:lineRule="auto"/>
              <w:ind w:firstLine="0" w:firstLineChars="0"/>
              <w:jc w:val="center"/>
              <w:rPr>
                <w:color w:val="auto"/>
              </w:rPr>
            </w:pPr>
            <w:r>
              <w:rPr>
                <w:rFonts w:cs="Times New Roman"/>
                <w:color w:val="auto"/>
              </w:rPr>
              <w:t>项目审批（核准/备案）部门（选填）</w:t>
            </w:r>
          </w:p>
        </w:tc>
        <w:tc>
          <w:tcPr>
            <w:tcW w:w="2475" w:type="dxa"/>
            <w:vAlign w:val="center"/>
          </w:tcPr>
          <w:p w14:paraId="53056513">
            <w:pPr>
              <w:spacing w:line="240" w:lineRule="auto"/>
              <w:ind w:firstLine="0" w:firstLineChars="0"/>
              <w:jc w:val="center"/>
              <w:rPr>
                <w:rFonts w:hint="default" w:eastAsia="宋体"/>
                <w:color w:val="auto"/>
                <w:lang w:val="en-US" w:eastAsia="zh-CN"/>
              </w:rPr>
            </w:pPr>
            <w:r>
              <w:rPr>
                <w:rFonts w:hint="eastAsia" w:ascii="宋体" w:hAnsi="宋体" w:cs="宋体"/>
                <w:color w:val="auto"/>
                <w:lang w:val="en-US" w:eastAsia="zh-CN"/>
              </w:rPr>
              <w:t>玉溪高新技术产业开发区管理委员会</w:t>
            </w:r>
          </w:p>
        </w:tc>
        <w:tc>
          <w:tcPr>
            <w:tcW w:w="1905" w:type="dxa"/>
            <w:vAlign w:val="center"/>
          </w:tcPr>
          <w:p w14:paraId="35D2A744">
            <w:pPr>
              <w:adjustRightInd w:val="0"/>
              <w:snapToGrid w:val="0"/>
              <w:spacing w:line="240" w:lineRule="auto"/>
              <w:ind w:firstLine="0" w:firstLineChars="0"/>
              <w:rPr>
                <w:color w:val="auto"/>
              </w:rPr>
            </w:pPr>
            <w:r>
              <w:rPr>
                <w:rFonts w:hint="eastAsia" w:ascii="宋体" w:hAnsi="宋体" w:cs="宋体"/>
                <w:color w:val="auto"/>
              </w:rPr>
              <w:t>项目审批（核准</w:t>
            </w:r>
            <w:r>
              <w:rPr>
                <w:rFonts w:ascii="宋体" w:hAnsi="宋体" w:cs="宋体"/>
                <w:color w:val="auto"/>
              </w:rPr>
              <w:t>/</w:t>
            </w:r>
            <w:r>
              <w:rPr>
                <w:rFonts w:hint="eastAsia" w:ascii="宋体" w:hAnsi="宋体" w:cs="宋体"/>
                <w:color w:val="auto"/>
              </w:rPr>
              <w:t>备案）文号（选填）</w:t>
            </w:r>
          </w:p>
        </w:tc>
        <w:tc>
          <w:tcPr>
            <w:tcW w:w="3488" w:type="dxa"/>
            <w:vAlign w:val="center"/>
          </w:tcPr>
          <w:p w14:paraId="36CFDE2A">
            <w:pPr>
              <w:spacing w:line="240" w:lineRule="auto"/>
              <w:ind w:firstLine="0" w:firstLineChars="0"/>
              <w:jc w:val="center"/>
              <w:rPr>
                <w:color w:val="auto"/>
              </w:rPr>
            </w:pPr>
            <w:r>
              <w:rPr>
                <w:rFonts w:hint="eastAsia"/>
                <w:color w:val="auto"/>
              </w:rPr>
              <w:t>玉</w:t>
            </w:r>
            <w:r>
              <w:rPr>
                <w:rFonts w:hint="eastAsia"/>
                <w:color w:val="auto"/>
                <w:lang w:val="en-US" w:eastAsia="zh-CN"/>
              </w:rPr>
              <w:t>高开委发</w:t>
            </w:r>
            <w:r>
              <w:rPr>
                <w:rFonts w:hint="eastAsia"/>
                <w:color w:val="auto"/>
              </w:rPr>
              <w:t>备案〔202</w:t>
            </w:r>
            <w:r>
              <w:rPr>
                <w:rFonts w:hint="eastAsia"/>
                <w:color w:val="auto"/>
                <w:lang w:val="en-US" w:eastAsia="zh-CN"/>
              </w:rPr>
              <w:t>5</w:t>
            </w:r>
            <w:r>
              <w:rPr>
                <w:rFonts w:hint="eastAsia"/>
                <w:color w:val="auto"/>
              </w:rPr>
              <w:t>〕</w:t>
            </w:r>
            <w:r>
              <w:rPr>
                <w:rFonts w:hint="eastAsia"/>
                <w:color w:val="auto"/>
                <w:lang w:val="en-US" w:eastAsia="zh-CN"/>
              </w:rPr>
              <w:t>41</w:t>
            </w:r>
            <w:r>
              <w:rPr>
                <w:rFonts w:hint="eastAsia"/>
                <w:color w:val="auto"/>
              </w:rPr>
              <w:t>号</w:t>
            </w:r>
          </w:p>
        </w:tc>
      </w:tr>
      <w:tr w14:paraId="0153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56170FA1">
            <w:pPr>
              <w:spacing w:line="240" w:lineRule="auto"/>
              <w:ind w:firstLine="0" w:firstLineChars="0"/>
              <w:jc w:val="center"/>
              <w:rPr>
                <w:rFonts w:cs="Times New Roman"/>
                <w:color w:val="auto"/>
                <w:highlight w:val="none"/>
              </w:rPr>
            </w:pPr>
            <w:r>
              <w:rPr>
                <w:rFonts w:cs="Times New Roman"/>
                <w:color w:val="auto"/>
                <w:highlight w:val="none"/>
              </w:rPr>
              <w:t>总投资</w:t>
            </w:r>
          </w:p>
          <w:p w14:paraId="0148A6FC">
            <w:pPr>
              <w:spacing w:line="240" w:lineRule="auto"/>
              <w:ind w:firstLine="0" w:firstLineChars="0"/>
              <w:jc w:val="center"/>
              <w:rPr>
                <w:color w:val="auto"/>
                <w:highlight w:val="none"/>
              </w:rPr>
            </w:pPr>
            <w:r>
              <w:rPr>
                <w:rFonts w:cs="Times New Roman"/>
                <w:color w:val="auto"/>
                <w:highlight w:val="none"/>
              </w:rPr>
              <w:t>（万元）</w:t>
            </w:r>
          </w:p>
        </w:tc>
        <w:tc>
          <w:tcPr>
            <w:tcW w:w="2475" w:type="dxa"/>
            <w:vAlign w:val="center"/>
          </w:tcPr>
          <w:p w14:paraId="4FED793B">
            <w:pPr>
              <w:spacing w:line="240" w:lineRule="auto"/>
              <w:ind w:firstLine="0" w:firstLineChars="0"/>
              <w:jc w:val="center"/>
              <w:rPr>
                <w:rFonts w:hint="default" w:eastAsia="宋体"/>
                <w:color w:val="auto"/>
                <w:highlight w:val="none"/>
                <w:lang w:val="en-US" w:eastAsia="zh-CN"/>
              </w:rPr>
            </w:pPr>
            <w:r>
              <w:rPr>
                <w:rFonts w:hint="eastAsia"/>
                <w:color w:val="auto"/>
                <w:highlight w:val="none"/>
                <w:lang w:val="en-US" w:eastAsia="zh-CN"/>
              </w:rPr>
              <w:t>1000</w:t>
            </w:r>
          </w:p>
        </w:tc>
        <w:tc>
          <w:tcPr>
            <w:tcW w:w="1905" w:type="dxa"/>
            <w:vAlign w:val="center"/>
          </w:tcPr>
          <w:p w14:paraId="2996CEC7">
            <w:pPr>
              <w:spacing w:line="240" w:lineRule="auto"/>
              <w:ind w:firstLine="0" w:firstLineChars="0"/>
              <w:jc w:val="center"/>
              <w:rPr>
                <w:rFonts w:ascii="宋体" w:hAnsi="宋体" w:cs="宋体"/>
                <w:color w:val="auto"/>
                <w:highlight w:val="none"/>
              </w:rPr>
            </w:pPr>
            <w:r>
              <w:rPr>
                <w:rFonts w:hint="eastAsia" w:ascii="宋体" w:hAnsi="宋体" w:cs="宋体"/>
                <w:color w:val="auto"/>
                <w:highlight w:val="none"/>
              </w:rPr>
              <w:t>环保投资</w:t>
            </w:r>
          </w:p>
          <w:p w14:paraId="175A21E2">
            <w:pPr>
              <w:spacing w:line="240" w:lineRule="auto"/>
              <w:ind w:firstLine="0" w:firstLineChars="0"/>
              <w:jc w:val="center"/>
              <w:rPr>
                <w:color w:val="auto"/>
                <w:highlight w:val="none"/>
              </w:rPr>
            </w:pPr>
            <w:r>
              <w:rPr>
                <w:rFonts w:hint="eastAsia" w:ascii="宋体" w:hAnsi="宋体" w:cs="宋体"/>
                <w:color w:val="auto"/>
                <w:highlight w:val="none"/>
              </w:rPr>
              <w:t>（万元）</w:t>
            </w:r>
          </w:p>
        </w:tc>
        <w:tc>
          <w:tcPr>
            <w:tcW w:w="3488" w:type="dxa"/>
            <w:vAlign w:val="center"/>
          </w:tcPr>
          <w:p w14:paraId="190C4F3E">
            <w:pPr>
              <w:spacing w:line="240" w:lineRule="auto"/>
              <w:ind w:firstLine="0" w:firstLineChars="0"/>
              <w:jc w:val="center"/>
              <w:rPr>
                <w:rFonts w:hint="default" w:eastAsia="宋体"/>
                <w:color w:val="auto"/>
                <w:lang w:val="en-US" w:eastAsia="zh-CN"/>
              </w:rPr>
            </w:pPr>
            <w:r>
              <w:rPr>
                <w:rFonts w:hint="eastAsia"/>
                <w:color w:val="auto"/>
                <w:lang w:val="en-US" w:eastAsia="zh-CN"/>
              </w:rPr>
              <w:t>98.6</w:t>
            </w:r>
          </w:p>
        </w:tc>
      </w:tr>
      <w:tr w14:paraId="11D5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09096649">
            <w:pPr>
              <w:spacing w:line="240" w:lineRule="auto"/>
              <w:ind w:firstLine="0" w:firstLineChars="0"/>
              <w:jc w:val="center"/>
              <w:rPr>
                <w:color w:val="auto"/>
                <w:highlight w:val="none"/>
              </w:rPr>
            </w:pPr>
            <w:r>
              <w:rPr>
                <w:rFonts w:cs="Times New Roman"/>
                <w:color w:val="auto"/>
                <w:highlight w:val="none"/>
              </w:rPr>
              <w:t>环保投资占比（%）</w:t>
            </w:r>
          </w:p>
        </w:tc>
        <w:tc>
          <w:tcPr>
            <w:tcW w:w="2475" w:type="dxa"/>
            <w:vAlign w:val="center"/>
          </w:tcPr>
          <w:p w14:paraId="7CABBF60">
            <w:pPr>
              <w:spacing w:line="240" w:lineRule="auto"/>
              <w:ind w:firstLine="0" w:firstLineChars="0"/>
              <w:jc w:val="center"/>
              <w:rPr>
                <w:rFonts w:hint="default" w:eastAsia="宋体"/>
                <w:color w:val="auto"/>
                <w:highlight w:val="none"/>
                <w:lang w:val="en-US" w:eastAsia="zh-CN"/>
              </w:rPr>
            </w:pPr>
            <w:r>
              <w:rPr>
                <w:rFonts w:hint="eastAsia"/>
                <w:color w:val="auto"/>
                <w:highlight w:val="none"/>
                <w:lang w:val="en-US" w:eastAsia="zh-CN"/>
              </w:rPr>
              <w:t>9.86</w:t>
            </w:r>
          </w:p>
        </w:tc>
        <w:tc>
          <w:tcPr>
            <w:tcW w:w="1905" w:type="dxa"/>
            <w:vAlign w:val="center"/>
          </w:tcPr>
          <w:p w14:paraId="4AAE348A">
            <w:pPr>
              <w:spacing w:line="240" w:lineRule="auto"/>
              <w:ind w:firstLine="0" w:firstLineChars="0"/>
              <w:jc w:val="center"/>
              <w:rPr>
                <w:color w:val="auto"/>
                <w:highlight w:val="none"/>
              </w:rPr>
            </w:pPr>
            <w:r>
              <w:rPr>
                <w:rFonts w:hint="eastAsia" w:ascii="宋体" w:hAnsi="宋体" w:cs="宋体"/>
                <w:color w:val="auto"/>
                <w:highlight w:val="none"/>
              </w:rPr>
              <w:t>施工工期（月）</w:t>
            </w:r>
          </w:p>
        </w:tc>
        <w:tc>
          <w:tcPr>
            <w:tcW w:w="3488" w:type="dxa"/>
            <w:vAlign w:val="center"/>
          </w:tcPr>
          <w:p w14:paraId="422F886B">
            <w:pPr>
              <w:spacing w:line="240" w:lineRule="auto"/>
              <w:ind w:firstLine="0" w:firstLineChars="0"/>
              <w:jc w:val="center"/>
              <w:rPr>
                <w:rFonts w:hint="default" w:eastAsia="宋体"/>
                <w:color w:val="auto"/>
                <w:lang w:val="en-US" w:eastAsia="zh-CN"/>
              </w:rPr>
            </w:pPr>
            <w:r>
              <w:rPr>
                <w:rFonts w:hint="eastAsia"/>
                <w:color w:val="auto"/>
                <w:lang w:val="en-US" w:eastAsia="zh-CN"/>
              </w:rPr>
              <w:t>5</w:t>
            </w:r>
          </w:p>
        </w:tc>
      </w:tr>
      <w:tr w14:paraId="2E03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381" w:type="dxa"/>
            <w:gridSpan w:val="2"/>
            <w:vAlign w:val="center"/>
          </w:tcPr>
          <w:p w14:paraId="52C36CAB">
            <w:pPr>
              <w:spacing w:line="240" w:lineRule="auto"/>
              <w:ind w:firstLine="0" w:firstLineChars="0"/>
              <w:jc w:val="center"/>
              <w:rPr>
                <w:color w:val="auto"/>
              </w:rPr>
            </w:pPr>
            <w:r>
              <w:rPr>
                <w:rFonts w:cs="Times New Roman"/>
                <w:color w:val="auto"/>
              </w:rPr>
              <w:t>是否开工建设</w:t>
            </w:r>
          </w:p>
        </w:tc>
        <w:tc>
          <w:tcPr>
            <w:tcW w:w="2475" w:type="dxa"/>
            <w:vAlign w:val="center"/>
          </w:tcPr>
          <w:p w14:paraId="7C743191">
            <w:pPr>
              <w:adjustRightInd w:val="0"/>
              <w:snapToGrid w:val="0"/>
              <w:spacing w:line="240" w:lineRule="auto"/>
              <w:ind w:firstLine="0" w:firstLineChars="0"/>
              <w:rPr>
                <w:rFonts w:ascii="宋体" w:hAnsi="宋体" w:cs="宋体"/>
                <w:color w:val="auto"/>
              </w:rPr>
            </w:pPr>
            <w:r>
              <w:rPr>
                <w:rFonts w:hint="eastAsia" w:ascii="宋体" w:hAnsi="宋体" w:cs="宋体"/>
                <w:color w:val="auto"/>
              </w:rPr>
              <w:sym w:font="Wingdings 2" w:char="0052"/>
            </w:r>
            <w:r>
              <w:rPr>
                <w:rFonts w:hint="eastAsia" w:ascii="宋体" w:hAnsi="宋体" w:cs="宋体"/>
                <w:color w:val="auto"/>
              </w:rPr>
              <w:t>否</w:t>
            </w:r>
          </w:p>
          <w:p w14:paraId="67A803A7">
            <w:pPr>
              <w:spacing w:line="240" w:lineRule="auto"/>
              <w:ind w:firstLine="0" w:firstLineChars="0"/>
              <w:rPr>
                <w:color w:val="auto"/>
              </w:rPr>
            </w:pPr>
            <w:r>
              <w:rPr>
                <w:color w:val="auto"/>
              </w:rPr>
              <w:sym w:font="Wingdings 2" w:char="00A3"/>
            </w:r>
            <w:r>
              <w:rPr>
                <w:rFonts w:hint="eastAsia" w:ascii="宋体" w:hAnsi="宋体" w:cs="宋体"/>
                <w:color w:val="auto"/>
              </w:rPr>
              <w:t>是：</w:t>
            </w:r>
            <w:r>
              <w:rPr>
                <w:rFonts w:hint="eastAsia" w:ascii="宋体" w:hAnsi="宋体" w:cs="宋体"/>
                <w:color w:val="auto"/>
                <w:u w:val="single"/>
              </w:rPr>
              <w:t xml:space="preserve">         </w:t>
            </w:r>
          </w:p>
        </w:tc>
        <w:tc>
          <w:tcPr>
            <w:tcW w:w="1905" w:type="dxa"/>
            <w:vAlign w:val="center"/>
          </w:tcPr>
          <w:p w14:paraId="71486169">
            <w:pPr>
              <w:adjustRightInd w:val="0"/>
              <w:snapToGrid w:val="0"/>
              <w:spacing w:line="240" w:lineRule="auto"/>
              <w:ind w:firstLine="0" w:firstLineChars="0"/>
              <w:jc w:val="center"/>
              <w:rPr>
                <w:rFonts w:ascii="宋体" w:hAnsi="宋体" w:cs="宋体"/>
                <w:color w:val="auto"/>
                <w:spacing w:val="-6"/>
              </w:rPr>
            </w:pPr>
            <w:r>
              <w:rPr>
                <w:rFonts w:hint="eastAsia" w:ascii="宋体" w:hAnsi="宋体" w:cs="宋体"/>
                <w:color w:val="auto"/>
                <w:spacing w:val="-6"/>
              </w:rPr>
              <w:t>用地（用海）</w:t>
            </w:r>
          </w:p>
          <w:p w14:paraId="33CDAD22">
            <w:pPr>
              <w:spacing w:line="240" w:lineRule="auto"/>
              <w:ind w:firstLine="0" w:firstLineChars="0"/>
              <w:jc w:val="center"/>
              <w:rPr>
                <w:color w:val="auto"/>
              </w:rPr>
            </w:pPr>
            <w:r>
              <w:rPr>
                <w:rFonts w:hint="eastAsia" w:ascii="宋体" w:hAnsi="宋体" w:cs="宋体"/>
                <w:color w:val="auto"/>
                <w:spacing w:val="-6"/>
              </w:rPr>
              <w:t>面积（</w:t>
            </w:r>
            <w:r>
              <w:rPr>
                <w:rFonts w:cs="Times New Roman"/>
                <w:color w:val="auto"/>
                <w:spacing w:val="-6"/>
              </w:rPr>
              <w:t>m</w:t>
            </w:r>
            <w:r>
              <w:rPr>
                <w:rFonts w:cs="Times New Roman"/>
                <w:color w:val="auto"/>
                <w:spacing w:val="-6"/>
                <w:vertAlign w:val="superscript"/>
              </w:rPr>
              <w:t>2</w:t>
            </w:r>
            <w:r>
              <w:rPr>
                <w:rFonts w:hint="eastAsia" w:ascii="宋体" w:hAnsi="宋体" w:cs="宋体"/>
                <w:color w:val="auto"/>
                <w:spacing w:val="-6"/>
              </w:rPr>
              <w:t>）</w:t>
            </w:r>
          </w:p>
        </w:tc>
        <w:tc>
          <w:tcPr>
            <w:tcW w:w="3488" w:type="dxa"/>
            <w:vAlign w:val="center"/>
          </w:tcPr>
          <w:p w14:paraId="608326DA">
            <w:pPr>
              <w:spacing w:line="240" w:lineRule="auto"/>
              <w:ind w:firstLine="0" w:firstLineChars="0"/>
              <w:jc w:val="center"/>
              <w:rPr>
                <w:rFonts w:hint="default"/>
                <w:color w:val="auto"/>
                <w:lang w:val="en-US"/>
              </w:rPr>
            </w:pPr>
            <w:r>
              <w:rPr>
                <w:rFonts w:hint="eastAsia"/>
                <w:color w:val="auto"/>
                <w:lang w:val="en-US" w:eastAsia="zh-CN"/>
              </w:rPr>
              <w:t>1595.58</w:t>
            </w:r>
          </w:p>
        </w:tc>
      </w:tr>
      <w:tr w14:paraId="7C8FB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0" w:type="dxa"/>
            <w:vAlign w:val="center"/>
          </w:tcPr>
          <w:p w14:paraId="55483C3B">
            <w:pPr>
              <w:spacing w:line="240" w:lineRule="auto"/>
              <w:ind w:firstLine="0" w:firstLineChars="0"/>
              <w:jc w:val="center"/>
              <w:rPr>
                <w:color w:val="auto"/>
              </w:rPr>
            </w:pPr>
            <w:r>
              <w:rPr>
                <w:rFonts w:cs="Times New Roman"/>
                <w:color w:val="auto"/>
                <w:kern w:val="0"/>
              </w:rPr>
              <w:t>专项评价设置情况</w:t>
            </w:r>
          </w:p>
        </w:tc>
        <w:tc>
          <w:tcPr>
            <w:tcW w:w="8769" w:type="dxa"/>
            <w:gridSpan w:val="4"/>
            <w:vAlign w:val="center"/>
          </w:tcPr>
          <w:p w14:paraId="4A8223F2">
            <w:pPr>
              <w:ind w:firstLine="0" w:firstLineChars="0"/>
              <w:jc w:val="center"/>
              <w:rPr>
                <w:color w:val="auto"/>
              </w:rPr>
            </w:pPr>
            <w:r>
              <w:rPr>
                <w:rFonts w:hint="eastAsia"/>
                <w:color w:val="auto"/>
              </w:rPr>
              <w:t>对照专项评价设置原则，本项目无需设置专项评价。</w:t>
            </w:r>
          </w:p>
          <w:p w14:paraId="73E88F08">
            <w:pPr>
              <w:pStyle w:val="30"/>
              <w:rPr>
                <w:rFonts w:hint="default"/>
                <w:color w:val="auto"/>
              </w:rPr>
            </w:pPr>
            <w:r>
              <w:rPr>
                <w:color w:val="auto"/>
              </w:rPr>
              <w:t>表1-1  本项目专项设置判定情况表</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3469"/>
              <w:gridCol w:w="3198"/>
              <w:gridCol w:w="1123"/>
            </w:tblGrid>
            <w:tr w14:paraId="6411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37" w:type="pct"/>
                  <w:vAlign w:val="center"/>
                </w:tcPr>
                <w:p w14:paraId="70887A70">
                  <w:pPr>
                    <w:pStyle w:val="29"/>
                    <w:rPr>
                      <w:rFonts w:hint="default"/>
                      <w:color w:val="auto"/>
                    </w:rPr>
                  </w:pPr>
                  <w:r>
                    <w:rPr>
                      <w:color w:val="auto"/>
                    </w:rPr>
                    <w:t>专项类别</w:t>
                  </w:r>
                </w:p>
              </w:tc>
              <w:tc>
                <w:tcPr>
                  <w:tcW w:w="2031" w:type="pct"/>
                  <w:vAlign w:val="center"/>
                </w:tcPr>
                <w:p w14:paraId="48FC9CDD">
                  <w:pPr>
                    <w:pStyle w:val="29"/>
                    <w:rPr>
                      <w:rFonts w:hint="default"/>
                      <w:color w:val="auto"/>
                    </w:rPr>
                  </w:pPr>
                  <w:r>
                    <w:rPr>
                      <w:color w:val="auto"/>
                    </w:rPr>
                    <w:t>设置原则</w:t>
                  </w:r>
                </w:p>
              </w:tc>
              <w:tc>
                <w:tcPr>
                  <w:tcW w:w="1872" w:type="pct"/>
                  <w:vAlign w:val="center"/>
                </w:tcPr>
                <w:p w14:paraId="19907242">
                  <w:pPr>
                    <w:pStyle w:val="29"/>
                    <w:rPr>
                      <w:rFonts w:hint="default"/>
                      <w:color w:val="auto"/>
                    </w:rPr>
                  </w:pPr>
                  <w:r>
                    <w:rPr>
                      <w:color w:val="auto"/>
                    </w:rPr>
                    <w:t>本项目情况</w:t>
                  </w:r>
                </w:p>
              </w:tc>
              <w:tc>
                <w:tcPr>
                  <w:tcW w:w="657" w:type="pct"/>
                  <w:vAlign w:val="center"/>
                </w:tcPr>
                <w:p w14:paraId="71C30A02">
                  <w:pPr>
                    <w:pStyle w:val="29"/>
                    <w:rPr>
                      <w:rFonts w:hint="default"/>
                      <w:color w:val="auto"/>
                    </w:rPr>
                  </w:pPr>
                  <w:r>
                    <w:rPr>
                      <w:color w:val="auto"/>
                    </w:rPr>
                    <w:t>是否设置专项</w:t>
                  </w:r>
                </w:p>
              </w:tc>
            </w:tr>
            <w:tr w14:paraId="4A0B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D1454EA">
                  <w:pPr>
                    <w:pStyle w:val="29"/>
                    <w:rPr>
                      <w:rFonts w:hint="default"/>
                      <w:color w:val="auto"/>
                    </w:rPr>
                  </w:pPr>
                  <w:r>
                    <w:rPr>
                      <w:color w:val="auto"/>
                    </w:rPr>
                    <w:t>大气</w:t>
                  </w:r>
                </w:p>
              </w:tc>
              <w:tc>
                <w:tcPr>
                  <w:tcW w:w="2031" w:type="pct"/>
                  <w:vAlign w:val="center"/>
                </w:tcPr>
                <w:p w14:paraId="5AD8A1FE">
                  <w:pPr>
                    <w:pStyle w:val="29"/>
                    <w:rPr>
                      <w:rFonts w:hint="eastAsia" w:eastAsia="宋体"/>
                      <w:color w:val="auto"/>
                      <w:lang w:eastAsia="zh-CN"/>
                    </w:rPr>
                  </w:pPr>
                  <w:r>
                    <w:rPr>
                      <w:color w:val="auto"/>
                    </w:rPr>
                    <w:t>排放废气含有毒有害污染物、二噁英、苯并[a]芘、氰化物、氯气且厂界外500米范围内有环境空气保护目标的建设项目</w:t>
                  </w:r>
                  <w:r>
                    <w:rPr>
                      <w:rFonts w:hint="eastAsia"/>
                      <w:color w:val="auto"/>
                      <w:lang w:eastAsia="zh-CN"/>
                    </w:rPr>
                    <w:t>。</w:t>
                  </w:r>
                </w:p>
              </w:tc>
              <w:tc>
                <w:tcPr>
                  <w:tcW w:w="1872" w:type="pct"/>
                  <w:vAlign w:val="center"/>
                </w:tcPr>
                <w:p w14:paraId="732AFE9E">
                  <w:pPr>
                    <w:pStyle w:val="29"/>
                    <w:rPr>
                      <w:rFonts w:hint="default"/>
                      <w:color w:val="auto"/>
                    </w:rPr>
                  </w:pPr>
                  <w:r>
                    <w:rPr>
                      <w:rFonts w:hint="eastAsia"/>
                      <w:color w:val="auto"/>
                      <w:highlight w:val="none"/>
                    </w:rPr>
                    <w:t>本项目排放废气主要为颗粒物、二氧化硫</w:t>
                  </w:r>
                  <w:r>
                    <w:rPr>
                      <w:rFonts w:hint="eastAsia"/>
                      <w:color w:val="auto"/>
                      <w:highlight w:val="none"/>
                      <w:lang w:val="en-US" w:eastAsia="zh-CN"/>
                    </w:rPr>
                    <w:t>、</w:t>
                  </w:r>
                  <w:r>
                    <w:rPr>
                      <w:rFonts w:hint="eastAsia"/>
                      <w:color w:val="auto"/>
                      <w:highlight w:val="none"/>
                    </w:rPr>
                    <w:t>氮氧化物</w:t>
                  </w:r>
                  <w:r>
                    <w:rPr>
                      <w:rFonts w:hint="eastAsia"/>
                      <w:color w:val="auto"/>
                      <w:highlight w:val="none"/>
                      <w:lang w:eastAsia="zh-CN"/>
                    </w:rPr>
                    <w:t>、</w:t>
                  </w:r>
                  <w:r>
                    <w:rPr>
                      <w:rFonts w:hint="eastAsia"/>
                      <w:color w:val="auto"/>
                      <w:highlight w:val="none"/>
                      <w:lang w:val="en-US" w:eastAsia="zh-CN"/>
                    </w:rPr>
                    <w:t>非甲烷总烃、氨和硫化氢</w:t>
                  </w:r>
                  <w:r>
                    <w:rPr>
                      <w:rFonts w:hint="eastAsia"/>
                      <w:color w:val="auto"/>
                      <w:highlight w:val="none"/>
                      <w:lang w:eastAsia="zh-CN"/>
                    </w:rPr>
                    <w:t>，</w:t>
                  </w:r>
                  <w:r>
                    <w:rPr>
                      <w:rFonts w:hint="eastAsia"/>
                      <w:color w:val="auto"/>
                      <w:highlight w:val="none"/>
                      <w:lang w:val="en-US" w:eastAsia="zh-CN"/>
                    </w:rPr>
                    <w:t>不涉及</w:t>
                  </w:r>
                  <w:r>
                    <w:rPr>
                      <w:rFonts w:hint="eastAsia"/>
                      <w:color w:val="auto"/>
                      <w:highlight w:val="none"/>
                    </w:rPr>
                    <w:t>《有毒有害大气污染物名录》（2018年</w:t>
                  </w:r>
                  <w:r>
                    <w:rPr>
                      <w:rFonts w:hint="eastAsia"/>
                      <w:color w:val="auto"/>
                      <w:highlight w:val="none"/>
                      <w:lang w:eastAsia="zh-CN"/>
                    </w:rPr>
                    <w:t>）</w:t>
                  </w:r>
                  <w:r>
                    <w:rPr>
                      <w:color w:val="auto"/>
                      <w:highlight w:val="none"/>
                    </w:rPr>
                    <w:t>的污染物。</w:t>
                  </w:r>
                </w:p>
              </w:tc>
              <w:tc>
                <w:tcPr>
                  <w:tcW w:w="657" w:type="pct"/>
                  <w:vAlign w:val="center"/>
                </w:tcPr>
                <w:p w14:paraId="3C570060">
                  <w:pPr>
                    <w:pStyle w:val="29"/>
                    <w:rPr>
                      <w:rFonts w:hint="eastAsia" w:eastAsia="宋体"/>
                      <w:color w:val="auto"/>
                      <w:lang w:eastAsia="zh-CN"/>
                    </w:rPr>
                  </w:pPr>
                  <w:r>
                    <w:rPr>
                      <w:rFonts w:hint="eastAsia"/>
                      <w:color w:val="auto"/>
                      <w:lang w:val="en-US" w:eastAsia="zh-CN"/>
                    </w:rPr>
                    <w:t>否</w:t>
                  </w:r>
                </w:p>
              </w:tc>
            </w:tr>
            <w:tr w14:paraId="353A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7626DF41">
                  <w:pPr>
                    <w:pStyle w:val="29"/>
                    <w:rPr>
                      <w:rFonts w:hint="default"/>
                      <w:color w:val="auto"/>
                    </w:rPr>
                  </w:pPr>
                  <w:r>
                    <w:rPr>
                      <w:color w:val="auto"/>
                    </w:rPr>
                    <w:t>地表水</w:t>
                  </w:r>
                </w:p>
              </w:tc>
              <w:tc>
                <w:tcPr>
                  <w:tcW w:w="2031" w:type="pct"/>
                  <w:vAlign w:val="center"/>
                </w:tcPr>
                <w:p w14:paraId="388F17AE">
                  <w:pPr>
                    <w:pStyle w:val="29"/>
                    <w:rPr>
                      <w:rFonts w:hint="default"/>
                      <w:color w:val="auto"/>
                    </w:rPr>
                  </w:pPr>
                  <w:r>
                    <w:rPr>
                      <w:color w:val="auto"/>
                    </w:rPr>
                    <w:t>新增工业废水直排建设项目（槽罐车外送污水处理厂的除外）；</w:t>
                  </w:r>
                </w:p>
                <w:p w14:paraId="0ABC91AF">
                  <w:pPr>
                    <w:pStyle w:val="29"/>
                    <w:jc w:val="both"/>
                    <w:rPr>
                      <w:rFonts w:hint="eastAsia" w:eastAsia="宋体"/>
                      <w:color w:val="auto"/>
                      <w:lang w:eastAsia="zh-CN"/>
                    </w:rPr>
                  </w:pPr>
                  <w:r>
                    <w:rPr>
                      <w:color w:val="auto"/>
                    </w:rPr>
                    <w:t>新增废水直排的污水集中处理厂</w:t>
                  </w:r>
                  <w:r>
                    <w:rPr>
                      <w:rFonts w:hint="eastAsia"/>
                      <w:color w:val="auto"/>
                      <w:lang w:eastAsia="zh-CN"/>
                    </w:rPr>
                    <w:t>。</w:t>
                  </w:r>
                </w:p>
              </w:tc>
              <w:tc>
                <w:tcPr>
                  <w:tcW w:w="1872" w:type="pct"/>
                  <w:vAlign w:val="center"/>
                </w:tcPr>
                <w:p w14:paraId="2935B999">
                  <w:pPr>
                    <w:pStyle w:val="29"/>
                    <w:rPr>
                      <w:rFonts w:hint="eastAsia" w:eastAsia="宋体"/>
                      <w:color w:val="auto"/>
                      <w:lang w:eastAsia="zh-CN"/>
                    </w:rPr>
                  </w:pPr>
                  <w:r>
                    <w:rPr>
                      <w:rFonts w:hint="eastAsia"/>
                      <w:color w:val="auto"/>
                      <w:lang w:val="en-US" w:eastAsia="zh-CN"/>
                    </w:rPr>
                    <w:t>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r>
                    <w:rPr>
                      <w:rFonts w:hint="eastAsia"/>
                      <w:color w:val="auto"/>
                    </w:rPr>
                    <w:t>不涉及废水直排</w:t>
                  </w:r>
                  <w:r>
                    <w:rPr>
                      <w:rFonts w:hint="eastAsia"/>
                      <w:color w:val="auto"/>
                      <w:lang w:eastAsia="zh-CN"/>
                    </w:rPr>
                    <w:t>。</w:t>
                  </w:r>
                </w:p>
              </w:tc>
              <w:tc>
                <w:tcPr>
                  <w:tcW w:w="657" w:type="pct"/>
                  <w:vAlign w:val="center"/>
                </w:tcPr>
                <w:p w14:paraId="712A9E02">
                  <w:pPr>
                    <w:pStyle w:val="29"/>
                    <w:rPr>
                      <w:rFonts w:hint="default"/>
                      <w:color w:val="auto"/>
                    </w:rPr>
                  </w:pPr>
                  <w:r>
                    <w:rPr>
                      <w:color w:val="auto"/>
                    </w:rPr>
                    <w:t>否</w:t>
                  </w:r>
                </w:p>
              </w:tc>
            </w:tr>
            <w:tr w14:paraId="0112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09155021">
                  <w:pPr>
                    <w:pStyle w:val="29"/>
                    <w:rPr>
                      <w:rFonts w:hint="default"/>
                      <w:color w:val="auto"/>
                    </w:rPr>
                  </w:pPr>
                  <w:r>
                    <w:rPr>
                      <w:color w:val="auto"/>
                    </w:rPr>
                    <w:t>环境风险</w:t>
                  </w:r>
                </w:p>
              </w:tc>
              <w:tc>
                <w:tcPr>
                  <w:tcW w:w="2031" w:type="pct"/>
                  <w:vAlign w:val="center"/>
                </w:tcPr>
                <w:p w14:paraId="100C508F">
                  <w:pPr>
                    <w:pStyle w:val="29"/>
                    <w:rPr>
                      <w:rFonts w:hint="eastAsia" w:eastAsia="宋体"/>
                      <w:color w:val="auto"/>
                      <w:lang w:eastAsia="zh-CN"/>
                    </w:rPr>
                  </w:pPr>
                  <w:r>
                    <w:rPr>
                      <w:color w:val="auto"/>
                    </w:rPr>
                    <w:t>有毒有害和易燃易爆危险物质存储量超过临界量的建设项目</w:t>
                  </w:r>
                  <w:r>
                    <w:rPr>
                      <w:rFonts w:hint="eastAsia"/>
                      <w:color w:val="auto"/>
                      <w:lang w:eastAsia="zh-CN"/>
                    </w:rPr>
                    <w:t>。</w:t>
                  </w:r>
                </w:p>
              </w:tc>
              <w:tc>
                <w:tcPr>
                  <w:tcW w:w="1872" w:type="pct"/>
                  <w:vAlign w:val="center"/>
                </w:tcPr>
                <w:p w14:paraId="09AF99DF">
                  <w:pPr>
                    <w:pStyle w:val="29"/>
                    <w:rPr>
                      <w:rFonts w:hint="default"/>
                      <w:color w:val="auto"/>
                    </w:rPr>
                  </w:pPr>
                  <w:r>
                    <w:rPr>
                      <w:rFonts w:hint="eastAsia"/>
                      <w:color w:val="auto"/>
                    </w:rPr>
                    <w:t>项目涉及的有毒有害和易燃易爆危险物质主要为</w:t>
                  </w:r>
                  <w:r>
                    <w:rPr>
                      <w:rFonts w:hint="eastAsia"/>
                      <w:color w:val="auto"/>
                      <w:lang w:val="en-US" w:eastAsia="zh-CN"/>
                    </w:rPr>
                    <w:t>废碱液</w:t>
                  </w:r>
                  <w:r>
                    <w:rPr>
                      <w:rFonts w:hint="eastAsia"/>
                      <w:color w:val="auto"/>
                    </w:rPr>
                    <w:t>、</w:t>
                  </w:r>
                  <w:r>
                    <w:rPr>
                      <w:rFonts w:hint="eastAsia"/>
                      <w:color w:val="auto"/>
                      <w:lang w:val="en-US" w:eastAsia="zh-CN"/>
                    </w:rPr>
                    <w:t>废酸液</w:t>
                  </w:r>
                  <w:r>
                    <w:rPr>
                      <w:rFonts w:hint="eastAsia"/>
                      <w:color w:val="auto"/>
                    </w:rPr>
                    <w:t>、</w:t>
                  </w:r>
                  <w:r>
                    <w:rPr>
                      <w:rFonts w:hint="eastAsia"/>
                      <w:color w:val="auto"/>
                      <w:lang w:val="en-US" w:eastAsia="zh-CN"/>
                    </w:rPr>
                    <w:t>制冷剂、天然气和废矿物油</w:t>
                  </w:r>
                  <w:r>
                    <w:rPr>
                      <w:rFonts w:hint="eastAsia"/>
                      <w:color w:val="auto"/>
                    </w:rPr>
                    <w:t>，危险废物厂区最大存在量未超过临界量</w:t>
                  </w:r>
                  <w:r>
                    <w:rPr>
                      <w:rFonts w:hint="eastAsia"/>
                      <w:color w:val="auto"/>
                      <w:lang w:eastAsia="zh-CN"/>
                    </w:rPr>
                    <w:t>（</w:t>
                  </w:r>
                  <w:r>
                    <w:rPr>
                      <w:rFonts w:hint="eastAsia"/>
                      <w:color w:val="auto"/>
                      <w:lang w:val="en-US" w:eastAsia="zh-CN"/>
                    </w:rPr>
                    <w:t>即Q=0.23444</w:t>
                  </w:r>
                  <w:r>
                    <w:rPr>
                      <w:rFonts w:hint="eastAsia"/>
                      <w:color w:val="auto"/>
                      <w:lang w:eastAsia="zh-CN"/>
                    </w:rPr>
                    <w:t>）</w:t>
                  </w:r>
                  <w:r>
                    <w:rPr>
                      <w:color w:val="auto"/>
                    </w:rPr>
                    <w:t>。</w:t>
                  </w:r>
                </w:p>
              </w:tc>
              <w:tc>
                <w:tcPr>
                  <w:tcW w:w="657" w:type="pct"/>
                  <w:vAlign w:val="center"/>
                </w:tcPr>
                <w:p w14:paraId="346AC238">
                  <w:pPr>
                    <w:pStyle w:val="29"/>
                    <w:rPr>
                      <w:rFonts w:hint="default"/>
                      <w:color w:val="auto"/>
                    </w:rPr>
                  </w:pPr>
                  <w:r>
                    <w:rPr>
                      <w:color w:val="auto"/>
                    </w:rPr>
                    <w:t>否</w:t>
                  </w:r>
                </w:p>
              </w:tc>
            </w:tr>
            <w:tr w14:paraId="6138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1F4CA5B">
                  <w:pPr>
                    <w:pStyle w:val="29"/>
                    <w:rPr>
                      <w:rFonts w:hint="default"/>
                      <w:color w:val="auto"/>
                    </w:rPr>
                  </w:pPr>
                  <w:r>
                    <w:rPr>
                      <w:color w:val="auto"/>
                    </w:rPr>
                    <w:t>生态</w:t>
                  </w:r>
                </w:p>
              </w:tc>
              <w:tc>
                <w:tcPr>
                  <w:tcW w:w="2031" w:type="pct"/>
                  <w:vAlign w:val="center"/>
                </w:tcPr>
                <w:p w14:paraId="7F500AE7">
                  <w:pPr>
                    <w:pStyle w:val="29"/>
                    <w:rPr>
                      <w:rFonts w:hint="eastAsia" w:eastAsia="宋体"/>
                      <w:color w:val="auto"/>
                      <w:lang w:eastAsia="zh-CN"/>
                    </w:rPr>
                  </w:pPr>
                  <w:r>
                    <w:rPr>
                      <w:color w:val="auto"/>
                    </w:rPr>
                    <w:t>取水口下游500米范围内有重要水生生物的自然产卵场、索饵场、越冬场和洄游通道的新增河道取水的污染类建设项目</w:t>
                  </w:r>
                  <w:r>
                    <w:rPr>
                      <w:rFonts w:hint="eastAsia"/>
                      <w:color w:val="auto"/>
                      <w:lang w:eastAsia="zh-CN"/>
                    </w:rPr>
                    <w:t>。</w:t>
                  </w:r>
                </w:p>
              </w:tc>
              <w:tc>
                <w:tcPr>
                  <w:tcW w:w="1872" w:type="pct"/>
                  <w:vAlign w:val="center"/>
                </w:tcPr>
                <w:p w14:paraId="7EBB5E54">
                  <w:pPr>
                    <w:pStyle w:val="29"/>
                    <w:rPr>
                      <w:rFonts w:hint="default"/>
                      <w:color w:val="auto"/>
                    </w:rPr>
                  </w:pPr>
                  <w:r>
                    <w:rPr>
                      <w:color w:val="auto"/>
                    </w:rPr>
                    <w:t>本项目用水主要来</w:t>
                  </w:r>
                  <w:r>
                    <w:rPr>
                      <w:rFonts w:hint="eastAsia"/>
                      <w:color w:val="auto"/>
                      <w:lang w:val="en-US" w:eastAsia="zh-CN"/>
                    </w:rPr>
                    <w:t>园区</w:t>
                  </w:r>
                  <w:r>
                    <w:rPr>
                      <w:color w:val="auto"/>
                    </w:rPr>
                    <w:t>供水管网，不涉及取水口。</w:t>
                  </w:r>
                </w:p>
              </w:tc>
              <w:tc>
                <w:tcPr>
                  <w:tcW w:w="657" w:type="pct"/>
                  <w:vAlign w:val="center"/>
                </w:tcPr>
                <w:p w14:paraId="0BA1EEF2">
                  <w:pPr>
                    <w:pStyle w:val="29"/>
                    <w:rPr>
                      <w:rFonts w:hint="default"/>
                      <w:color w:val="auto"/>
                    </w:rPr>
                  </w:pPr>
                  <w:r>
                    <w:rPr>
                      <w:color w:val="auto"/>
                    </w:rPr>
                    <w:t>否</w:t>
                  </w:r>
                </w:p>
              </w:tc>
            </w:tr>
            <w:tr w14:paraId="196F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28D604B7">
                  <w:pPr>
                    <w:pStyle w:val="29"/>
                    <w:rPr>
                      <w:rFonts w:hint="default"/>
                      <w:color w:val="auto"/>
                    </w:rPr>
                  </w:pPr>
                  <w:r>
                    <w:rPr>
                      <w:color w:val="auto"/>
                    </w:rPr>
                    <w:t>海洋</w:t>
                  </w:r>
                </w:p>
              </w:tc>
              <w:tc>
                <w:tcPr>
                  <w:tcW w:w="2031" w:type="pct"/>
                  <w:vAlign w:val="center"/>
                </w:tcPr>
                <w:p w14:paraId="5E0AF3AA">
                  <w:pPr>
                    <w:pStyle w:val="29"/>
                    <w:rPr>
                      <w:rFonts w:hint="eastAsia" w:eastAsia="宋体"/>
                      <w:color w:val="auto"/>
                      <w:lang w:eastAsia="zh-CN"/>
                    </w:rPr>
                  </w:pPr>
                  <w:r>
                    <w:rPr>
                      <w:color w:val="auto"/>
                    </w:rPr>
                    <w:t>直接向海排放污染物的海洋工程建设项目</w:t>
                  </w:r>
                  <w:r>
                    <w:rPr>
                      <w:rFonts w:hint="eastAsia"/>
                      <w:color w:val="auto"/>
                      <w:lang w:eastAsia="zh-CN"/>
                    </w:rPr>
                    <w:t>。</w:t>
                  </w:r>
                </w:p>
              </w:tc>
              <w:tc>
                <w:tcPr>
                  <w:tcW w:w="1872" w:type="pct"/>
                  <w:vAlign w:val="center"/>
                </w:tcPr>
                <w:p w14:paraId="1FA4C163">
                  <w:pPr>
                    <w:pStyle w:val="29"/>
                    <w:rPr>
                      <w:rFonts w:hint="eastAsia" w:eastAsia="宋体"/>
                      <w:color w:val="auto"/>
                      <w:lang w:eastAsia="zh-CN"/>
                    </w:rPr>
                  </w:pPr>
                  <w:r>
                    <w:rPr>
                      <w:color w:val="auto"/>
                    </w:rPr>
                    <w:t>本项目不涉及</w:t>
                  </w:r>
                  <w:r>
                    <w:rPr>
                      <w:rFonts w:hint="eastAsia"/>
                      <w:color w:val="auto"/>
                      <w:lang w:eastAsia="zh-CN"/>
                    </w:rPr>
                    <w:t>。</w:t>
                  </w:r>
                </w:p>
              </w:tc>
              <w:tc>
                <w:tcPr>
                  <w:tcW w:w="657" w:type="pct"/>
                  <w:vAlign w:val="center"/>
                </w:tcPr>
                <w:p w14:paraId="336D463C">
                  <w:pPr>
                    <w:pStyle w:val="29"/>
                    <w:rPr>
                      <w:rFonts w:hint="default"/>
                      <w:color w:val="auto"/>
                    </w:rPr>
                  </w:pPr>
                  <w:r>
                    <w:rPr>
                      <w:color w:val="auto"/>
                    </w:rPr>
                    <w:t>否</w:t>
                  </w:r>
                </w:p>
              </w:tc>
            </w:tr>
          </w:tbl>
          <w:p w14:paraId="5402BCCC">
            <w:pPr>
              <w:ind w:firstLine="480"/>
              <w:rPr>
                <w:color w:val="auto"/>
                <w:sz w:val="21"/>
                <w:szCs w:val="21"/>
              </w:rPr>
            </w:pPr>
            <w:r>
              <w:rPr>
                <w:rFonts w:hint="eastAsia"/>
                <w:color w:val="auto"/>
                <w:sz w:val="21"/>
                <w:szCs w:val="21"/>
              </w:rPr>
              <w:t>注：1</w:t>
            </w:r>
            <w:r>
              <w:rPr>
                <w:rFonts w:hint="eastAsia"/>
                <w:color w:val="auto"/>
                <w:sz w:val="21"/>
                <w:szCs w:val="21"/>
                <w:lang w:eastAsia="zh-CN"/>
              </w:rPr>
              <w:t>、</w:t>
            </w:r>
            <w:r>
              <w:rPr>
                <w:rFonts w:hint="eastAsia"/>
                <w:color w:val="auto"/>
                <w:sz w:val="21"/>
                <w:szCs w:val="21"/>
              </w:rPr>
              <w:t>废气中有毒有害污染物指纳入《有毒有害大气污染物名录》的污染物（二氯甲烷、甲醛、三氯甲烷、三氯乙烯、四氯乙烯、乙醛、镉及其化合物、铬及其化合物、汞及其化合物、铅及其化合物、砷及其化合物）（不包括无排放标准的污染物）。</w:t>
            </w:r>
          </w:p>
          <w:p w14:paraId="3449E7B0">
            <w:pPr>
              <w:ind w:firstLine="480"/>
              <w:rPr>
                <w:color w:val="auto"/>
                <w:sz w:val="21"/>
                <w:szCs w:val="21"/>
              </w:rPr>
            </w:pPr>
            <w:r>
              <w:rPr>
                <w:rFonts w:hint="eastAsia"/>
                <w:color w:val="auto"/>
                <w:sz w:val="21"/>
                <w:szCs w:val="21"/>
              </w:rPr>
              <w:t>2</w:t>
            </w:r>
            <w:r>
              <w:rPr>
                <w:rFonts w:hint="eastAsia"/>
                <w:color w:val="auto"/>
                <w:sz w:val="21"/>
                <w:szCs w:val="21"/>
                <w:lang w:eastAsia="zh-CN"/>
              </w:rPr>
              <w:t>、</w:t>
            </w:r>
            <w:r>
              <w:rPr>
                <w:rFonts w:hint="eastAsia"/>
                <w:color w:val="auto"/>
                <w:sz w:val="21"/>
                <w:szCs w:val="21"/>
              </w:rPr>
              <w:t>环境空气保护目标指自然保护区、风景名胜区、居住区、文化区和农村地区中人群较集中的区域。</w:t>
            </w:r>
          </w:p>
          <w:p w14:paraId="686C58DC">
            <w:pPr>
              <w:ind w:firstLine="480"/>
              <w:rPr>
                <w:rFonts w:hint="eastAsia" w:eastAsia="宋体"/>
                <w:color w:val="auto"/>
                <w:lang w:eastAsia="zh-CN"/>
              </w:rPr>
            </w:pPr>
            <w:r>
              <w:rPr>
                <w:rFonts w:hint="eastAsia"/>
                <w:color w:val="auto"/>
                <w:sz w:val="21"/>
                <w:szCs w:val="21"/>
              </w:rPr>
              <w:t>3</w:t>
            </w:r>
            <w:r>
              <w:rPr>
                <w:rFonts w:hint="eastAsia"/>
                <w:color w:val="auto"/>
                <w:sz w:val="21"/>
                <w:szCs w:val="21"/>
                <w:lang w:eastAsia="zh-CN"/>
              </w:rPr>
              <w:t>、</w:t>
            </w:r>
            <w:r>
              <w:rPr>
                <w:rFonts w:hint="eastAsia"/>
                <w:color w:val="auto"/>
                <w:sz w:val="21"/>
                <w:szCs w:val="21"/>
              </w:rPr>
              <w:t>临界量及其计算方法可参考《建设项目环境风险评价技术导则》（HJ 169）附录B、附录C。</w:t>
            </w:r>
          </w:p>
        </w:tc>
      </w:tr>
      <w:tr w14:paraId="487E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0" w:type="dxa"/>
            <w:vAlign w:val="center"/>
          </w:tcPr>
          <w:p w14:paraId="598D4D1F">
            <w:pPr>
              <w:spacing w:line="240" w:lineRule="auto"/>
              <w:ind w:firstLine="0" w:firstLineChars="0"/>
              <w:jc w:val="center"/>
              <w:rPr>
                <w:color w:val="auto"/>
              </w:rPr>
            </w:pPr>
            <w:r>
              <w:rPr>
                <w:rFonts w:cs="Times New Roman"/>
                <w:color w:val="auto"/>
              </w:rPr>
              <w:t>规划情况</w:t>
            </w:r>
          </w:p>
        </w:tc>
        <w:tc>
          <w:tcPr>
            <w:tcW w:w="8769" w:type="dxa"/>
            <w:gridSpan w:val="4"/>
            <w:shd w:val="clear" w:color="auto" w:fill="auto"/>
            <w:vAlign w:val="center"/>
          </w:tcPr>
          <w:p w14:paraId="0CC75DEE">
            <w:pPr>
              <w:ind w:firstLine="0" w:firstLineChars="0"/>
              <w:jc w:val="left"/>
              <w:rPr>
                <w:rFonts w:hint="eastAsia"/>
                <w:color w:val="auto"/>
                <w:lang w:eastAsia="zh-CN"/>
              </w:rPr>
            </w:pPr>
            <w:r>
              <w:rPr>
                <w:rFonts w:hint="eastAsia"/>
                <w:b/>
                <w:bCs/>
                <w:color w:val="auto"/>
                <w:lang w:eastAsia="zh-CN"/>
              </w:rPr>
              <w:t>规划文件名称：</w:t>
            </w:r>
            <w:r>
              <w:rPr>
                <w:rFonts w:hint="eastAsia"/>
                <w:color w:val="auto"/>
                <w:lang w:eastAsia="zh-CN"/>
              </w:rPr>
              <w:t>《</w:t>
            </w:r>
            <w:r>
              <w:rPr>
                <w:rFonts w:hint="eastAsia"/>
                <w:color w:val="auto"/>
                <w:lang w:val="en-US" w:eastAsia="zh-CN"/>
              </w:rPr>
              <w:t>玉溪高新技术产业开发区总体规划</w:t>
            </w:r>
            <w:r>
              <w:rPr>
                <w:rFonts w:hint="eastAsia"/>
                <w:color w:val="auto"/>
                <w:lang w:eastAsia="zh-CN"/>
              </w:rPr>
              <w:t>修编（</w:t>
            </w:r>
            <w:r>
              <w:rPr>
                <w:rFonts w:hint="eastAsia"/>
                <w:color w:val="auto"/>
                <w:lang w:val="en-US" w:eastAsia="zh-CN"/>
              </w:rPr>
              <w:t>2021-2035</w:t>
            </w:r>
            <w:r>
              <w:rPr>
                <w:rFonts w:hint="eastAsia"/>
                <w:color w:val="auto"/>
                <w:lang w:eastAsia="zh-CN"/>
              </w:rPr>
              <w:t>）》</w:t>
            </w:r>
          </w:p>
          <w:p w14:paraId="5B0C8DE7">
            <w:pPr>
              <w:ind w:firstLine="0" w:firstLineChars="0"/>
              <w:jc w:val="left"/>
              <w:rPr>
                <w:rFonts w:hint="eastAsia"/>
                <w:color w:val="auto"/>
                <w:lang w:eastAsia="zh-CN"/>
              </w:rPr>
            </w:pPr>
            <w:r>
              <w:rPr>
                <w:rFonts w:hint="eastAsia"/>
                <w:b/>
                <w:bCs/>
                <w:color w:val="auto"/>
                <w:lang w:eastAsia="zh-CN"/>
              </w:rPr>
              <w:t>规划审查机关：</w:t>
            </w:r>
            <w:r>
              <w:rPr>
                <w:rFonts w:hint="eastAsia"/>
                <w:color w:val="auto"/>
                <w:lang w:eastAsia="zh-CN"/>
              </w:rPr>
              <w:t>玉溪市人民政府</w:t>
            </w:r>
          </w:p>
          <w:p w14:paraId="1826B67A">
            <w:pPr>
              <w:ind w:firstLine="0" w:firstLineChars="0"/>
              <w:jc w:val="left"/>
              <w:rPr>
                <w:rFonts w:hint="default" w:ascii="Times New Roman" w:hAnsi="Times New Roman" w:eastAsia="宋体" w:cs="Times New Roman"/>
                <w:color w:val="auto"/>
                <w:kern w:val="2"/>
                <w:sz w:val="24"/>
                <w:szCs w:val="24"/>
                <w:lang w:val="en-US" w:eastAsia="zh-CN" w:bidi="ar-SA"/>
              </w:rPr>
            </w:pPr>
            <w:r>
              <w:rPr>
                <w:rFonts w:hint="eastAsia"/>
                <w:b/>
                <w:bCs/>
                <w:color w:val="auto"/>
              </w:rPr>
              <w:t>审查文件名称及文号：</w:t>
            </w:r>
            <w:r>
              <w:rPr>
                <w:rFonts w:hint="eastAsia"/>
                <w:color w:val="auto"/>
                <w:lang w:eastAsia="zh-CN"/>
              </w:rPr>
              <w:t>《玉溪市人民政府关于</w:t>
            </w:r>
            <w:r>
              <w:rPr>
                <w:rFonts w:hint="eastAsia"/>
                <w:color w:val="auto"/>
                <w:lang w:val="en-US" w:eastAsia="zh-CN"/>
              </w:rPr>
              <w:t>玉溪高新技术产业开发区</w:t>
            </w:r>
            <w:r>
              <w:rPr>
                <w:rFonts w:hint="eastAsia"/>
                <w:color w:val="auto"/>
                <w:lang w:eastAsia="zh-CN"/>
              </w:rPr>
              <w:t>总体规划修编（</w:t>
            </w:r>
            <w:r>
              <w:rPr>
                <w:rFonts w:hint="eastAsia"/>
                <w:color w:val="auto"/>
                <w:lang w:val="en-US" w:eastAsia="zh-CN"/>
              </w:rPr>
              <w:t>2021-2035</w:t>
            </w:r>
            <w:r>
              <w:rPr>
                <w:rFonts w:hint="eastAsia"/>
                <w:color w:val="auto"/>
                <w:lang w:eastAsia="zh-CN"/>
              </w:rPr>
              <w:t>）的批复》（玉政复</w:t>
            </w:r>
            <w:r>
              <w:rPr>
                <w:rFonts w:hint="eastAsia"/>
                <w:color w:val="auto"/>
              </w:rPr>
              <w:t>〔202</w:t>
            </w:r>
            <w:r>
              <w:rPr>
                <w:rFonts w:hint="eastAsia"/>
                <w:color w:val="auto"/>
                <w:lang w:val="en-US" w:eastAsia="zh-CN"/>
              </w:rPr>
              <w:t>3</w:t>
            </w:r>
            <w:r>
              <w:rPr>
                <w:rFonts w:hint="eastAsia"/>
                <w:color w:val="auto"/>
              </w:rPr>
              <w:t>〕</w:t>
            </w:r>
            <w:r>
              <w:rPr>
                <w:rFonts w:hint="eastAsia"/>
                <w:color w:val="auto"/>
                <w:lang w:val="en-US" w:eastAsia="zh-CN"/>
              </w:rPr>
              <w:t>5号</w:t>
            </w:r>
            <w:r>
              <w:rPr>
                <w:rFonts w:hint="eastAsia"/>
                <w:color w:val="auto"/>
                <w:lang w:eastAsia="zh-CN"/>
              </w:rPr>
              <w:t>）</w:t>
            </w:r>
          </w:p>
        </w:tc>
      </w:tr>
      <w:tr w14:paraId="19C2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0" w:type="dxa"/>
            <w:vAlign w:val="center"/>
          </w:tcPr>
          <w:p w14:paraId="3578C160">
            <w:pPr>
              <w:adjustRightInd w:val="0"/>
              <w:snapToGrid w:val="0"/>
              <w:spacing w:line="240" w:lineRule="auto"/>
              <w:ind w:firstLine="0" w:firstLineChars="0"/>
              <w:jc w:val="center"/>
              <w:rPr>
                <w:color w:val="auto"/>
              </w:rPr>
            </w:pPr>
            <w:r>
              <w:rPr>
                <w:rFonts w:cs="Times New Roman"/>
                <w:color w:val="auto"/>
              </w:rPr>
              <w:t>规划环境影响评价情况</w:t>
            </w:r>
          </w:p>
        </w:tc>
        <w:tc>
          <w:tcPr>
            <w:tcW w:w="8769" w:type="dxa"/>
            <w:gridSpan w:val="4"/>
            <w:shd w:val="clear" w:color="auto" w:fill="auto"/>
            <w:vAlign w:val="center"/>
          </w:tcPr>
          <w:p w14:paraId="24BF2E4A">
            <w:pPr>
              <w:ind w:firstLine="0" w:firstLineChars="0"/>
              <w:jc w:val="left"/>
              <w:rPr>
                <w:rFonts w:hint="eastAsia"/>
                <w:color w:val="auto"/>
              </w:rPr>
            </w:pPr>
            <w:r>
              <w:rPr>
                <w:rFonts w:hint="eastAsia"/>
                <w:b/>
                <w:bCs/>
                <w:color w:val="auto"/>
              </w:rPr>
              <w:t>规划环评文件名称：</w:t>
            </w:r>
            <w:r>
              <w:rPr>
                <w:rFonts w:hint="eastAsia"/>
                <w:color w:val="auto"/>
              </w:rPr>
              <w:t>《</w:t>
            </w:r>
            <w:r>
              <w:rPr>
                <w:rFonts w:hint="eastAsia"/>
                <w:color w:val="auto"/>
                <w:lang w:val="en-US" w:eastAsia="zh-CN"/>
              </w:rPr>
              <w:t>玉溪高新技术产业开发区总体规划</w:t>
            </w:r>
            <w:r>
              <w:rPr>
                <w:rFonts w:hint="eastAsia"/>
                <w:color w:val="auto"/>
                <w:lang w:eastAsia="zh-CN"/>
              </w:rPr>
              <w:t>修编</w:t>
            </w:r>
            <w:r>
              <w:rPr>
                <w:rFonts w:hint="eastAsia"/>
                <w:color w:val="auto"/>
              </w:rPr>
              <w:t>（2021-2035年）环境影响报告书》；</w:t>
            </w:r>
          </w:p>
          <w:p w14:paraId="0C738E9A">
            <w:pPr>
              <w:ind w:firstLine="0" w:firstLineChars="0"/>
              <w:jc w:val="left"/>
              <w:rPr>
                <w:rFonts w:hint="eastAsia" w:eastAsia="宋体"/>
                <w:color w:val="auto"/>
                <w:lang w:eastAsia="zh-CN"/>
              </w:rPr>
            </w:pPr>
            <w:r>
              <w:rPr>
                <w:rFonts w:hint="eastAsia"/>
                <w:b/>
                <w:bCs/>
                <w:color w:val="auto"/>
              </w:rPr>
              <w:t>规划环评审查机关：</w:t>
            </w:r>
            <w:r>
              <w:rPr>
                <w:rFonts w:hint="eastAsia"/>
                <w:color w:val="auto"/>
                <w:lang w:val="en-US" w:eastAsia="zh-CN"/>
              </w:rPr>
              <w:t>云南省</w:t>
            </w:r>
            <w:r>
              <w:rPr>
                <w:rFonts w:hint="eastAsia"/>
                <w:color w:val="auto"/>
                <w:lang w:eastAsia="zh-CN"/>
              </w:rPr>
              <w:t>生态环境</w:t>
            </w:r>
            <w:r>
              <w:rPr>
                <w:rFonts w:hint="eastAsia"/>
                <w:color w:val="auto"/>
                <w:lang w:val="en-US" w:eastAsia="zh-CN"/>
              </w:rPr>
              <w:t>厅</w:t>
            </w:r>
          </w:p>
          <w:p w14:paraId="4A633693">
            <w:pPr>
              <w:ind w:firstLine="0" w:firstLineChars="0"/>
              <w:jc w:val="left"/>
              <w:rPr>
                <w:rFonts w:ascii="Times New Roman" w:hAnsi="Times New Roman" w:eastAsia="宋体" w:cs="黑体"/>
                <w:color w:val="auto"/>
                <w:kern w:val="2"/>
                <w:sz w:val="24"/>
                <w:szCs w:val="24"/>
                <w:lang w:val="en-US" w:eastAsia="zh-CN" w:bidi="ar-SA"/>
              </w:rPr>
            </w:pPr>
            <w:r>
              <w:rPr>
                <w:rFonts w:hint="eastAsia"/>
                <w:b/>
                <w:bCs/>
                <w:color w:val="auto"/>
              </w:rPr>
              <w:t>审查文件名称及文号：</w:t>
            </w:r>
            <w:r>
              <w:rPr>
                <w:rFonts w:hint="eastAsia"/>
                <w:b w:val="0"/>
                <w:bCs w:val="0"/>
                <w:color w:val="auto"/>
                <w:lang w:val="en-US" w:eastAsia="zh-CN"/>
              </w:rPr>
              <w:t>云南省生态环境厅关于</w:t>
            </w:r>
            <w:r>
              <w:rPr>
                <w:rFonts w:hint="eastAsia"/>
                <w:color w:val="auto"/>
                <w:lang w:eastAsia="zh-CN"/>
              </w:rPr>
              <w:t>《</w:t>
            </w:r>
            <w:r>
              <w:rPr>
                <w:rFonts w:hint="eastAsia"/>
                <w:color w:val="auto"/>
                <w:lang w:val="en-US" w:eastAsia="zh-CN"/>
              </w:rPr>
              <w:t>玉溪高新技术产业开发区总体规划</w:t>
            </w:r>
            <w:r>
              <w:rPr>
                <w:rFonts w:hint="eastAsia"/>
                <w:color w:val="auto"/>
                <w:lang w:eastAsia="zh-CN"/>
              </w:rPr>
              <w:t>修编（2021-2035年）环境影响报告书》审查意见</w:t>
            </w:r>
            <w:r>
              <w:rPr>
                <w:rFonts w:hint="eastAsia"/>
                <w:color w:val="auto"/>
                <w:lang w:val="en-US" w:eastAsia="zh-CN"/>
              </w:rPr>
              <w:t>的函</w:t>
            </w:r>
            <w:r>
              <w:rPr>
                <w:rFonts w:hint="eastAsia"/>
                <w:color w:val="auto"/>
                <w:lang w:eastAsia="zh-CN"/>
              </w:rPr>
              <w:t>。（</w:t>
            </w:r>
            <w:r>
              <w:rPr>
                <w:rFonts w:hint="eastAsia"/>
                <w:color w:val="auto"/>
                <w:lang w:val="en-US" w:eastAsia="zh-CN"/>
              </w:rPr>
              <w:t>云</w:t>
            </w:r>
            <w:r>
              <w:rPr>
                <w:rFonts w:hint="eastAsia"/>
                <w:color w:val="auto"/>
                <w:lang w:eastAsia="zh-CN"/>
              </w:rPr>
              <w:t>环函</w:t>
            </w:r>
            <w:r>
              <w:rPr>
                <w:rFonts w:hint="eastAsia"/>
                <w:b w:val="0"/>
                <w:bCs w:val="0"/>
                <w:color w:val="auto"/>
                <w:lang w:eastAsia="zh-CN"/>
              </w:rPr>
              <w:t>〔202</w:t>
            </w:r>
            <w:r>
              <w:rPr>
                <w:rFonts w:hint="eastAsia"/>
                <w:b w:val="0"/>
                <w:bCs w:val="0"/>
                <w:color w:val="auto"/>
                <w:lang w:val="en-US" w:eastAsia="zh-CN"/>
              </w:rPr>
              <w:t>2</w:t>
            </w:r>
            <w:r>
              <w:rPr>
                <w:rFonts w:hint="eastAsia"/>
                <w:b w:val="0"/>
                <w:bCs w:val="0"/>
                <w:color w:val="auto"/>
                <w:lang w:eastAsia="zh-CN"/>
              </w:rPr>
              <w:t>〕</w:t>
            </w:r>
            <w:r>
              <w:rPr>
                <w:rFonts w:hint="eastAsia"/>
                <w:b w:val="0"/>
                <w:bCs w:val="0"/>
                <w:color w:val="auto"/>
                <w:lang w:val="en-US" w:eastAsia="zh-CN"/>
              </w:rPr>
              <w:t>400</w:t>
            </w:r>
            <w:r>
              <w:rPr>
                <w:rFonts w:hint="eastAsia"/>
                <w:b w:val="0"/>
                <w:bCs w:val="0"/>
                <w:color w:val="auto"/>
                <w:lang w:eastAsia="zh-CN"/>
              </w:rPr>
              <w:t>号</w:t>
            </w:r>
            <w:r>
              <w:rPr>
                <w:rFonts w:hint="eastAsia"/>
                <w:color w:val="auto"/>
                <w:lang w:eastAsia="zh-CN"/>
              </w:rPr>
              <w:t>）</w:t>
            </w:r>
          </w:p>
        </w:tc>
      </w:tr>
      <w:tr w14:paraId="71A0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0" w:type="dxa"/>
            <w:vAlign w:val="center"/>
          </w:tcPr>
          <w:p w14:paraId="608D3A0C">
            <w:pPr>
              <w:autoSpaceDE w:val="0"/>
              <w:autoSpaceDN w:val="0"/>
              <w:adjustRightInd w:val="0"/>
              <w:snapToGrid w:val="0"/>
              <w:spacing w:line="240" w:lineRule="auto"/>
              <w:ind w:firstLine="0" w:firstLineChars="0"/>
              <w:jc w:val="center"/>
              <w:rPr>
                <w:color w:val="auto"/>
              </w:rPr>
            </w:pPr>
            <w:r>
              <w:rPr>
                <w:rFonts w:cs="Times New Roman"/>
                <w:color w:val="auto"/>
                <w:kern w:val="0"/>
              </w:rPr>
              <w:t>规划及规划环境影响评价符合性分析</w:t>
            </w:r>
          </w:p>
        </w:tc>
        <w:tc>
          <w:tcPr>
            <w:tcW w:w="8769" w:type="dxa"/>
            <w:gridSpan w:val="4"/>
            <w:shd w:val="clear" w:color="auto" w:fill="auto"/>
            <w:vAlign w:val="center"/>
          </w:tcPr>
          <w:p w14:paraId="4084F274">
            <w:pPr>
              <w:bidi w:val="0"/>
              <w:ind w:left="0" w:leftChars="0" w:firstLine="0" w:firstLineChars="0"/>
              <w:rPr>
                <w:rFonts w:hint="eastAsia"/>
                <w:b/>
                <w:bCs/>
                <w:color w:val="auto"/>
                <w:lang w:eastAsia="zh-CN"/>
              </w:rPr>
            </w:pPr>
            <w:r>
              <w:rPr>
                <w:rFonts w:hint="eastAsia"/>
                <w:b/>
                <w:bCs/>
                <w:color w:val="auto"/>
                <w:lang w:val="en-US" w:eastAsia="zh-CN"/>
              </w:rPr>
              <w:t>1</w:t>
            </w:r>
            <w:r>
              <w:rPr>
                <w:rFonts w:hint="eastAsia"/>
                <w:b/>
                <w:bCs/>
                <w:color w:val="auto"/>
                <w:lang w:eastAsia="zh-CN"/>
              </w:rPr>
              <w:t>、与规划及规划环境影响评价结论及审查意见相符性分析</w:t>
            </w:r>
          </w:p>
          <w:p w14:paraId="0C58C23B">
            <w:pPr>
              <w:pStyle w:val="13"/>
              <w:numPr>
                <w:ilvl w:val="0"/>
                <w:numId w:val="3"/>
              </w:numPr>
              <w:rPr>
                <w:rFonts w:hint="eastAsia"/>
                <w:b/>
                <w:bCs/>
                <w:color w:val="auto"/>
                <w:lang w:eastAsia="zh-CN"/>
              </w:rPr>
            </w:pPr>
            <w:r>
              <w:rPr>
                <w:rFonts w:hint="eastAsia"/>
                <w:b/>
                <w:bCs/>
                <w:color w:val="auto"/>
                <w:lang w:eastAsia="zh-CN"/>
              </w:rPr>
              <w:t>项目与《玉溪高新技术产业开发区总体规划修编（2021-2035）》符合性分析</w:t>
            </w:r>
          </w:p>
          <w:p w14:paraId="0F606F04">
            <w:pPr>
              <w:bidi w:val="0"/>
              <w:rPr>
                <w:rFonts w:hint="eastAsia"/>
                <w:b w:val="0"/>
                <w:bCs w:val="0"/>
                <w:color w:val="auto"/>
                <w:lang w:val="en-US" w:eastAsia="zh-CN"/>
              </w:rPr>
            </w:pPr>
            <w:r>
              <w:rPr>
                <w:rFonts w:hint="eastAsia"/>
                <w:b w:val="0"/>
                <w:bCs w:val="0"/>
                <w:color w:val="auto"/>
                <w:lang w:val="en-US" w:eastAsia="zh-CN"/>
              </w:rPr>
              <w:t>根据《玉溪高新技术产业开发区总体规划修编（2021-2035）》玉溪高新技术产业开发区规划总用地面积为71.56km</w:t>
            </w:r>
            <w:r>
              <w:rPr>
                <w:rFonts w:hint="eastAsia"/>
                <w:b w:val="0"/>
                <w:bCs w:val="0"/>
                <w:color w:val="auto"/>
                <w:vertAlign w:val="superscript"/>
                <w:lang w:val="en-US" w:eastAsia="zh-CN"/>
              </w:rPr>
              <w:t>2</w:t>
            </w:r>
            <w:r>
              <w:rPr>
                <w:rFonts w:hint="eastAsia"/>
                <w:b w:val="0"/>
                <w:bCs w:val="0"/>
                <w:color w:val="auto"/>
                <w:lang w:val="en-US" w:eastAsia="zh-CN"/>
              </w:rPr>
              <w:t>，除龙泉片区位于江川区境内、双小地块位于峨山县境内，其余区域均属于红塔区辖区范围内。</w:t>
            </w:r>
          </w:p>
          <w:p w14:paraId="2ECAADE0">
            <w:pPr>
              <w:bidi w:val="0"/>
              <w:rPr>
                <w:rFonts w:hint="eastAsia"/>
                <w:b w:val="0"/>
                <w:bCs w:val="0"/>
                <w:color w:val="auto"/>
                <w:lang w:val="en-US" w:eastAsia="zh-CN"/>
              </w:rPr>
            </w:pPr>
            <w:r>
              <w:rPr>
                <w:rFonts w:hint="eastAsia"/>
                <w:b w:val="0"/>
                <w:bCs w:val="0"/>
                <w:color w:val="auto"/>
                <w:lang w:val="en-US" w:eastAsia="zh-CN"/>
              </w:rPr>
              <w:t>核心区规划总面积11.38km</w:t>
            </w:r>
            <w:r>
              <w:rPr>
                <w:rFonts w:hint="eastAsia"/>
                <w:b w:val="0"/>
                <w:bCs w:val="0"/>
                <w:color w:val="auto"/>
                <w:vertAlign w:val="superscript"/>
                <w:lang w:val="en-US" w:eastAsia="zh-CN"/>
              </w:rPr>
              <w:t>2</w:t>
            </w:r>
            <w:r>
              <w:rPr>
                <w:rFonts w:hint="eastAsia"/>
                <w:b w:val="0"/>
                <w:bCs w:val="0"/>
                <w:color w:val="auto"/>
                <w:lang w:val="en-US" w:eastAsia="zh-CN"/>
              </w:rPr>
              <w:t>，分为九龙片区及南片区两个地块；红塔片区规划总面积18.01km</w:t>
            </w:r>
            <w:r>
              <w:rPr>
                <w:rFonts w:hint="eastAsia"/>
                <w:b w:val="0"/>
                <w:bCs w:val="0"/>
                <w:color w:val="auto"/>
                <w:vertAlign w:val="superscript"/>
                <w:lang w:val="en-US" w:eastAsia="zh-CN"/>
              </w:rPr>
              <w:t>2</w:t>
            </w:r>
            <w:r>
              <w:rPr>
                <w:rFonts w:hint="eastAsia"/>
                <w:b w:val="0"/>
                <w:bCs w:val="0"/>
                <w:color w:val="auto"/>
                <w:lang w:val="en-US" w:eastAsia="zh-CN"/>
              </w:rPr>
              <w:t>，分为北城卧牛山地块、北城青龙山地块、莲池地块、观音山地块、大营街地块，共五个地块；北城片区规划总面积25.16km</w:t>
            </w:r>
            <w:r>
              <w:rPr>
                <w:rFonts w:hint="eastAsia"/>
                <w:b w:val="0"/>
                <w:bCs w:val="0"/>
                <w:color w:val="auto"/>
                <w:vertAlign w:val="superscript"/>
                <w:lang w:val="en-US" w:eastAsia="zh-CN"/>
              </w:rPr>
              <w:t>2</w:t>
            </w:r>
            <w:r>
              <w:rPr>
                <w:rFonts w:hint="eastAsia"/>
                <w:b w:val="0"/>
                <w:bCs w:val="0"/>
                <w:color w:val="auto"/>
                <w:lang w:val="en-US" w:eastAsia="zh-CN"/>
              </w:rPr>
              <w:t>，分为地块一、地块二、地块三、双小地块，共四个地块；龙泉片区规划总面积17.01km</w:t>
            </w:r>
            <w:r>
              <w:rPr>
                <w:rFonts w:hint="eastAsia"/>
                <w:b w:val="0"/>
                <w:bCs w:val="0"/>
                <w:color w:val="auto"/>
                <w:vertAlign w:val="superscript"/>
                <w:lang w:val="en-US" w:eastAsia="zh-CN"/>
              </w:rPr>
              <w:t>2</w:t>
            </w:r>
            <w:r>
              <w:rPr>
                <w:rFonts w:hint="eastAsia"/>
                <w:b w:val="0"/>
                <w:bCs w:val="0"/>
                <w:color w:val="auto"/>
                <w:lang w:val="en-US" w:eastAsia="zh-CN"/>
              </w:rPr>
              <w:t>，整个片区为一个地块。</w:t>
            </w:r>
          </w:p>
          <w:p w14:paraId="19F54E31">
            <w:pPr>
              <w:bidi w:val="0"/>
              <w:rPr>
                <w:rFonts w:hint="eastAsia"/>
                <w:b w:val="0"/>
                <w:bCs w:val="0"/>
                <w:color w:val="auto"/>
                <w:lang w:val="en-US" w:eastAsia="zh-CN"/>
              </w:rPr>
            </w:pPr>
            <w:r>
              <w:rPr>
                <w:rFonts w:hint="eastAsia"/>
                <w:b w:val="0"/>
                <w:bCs w:val="0"/>
                <w:color w:val="auto"/>
                <w:lang w:val="en-US" w:eastAsia="zh-CN"/>
              </w:rPr>
              <w:t>核心区：打造健康数字产城融合示范区。以高质量产城融合为发展导向，以大健康为特色，重点发展生物医药大健康和数字服务，坚持创新要素集聚，打造产城融合示范区。九龙片区承载技术研发、创业孵化、技术转移转化等功能。南片区打造健康创新产城融合示范区。重点产业为：数字经济、生物医药大健康、绿色食品、卷烟及配套。</w:t>
            </w:r>
          </w:p>
          <w:p w14:paraId="780C022F">
            <w:pPr>
              <w:bidi w:val="0"/>
              <w:rPr>
                <w:rFonts w:hint="eastAsia"/>
                <w:b w:val="0"/>
                <w:bCs w:val="0"/>
                <w:color w:val="auto"/>
                <w:lang w:val="en-US" w:eastAsia="zh-CN"/>
              </w:rPr>
            </w:pPr>
            <w:r>
              <w:rPr>
                <w:rFonts w:hint="eastAsia"/>
                <w:b w:val="0"/>
                <w:bCs w:val="0"/>
                <w:color w:val="auto"/>
                <w:lang w:val="en-US" w:eastAsia="zh-CN"/>
              </w:rPr>
              <w:t>项目位于玉溪高新区九龙片区D4栋第一层，属于核心区九龙片区（地块）工业用地，项目为年产900吨精酿啤酒生产制造项目，属于啤酒制造行业，行业大类属于食品行业，与核心区规划产业基本符合，不属于园区规划负面清单限制或禁止投资类项目，项目周边主要分布食品制造企业，环境相容性较好，且本项目已取得与玉溪高新技术产业开发区的投资协议与证明，详见附件5、附件6，项目符合玉溪高新区产业导向。</w:t>
            </w:r>
          </w:p>
          <w:p w14:paraId="0035B784">
            <w:pPr>
              <w:bidi w:val="0"/>
              <w:rPr>
                <w:rFonts w:hint="default"/>
                <w:b w:val="0"/>
                <w:bCs w:val="0"/>
                <w:color w:val="auto"/>
                <w:lang w:val="en-US" w:eastAsia="zh-CN"/>
              </w:rPr>
            </w:pPr>
            <w:r>
              <w:rPr>
                <w:rFonts w:hint="eastAsia"/>
                <w:b w:val="0"/>
                <w:bCs w:val="0"/>
                <w:color w:val="auto"/>
                <w:lang w:val="en-US" w:eastAsia="zh-CN"/>
              </w:rPr>
              <w:t>综上，项目符合玉溪高新技术产业开发区总体规划。</w:t>
            </w:r>
          </w:p>
          <w:p w14:paraId="67F6A2E8">
            <w:pPr>
              <w:bidi w:val="0"/>
              <w:rPr>
                <w:rFonts w:hint="eastAsia"/>
                <w:b/>
                <w:bCs/>
                <w:color w:val="auto"/>
                <w:lang w:eastAsia="zh-CN"/>
              </w:rPr>
            </w:pPr>
            <w:r>
              <w:rPr>
                <w:rFonts w:hint="eastAsia"/>
                <w:b/>
                <w:bCs/>
                <w:color w:val="auto"/>
                <w:lang w:eastAsia="zh-CN"/>
              </w:rPr>
              <w:t>（</w:t>
            </w:r>
            <w:r>
              <w:rPr>
                <w:rFonts w:hint="eastAsia"/>
                <w:b/>
                <w:bCs/>
                <w:color w:val="auto"/>
                <w:lang w:val="en-US" w:eastAsia="zh-CN"/>
              </w:rPr>
              <w:t>2</w:t>
            </w:r>
            <w:r>
              <w:rPr>
                <w:rFonts w:hint="eastAsia"/>
                <w:b/>
                <w:bCs/>
                <w:color w:val="auto"/>
                <w:lang w:eastAsia="zh-CN"/>
              </w:rPr>
              <w:t>）项目与《玉溪高新技术产业开发区总体规划修编（2021-2035）环境影响报告书》及审查意见的符合性分析</w:t>
            </w:r>
          </w:p>
          <w:p w14:paraId="057D7C1C">
            <w:pPr>
              <w:bidi w:val="0"/>
              <w:rPr>
                <w:rFonts w:hint="eastAsia"/>
                <w:color w:val="auto"/>
                <w:lang w:val="en-US" w:eastAsia="zh-CN"/>
              </w:rPr>
            </w:pPr>
            <w:r>
              <w:rPr>
                <w:rFonts w:hint="eastAsia"/>
                <w:color w:val="auto"/>
                <w:lang w:val="en-US" w:eastAsia="zh-CN"/>
              </w:rPr>
              <w:t>2022年8月5日，《玉溪高新技术产业开发区总体规划修编（2021-2035年）环境影响报告书》取得云南省生态环境厅《关于玉溪高新区技术产业开发区总体规划修编（2021-2035年）环境影响报告书的审查意见》（云环函〔2022〕400号）。</w:t>
            </w:r>
          </w:p>
          <w:p w14:paraId="7761ACF5">
            <w:pPr>
              <w:bidi w:val="0"/>
              <w:rPr>
                <w:rFonts w:hint="eastAsia"/>
                <w:color w:val="auto"/>
                <w:lang w:val="en-US" w:eastAsia="zh-CN"/>
              </w:rPr>
            </w:pPr>
            <w:r>
              <w:rPr>
                <w:rFonts w:hint="eastAsia"/>
                <w:color w:val="auto"/>
                <w:lang w:val="en-US" w:eastAsia="zh-CN"/>
              </w:rPr>
              <w:t>项目与《玉溪高新技术产业开发区总体规划修编（2021-2035年）环境影响报告书》符合性分析见下表。</w:t>
            </w:r>
          </w:p>
          <w:p w14:paraId="15CAA6A3">
            <w:pPr>
              <w:bidi w:val="0"/>
              <w:rPr>
                <w:rFonts w:hint="eastAsia"/>
                <w:b/>
                <w:bCs/>
                <w:color w:val="auto"/>
                <w:lang w:eastAsia="zh-CN"/>
              </w:rPr>
            </w:pPr>
            <w:r>
              <w:rPr>
                <w:rFonts w:hint="eastAsia"/>
                <w:b/>
                <w:bCs/>
                <w:color w:val="auto"/>
                <w:lang w:val="en-US" w:eastAsia="zh-CN"/>
              </w:rPr>
              <w:t>1</w:t>
            </w:r>
            <w:r>
              <w:rPr>
                <w:rFonts w:hint="eastAsia"/>
                <w:b/>
                <w:bCs/>
                <w:color w:val="auto"/>
                <w:lang w:eastAsia="zh-CN"/>
              </w:rPr>
              <w:t>）与规划环评符合性分析</w:t>
            </w:r>
          </w:p>
          <w:p w14:paraId="5F7D4C11">
            <w:pPr>
              <w:bidi w:val="0"/>
              <w:rPr>
                <w:rFonts w:hint="eastAsia"/>
                <w:color w:val="auto"/>
                <w:lang w:eastAsia="zh-CN"/>
              </w:rPr>
            </w:pPr>
            <w:r>
              <w:rPr>
                <w:rFonts w:hint="eastAsia"/>
                <w:color w:val="auto"/>
                <w:lang w:eastAsia="zh-CN"/>
              </w:rPr>
              <w:t>与规划环评符合性分析如下所示：</w:t>
            </w:r>
          </w:p>
          <w:p w14:paraId="15ADB652">
            <w:pPr>
              <w:pStyle w:val="30"/>
              <w:bidi w:val="0"/>
              <w:rPr>
                <w:rFonts w:hint="eastAsia"/>
                <w:color w:val="auto"/>
                <w:lang w:eastAsia="zh-CN"/>
              </w:rPr>
            </w:pPr>
          </w:p>
          <w:p w14:paraId="7CDD40F3">
            <w:pPr>
              <w:pStyle w:val="30"/>
              <w:bidi w:val="0"/>
              <w:rPr>
                <w:rFonts w:hint="eastAsia"/>
                <w:color w:val="auto"/>
                <w:lang w:val="en-US" w:eastAsia="zh-CN"/>
              </w:rPr>
            </w:pPr>
            <w:r>
              <w:rPr>
                <w:rFonts w:hint="eastAsia"/>
                <w:color w:val="auto"/>
                <w:lang w:eastAsia="zh-CN"/>
              </w:rPr>
              <w:t>表</w:t>
            </w:r>
            <w:r>
              <w:rPr>
                <w:rFonts w:hint="eastAsia"/>
                <w:color w:val="auto"/>
                <w:lang w:val="en-US" w:eastAsia="zh-CN"/>
              </w:rPr>
              <w:t>1-2 与规划环评符合性分析一览表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3419"/>
              <w:gridCol w:w="3742"/>
              <w:gridCol w:w="673"/>
            </w:tblGrid>
            <w:tr w14:paraId="6EFEE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55D9EC5F">
                  <w:pPr>
                    <w:pStyle w:val="29"/>
                    <w:bidi w:val="0"/>
                    <w:rPr>
                      <w:rFonts w:hint="default"/>
                      <w:color w:val="auto"/>
                      <w:lang w:val="en-US" w:eastAsia="zh-CN"/>
                    </w:rPr>
                  </w:pPr>
                  <w:r>
                    <w:rPr>
                      <w:rFonts w:hint="eastAsia"/>
                      <w:color w:val="auto"/>
                      <w:lang w:val="en-US" w:eastAsia="zh-CN"/>
                    </w:rPr>
                    <w:t>准入要求</w:t>
                  </w:r>
                </w:p>
              </w:tc>
              <w:tc>
                <w:tcPr>
                  <w:tcW w:w="2001" w:type="pct"/>
                  <w:vAlign w:val="center"/>
                </w:tcPr>
                <w:p w14:paraId="5A6DC2CF">
                  <w:pPr>
                    <w:pStyle w:val="29"/>
                    <w:bidi w:val="0"/>
                    <w:rPr>
                      <w:rFonts w:hint="default"/>
                      <w:color w:val="auto"/>
                      <w:lang w:val="en-US" w:eastAsia="zh-CN"/>
                    </w:rPr>
                  </w:pPr>
                  <w:r>
                    <w:rPr>
                      <w:rFonts w:hint="eastAsia"/>
                      <w:color w:val="auto"/>
                      <w:lang w:val="en-US" w:eastAsia="zh-CN"/>
                    </w:rPr>
                    <w:t>规划环评要求（核心区）</w:t>
                  </w:r>
                </w:p>
              </w:tc>
              <w:tc>
                <w:tcPr>
                  <w:tcW w:w="2190" w:type="pct"/>
                  <w:vAlign w:val="center"/>
                </w:tcPr>
                <w:p w14:paraId="39045573">
                  <w:pPr>
                    <w:pStyle w:val="29"/>
                    <w:bidi w:val="0"/>
                    <w:rPr>
                      <w:rFonts w:hint="default"/>
                      <w:color w:val="auto"/>
                      <w:lang w:val="en-US" w:eastAsia="zh-CN"/>
                    </w:rPr>
                  </w:pPr>
                  <w:r>
                    <w:rPr>
                      <w:rFonts w:hint="eastAsia"/>
                      <w:color w:val="auto"/>
                      <w:lang w:val="en-US" w:eastAsia="zh-CN"/>
                    </w:rPr>
                    <w:t>本项目情况</w:t>
                  </w:r>
                </w:p>
              </w:tc>
              <w:tc>
                <w:tcPr>
                  <w:tcW w:w="394" w:type="pct"/>
                  <w:vAlign w:val="center"/>
                </w:tcPr>
                <w:p w14:paraId="5BEF59B2">
                  <w:pPr>
                    <w:pStyle w:val="29"/>
                    <w:bidi w:val="0"/>
                    <w:rPr>
                      <w:rFonts w:hint="default"/>
                      <w:color w:val="auto"/>
                      <w:lang w:val="en-US" w:eastAsia="zh-CN"/>
                    </w:rPr>
                  </w:pPr>
                  <w:r>
                    <w:rPr>
                      <w:rFonts w:hint="eastAsia"/>
                      <w:color w:val="auto"/>
                      <w:lang w:val="en-US" w:eastAsia="zh-CN"/>
                    </w:rPr>
                    <w:t>符合性</w:t>
                  </w:r>
                </w:p>
              </w:tc>
            </w:tr>
            <w:tr w14:paraId="6EDE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6B4290E1">
                  <w:pPr>
                    <w:pStyle w:val="29"/>
                    <w:bidi w:val="0"/>
                    <w:rPr>
                      <w:rFonts w:hint="default"/>
                      <w:color w:val="auto"/>
                      <w:lang w:val="en-US" w:eastAsia="zh-CN"/>
                    </w:rPr>
                  </w:pPr>
                  <w:r>
                    <w:rPr>
                      <w:rFonts w:hint="eastAsia"/>
                      <w:color w:val="auto"/>
                      <w:lang w:val="en-US" w:eastAsia="zh-CN"/>
                    </w:rPr>
                    <w:t>空间布局</w:t>
                  </w:r>
                </w:p>
              </w:tc>
              <w:tc>
                <w:tcPr>
                  <w:tcW w:w="2001" w:type="pct"/>
                  <w:vAlign w:val="center"/>
                </w:tcPr>
                <w:p w14:paraId="240A2415">
                  <w:pPr>
                    <w:pStyle w:val="29"/>
                    <w:bidi w:val="0"/>
                    <w:jc w:val="left"/>
                    <w:rPr>
                      <w:rFonts w:hint="default"/>
                      <w:color w:val="auto"/>
                      <w:lang w:val="en-US" w:eastAsia="zh-CN"/>
                    </w:rPr>
                  </w:pPr>
                  <w:r>
                    <w:rPr>
                      <w:rFonts w:hint="default"/>
                      <w:color w:val="auto"/>
                      <w:lang w:val="en-US" w:eastAsia="zh-CN"/>
                    </w:rPr>
                    <w:t>1.九龙地块、南地块禁止《环境保护综合名录（2021年版）》中高风险、高污染行业以及《云南省城镇人口密集区危险化学品生产企业搬迁改造实施方案》中相关企业入驻。</w:t>
                  </w:r>
                </w:p>
                <w:p w14:paraId="2A1FEE17">
                  <w:pPr>
                    <w:pStyle w:val="29"/>
                    <w:bidi w:val="0"/>
                    <w:jc w:val="left"/>
                    <w:rPr>
                      <w:rFonts w:hint="default"/>
                      <w:color w:val="auto"/>
                      <w:lang w:val="en-US" w:eastAsia="zh-CN"/>
                    </w:rPr>
                  </w:pPr>
                  <w:r>
                    <w:rPr>
                      <w:rFonts w:hint="default"/>
                      <w:color w:val="auto"/>
                      <w:lang w:val="en-US" w:eastAsia="zh-CN"/>
                    </w:rPr>
                    <w:t>2.南地块距离红塔山保护区较近，该地块企业入驻时，应优化企业的内部布局，与红塔自然保护区保持一定缓冲距离；对主要产排废气的装置区，应远离红塔自然保护区。</w:t>
                  </w:r>
                </w:p>
                <w:p w14:paraId="1C5A256E">
                  <w:pPr>
                    <w:pStyle w:val="29"/>
                    <w:bidi w:val="0"/>
                    <w:jc w:val="left"/>
                    <w:rPr>
                      <w:rFonts w:hint="default"/>
                      <w:color w:val="auto"/>
                      <w:lang w:val="en-US" w:eastAsia="zh-CN"/>
                    </w:rPr>
                  </w:pPr>
                  <w:r>
                    <w:rPr>
                      <w:rFonts w:hint="default"/>
                      <w:color w:val="auto"/>
                      <w:lang w:val="en-US" w:eastAsia="zh-CN"/>
                    </w:rPr>
                    <w:t>3.禁止不符合产业政策、不符合片区产业定位企业入驻。</w:t>
                  </w:r>
                </w:p>
                <w:p w14:paraId="759B38BA">
                  <w:pPr>
                    <w:pStyle w:val="29"/>
                    <w:bidi w:val="0"/>
                    <w:jc w:val="left"/>
                    <w:rPr>
                      <w:rFonts w:hint="default"/>
                      <w:color w:val="auto"/>
                      <w:lang w:val="en-US" w:eastAsia="zh-CN"/>
                    </w:rPr>
                  </w:pPr>
                  <w:r>
                    <w:rPr>
                      <w:rFonts w:hint="default"/>
                      <w:color w:val="auto"/>
                      <w:lang w:val="en-US" w:eastAsia="zh-CN"/>
                    </w:rPr>
                    <w:t>4.在玉溪大河、石邑河水质达标前，禁止引入排水量大的水污染型企业。</w:t>
                  </w:r>
                </w:p>
                <w:p w14:paraId="6FB1C853">
                  <w:pPr>
                    <w:pStyle w:val="29"/>
                    <w:bidi w:val="0"/>
                    <w:jc w:val="left"/>
                    <w:rPr>
                      <w:rFonts w:hint="default"/>
                      <w:color w:val="auto"/>
                      <w:lang w:val="en-US" w:eastAsia="zh-CN"/>
                    </w:rPr>
                  </w:pPr>
                  <w:r>
                    <w:rPr>
                      <w:rFonts w:hint="default"/>
                      <w:color w:val="auto"/>
                      <w:lang w:val="en-US" w:eastAsia="zh-CN"/>
                    </w:rPr>
                    <w:t>5.烟草及配套产业应限制污染物新增，减少对主城区的影响；限制建设烟草制品加工项目</w:t>
                  </w:r>
                  <w:r>
                    <w:rPr>
                      <w:rFonts w:hint="eastAsia"/>
                      <w:color w:val="auto"/>
                      <w:lang w:val="en-US" w:eastAsia="zh-CN"/>
                    </w:rPr>
                    <w:t>。</w:t>
                  </w:r>
                </w:p>
              </w:tc>
              <w:tc>
                <w:tcPr>
                  <w:tcW w:w="2190" w:type="pct"/>
                  <w:vAlign w:val="center"/>
                </w:tcPr>
                <w:p w14:paraId="751774C0">
                  <w:pPr>
                    <w:pStyle w:val="29"/>
                    <w:bidi w:val="0"/>
                    <w:rPr>
                      <w:rFonts w:hint="eastAsia"/>
                      <w:color w:val="auto"/>
                      <w:lang w:val="en-US" w:eastAsia="zh-CN"/>
                    </w:rPr>
                  </w:pPr>
                  <w:r>
                    <w:rPr>
                      <w:rFonts w:hint="eastAsia"/>
                      <w:color w:val="auto"/>
                      <w:lang w:val="en-US" w:eastAsia="zh-CN"/>
                    </w:rPr>
                    <w:t>1、项目位于九龙地块，不属于《环境保护综合名录（2021年版）》中高风险、高污染行业以及《云南省城镇人口密集区危险化学品生产企业搬迁改造实施方案》中相关的企业。</w:t>
                  </w:r>
                </w:p>
                <w:p w14:paraId="35213550">
                  <w:pPr>
                    <w:pStyle w:val="29"/>
                    <w:bidi w:val="0"/>
                    <w:rPr>
                      <w:rFonts w:hint="default"/>
                      <w:color w:val="auto"/>
                      <w:lang w:val="en-US" w:eastAsia="zh-CN"/>
                    </w:rPr>
                  </w:pPr>
                  <w:r>
                    <w:rPr>
                      <w:rFonts w:hint="eastAsia"/>
                      <w:color w:val="auto"/>
                      <w:lang w:val="en-US" w:eastAsia="zh-CN"/>
                    </w:rPr>
                    <w:t>2、本项目位于九龙地块，不属于南地块。</w:t>
                  </w:r>
                </w:p>
                <w:p w14:paraId="16BA496E">
                  <w:pPr>
                    <w:pStyle w:val="29"/>
                    <w:bidi w:val="0"/>
                    <w:rPr>
                      <w:rFonts w:hint="eastAsia"/>
                      <w:color w:val="auto"/>
                      <w:lang w:val="en-US" w:eastAsia="zh-CN"/>
                    </w:rPr>
                  </w:pPr>
                  <w:r>
                    <w:rPr>
                      <w:rFonts w:hint="eastAsia"/>
                      <w:color w:val="auto"/>
                      <w:lang w:val="en-US" w:eastAsia="zh-CN"/>
                    </w:rPr>
                    <w:t>3、项目不属于《产业结构调整指导目录（2024年本）》中的限制类和淘汰类，视为允许类，属于九龙地块食品产业，符合片区产业定位。</w:t>
                  </w:r>
                </w:p>
                <w:p w14:paraId="31346159">
                  <w:pPr>
                    <w:pStyle w:val="29"/>
                    <w:bidi w:val="0"/>
                    <w:rPr>
                      <w:rFonts w:hint="eastAsia"/>
                      <w:color w:val="auto"/>
                      <w:lang w:val="en-US" w:eastAsia="zh-CN"/>
                    </w:rPr>
                  </w:pPr>
                  <w:r>
                    <w:rPr>
                      <w:rFonts w:hint="eastAsia"/>
                      <w:color w:val="auto"/>
                      <w:lang w:val="en-US" w:eastAsia="zh-CN"/>
                    </w:rPr>
                    <w:t>4、本项目为年产900吨精酿啤酒企业，规模较小，废水经自建的一体化污水处理设施处理达标后排至园区污水管网，进入玉溪市第一和第三污水处理厂处理处理。项目不属于排水量大的水污染型企业。</w:t>
                  </w:r>
                </w:p>
                <w:p w14:paraId="5BF5A0CB">
                  <w:pPr>
                    <w:pStyle w:val="29"/>
                    <w:bidi w:val="0"/>
                    <w:rPr>
                      <w:rFonts w:hint="default"/>
                      <w:color w:val="auto"/>
                      <w:lang w:val="en-US" w:eastAsia="zh-CN"/>
                    </w:rPr>
                  </w:pPr>
                  <w:r>
                    <w:rPr>
                      <w:rFonts w:hint="eastAsia"/>
                      <w:color w:val="auto"/>
                      <w:lang w:val="en-US" w:eastAsia="zh-CN"/>
                    </w:rPr>
                    <w:t>5、本项目不属于烟草及配套产业，不属于烟草制品加工项目。</w:t>
                  </w:r>
                </w:p>
              </w:tc>
              <w:tc>
                <w:tcPr>
                  <w:tcW w:w="394" w:type="pct"/>
                  <w:vAlign w:val="center"/>
                </w:tcPr>
                <w:p w14:paraId="7FA84B70">
                  <w:pPr>
                    <w:pStyle w:val="29"/>
                    <w:bidi w:val="0"/>
                    <w:rPr>
                      <w:rFonts w:hint="default"/>
                      <w:color w:val="auto"/>
                      <w:lang w:val="en-US" w:eastAsia="zh-CN"/>
                    </w:rPr>
                  </w:pPr>
                  <w:r>
                    <w:rPr>
                      <w:rFonts w:hint="eastAsia"/>
                      <w:color w:val="auto"/>
                      <w:lang w:val="en-US" w:eastAsia="zh-CN"/>
                    </w:rPr>
                    <w:t>符合</w:t>
                  </w:r>
                </w:p>
              </w:tc>
            </w:tr>
            <w:tr w14:paraId="0E6B1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72002307">
                  <w:pPr>
                    <w:pStyle w:val="29"/>
                    <w:bidi w:val="0"/>
                    <w:rPr>
                      <w:rFonts w:hint="default"/>
                      <w:color w:val="auto"/>
                      <w:lang w:val="en-US" w:eastAsia="zh-CN"/>
                    </w:rPr>
                  </w:pPr>
                  <w:r>
                    <w:rPr>
                      <w:rFonts w:hint="eastAsia"/>
                      <w:color w:val="auto"/>
                      <w:lang w:val="en-US" w:eastAsia="zh-CN"/>
                    </w:rPr>
                    <w:t>污染物排放管控</w:t>
                  </w:r>
                </w:p>
              </w:tc>
              <w:tc>
                <w:tcPr>
                  <w:tcW w:w="2001" w:type="pct"/>
                  <w:vAlign w:val="center"/>
                </w:tcPr>
                <w:p w14:paraId="112F6ACC">
                  <w:pPr>
                    <w:pStyle w:val="29"/>
                    <w:bidi w:val="0"/>
                    <w:jc w:val="left"/>
                    <w:rPr>
                      <w:rFonts w:hint="default"/>
                      <w:color w:val="auto"/>
                      <w:lang w:val="en-US" w:eastAsia="zh-CN"/>
                    </w:rPr>
                  </w:pPr>
                  <w:r>
                    <w:rPr>
                      <w:rFonts w:hint="default"/>
                      <w:color w:val="auto"/>
                      <w:lang w:val="en-US" w:eastAsia="zh-CN"/>
                    </w:rPr>
                    <w:t>1.废水含难降解的有机污染物（多环芳烃、氯苯、芳烃、硝基化合物）、“三致”污染物（甲基汞、多氯联苯、氯甲烷、氯乙烯、苯、镍等致癌、致畸、致突变的物质）项目禁止外排废水。</w:t>
                  </w:r>
                </w:p>
                <w:p w14:paraId="20B3DBAB">
                  <w:pPr>
                    <w:pStyle w:val="29"/>
                    <w:bidi w:val="0"/>
                    <w:jc w:val="left"/>
                    <w:rPr>
                      <w:rFonts w:hint="default"/>
                      <w:color w:val="auto"/>
                      <w:lang w:val="en-US" w:eastAsia="zh-CN"/>
                    </w:rPr>
                  </w:pPr>
                  <w:r>
                    <w:rPr>
                      <w:rFonts w:hint="default"/>
                      <w:color w:val="auto"/>
                      <w:lang w:val="en-US" w:eastAsia="zh-CN"/>
                    </w:rPr>
                    <w:t>2.南片区新建项目废气污染物实行等量或减量替代。</w:t>
                  </w:r>
                </w:p>
              </w:tc>
              <w:tc>
                <w:tcPr>
                  <w:tcW w:w="2190" w:type="pct"/>
                  <w:vAlign w:val="center"/>
                </w:tcPr>
                <w:p w14:paraId="4BD401AE">
                  <w:pPr>
                    <w:pStyle w:val="29"/>
                    <w:bidi w:val="0"/>
                    <w:rPr>
                      <w:rFonts w:hint="eastAsia"/>
                      <w:color w:val="auto"/>
                      <w:lang w:val="en-US" w:eastAsia="zh-CN"/>
                    </w:rPr>
                  </w:pPr>
                  <w:r>
                    <w:rPr>
                      <w:rFonts w:hint="eastAsia"/>
                      <w:color w:val="auto"/>
                      <w:lang w:val="en-US" w:eastAsia="zh-CN"/>
                    </w:rPr>
                    <w:t>1、本项目为年产900吨精酿啤酒企业，废水不含难溶解的有机物和“三致”污染物等，不属于禁止外排的废水类型。</w:t>
                  </w:r>
                </w:p>
                <w:p w14:paraId="24790969">
                  <w:pPr>
                    <w:pStyle w:val="29"/>
                    <w:bidi w:val="0"/>
                    <w:rPr>
                      <w:rFonts w:hint="default"/>
                      <w:color w:val="auto"/>
                      <w:lang w:val="en-US" w:eastAsia="zh-CN"/>
                    </w:rPr>
                  </w:pPr>
                  <w:r>
                    <w:rPr>
                      <w:rFonts w:hint="eastAsia"/>
                      <w:color w:val="auto"/>
                      <w:lang w:val="en-US" w:eastAsia="zh-CN"/>
                    </w:rPr>
                    <w:t>2、本项目位于九龙片区，不涉及南片区及其管控项目。</w:t>
                  </w:r>
                </w:p>
              </w:tc>
              <w:tc>
                <w:tcPr>
                  <w:tcW w:w="394" w:type="pct"/>
                  <w:vAlign w:val="center"/>
                </w:tcPr>
                <w:p w14:paraId="77AE964A">
                  <w:pPr>
                    <w:pStyle w:val="29"/>
                    <w:bidi w:val="0"/>
                    <w:rPr>
                      <w:rFonts w:hint="default"/>
                      <w:color w:val="auto"/>
                      <w:lang w:val="en-US" w:eastAsia="zh-CN"/>
                    </w:rPr>
                  </w:pPr>
                  <w:r>
                    <w:rPr>
                      <w:rFonts w:hint="eastAsia"/>
                      <w:color w:val="auto"/>
                      <w:lang w:val="en-US" w:eastAsia="zh-CN"/>
                    </w:rPr>
                    <w:t>符合</w:t>
                  </w:r>
                </w:p>
              </w:tc>
            </w:tr>
            <w:tr w14:paraId="13059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3C02FB29">
                  <w:pPr>
                    <w:pStyle w:val="29"/>
                    <w:bidi w:val="0"/>
                    <w:rPr>
                      <w:rFonts w:hint="default"/>
                      <w:color w:val="auto"/>
                      <w:lang w:val="en-US" w:eastAsia="zh-CN"/>
                    </w:rPr>
                  </w:pPr>
                  <w:r>
                    <w:rPr>
                      <w:rFonts w:hint="eastAsia"/>
                      <w:color w:val="auto"/>
                      <w:lang w:val="en-US" w:eastAsia="zh-CN"/>
                    </w:rPr>
                    <w:t>环境风险防控</w:t>
                  </w:r>
                </w:p>
              </w:tc>
              <w:tc>
                <w:tcPr>
                  <w:tcW w:w="2001" w:type="pct"/>
                  <w:vAlign w:val="center"/>
                </w:tcPr>
                <w:p w14:paraId="00E41801">
                  <w:pPr>
                    <w:pStyle w:val="29"/>
                    <w:bidi w:val="0"/>
                    <w:rPr>
                      <w:rFonts w:hint="default"/>
                      <w:color w:val="auto"/>
                      <w:lang w:val="en-US" w:eastAsia="zh-CN"/>
                    </w:rPr>
                  </w:pPr>
                  <w:r>
                    <w:rPr>
                      <w:rFonts w:hint="default"/>
                      <w:color w:val="auto"/>
                      <w:lang w:val="en-US" w:eastAsia="zh-CN"/>
                    </w:rPr>
                    <w:t>1.禁止《环境保护综合名录（2021年版）》中高风险、高污染行业以及《云南省城镇人口密集区危险化学品生产企业搬迁改造实施方案》中相关企业入驻；</w:t>
                  </w:r>
                </w:p>
                <w:p w14:paraId="3D728C5E">
                  <w:pPr>
                    <w:pStyle w:val="29"/>
                    <w:bidi w:val="0"/>
                    <w:rPr>
                      <w:rFonts w:hint="default"/>
                      <w:color w:val="auto"/>
                      <w:lang w:val="en-US" w:eastAsia="zh-CN"/>
                    </w:rPr>
                  </w:pPr>
                  <w:r>
                    <w:rPr>
                      <w:rFonts w:hint="default"/>
                      <w:color w:val="auto"/>
                      <w:lang w:val="en-US" w:eastAsia="zh-CN"/>
                    </w:rPr>
                    <w:t>2.片区内企业入驻项目需与敏感点保持足够的卫生、环境防护距离要求。</w:t>
                  </w:r>
                </w:p>
              </w:tc>
              <w:tc>
                <w:tcPr>
                  <w:tcW w:w="2190" w:type="pct"/>
                  <w:vAlign w:val="center"/>
                </w:tcPr>
                <w:p w14:paraId="2EEADB53">
                  <w:pPr>
                    <w:pStyle w:val="29"/>
                    <w:bidi w:val="0"/>
                    <w:rPr>
                      <w:rFonts w:hint="eastAsia"/>
                      <w:color w:val="auto"/>
                      <w:lang w:val="en-US" w:eastAsia="zh-CN"/>
                    </w:rPr>
                  </w:pPr>
                  <w:r>
                    <w:rPr>
                      <w:rFonts w:hint="eastAsia"/>
                      <w:color w:val="auto"/>
                      <w:lang w:val="en-US" w:eastAsia="zh-CN"/>
                    </w:rPr>
                    <w:t>1、本项目位于九龙地块，不属于《环境保护综合名录（2021年版）》中高风险、高污染行业以及《云南省城镇人口密集区危险化学品生产企业搬迁改造实施方案》中禁止入驻企业。</w:t>
                  </w:r>
                </w:p>
                <w:p w14:paraId="46192466">
                  <w:pPr>
                    <w:pStyle w:val="29"/>
                    <w:bidi w:val="0"/>
                    <w:rPr>
                      <w:rFonts w:hint="default"/>
                      <w:color w:val="auto"/>
                      <w:lang w:val="en-US" w:eastAsia="zh-CN"/>
                    </w:rPr>
                  </w:pPr>
                  <w:r>
                    <w:rPr>
                      <w:rFonts w:hint="eastAsia"/>
                      <w:color w:val="auto"/>
                      <w:lang w:val="en-US" w:eastAsia="zh-CN"/>
                    </w:rPr>
                    <w:t>2、本项目为啤酒制造项目，不涉及有毒有害气体排放，与周边的环境敏感点距离较远，且有密闭厂房作为阻隔，不受卫生、环境防护距离限制。</w:t>
                  </w:r>
                </w:p>
              </w:tc>
              <w:tc>
                <w:tcPr>
                  <w:tcW w:w="394" w:type="pct"/>
                  <w:vAlign w:val="center"/>
                </w:tcPr>
                <w:p w14:paraId="4EF273ED">
                  <w:pPr>
                    <w:pStyle w:val="29"/>
                    <w:bidi w:val="0"/>
                    <w:rPr>
                      <w:rFonts w:hint="default"/>
                      <w:color w:val="auto"/>
                      <w:lang w:val="en-US" w:eastAsia="zh-CN"/>
                    </w:rPr>
                  </w:pPr>
                  <w:r>
                    <w:rPr>
                      <w:rFonts w:hint="eastAsia"/>
                      <w:color w:val="auto"/>
                      <w:lang w:val="en-US" w:eastAsia="zh-CN"/>
                    </w:rPr>
                    <w:t>符合</w:t>
                  </w:r>
                </w:p>
              </w:tc>
            </w:tr>
            <w:tr w14:paraId="1D843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3" w:type="pct"/>
                  <w:vAlign w:val="center"/>
                </w:tcPr>
                <w:p w14:paraId="7273A07B">
                  <w:pPr>
                    <w:pStyle w:val="29"/>
                    <w:bidi w:val="0"/>
                    <w:rPr>
                      <w:rFonts w:hint="default"/>
                      <w:color w:val="auto"/>
                      <w:lang w:val="en-US" w:eastAsia="zh-CN"/>
                    </w:rPr>
                  </w:pPr>
                  <w:r>
                    <w:rPr>
                      <w:rFonts w:hint="eastAsia"/>
                      <w:color w:val="auto"/>
                      <w:lang w:val="en-US" w:eastAsia="zh-CN"/>
                    </w:rPr>
                    <w:t>资源开发利用效率</w:t>
                  </w:r>
                </w:p>
              </w:tc>
              <w:tc>
                <w:tcPr>
                  <w:tcW w:w="2001" w:type="pct"/>
                  <w:vAlign w:val="center"/>
                </w:tcPr>
                <w:p w14:paraId="257AA22C">
                  <w:pPr>
                    <w:pStyle w:val="29"/>
                    <w:bidi w:val="0"/>
                    <w:jc w:val="left"/>
                    <w:rPr>
                      <w:rFonts w:hint="default"/>
                      <w:color w:val="auto"/>
                      <w:lang w:val="en-US" w:eastAsia="zh-CN"/>
                    </w:rPr>
                  </w:pPr>
                  <w:r>
                    <w:rPr>
                      <w:rFonts w:hint="default"/>
                      <w:color w:val="auto"/>
                      <w:lang w:val="en-US" w:eastAsia="zh-CN"/>
                    </w:rPr>
                    <w:t>入驻企业工业用水鼓励优先使用再生水，禁止取用地下水作为生产用</w:t>
                  </w:r>
                </w:p>
                <w:p w14:paraId="5D0F97DC">
                  <w:pPr>
                    <w:pStyle w:val="29"/>
                    <w:bidi w:val="0"/>
                    <w:jc w:val="left"/>
                    <w:rPr>
                      <w:rFonts w:hint="default"/>
                      <w:color w:val="auto"/>
                      <w:lang w:val="en-US" w:eastAsia="zh-CN"/>
                    </w:rPr>
                  </w:pPr>
                  <w:r>
                    <w:rPr>
                      <w:rFonts w:hint="default"/>
                      <w:color w:val="auto"/>
                      <w:lang w:val="en-US" w:eastAsia="zh-CN"/>
                    </w:rPr>
                    <w:t>水。</w:t>
                  </w:r>
                </w:p>
              </w:tc>
              <w:tc>
                <w:tcPr>
                  <w:tcW w:w="2190" w:type="pct"/>
                  <w:vAlign w:val="center"/>
                </w:tcPr>
                <w:p w14:paraId="5EB84874">
                  <w:pPr>
                    <w:pStyle w:val="29"/>
                    <w:bidi w:val="0"/>
                    <w:rPr>
                      <w:rFonts w:hint="default"/>
                      <w:color w:val="auto"/>
                      <w:lang w:val="en-US" w:eastAsia="zh-CN"/>
                    </w:rPr>
                  </w:pPr>
                  <w:r>
                    <w:rPr>
                      <w:rFonts w:hint="eastAsia"/>
                      <w:color w:val="auto"/>
                      <w:lang w:val="en-US" w:eastAsia="zh-CN"/>
                    </w:rPr>
                    <w:t>本项目用水由市政管网供给，不涉及地下水开采。</w:t>
                  </w:r>
                </w:p>
              </w:tc>
              <w:tc>
                <w:tcPr>
                  <w:tcW w:w="394" w:type="pct"/>
                  <w:vAlign w:val="center"/>
                </w:tcPr>
                <w:p w14:paraId="5FD12205">
                  <w:pPr>
                    <w:pStyle w:val="29"/>
                    <w:bidi w:val="0"/>
                    <w:rPr>
                      <w:rFonts w:hint="default"/>
                      <w:color w:val="auto"/>
                      <w:lang w:val="en-US" w:eastAsia="zh-CN"/>
                    </w:rPr>
                  </w:pPr>
                  <w:r>
                    <w:rPr>
                      <w:rFonts w:hint="eastAsia"/>
                      <w:color w:val="auto"/>
                      <w:lang w:val="en-US" w:eastAsia="zh-CN"/>
                    </w:rPr>
                    <w:t>符合</w:t>
                  </w:r>
                </w:p>
              </w:tc>
            </w:tr>
          </w:tbl>
          <w:p w14:paraId="3B8CE757">
            <w:pPr>
              <w:rPr>
                <w:rFonts w:hint="default"/>
                <w:color w:val="auto"/>
                <w:lang w:val="en-US" w:eastAsia="zh-CN"/>
              </w:rPr>
            </w:pPr>
            <w:r>
              <w:rPr>
                <w:rFonts w:hint="eastAsia"/>
                <w:color w:val="auto"/>
                <w:lang w:val="en-US" w:eastAsia="zh-CN"/>
              </w:rPr>
              <w:t>2）与审查意见符合性分析</w:t>
            </w:r>
          </w:p>
          <w:p w14:paraId="4739751D">
            <w:pPr>
              <w:pStyle w:val="13"/>
              <w:rPr>
                <w:rFonts w:hint="default"/>
                <w:color w:val="auto"/>
                <w:lang w:val="en-US" w:eastAsia="zh-CN"/>
              </w:rPr>
            </w:pPr>
            <w:r>
              <w:rPr>
                <w:rFonts w:hint="default"/>
                <w:color w:val="auto"/>
                <w:lang w:val="en-US" w:eastAsia="zh-CN"/>
              </w:rPr>
              <w:t>本项目与园区规划环评</w:t>
            </w:r>
            <w:r>
              <w:rPr>
                <w:rFonts w:hint="eastAsia"/>
                <w:color w:val="auto"/>
                <w:lang w:val="en-US" w:eastAsia="zh-CN"/>
              </w:rPr>
              <w:t>审查</w:t>
            </w:r>
            <w:r>
              <w:rPr>
                <w:rFonts w:hint="default"/>
                <w:color w:val="auto"/>
                <w:lang w:val="en-US" w:eastAsia="zh-CN"/>
              </w:rPr>
              <w:t>意见的相符性见下表。</w:t>
            </w:r>
          </w:p>
          <w:p w14:paraId="3394D2E2">
            <w:pPr>
              <w:pStyle w:val="30"/>
              <w:bidi w:val="0"/>
              <w:rPr>
                <w:rFonts w:hint="eastAsia"/>
                <w:color w:val="auto"/>
                <w:lang w:val="en-US" w:eastAsia="zh-CN"/>
              </w:rPr>
            </w:pPr>
            <w:r>
              <w:rPr>
                <w:rFonts w:hint="eastAsia"/>
                <w:color w:val="auto"/>
                <w:lang w:eastAsia="zh-CN"/>
              </w:rPr>
              <w:t>表</w:t>
            </w:r>
            <w:r>
              <w:rPr>
                <w:rFonts w:hint="eastAsia"/>
                <w:color w:val="auto"/>
                <w:lang w:val="en-US" w:eastAsia="zh-CN"/>
              </w:rPr>
              <w:t>1-3 本项目与园区规划环评审查意见的相符性</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3935"/>
              <w:gridCol w:w="3439"/>
              <w:gridCol w:w="648"/>
            </w:tblGrid>
            <w:tr w14:paraId="17F0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727317BF">
                  <w:pPr>
                    <w:pStyle w:val="29"/>
                    <w:bidi w:val="0"/>
                    <w:rPr>
                      <w:rFonts w:hint="default"/>
                      <w:color w:val="auto"/>
                      <w:lang w:val="en-US" w:eastAsia="zh-CN"/>
                    </w:rPr>
                  </w:pPr>
                  <w:r>
                    <w:rPr>
                      <w:rFonts w:hint="eastAsia"/>
                      <w:color w:val="auto"/>
                      <w:lang w:val="en-US" w:eastAsia="zh-CN"/>
                    </w:rPr>
                    <w:t>序号</w:t>
                  </w:r>
                </w:p>
              </w:tc>
              <w:tc>
                <w:tcPr>
                  <w:tcW w:w="2303" w:type="pct"/>
                  <w:vAlign w:val="center"/>
                </w:tcPr>
                <w:p w14:paraId="3F91454E">
                  <w:pPr>
                    <w:pStyle w:val="29"/>
                    <w:bidi w:val="0"/>
                    <w:rPr>
                      <w:rFonts w:hint="default"/>
                      <w:color w:val="auto"/>
                      <w:lang w:val="en-US" w:eastAsia="zh-CN"/>
                    </w:rPr>
                  </w:pPr>
                  <w:r>
                    <w:rPr>
                      <w:rFonts w:hint="eastAsia"/>
                      <w:color w:val="auto"/>
                      <w:lang w:val="en-US" w:eastAsia="zh-CN"/>
                    </w:rPr>
                    <w:t>规划环评审查意见要求</w:t>
                  </w:r>
                </w:p>
              </w:tc>
              <w:tc>
                <w:tcPr>
                  <w:tcW w:w="2013" w:type="pct"/>
                  <w:vAlign w:val="center"/>
                </w:tcPr>
                <w:p w14:paraId="32856605">
                  <w:pPr>
                    <w:pStyle w:val="29"/>
                    <w:bidi w:val="0"/>
                    <w:rPr>
                      <w:rFonts w:hint="default"/>
                      <w:color w:val="auto"/>
                      <w:lang w:val="en-US" w:eastAsia="zh-CN"/>
                    </w:rPr>
                  </w:pPr>
                  <w:r>
                    <w:rPr>
                      <w:rFonts w:hint="eastAsia"/>
                      <w:color w:val="auto"/>
                      <w:lang w:val="en-US" w:eastAsia="zh-CN"/>
                    </w:rPr>
                    <w:t>本项目情况</w:t>
                  </w:r>
                </w:p>
              </w:tc>
              <w:tc>
                <w:tcPr>
                  <w:tcW w:w="379" w:type="pct"/>
                  <w:vAlign w:val="center"/>
                </w:tcPr>
                <w:p w14:paraId="15F5A454">
                  <w:pPr>
                    <w:pStyle w:val="29"/>
                    <w:bidi w:val="0"/>
                    <w:rPr>
                      <w:rFonts w:hint="default"/>
                      <w:color w:val="auto"/>
                      <w:lang w:val="en-US" w:eastAsia="zh-CN"/>
                    </w:rPr>
                  </w:pPr>
                  <w:r>
                    <w:rPr>
                      <w:rFonts w:hint="eastAsia"/>
                      <w:color w:val="auto"/>
                      <w:lang w:val="en-US" w:eastAsia="zh-CN"/>
                    </w:rPr>
                    <w:t>符合性</w:t>
                  </w:r>
                </w:p>
              </w:tc>
            </w:tr>
            <w:tr w14:paraId="2CDA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522BA5ED">
                  <w:pPr>
                    <w:pStyle w:val="29"/>
                    <w:bidi w:val="0"/>
                    <w:rPr>
                      <w:rFonts w:hint="default"/>
                      <w:color w:val="auto"/>
                      <w:lang w:val="en-US" w:eastAsia="zh-CN"/>
                    </w:rPr>
                  </w:pPr>
                  <w:r>
                    <w:rPr>
                      <w:rFonts w:hint="eastAsia"/>
                      <w:color w:val="auto"/>
                      <w:lang w:val="en-US" w:eastAsia="zh-CN"/>
                    </w:rPr>
                    <w:t>1</w:t>
                  </w:r>
                </w:p>
              </w:tc>
              <w:tc>
                <w:tcPr>
                  <w:tcW w:w="2303" w:type="pct"/>
                  <w:vAlign w:val="center"/>
                </w:tcPr>
                <w:p w14:paraId="46A377FC">
                  <w:pPr>
                    <w:pStyle w:val="29"/>
                    <w:bidi w:val="0"/>
                    <w:jc w:val="left"/>
                    <w:rPr>
                      <w:rFonts w:hint="default"/>
                      <w:color w:val="auto"/>
                      <w:lang w:val="en-US" w:eastAsia="zh-CN"/>
                    </w:rPr>
                  </w:pPr>
                  <w:r>
                    <w:rPr>
                      <w:rFonts w:hint="default"/>
                      <w:color w:val="auto"/>
                      <w:lang w:val="en-US" w:eastAsia="zh-CN"/>
                    </w:rPr>
                    <w:t>加强规划引导，坚持绿色低碳高质量发展理念，结合生态环境分区管控要求，区域统筹保护好生态空间。产业开发应符合国家产业政策和相关规划。</w:t>
                  </w:r>
                </w:p>
              </w:tc>
              <w:tc>
                <w:tcPr>
                  <w:tcW w:w="2013" w:type="pct"/>
                  <w:vAlign w:val="center"/>
                </w:tcPr>
                <w:p w14:paraId="6ABA1554">
                  <w:pPr>
                    <w:pStyle w:val="29"/>
                    <w:bidi w:val="0"/>
                    <w:rPr>
                      <w:rFonts w:hint="eastAsia" w:eastAsia="宋体"/>
                      <w:color w:val="auto"/>
                      <w:lang w:val="en-US" w:eastAsia="zh-CN"/>
                    </w:rPr>
                  </w:pPr>
                  <w:r>
                    <w:rPr>
                      <w:rFonts w:hint="eastAsia"/>
                      <w:color w:val="auto"/>
                      <w:lang w:val="en-US" w:eastAsia="zh-CN"/>
                    </w:rPr>
                    <w:t>本项目属于啤酒制造行业，</w:t>
                  </w:r>
                  <w:r>
                    <w:rPr>
                      <w:rFonts w:hint="default"/>
                      <w:color w:val="auto"/>
                      <w:sz w:val="21"/>
                      <w:szCs w:val="21"/>
                    </w:rPr>
                    <w:t>经对照《产业结构调整指导目录（</w:t>
                  </w:r>
                  <w:r>
                    <w:rPr>
                      <w:rFonts w:hint="eastAsia"/>
                      <w:color w:val="auto"/>
                      <w:sz w:val="21"/>
                      <w:szCs w:val="21"/>
                      <w:lang w:val="en-US" w:eastAsia="zh-CN"/>
                    </w:rPr>
                    <w:t>2024</w:t>
                  </w:r>
                  <w:r>
                    <w:rPr>
                      <w:rFonts w:hint="default"/>
                      <w:color w:val="auto"/>
                      <w:sz w:val="21"/>
                      <w:szCs w:val="21"/>
                    </w:rPr>
                    <w:t>年本）》，本项目</w:t>
                  </w:r>
                  <w:r>
                    <w:rPr>
                      <w:rFonts w:hint="eastAsia"/>
                      <w:color w:val="auto"/>
                      <w:sz w:val="21"/>
                      <w:szCs w:val="21"/>
                      <w:lang w:eastAsia="zh-CN"/>
                    </w:rPr>
                    <w:t>视为允许类项目，属于九龙地块食品产业，符合片区产业定位。项目于</w:t>
                  </w:r>
                  <w:r>
                    <w:rPr>
                      <w:rFonts w:hint="eastAsia"/>
                      <w:color w:val="auto"/>
                    </w:rPr>
                    <w:t>202</w:t>
                  </w:r>
                  <w:r>
                    <w:rPr>
                      <w:rFonts w:hint="eastAsia"/>
                      <w:color w:val="auto"/>
                      <w:lang w:val="en-US" w:eastAsia="zh-CN"/>
                    </w:rPr>
                    <w:t>6</w:t>
                  </w:r>
                  <w:r>
                    <w:rPr>
                      <w:rFonts w:hint="eastAsia"/>
                      <w:color w:val="auto"/>
                    </w:rPr>
                    <w:t>年</w:t>
                  </w:r>
                  <w:r>
                    <w:rPr>
                      <w:rFonts w:hint="eastAsia"/>
                      <w:color w:val="auto"/>
                      <w:lang w:val="en-US" w:eastAsia="zh-CN"/>
                    </w:rPr>
                    <w:t>5</w:t>
                  </w:r>
                  <w:r>
                    <w:rPr>
                      <w:rFonts w:hint="eastAsia"/>
                      <w:color w:val="auto"/>
                    </w:rPr>
                    <w:t>月</w:t>
                  </w:r>
                  <w:r>
                    <w:rPr>
                      <w:rFonts w:hint="eastAsia"/>
                      <w:color w:val="auto"/>
                      <w:lang w:val="en-US" w:eastAsia="zh-CN"/>
                    </w:rPr>
                    <w:t>7</w:t>
                  </w:r>
                  <w:r>
                    <w:rPr>
                      <w:rFonts w:hint="eastAsia"/>
                      <w:color w:val="auto"/>
                    </w:rPr>
                    <w:t>日取得了玉溪</w:t>
                  </w:r>
                  <w:r>
                    <w:rPr>
                      <w:rFonts w:hint="eastAsia"/>
                      <w:color w:val="auto"/>
                      <w:lang w:val="en-US" w:eastAsia="zh-CN"/>
                    </w:rPr>
                    <w:t>高新技术产业开发区出具的产业导向符合证明</w:t>
                  </w:r>
                  <w:r>
                    <w:rPr>
                      <w:rFonts w:hint="eastAsia"/>
                      <w:color w:val="auto"/>
                    </w:rPr>
                    <w:t>（详见附件</w:t>
                  </w:r>
                  <w:r>
                    <w:rPr>
                      <w:rFonts w:hint="eastAsia"/>
                      <w:color w:val="auto"/>
                      <w:lang w:val="en-US" w:eastAsia="zh-CN"/>
                    </w:rPr>
                    <w:t>6</w:t>
                  </w:r>
                  <w:r>
                    <w:rPr>
                      <w:rFonts w:hint="eastAsia"/>
                      <w:color w:val="auto"/>
                    </w:rPr>
                    <w:t>）</w:t>
                  </w:r>
                  <w:r>
                    <w:rPr>
                      <w:rFonts w:hint="eastAsia" w:eastAsia="宋体"/>
                      <w:color w:val="auto"/>
                      <w:lang w:eastAsia="zh-CN"/>
                    </w:rPr>
                    <w:t>，</w:t>
                  </w:r>
                  <w:r>
                    <w:rPr>
                      <w:rFonts w:hint="eastAsia"/>
                      <w:color w:val="auto"/>
                      <w:lang w:eastAsia="zh-CN"/>
                    </w:rPr>
                    <w:t>项目符合国家产业政策</w:t>
                  </w:r>
                  <w:r>
                    <w:rPr>
                      <w:rFonts w:hint="eastAsia"/>
                      <w:color w:val="auto"/>
                      <w:sz w:val="21"/>
                      <w:szCs w:val="21"/>
                      <w:lang w:eastAsia="zh-CN"/>
                    </w:rPr>
                    <w:t>。</w:t>
                  </w:r>
                </w:p>
              </w:tc>
              <w:tc>
                <w:tcPr>
                  <w:tcW w:w="379" w:type="pct"/>
                  <w:vAlign w:val="center"/>
                </w:tcPr>
                <w:p w14:paraId="0414313E">
                  <w:pPr>
                    <w:pStyle w:val="29"/>
                    <w:bidi w:val="0"/>
                    <w:rPr>
                      <w:rFonts w:hint="default"/>
                      <w:color w:val="auto"/>
                      <w:lang w:val="en-US" w:eastAsia="zh-CN"/>
                    </w:rPr>
                  </w:pPr>
                  <w:r>
                    <w:rPr>
                      <w:rFonts w:hint="eastAsia"/>
                      <w:color w:val="auto"/>
                      <w:lang w:val="en-US" w:eastAsia="zh-CN"/>
                    </w:rPr>
                    <w:t>符合</w:t>
                  </w:r>
                </w:p>
              </w:tc>
            </w:tr>
            <w:tr w14:paraId="23DA8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2E260DA5">
                  <w:pPr>
                    <w:pStyle w:val="29"/>
                    <w:bidi w:val="0"/>
                    <w:rPr>
                      <w:rFonts w:hint="default"/>
                      <w:color w:val="auto"/>
                      <w:lang w:val="en-US" w:eastAsia="zh-CN"/>
                    </w:rPr>
                  </w:pPr>
                  <w:r>
                    <w:rPr>
                      <w:rFonts w:hint="eastAsia"/>
                      <w:color w:val="auto"/>
                      <w:lang w:val="en-US" w:eastAsia="zh-CN"/>
                    </w:rPr>
                    <w:t>2</w:t>
                  </w:r>
                </w:p>
              </w:tc>
              <w:tc>
                <w:tcPr>
                  <w:tcW w:w="2303" w:type="pct"/>
                  <w:vAlign w:val="center"/>
                </w:tcPr>
                <w:p w14:paraId="358A26E0">
                  <w:pPr>
                    <w:pStyle w:val="29"/>
                    <w:bidi w:val="0"/>
                    <w:jc w:val="left"/>
                    <w:rPr>
                      <w:rFonts w:hint="default"/>
                      <w:color w:val="auto"/>
                      <w:lang w:val="en-US" w:eastAsia="zh-CN"/>
                    </w:rPr>
                  </w:pPr>
                  <w:r>
                    <w:rPr>
                      <w:rFonts w:hint="default"/>
                      <w:color w:val="auto"/>
                      <w:lang w:val="en-US" w:eastAsia="zh-CN"/>
                    </w:rPr>
                    <w:t>严格限制《环境保护综合名录》中高污染、高环境风险产品名录”的企业入驻，其中九龙地块、南地块、大营街地块、龙泉片区禁止上述企业入驻。南地块、大营街地块禁止引入高污染燃料企业，禁止新建、扩建三类工业用地布局的项目。南地块、青龙山地块应优化布局，企业与红塔山自然保护区保持一定缓冲距离。</w:t>
                  </w:r>
                </w:p>
              </w:tc>
              <w:tc>
                <w:tcPr>
                  <w:tcW w:w="2013" w:type="pct"/>
                  <w:vAlign w:val="center"/>
                </w:tcPr>
                <w:p w14:paraId="5310BAF0">
                  <w:pPr>
                    <w:pStyle w:val="29"/>
                    <w:bidi w:val="0"/>
                    <w:rPr>
                      <w:rFonts w:hint="default"/>
                      <w:color w:val="auto"/>
                      <w:lang w:val="en-US" w:eastAsia="zh-CN"/>
                    </w:rPr>
                  </w:pPr>
                  <w:r>
                    <w:rPr>
                      <w:rFonts w:hint="eastAsia"/>
                      <w:color w:val="auto"/>
                      <w:lang w:val="en-US" w:eastAsia="zh-CN"/>
                    </w:rPr>
                    <w:t>项目属于啤酒制造企业，位于九龙地块，不属于《环境保护综合名录（2021年版）》中高风险、高污染行业，不属于高污染燃料企业。</w:t>
                  </w:r>
                </w:p>
              </w:tc>
              <w:tc>
                <w:tcPr>
                  <w:tcW w:w="379" w:type="pct"/>
                  <w:vAlign w:val="center"/>
                </w:tcPr>
                <w:p w14:paraId="480594CB">
                  <w:pPr>
                    <w:pStyle w:val="29"/>
                    <w:bidi w:val="0"/>
                    <w:rPr>
                      <w:rFonts w:hint="default"/>
                      <w:color w:val="auto"/>
                      <w:lang w:val="en-US" w:eastAsia="zh-CN"/>
                    </w:rPr>
                  </w:pPr>
                  <w:r>
                    <w:rPr>
                      <w:rFonts w:hint="eastAsia"/>
                      <w:color w:val="auto"/>
                      <w:lang w:val="en-US" w:eastAsia="zh-CN"/>
                    </w:rPr>
                    <w:t>符合</w:t>
                  </w:r>
                </w:p>
              </w:tc>
            </w:tr>
            <w:tr w14:paraId="7BE8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0A57FE62">
                  <w:pPr>
                    <w:pStyle w:val="29"/>
                    <w:bidi w:val="0"/>
                    <w:rPr>
                      <w:rFonts w:hint="default"/>
                      <w:color w:val="auto"/>
                      <w:lang w:val="en-US" w:eastAsia="zh-CN"/>
                    </w:rPr>
                  </w:pPr>
                  <w:r>
                    <w:rPr>
                      <w:rFonts w:hint="eastAsia"/>
                      <w:color w:val="auto"/>
                      <w:lang w:val="en-US" w:eastAsia="zh-CN"/>
                    </w:rPr>
                    <w:t>3</w:t>
                  </w:r>
                </w:p>
              </w:tc>
              <w:tc>
                <w:tcPr>
                  <w:tcW w:w="2303" w:type="pct"/>
                  <w:vAlign w:val="center"/>
                </w:tcPr>
                <w:p w14:paraId="39733C8A">
                  <w:pPr>
                    <w:pStyle w:val="29"/>
                    <w:bidi w:val="0"/>
                    <w:jc w:val="left"/>
                    <w:rPr>
                      <w:rFonts w:hint="default"/>
                      <w:color w:val="auto"/>
                      <w:lang w:val="en-US" w:eastAsia="zh-CN"/>
                    </w:rPr>
                  </w:pPr>
                  <w:r>
                    <w:rPr>
                      <w:rFonts w:hint="default"/>
                      <w:color w:val="auto"/>
                      <w:lang w:val="en-US" w:eastAsia="zh-CN"/>
                    </w:rPr>
                    <w:t>严守环境质量底线，严格环境管控。</w:t>
                  </w:r>
                </w:p>
                <w:p w14:paraId="2A93E3E1">
                  <w:pPr>
                    <w:pStyle w:val="29"/>
                    <w:bidi w:val="0"/>
                    <w:jc w:val="left"/>
                    <w:rPr>
                      <w:rFonts w:hint="default"/>
                      <w:color w:val="auto"/>
                      <w:lang w:val="en-US" w:eastAsia="zh-CN"/>
                    </w:rPr>
                  </w:pPr>
                  <w:r>
                    <w:rPr>
                      <w:rFonts w:hint="default"/>
                      <w:color w:val="auto"/>
                      <w:lang w:val="en-US" w:eastAsia="zh-CN"/>
                    </w:rPr>
                    <w:t>1.入驻企业要采用先进高效的污染防治措施，重点做好外排废气中颗粒物削减、脱硫脱硝，挥发性有机物、异味等特征污染物的减排工作，大气污染物排放水平应达到国内先进水平，必要时对高新区开发强度及布局产业规模进行控制。新建、扩建钢铁冶炼项目大气污染物需满足超低排放要求，重点行业建设项目应实行主要污染物区域削减。</w:t>
                  </w:r>
                </w:p>
                <w:p w14:paraId="0A6779DC">
                  <w:pPr>
                    <w:pStyle w:val="29"/>
                    <w:bidi w:val="0"/>
                    <w:jc w:val="left"/>
                    <w:rPr>
                      <w:rFonts w:hint="default"/>
                      <w:color w:val="auto"/>
                      <w:lang w:val="en-US" w:eastAsia="zh-CN"/>
                    </w:rPr>
                  </w:pPr>
                  <w:r>
                    <w:rPr>
                      <w:rFonts w:hint="default"/>
                      <w:color w:val="auto"/>
                      <w:lang w:val="en-US" w:eastAsia="zh-CN"/>
                    </w:rPr>
                    <w:t>南片区新建、扩建项目废气污染物实行减量替代。</w:t>
                  </w:r>
                </w:p>
                <w:p w14:paraId="0A304B51">
                  <w:pPr>
                    <w:pStyle w:val="29"/>
                    <w:bidi w:val="0"/>
                    <w:jc w:val="left"/>
                    <w:rPr>
                      <w:rFonts w:hint="default"/>
                      <w:color w:val="auto"/>
                      <w:lang w:val="en-US" w:eastAsia="zh-CN"/>
                    </w:rPr>
                  </w:pPr>
                  <w:r>
                    <w:rPr>
                      <w:rFonts w:hint="default"/>
                      <w:color w:val="auto"/>
                      <w:lang w:val="en-US" w:eastAsia="zh-CN"/>
                    </w:rPr>
                    <w:t>2.高度重视高新区废水收集、处理、回用、排放的环境管理。项目建设应充分考虑对地下水环境的影响，优化布局，严格水文地质、工程地质勘察，合理规避地下暗河及落水洞发育区，做好地下水污染防治和监控，按相关规范要求采取针对性防渗措施。</w:t>
                  </w:r>
                </w:p>
                <w:p w14:paraId="38D91CE7">
                  <w:pPr>
                    <w:pStyle w:val="29"/>
                    <w:bidi w:val="0"/>
                    <w:jc w:val="left"/>
                    <w:rPr>
                      <w:rFonts w:hint="default"/>
                      <w:color w:val="auto"/>
                      <w:lang w:val="en-US" w:eastAsia="zh-CN"/>
                    </w:rPr>
                  </w:pPr>
                  <w:r>
                    <w:rPr>
                      <w:rFonts w:hint="default"/>
                      <w:color w:val="auto"/>
                      <w:lang w:val="en-US" w:eastAsia="zh-CN"/>
                    </w:rPr>
                    <w:t>3.采取有效预防措施，防止、减少土壤污染。重视污染物通过大气一土壤一地下水</w:t>
                  </w:r>
                </w:p>
                <w:p w14:paraId="6933C11B">
                  <w:pPr>
                    <w:pStyle w:val="29"/>
                    <w:bidi w:val="0"/>
                    <w:jc w:val="left"/>
                    <w:rPr>
                      <w:rFonts w:hint="default"/>
                      <w:color w:val="auto"/>
                      <w:lang w:val="en-US" w:eastAsia="zh-CN"/>
                    </w:rPr>
                  </w:pPr>
                  <w:r>
                    <w:rPr>
                      <w:rFonts w:hint="default"/>
                      <w:color w:val="auto"/>
                      <w:lang w:val="en-US" w:eastAsia="zh-CN"/>
                    </w:rPr>
                    <w:t>等环境介质跨相输送、迁移和累积过程及影响，确保满足土壤环境管控要求。</w:t>
                  </w:r>
                </w:p>
                <w:p w14:paraId="06C3A165">
                  <w:pPr>
                    <w:pStyle w:val="29"/>
                    <w:bidi w:val="0"/>
                    <w:jc w:val="left"/>
                    <w:rPr>
                      <w:rFonts w:hint="default"/>
                      <w:color w:val="auto"/>
                      <w:lang w:val="en-US" w:eastAsia="zh-CN"/>
                    </w:rPr>
                  </w:pPr>
                  <w:r>
                    <w:rPr>
                      <w:rFonts w:hint="default"/>
                      <w:color w:val="auto"/>
                      <w:lang w:val="en-US" w:eastAsia="zh-CN"/>
                    </w:rPr>
                    <w:t>4.危险废物须按规定严格管控，积极推进工业固体废物综合利用，确实需要暂存或安全填埋处置的，暂存（处置）场的选址、建设必须按照相关要求严格落实污染防治措施。</w:t>
                  </w:r>
                </w:p>
              </w:tc>
              <w:tc>
                <w:tcPr>
                  <w:tcW w:w="2013" w:type="pct"/>
                  <w:shd w:val="clear" w:color="auto" w:fill="auto"/>
                  <w:vAlign w:val="center"/>
                </w:tcPr>
                <w:p w14:paraId="0073821A">
                  <w:pPr>
                    <w:pStyle w:val="29"/>
                    <w:bidi w:val="0"/>
                    <w:rPr>
                      <w:rFonts w:hint="eastAsia" w:ascii="Times New Roman" w:hAnsi="Times New Roman" w:eastAsia="宋体" w:cs="Times New Roman"/>
                      <w:color w:val="auto"/>
                      <w:lang w:val="en-US" w:eastAsia="zh-CN"/>
                    </w:rPr>
                  </w:pPr>
                  <w:r>
                    <w:rPr>
                      <w:rFonts w:hint="eastAsia"/>
                      <w:color w:val="auto"/>
                      <w:lang w:val="en-US" w:eastAsia="zh-CN"/>
                    </w:rPr>
                    <w:t>1、运营期产生的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olor w:val="auto"/>
                      <w:lang w:val="en-US" w:eastAsia="zh-CN"/>
                    </w:rPr>
                    <w:fldChar w:fldCharType="begin"/>
                  </w:r>
                  <w:r>
                    <w:rPr>
                      <w:rFonts w:hint="eastAsia"/>
                      <w:color w:val="auto"/>
                      <w:lang w:val="en-US" w:eastAsia="zh-CN"/>
                    </w:rPr>
                    <w:instrText xml:space="preserve"> = 6 \* GB3 \* MERGEFORMAT </w:instrText>
                  </w:r>
                  <w:r>
                    <w:rPr>
                      <w:rFonts w:hint="eastAsia"/>
                      <w:color w:val="auto"/>
                      <w:lang w:val="en-US" w:eastAsia="zh-CN"/>
                    </w:rPr>
                    <w:fldChar w:fldCharType="separate"/>
                  </w:r>
                  <w:r>
                    <w:rPr>
                      <w:rFonts w:hint="eastAsia"/>
                      <w:color w:val="auto"/>
                      <w:lang w:val="en-US" w:eastAsia="zh-CN"/>
                    </w:rPr>
                    <w:t>⑥</w:t>
                  </w:r>
                  <w:r>
                    <w:rPr>
                      <w:rFonts w:hint="eastAsia"/>
                      <w:color w:val="auto"/>
                      <w:lang w:val="en-US" w:eastAsia="zh-CN"/>
                    </w:rPr>
                    <w:fldChar w:fldCharType="end"/>
                  </w:r>
                  <w:r>
                    <w:rPr>
                      <w:rFonts w:hint="eastAsia"/>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w:t>
                  </w:r>
                  <w:r>
                    <w:rPr>
                      <w:rFonts w:hint="eastAsia" w:ascii="Times New Roman" w:hAnsi="Times New Roman" w:cs="Times New Roman"/>
                      <w:color w:val="auto"/>
                      <w:sz w:val="21"/>
                      <w:szCs w:val="21"/>
                      <w:lang w:val="en-US" w:eastAsia="zh-CN"/>
                    </w:rPr>
                    <w:t>通过采取以上措施后，本项目废气均可达标排放</w:t>
                  </w:r>
                  <w:r>
                    <w:rPr>
                      <w:rFonts w:hint="eastAsia" w:ascii="Times New Roman" w:hAnsi="Times New Roman" w:eastAsia="宋体" w:cs="宋体"/>
                      <w:color w:val="auto"/>
                      <w:sz w:val="21"/>
                      <w:szCs w:val="21"/>
                      <w:lang w:eastAsia="zh-CN"/>
                    </w:rPr>
                    <w:t>，</w:t>
                  </w:r>
                  <w:r>
                    <w:rPr>
                      <w:rFonts w:hint="eastAsia" w:cs="宋体"/>
                      <w:color w:val="auto"/>
                      <w:sz w:val="21"/>
                      <w:szCs w:val="21"/>
                      <w:lang w:val="en-US" w:eastAsia="zh-CN"/>
                    </w:rPr>
                    <w:t>非甲烷总烃</w:t>
                  </w:r>
                  <w:r>
                    <w:rPr>
                      <w:rFonts w:hint="eastAsia" w:ascii="Times New Roman" w:hAnsi="Times New Roman" w:eastAsia="宋体" w:cs="宋体"/>
                      <w:color w:val="auto"/>
                      <w:sz w:val="21"/>
                      <w:szCs w:val="21"/>
                      <w:lang w:val="en-US" w:eastAsia="zh-CN"/>
                    </w:rPr>
                    <w:t>排放</w:t>
                  </w:r>
                  <w:r>
                    <w:rPr>
                      <w:rFonts w:hint="eastAsia" w:cs="宋体"/>
                      <w:color w:val="auto"/>
                      <w:sz w:val="21"/>
                      <w:szCs w:val="21"/>
                      <w:lang w:val="en-US" w:eastAsia="zh-CN"/>
                    </w:rPr>
                    <w:t>量极小</w:t>
                  </w:r>
                  <w:r>
                    <w:rPr>
                      <w:rFonts w:hint="eastAsia" w:ascii="Times New Roman" w:hAnsi="Times New Roman" w:eastAsia="宋体" w:cs="宋体"/>
                      <w:color w:val="auto"/>
                      <w:sz w:val="21"/>
                      <w:szCs w:val="21"/>
                      <w:lang w:val="en-US" w:eastAsia="zh-CN"/>
                    </w:rPr>
                    <w:t>，</w:t>
                  </w:r>
                  <w:r>
                    <w:rPr>
                      <w:rFonts w:hint="eastAsia"/>
                      <w:color w:val="auto"/>
                      <w:sz w:val="21"/>
                      <w:szCs w:val="21"/>
                    </w:rPr>
                    <w:t>不涉及有毒有害气体</w:t>
                  </w:r>
                  <w:r>
                    <w:rPr>
                      <w:rFonts w:hint="eastAsia"/>
                      <w:color w:val="auto"/>
                      <w:sz w:val="21"/>
                      <w:szCs w:val="21"/>
                      <w:lang w:eastAsia="zh-CN"/>
                    </w:rPr>
                    <w:t>。</w:t>
                  </w:r>
                </w:p>
                <w:p w14:paraId="32787907">
                  <w:pPr>
                    <w:pStyle w:val="29"/>
                    <w:bidi w:val="0"/>
                    <w:jc w:val="both"/>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本项目严格落实雨污分流管控要求，厂区雨水系统与污水系统完全独立布设，无混接错接情况，洁净雨水经厂房周边园区雨水沟直接汇入市政雨水管网。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p>
                <w:p w14:paraId="7CDE07F8">
                  <w:pPr>
                    <w:pStyle w:val="29"/>
                    <w:bidi w:val="0"/>
                    <w:jc w:val="both"/>
                    <w:rPr>
                      <w:rFonts w:hint="eastAsia"/>
                      <w:color w:val="auto"/>
                      <w:lang w:val="en-US" w:eastAsia="zh-CN"/>
                    </w:rPr>
                  </w:pPr>
                  <w:r>
                    <w:rPr>
                      <w:rFonts w:hint="eastAsia"/>
                      <w:color w:val="auto"/>
                      <w:lang w:val="en-US" w:eastAsia="zh-CN"/>
                    </w:rPr>
                    <w:t>3、本项目严格执行《地下水管理条例》中相关规定，项目区内采取分区防渗措施，（1）重点防渗区：危废暂存间按照《危险废物贮存污染控制标准》（GB18597-2023）中基础必须防渗，防渗层为至少1m厚黏土层(渗透系数≤10</w:t>
                  </w:r>
                  <w:r>
                    <w:rPr>
                      <w:rFonts w:hint="eastAsia"/>
                      <w:color w:val="auto"/>
                      <w:vertAlign w:val="superscript"/>
                      <w:lang w:val="en-US" w:eastAsia="zh-CN"/>
                    </w:rPr>
                    <w:t>-7</w:t>
                  </w:r>
                  <w:r>
                    <w:rPr>
                      <w:rFonts w:hint="eastAsia"/>
                      <w:color w:val="auto"/>
                      <w:lang w:val="en-US" w:eastAsia="zh-CN"/>
                    </w:rPr>
                    <w:t>cm/s)，或2mm厚高密度聚乙烯，或至少2mm厚的其它人工材料，渗透系数≤10</w:t>
                  </w:r>
                  <w:r>
                    <w:rPr>
                      <w:rFonts w:hint="eastAsia"/>
                      <w:color w:val="auto"/>
                      <w:vertAlign w:val="superscript"/>
                      <w:lang w:val="en-US" w:eastAsia="zh-CN"/>
                    </w:rPr>
                    <w:t>-10</w:t>
                  </w:r>
                  <w:r>
                    <w:rPr>
                      <w:rFonts w:hint="eastAsia"/>
                      <w:color w:val="auto"/>
                      <w:lang w:val="en-US" w:eastAsia="zh-CN"/>
                    </w:rPr>
                    <w:t>cm/s进行防渗；（2）一般防渗区：沉淀池、化粪池、一体化污水处理设备、事故池，满足等效黏土防渗层厚度Mb≥1.5m，渗透系数K≤1.0×10</w:t>
                  </w:r>
                  <w:r>
                    <w:rPr>
                      <w:rFonts w:hint="eastAsia"/>
                      <w:color w:val="auto"/>
                      <w:vertAlign w:val="superscript"/>
                      <w:lang w:val="en-US" w:eastAsia="zh-CN"/>
                    </w:rPr>
                    <w:t>-7</w:t>
                  </w:r>
                  <w:r>
                    <w:rPr>
                      <w:rFonts w:hint="eastAsia"/>
                      <w:color w:val="auto"/>
                      <w:lang w:val="en-US" w:eastAsia="zh-CN"/>
                    </w:rPr>
                    <w:t>cm/s；（3）简单防渗区：办公区、生产车间、厂内道路防渗要求参照《环境影响评价技术导则-地下水环境》(HJ610-2016）中简单防渗区做一般的地面硬化。防止废油垂直入渗污染土壤。</w:t>
                  </w:r>
                </w:p>
                <w:p w14:paraId="1F690E43">
                  <w:pPr>
                    <w:pStyle w:val="29"/>
                    <w:bidi w:val="0"/>
                    <w:ind w:firstLine="0" w:firstLineChars="0"/>
                    <w:jc w:val="both"/>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4、本项目废机油及废油桶收集后暂存于危废暂存间内定期委托有资质的单位进行处置，同时本环评要求建设单位严格执行环评所提出的污染防治措施。</w:t>
                  </w:r>
                </w:p>
              </w:tc>
              <w:tc>
                <w:tcPr>
                  <w:tcW w:w="379" w:type="pct"/>
                  <w:vAlign w:val="center"/>
                </w:tcPr>
                <w:p w14:paraId="4CA6A014">
                  <w:pPr>
                    <w:pStyle w:val="29"/>
                    <w:bidi w:val="0"/>
                    <w:rPr>
                      <w:rFonts w:hint="default"/>
                      <w:color w:val="auto"/>
                      <w:lang w:val="en-US" w:eastAsia="zh-CN"/>
                    </w:rPr>
                  </w:pPr>
                  <w:r>
                    <w:rPr>
                      <w:rFonts w:hint="eastAsia"/>
                      <w:color w:val="auto"/>
                      <w:lang w:val="en-US" w:eastAsia="zh-CN"/>
                    </w:rPr>
                    <w:t>符合</w:t>
                  </w:r>
                </w:p>
              </w:tc>
            </w:tr>
            <w:tr w14:paraId="0520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52A60C64">
                  <w:pPr>
                    <w:pStyle w:val="29"/>
                    <w:bidi w:val="0"/>
                    <w:rPr>
                      <w:rFonts w:hint="default"/>
                      <w:color w:val="auto"/>
                      <w:lang w:val="en-US" w:eastAsia="zh-CN"/>
                    </w:rPr>
                  </w:pPr>
                  <w:r>
                    <w:rPr>
                      <w:rFonts w:hint="eastAsia"/>
                      <w:color w:val="auto"/>
                      <w:lang w:val="en-US" w:eastAsia="zh-CN"/>
                    </w:rPr>
                    <w:t>4</w:t>
                  </w:r>
                </w:p>
              </w:tc>
              <w:tc>
                <w:tcPr>
                  <w:tcW w:w="2303" w:type="pct"/>
                  <w:vAlign w:val="center"/>
                </w:tcPr>
                <w:p w14:paraId="0AA25E51">
                  <w:pPr>
                    <w:pStyle w:val="29"/>
                    <w:bidi w:val="0"/>
                    <w:jc w:val="left"/>
                    <w:rPr>
                      <w:rFonts w:hint="default"/>
                      <w:color w:val="auto"/>
                      <w:lang w:val="en-US" w:eastAsia="zh-CN"/>
                    </w:rPr>
                  </w:pPr>
                  <w:r>
                    <w:rPr>
                      <w:rFonts w:hint="default"/>
                      <w:color w:val="auto"/>
                      <w:lang w:val="en-US" w:eastAsia="zh-CN"/>
                    </w:rPr>
                    <w:t>严格执行环境准入要求，加强入园项目生态环境准入管理。落实蓝天、碧水、净土保卫战有关管控要求，加强“两高”行业生态环境源头防控，引进项目的生产工艺、设备、污染物排放和资源利用等，应达到清洁生产国内先进水平。</w:t>
                  </w:r>
                </w:p>
                <w:p w14:paraId="626AA5D5">
                  <w:pPr>
                    <w:pStyle w:val="29"/>
                    <w:bidi w:val="0"/>
                    <w:jc w:val="left"/>
                    <w:rPr>
                      <w:rFonts w:hint="default"/>
                      <w:color w:val="auto"/>
                      <w:lang w:val="en-US" w:eastAsia="zh-CN"/>
                    </w:rPr>
                  </w:pPr>
                  <w:r>
                    <w:rPr>
                      <w:rFonts w:hint="default"/>
                      <w:color w:val="auto"/>
                      <w:lang w:val="en-US" w:eastAsia="zh-CN"/>
                    </w:rPr>
                    <w:t>要以高新区的资源环境承载能力为基础，充分论证、有序发展，严禁引进工艺装备落后，不符合污染物排放总量控制要求的企业。</w:t>
                  </w:r>
                </w:p>
              </w:tc>
              <w:tc>
                <w:tcPr>
                  <w:tcW w:w="2013" w:type="pct"/>
                  <w:shd w:val="clear" w:color="auto" w:fill="auto"/>
                  <w:vAlign w:val="center"/>
                </w:tcPr>
                <w:p w14:paraId="58348B4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本项目不属于“两高”行业，符合产业政策及园区规划，不属于淘汰落后生产能力、工艺和产品的名录中的淘汰类。项目产生的“三废”通过采取本环评提出的对策措施后，能保证污染物达标排放或妥善处理处置，项目的建设不会对选址区域的环境造成大的污染，环境风险可控。</w:t>
                  </w:r>
                </w:p>
              </w:tc>
              <w:tc>
                <w:tcPr>
                  <w:tcW w:w="379" w:type="pct"/>
                  <w:vAlign w:val="center"/>
                </w:tcPr>
                <w:p w14:paraId="23BE1786">
                  <w:pPr>
                    <w:pStyle w:val="29"/>
                    <w:bidi w:val="0"/>
                    <w:rPr>
                      <w:rFonts w:hint="default"/>
                      <w:color w:val="auto"/>
                      <w:lang w:val="en-US" w:eastAsia="zh-CN"/>
                    </w:rPr>
                  </w:pPr>
                  <w:r>
                    <w:rPr>
                      <w:rFonts w:hint="eastAsia"/>
                      <w:color w:val="auto"/>
                      <w:lang w:val="en-US" w:eastAsia="zh-CN"/>
                    </w:rPr>
                    <w:t>符合</w:t>
                  </w:r>
                </w:p>
              </w:tc>
            </w:tr>
            <w:tr w14:paraId="53F6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 w:type="pct"/>
                  <w:vAlign w:val="center"/>
                </w:tcPr>
                <w:p w14:paraId="6D07E420">
                  <w:pPr>
                    <w:pStyle w:val="29"/>
                    <w:bidi w:val="0"/>
                    <w:rPr>
                      <w:rFonts w:hint="default"/>
                      <w:color w:val="auto"/>
                      <w:lang w:val="en-US" w:eastAsia="zh-CN"/>
                    </w:rPr>
                  </w:pPr>
                  <w:r>
                    <w:rPr>
                      <w:rFonts w:hint="eastAsia"/>
                      <w:color w:val="auto"/>
                      <w:lang w:val="en-US" w:eastAsia="zh-CN"/>
                    </w:rPr>
                    <w:t>5</w:t>
                  </w:r>
                </w:p>
              </w:tc>
              <w:tc>
                <w:tcPr>
                  <w:tcW w:w="2303" w:type="pct"/>
                  <w:vAlign w:val="center"/>
                </w:tcPr>
                <w:p w14:paraId="4703CF41">
                  <w:pPr>
                    <w:pStyle w:val="29"/>
                    <w:bidi w:val="0"/>
                    <w:jc w:val="left"/>
                    <w:rPr>
                      <w:rFonts w:hint="default"/>
                      <w:color w:val="auto"/>
                      <w:lang w:val="en-US" w:eastAsia="zh-CN"/>
                    </w:rPr>
                  </w:pPr>
                  <w:r>
                    <w:rPr>
                      <w:rFonts w:hint="default"/>
                      <w:color w:val="auto"/>
                      <w:lang w:val="en-US" w:eastAsia="zh-CN"/>
                    </w:rPr>
                    <w:t>建立健全区域环境风险防范和生态安全保障体系。加强高新区内易导致环境风险的有毒有害和易燃易爆物质的生产、使用、贮运等管理，统筹考虑区内污染防治、生态恢复与建设、环境风险防范、环境管理等事宜。强化高新区危险化学品储运和废水的环境风险管理，制定建立厂区、园区、区域三级防控措施，强化高新区环境监测与预警能力建设、环境风险应急与防范措施，建立应急响应联动机制和风险防控体系并编制应急预案，防范环境风险，避免事故废水排入区外水体，保障区域环境安全。</w:t>
                  </w:r>
                </w:p>
              </w:tc>
              <w:tc>
                <w:tcPr>
                  <w:tcW w:w="2013" w:type="pct"/>
                  <w:vAlign w:val="center"/>
                </w:tcPr>
                <w:p w14:paraId="42D6F030">
                  <w:pPr>
                    <w:pStyle w:val="29"/>
                    <w:bidi w:val="0"/>
                    <w:rPr>
                      <w:rFonts w:hint="default"/>
                      <w:color w:val="auto"/>
                      <w:lang w:val="en-US" w:eastAsia="zh-CN"/>
                    </w:rPr>
                  </w:pPr>
                  <w:r>
                    <w:rPr>
                      <w:rFonts w:hint="eastAsia"/>
                      <w:color w:val="auto"/>
                      <w:lang w:val="en-US" w:eastAsia="zh-CN"/>
                    </w:rPr>
                    <w:t>本项目按要求建立环境风险防范机制，环境风险物质由专人管理，项目建成后及时编制突发环境事件应急预案，并根据预案要求配备相应的应急物资，避免事故废水外排。</w:t>
                  </w:r>
                </w:p>
              </w:tc>
              <w:tc>
                <w:tcPr>
                  <w:tcW w:w="379" w:type="pct"/>
                  <w:vAlign w:val="center"/>
                </w:tcPr>
                <w:p w14:paraId="6DEB2E1E">
                  <w:pPr>
                    <w:pStyle w:val="29"/>
                    <w:bidi w:val="0"/>
                    <w:rPr>
                      <w:rFonts w:hint="default"/>
                      <w:color w:val="auto"/>
                      <w:lang w:val="en-US" w:eastAsia="zh-CN"/>
                    </w:rPr>
                  </w:pPr>
                  <w:r>
                    <w:rPr>
                      <w:rFonts w:hint="eastAsia"/>
                      <w:color w:val="auto"/>
                      <w:lang w:val="en-US" w:eastAsia="zh-CN"/>
                    </w:rPr>
                    <w:t>符合</w:t>
                  </w:r>
                </w:p>
              </w:tc>
            </w:tr>
          </w:tbl>
          <w:p w14:paraId="08E2B84E">
            <w:pPr>
              <w:ind w:firstLine="480" w:firstLineChars="200"/>
              <w:rPr>
                <w:rFonts w:hint="default" w:ascii="Times New Roman" w:hAnsi="Times New Roman" w:eastAsia="宋体" w:cs="Times New Roman"/>
                <w:color w:val="auto"/>
                <w:kern w:val="2"/>
                <w:sz w:val="24"/>
                <w:szCs w:val="24"/>
                <w:lang w:val="en-US" w:eastAsia="zh-CN" w:bidi="ar-SA"/>
              </w:rPr>
            </w:pPr>
            <w:r>
              <w:rPr>
                <w:rFonts w:hint="eastAsia"/>
                <w:color w:val="auto"/>
                <w:lang w:val="en-US" w:eastAsia="zh-CN"/>
              </w:rPr>
              <w:t>综上所述，项目符合《玉溪高新区技术产业开发区总体规划修编（2021-2035年）环境影响报告书》及《关于玉溪高新区技术产业开发区总体规划修编（2021-2035年）环境影响报告书的审查意见》（云环函〔2022〕400号）的要求。</w:t>
            </w:r>
          </w:p>
        </w:tc>
      </w:tr>
      <w:tr w14:paraId="22A64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0" w:type="dxa"/>
            <w:vAlign w:val="center"/>
          </w:tcPr>
          <w:p w14:paraId="0B120443">
            <w:pPr>
              <w:spacing w:line="240" w:lineRule="auto"/>
              <w:ind w:firstLine="0" w:firstLineChars="0"/>
              <w:jc w:val="center"/>
              <w:rPr>
                <w:rFonts w:ascii="Times New Roman" w:hAnsi="Times New Roman" w:eastAsia="宋体" w:cs="黑体"/>
                <w:color w:val="auto"/>
                <w:kern w:val="2"/>
                <w:sz w:val="24"/>
                <w:szCs w:val="24"/>
                <w:lang w:val="en-US" w:eastAsia="zh-CN" w:bidi="ar-SA"/>
              </w:rPr>
            </w:pPr>
            <w:r>
              <w:rPr>
                <w:rFonts w:cs="Times New Roman"/>
                <w:color w:val="auto"/>
              </w:rPr>
              <w:t>符合性分析</w:t>
            </w:r>
          </w:p>
        </w:tc>
        <w:tc>
          <w:tcPr>
            <w:tcW w:w="8769" w:type="dxa"/>
            <w:gridSpan w:val="4"/>
            <w:vAlign w:val="center"/>
          </w:tcPr>
          <w:p w14:paraId="6BF10BA1">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1、产业政策符合性分析</w:t>
            </w:r>
          </w:p>
          <w:p w14:paraId="2282A479">
            <w:pPr>
              <w:ind w:firstLine="480"/>
              <w:rPr>
                <w:rFonts w:hint="eastAsia" w:eastAsia="宋体"/>
                <w:color w:val="auto"/>
                <w:lang w:eastAsia="zh-CN"/>
              </w:rPr>
            </w:pPr>
            <w:r>
              <w:rPr>
                <w:rFonts w:hint="eastAsia"/>
                <w:color w:val="auto"/>
              </w:rPr>
              <w:t>本项目为</w:t>
            </w:r>
            <w:r>
              <w:rPr>
                <w:rFonts w:hint="eastAsia"/>
                <w:color w:val="auto"/>
                <w:lang w:val="en-US" w:eastAsia="zh-CN"/>
              </w:rPr>
              <w:t>十二、酒、饮料制造业15</w:t>
            </w:r>
            <w:r>
              <w:rPr>
                <w:rFonts w:hint="eastAsia"/>
                <w:color w:val="auto"/>
              </w:rPr>
              <w:t>-</w:t>
            </w:r>
            <w:r>
              <w:rPr>
                <w:rFonts w:hint="eastAsia"/>
                <w:color w:val="auto"/>
                <w:lang w:val="en-US" w:eastAsia="zh-CN"/>
              </w:rPr>
              <w:t>2</w:t>
            </w:r>
            <w:r>
              <w:rPr>
                <w:rFonts w:hint="eastAsia"/>
                <w:color w:val="auto"/>
              </w:rPr>
              <w:t>5</w:t>
            </w:r>
            <w:r>
              <w:rPr>
                <w:rFonts w:hint="eastAsia"/>
                <w:color w:val="auto"/>
                <w:lang w:val="en-US" w:eastAsia="zh-CN"/>
              </w:rPr>
              <w:t>酒的制造151-其他（单纯勾兑除外）</w:t>
            </w:r>
            <w:r>
              <w:rPr>
                <w:rFonts w:hint="eastAsia"/>
                <w:color w:val="auto"/>
              </w:rPr>
              <w:t>行业</w:t>
            </w:r>
            <w:r>
              <w:rPr>
                <w:rFonts w:hint="eastAsia"/>
                <w:color w:val="auto"/>
                <w:lang w:eastAsia="zh-CN"/>
              </w:rPr>
              <w:t>。</w:t>
            </w:r>
            <w:r>
              <w:rPr>
                <w:color w:val="auto"/>
              </w:rPr>
              <w:t>根据《产业结构调整指导目录（</w:t>
            </w:r>
            <w:r>
              <w:rPr>
                <w:rFonts w:hint="eastAsia"/>
                <w:color w:val="auto"/>
                <w:lang w:val="en-US" w:eastAsia="zh-CN"/>
              </w:rPr>
              <w:t>2024</w:t>
            </w:r>
            <w:r>
              <w:rPr>
                <w:color w:val="auto"/>
              </w:rPr>
              <w:t>年本）》，根据《产业结构调整指导目录（</w:t>
            </w:r>
            <w:r>
              <w:rPr>
                <w:rFonts w:hint="eastAsia"/>
                <w:color w:val="auto"/>
                <w:lang w:val="en-US" w:eastAsia="zh-CN"/>
              </w:rPr>
              <w:t>2024</w:t>
            </w:r>
            <w:r>
              <w:rPr>
                <w:color w:val="auto"/>
              </w:rPr>
              <w:t>年本）》</w:t>
            </w:r>
            <w:r>
              <w:rPr>
                <w:rFonts w:hint="eastAsia"/>
                <w:color w:val="auto"/>
                <w:lang w:eastAsia="zh-CN"/>
              </w:rPr>
              <w:t>，</w:t>
            </w:r>
            <w:r>
              <w:rPr>
                <w:rFonts w:hint="eastAsia"/>
                <w:color w:val="auto"/>
              </w:rPr>
              <w:t>项目不属于鼓励类、限制类、淘汰类范围，根据国务院《促进产业结构调整暂行规定》（国发〔2005〕40号），第十三条“不属于鼓励类、限制类及淘汰类，且符合国家有关法律、法规和政策规定的，为允许类”，故本项目视为允许类项目</w:t>
            </w:r>
            <w:r>
              <w:rPr>
                <w:rFonts w:hint="eastAsia"/>
                <w:color w:val="auto"/>
                <w:lang w:eastAsia="zh-CN"/>
              </w:rPr>
              <w:t>。</w:t>
            </w:r>
          </w:p>
          <w:p w14:paraId="13DED043">
            <w:pPr>
              <w:ind w:firstLine="480"/>
              <w:rPr>
                <w:rFonts w:hint="eastAsia"/>
                <w:color w:val="auto"/>
                <w:lang w:eastAsia="zh-CN"/>
              </w:rPr>
            </w:pPr>
            <w:r>
              <w:rPr>
                <w:rFonts w:hint="eastAsia"/>
                <w:color w:val="auto"/>
              </w:rPr>
              <w:t>项目于202</w:t>
            </w:r>
            <w:r>
              <w:rPr>
                <w:rFonts w:hint="eastAsia"/>
                <w:color w:val="auto"/>
                <w:lang w:val="en-US" w:eastAsia="zh-CN"/>
              </w:rPr>
              <w:t>5</w:t>
            </w:r>
            <w:r>
              <w:rPr>
                <w:rFonts w:hint="eastAsia"/>
                <w:color w:val="auto"/>
              </w:rPr>
              <w:t>年</w:t>
            </w:r>
            <w:r>
              <w:rPr>
                <w:rFonts w:hint="eastAsia"/>
                <w:color w:val="auto"/>
                <w:lang w:val="en-US" w:eastAsia="zh-CN"/>
              </w:rPr>
              <w:t>11</w:t>
            </w:r>
            <w:r>
              <w:rPr>
                <w:rFonts w:hint="eastAsia"/>
                <w:color w:val="auto"/>
              </w:rPr>
              <w:t>月</w:t>
            </w:r>
            <w:r>
              <w:rPr>
                <w:rFonts w:hint="eastAsia"/>
                <w:color w:val="auto"/>
                <w:lang w:val="en-US" w:eastAsia="zh-CN"/>
              </w:rPr>
              <w:t>12</w:t>
            </w:r>
            <w:r>
              <w:rPr>
                <w:rFonts w:hint="eastAsia"/>
                <w:color w:val="auto"/>
              </w:rPr>
              <w:t>日取得了玉溪</w:t>
            </w:r>
            <w:r>
              <w:rPr>
                <w:rFonts w:hint="eastAsia"/>
                <w:color w:val="auto"/>
                <w:lang w:val="en-US" w:eastAsia="zh-CN"/>
              </w:rPr>
              <w:t>高新技术产业开发区管理委员会</w:t>
            </w:r>
            <w:r>
              <w:rPr>
                <w:rFonts w:hint="eastAsia"/>
                <w:color w:val="auto"/>
              </w:rPr>
              <w:t>签发的投资项目备案证（玉</w:t>
            </w:r>
            <w:r>
              <w:rPr>
                <w:rFonts w:hint="eastAsia"/>
                <w:color w:val="auto"/>
                <w:lang w:val="en-US" w:eastAsia="zh-CN"/>
              </w:rPr>
              <w:t>高开委</w:t>
            </w:r>
            <w:r>
              <w:rPr>
                <w:rFonts w:hint="eastAsia"/>
                <w:color w:val="auto"/>
              </w:rPr>
              <w:t>发备案〔202</w:t>
            </w:r>
            <w:r>
              <w:rPr>
                <w:rFonts w:hint="eastAsia"/>
                <w:color w:val="auto"/>
                <w:lang w:val="en-US" w:eastAsia="zh-CN"/>
              </w:rPr>
              <w:t>5</w:t>
            </w:r>
            <w:r>
              <w:rPr>
                <w:rFonts w:hint="eastAsia"/>
                <w:color w:val="auto"/>
              </w:rPr>
              <w:t>〕</w:t>
            </w:r>
            <w:r>
              <w:rPr>
                <w:rFonts w:hint="eastAsia"/>
                <w:color w:val="auto"/>
                <w:lang w:val="en-US" w:eastAsia="zh-CN"/>
              </w:rPr>
              <w:t>41</w:t>
            </w:r>
            <w:r>
              <w:rPr>
                <w:rFonts w:hint="eastAsia"/>
                <w:color w:val="auto"/>
              </w:rPr>
              <w:t>号）（详见附件2）</w:t>
            </w:r>
            <w:r>
              <w:rPr>
                <w:rFonts w:hint="eastAsia" w:eastAsia="宋体"/>
                <w:color w:val="auto"/>
                <w:lang w:eastAsia="zh-CN"/>
              </w:rPr>
              <w:t>，</w:t>
            </w:r>
            <w:r>
              <w:rPr>
                <w:rFonts w:hint="eastAsia"/>
                <w:color w:val="auto"/>
                <w:lang w:eastAsia="zh-CN"/>
              </w:rPr>
              <w:t>项目符合国家产业政策。</w:t>
            </w:r>
          </w:p>
          <w:p w14:paraId="1EADC679">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eastAsia="宋体" w:cs="Times New Roman"/>
                <w:color w:val="auto"/>
                <w:lang w:val="en-US" w:eastAsia="zh-CN"/>
              </w:rPr>
            </w:pPr>
            <w:r>
              <w:rPr>
                <w:rFonts w:hint="eastAsia"/>
                <w:b/>
                <w:bCs/>
                <w:color w:val="auto"/>
                <w:lang w:val="en-US" w:eastAsia="zh-CN"/>
              </w:rPr>
              <w:t>2、</w:t>
            </w:r>
            <w:r>
              <w:rPr>
                <w:b/>
                <w:bCs/>
                <w:color w:val="auto"/>
                <w:kern w:val="0"/>
              </w:rPr>
              <w:t>《云南省主体功能区规划》</w:t>
            </w:r>
            <w:r>
              <w:rPr>
                <w:rFonts w:hint="eastAsia"/>
                <w:b/>
                <w:bCs/>
                <w:color w:val="auto"/>
                <w:kern w:val="0"/>
                <w:lang w:val="en-US" w:eastAsia="zh-CN"/>
              </w:rPr>
              <w:t>符合性分析</w:t>
            </w:r>
          </w:p>
          <w:p w14:paraId="6A96376A">
            <w:pPr>
              <w:rPr>
                <w:rFonts w:hint="eastAsia"/>
                <w:b w:val="0"/>
                <w:bCs w:val="0"/>
                <w:color w:val="auto"/>
                <w:lang w:val="en-US" w:eastAsia="zh-CN"/>
              </w:rPr>
            </w:pPr>
            <w:r>
              <w:rPr>
                <w:rFonts w:hint="eastAsia"/>
                <w:b w:val="0"/>
                <w:bCs w:val="0"/>
                <w:color w:val="auto"/>
                <w:lang w:val="en-US" w:eastAsia="zh-CN"/>
              </w:rPr>
              <w:t>云南省人民政府于2014年1月6日印发了《云南省主体功能区规划》（云政发</w:t>
            </w:r>
            <w:r>
              <w:rPr>
                <w:rFonts w:hint="eastAsia"/>
                <w:color w:val="auto"/>
                <w:lang w:eastAsia="zh-CN"/>
              </w:rPr>
              <w:t>〔</w:t>
            </w:r>
            <w:r>
              <w:rPr>
                <w:rFonts w:hint="eastAsia"/>
                <w:b w:val="0"/>
                <w:bCs w:val="0"/>
                <w:color w:val="auto"/>
                <w:lang w:val="en-US" w:eastAsia="zh-CN"/>
              </w:rPr>
              <w:t>2014</w:t>
            </w:r>
            <w:r>
              <w:rPr>
                <w:rFonts w:hint="eastAsia"/>
                <w:color w:val="auto"/>
                <w:lang w:eastAsia="zh-CN"/>
              </w:rPr>
              <w:t>〕</w:t>
            </w:r>
            <w:r>
              <w:rPr>
                <w:rFonts w:hint="eastAsia"/>
                <w:b w:val="0"/>
                <w:bCs w:val="0"/>
                <w:color w:val="auto"/>
                <w:lang w:val="en-US" w:eastAsia="zh-CN"/>
              </w:rPr>
              <w:t>1号文）。《云南省主体功能区划》将云南省国土空间按照开发方式分为重点开发区域、限制开发区域和禁止开发区域3类主体功能区域。其中重点开发区是重点进行工业化城镇化开发的区域，包括国家层面的重点开发区域、省级层面集中连片重点开发区域和其他重点开发的城镇。限制开发区域是保障农产品供给和生态安全的重要区域，包括农产品主产区和重点生态功能区。禁止开发区域是保护自然文化遗产的重要区域，包括农产品主产区和重点生态功能区。禁止开发区域是保护自然文化遗产的重要区域，分为国家级和省级，具体包括：自然保护区、世界遗产、风景名胜区、森林公园、地质公园、城市饮用水源保护区、湿地公园、水产种质资源保护区、牛栏江流域上游保护区水源保护核心区等。</w:t>
            </w:r>
          </w:p>
          <w:p w14:paraId="67F9D14A">
            <w:pPr>
              <w:ind w:firstLine="480"/>
              <w:rPr>
                <w:rFonts w:hint="eastAsia"/>
                <w:b/>
                <w:bCs/>
                <w:color w:val="auto"/>
                <w:lang w:val="en-US" w:eastAsia="zh-CN"/>
              </w:rPr>
            </w:pPr>
            <w:r>
              <w:rPr>
                <w:rFonts w:hint="eastAsia" w:cs="Times New Roman"/>
                <w:color w:val="auto"/>
              </w:rPr>
              <w:t>根据云南省主体功能区划分总图</w:t>
            </w:r>
            <w:r>
              <w:rPr>
                <w:rFonts w:hint="eastAsia" w:cs="Times New Roman"/>
                <w:color w:val="auto"/>
                <w:lang w:eastAsia="zh-CN"/>
              </w:rPr>
              <w:t>（</w:t>
            </w:r>
            <w:r>
              <w:rPr>
                <w:rFonts w:hint="eastAsia" w:cs="Times New Roman"/>
                <w:color w:val="auto"/>
                <w:lang w:val="en-US" w:eastAsia="zh-CN"/>
              </w:rPr>
              <w:t>详见附图4</w:t>
            </w:r>
            <w:r>
              <w:rPr>
                <w:rFonts w:hint="eastAsia" w:cs="Times New Roman"/>
                <w:color w:val="auto"/>
                <w:lang w:eastAsia="zh-CN"/>
              </w:rPr>
              <w:t>）</w:t>
            </w:r>
            <w:r>
              <w:rPr>
                <w:rFonts w:hint="eastAsia" w:cs="Times New Roman"/>
                <w:color w:val="auto"/>
              </w:rPr>
              <w:t>，本项目所在的玉溪市</w:t>
            </w:r>
            <w:r>
              <w:rPr>
                <w:rFonts w:hint="eastAsia" w:cs="Times New Roman"/>
                <w:color w:val="auto"/>
                <w:lang w:val="en-US" w:eastAsia="zh-CN"/>
              </w:rPr>
              <w:t>红塔区</w:t>
            </w:r>
            <w:r>
              <w:rPr>
                <w:rFonts w:hint="eastAsia" w:cs="Times New Roman"/>
                <w:color w:val="auto"/>
              </w:rPr>
              <w:t>，属于《云南省主体功能区划》中国家重点开发区，</w:t>
            </w:r>
            <w:r>
              <w:rPr>
                <w:rFonts w:hint="eastAsia" w:cs="Times New Roman"/>
                <w:color w:val="auto"/>
                <w:lang w:val="en-US" w:eastAsia="zh-CN"/>
              </w:rPr>
              <w:t>不属于</w:t>
            </w:r>
            <w:r>
              <w:rPr>
                <w:rFonts w:hint="default"/>
                <w:b w:val="0"/>
                <w:bCs w:val="0"/>
                <w:i w:val="0"/>
                <w:iCs w:val="0"/>
                <w:color w:val="auto"/>
                <w:lang w:val="en-US" w:eastAsia="zh-CN"/>
              </w:rPr>
              <w:t>限制开发区域和禁止开发区域</w:t>
            </w:r>
            <w:r>
              <w:rPr>
                <w:rFonts w:hint="eastAsia"/>
                <w:b w:val="0"/>
                <w:bCs w:val="0"/>
                <w:i w:val="0"/>
                <w:iCs w:val="0"/>
                <w:color w:val="auto"/>
                <w:lang w:val="en-US" w:eastAsia="zh-CN"/>
              </w:rPr>
              <w:t>，项目的建设</w:t>
            </w:r>
            <w:r>
              <w:rPr>
                <w:rFonts w:hint="eastAsia" w:cs="Times New Roman"/>
                <w:color w:val="auto"/>
              </w:rPr>
              <w:t>符合《云南省主体功能区划》。</w:t>
            </w:r>
          </w:p>
          <w:p w14:paraId="526A6D44">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Times New Roman" w:hAnsi="Times New Roman" w:eastAsia="宋体"/>
                <w:b/>
                <w:bCs/>
                <w:color w:val="auto"/>
                <w:lang w:val="en-US" w:eastAsia="zh-CN"/>
              </w:rPr>
            </w:pPr>
            <w:r>
              <w:rPr>
                <w:rFonts w:hint="eastAsia" w:ascii="Times New Roman" w:hAnsi="Times New Roman" w:eastAsia="宋体"/>
                <w:b/>
                <w:bCs/>
                <w:color w:val="auto"/>
                <w:lang w:val="en-US" w:eastAsia="zh-CN"/>
              </w:rPr>
              <w:t>3、《云南省生态功能区划》的符合性分析</w:t>
            </w:r>
          </w:p>
          <w:p w14:paraId="12C9110E">
            <w:pPr>
              <w:ind w:firstLine="480" w:firstLineChars="200"/>
              <w:rPr>
                <w:rFonts w:hint="eastAsia"/>
                <w:color w:val="auto"/>
              </w:rPr>
            </w:pPr>
            <w:r>
              <w:rPr>
                <w:rFonts w:hint="eastAsia"/>
                <w:color w:val="auto"/>
              </w:rPr>
              <w:t>根据云南省的生态环境敏感性、生态系统服务功能分布规律及存在的主要生态问题，2009年9月云南省人民政府批复的《云南省生态功能区划》，将云南生态功能分为5个一级区（生态区）、19个二级区（生态亚区）和65个三级区（生态功能区）。</w:t>
            </w:r>
          </w:p>
          <w:p w14:paraId="269A2A06">
            <w:pPr>
              <w:ind w:firstLine="480" w:firstLineChars="200"/>
              <w:rPr>
                <w:rFonts w:hint="eastAsia"/>
                <w:color w:val="auto"/>
              </w:rPr>
            </w:pPr>
            <w:r>
              <w:rPr>
                <w:rFonts w:hint="eastAsia"/>
                <w:color w:val="auto"/>
              </w:rPr>
              <w:t>根据《云南省生态功能区划》，项目区属于Ⅲ1-6 昆明、玉溪高原湖盆城镇生态功能区，主要保护措施及发展方向见下表。</w:t>
            </w:r>
          </w:p>
          <w:p w14:paraId="7E016B3F">
            <w:pPr>
              <w:pStyle w:val="30"/>
              <w:bidi w:val="0"/>
              <w:rPr>
                <w:rFonts w:hint="eastAsia"/>
                <w:color w:val="auto"/>
                <w:lang w:val="en-US" w:eastAsia="zh-CN"/>
              </w:rPr>
            </w:pPr>
            <w:r>
              <w:rPr>
                <w:rFonts w:hint="eastAsia"/>
                <w:color w:val="auto"/>
                <w:lang w:val="en-US" w:eastAsia="zh-CN"/>
              </w:rPr>
              <w:t>表1-4 本项目所在区生态功能区划</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036"/>
              <w:gridCol w:w="1036"/>
              <w:gridCol w:w="2125"/>
              <w:gridCol w:w="995"/>
              <w:gridCol w:w="684"/>
              <w:gridCol w:w="792"/>
              <w:gridCol w:w="1186"/>
            </w:tblGrid>
            <w:tr w14:paraId="51AE1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1" w:hRule="atLeast"/>
              </w:trPr>
              <w:tc>
                <w:tcPr>
                  <w:tcW w:w="1615" w:type="pct"/>
                  <w:gridSpan w:val="3"/>
                  <w:vAlign w:val="center"/>
                </w:tcPr>
                <w:p w14:paraId="3E6D013B">
                  <w:pPr>
                    <w:pStyle w:val="29"/>
                    <w:bidi w:val="0"/>
                    <w:rPr>
                      <w:rFonts w:hint="default"/>
                      <w:color w:val="auto"/>
                      <w:lang w:val="en-US" w:eastAsia="zh-CN"/>
                    </w:rPr>
                  </w:pPr>
                  <w:r>
                    <w:rPr>
                      <w:rFonts w:hint="eastAsia"/>
                      <w:color w:val="auto"/>
                      <w:lang w:val="en-US" w:eastAsia="zh-CN"/>
                    </w:rPr>
                    <w:t>生态功能分区单元</w:t>
                  </w:r>
                </w:p>
              </w:tc>
              <w:tc>
                <w:tcPr>
                  <w:tcW w:w="1243" w:type="pct"/>
                  <w:vMerge w:val="restart"/>
                  <w:vAlign w:val="center"/>
                </w:tcPr>
                <w:p w14:paraId="4D033827">
                  <w:pPr>
                    <w:pStyle w:val="29"/>
                    <w:bidi w:val="0"/>
                    <w:rPr>
                      <w:rFonts w:hint="default"/>
                      <w:color w:val="auto"/>
                      <w:lang w:val="en-US" w:eastAsia="zh-CN"/>
                    </w:rPr>
                  </w:pPr>
                  <w:r>
                    <w:rPr>
                      <w:rFonts w:hint="eastAsia"/>
                      <w:color w:val="auto"/>
                      <w:lang w:val="en-US" w:eastAsia="zh-CN"/>
                    </w:rPr>
                    <w:t>主要生态特征</w:t>
                  </w:r>
                </w:p>
              </w:tc>
              <w:tc>
                <w:tcPr>
                  <w:tcW w:w="582" w:type="pct"/>
                  <w:vMerge w:val="restart"/>
                  <w:vAlign w:val="center"/>
                </w:tcPr>
                <w:p w14:paraId="762A99AE">
                  <w:pPr>
                    <w:pStyle w:val="29"/>
                    <w:bidi w:val="0"/>
                    <w:rPr>
                      <w:rFonts w:hint="default"/>
                      <w:color w:val="auto"/>
                      <w:lang w:val="en-US" w:eastAsia="zh-CN"/>
                    </w:rPr>
                  </w:pPr>
                  <w:r>
                    <w:rPr>
                      <w:rFonts w:hint="eastAsia"/>
                      <w:color w:val="auto"/>
                      <w:lang w:val="en-US" w:eastAsia="zh-CN"/>
                    </w:rPr>
                    <w:t>主要生态环境问题</w:t>
                  </w:r>
                </w:p>
              </w:tc>
              <w:tc>
                <w:tcPr>
                  <w:tcW w:w="400" w:type="pct"/>
                  <w:vMerge w:val="restart"/>
                  <w:vAlign w:val="center"/>
                </w:tcPr>
                <w:p w14:paraId="033F9372">
                  <w:pPr>
                    <w:pStyle w:val="29"/>
                    <w:bidi w:val="0"/>
                    <w:rPr>
                      <w:rFonts w:hint="default"/>
                      <w:color w:val="auto"/>
                      <w:lang w:val="en-US" w:eastAsia="zh-CN"/>
                    </w:rPr>
                  </w:pPr>
                  <w:r>
                    <w:rPr>
                      <w:rFonts w:hint="eastAsia"/>
                      <w:color w:val="auto"/>
                      <w:lang w:val="en-US" w:eastAsia="zh-CN"/>
                    </w:rPr>
                    <w:t>生态环境敏感性</w:t>
                  </w:r>
                </w:p>
              </w:tc>
              <w:tc>
                <w:tcPr>
                  <w:tcW w:w="463" w:type="pct"/>
                  <w:vMerge w:val="restart"/>
                  <w:vAlign w:val="center"/>
                </w:tcPr>
                <w:p w14:paraId="3033FE94">
                  <w:pPr>
                    <w:pStyle w:val="29"/>
                    <w:bidi w:val="0"/>
                    <w:rPr>
                      <w:rFonts w:hint="default"/>
                      <w:color w:val="auto"/>
                      <w:lang w:val="en-US" w:eastAsia="zh-CN"/>
                    </w:rPr>
                  </w:pPr>
                  <w:r>
                    <w:rPr>
                      <w:rFonts w:hint="eastAsia"/>
                      <w:color w:val="auto"/>
                      <w:lang w:val="en-US" w:eastAsia="zh-CN"/>
                    </w:rPr>
                    <w:t>主要生态系统服务功能</w:t>
                  </w:r>
                </w:p>
              </w:tc>
              <w:tc>
                <w:tcPr>
                  <w:tcW w:w="694" w:type="pct"/>
                  <w:vMerge w:val="restart"/>
                  <w:vAlign w:val="center"/>
                </w:tcPr>
                <w:p w14:paraId="4AF54D74">
                  <w:pPr>
                    <w:pStyle w:val="29"/>
                    <w:bidi w:val="0"/>
                    <w:rPr>
                      <w:rFonts w:hint="default"/>
                      <w:color w:val="auto"/>
                      <w:lang w:val="en-US" w:eastAsia="zh-CN"/>
                    </w:rPr>
                  </w:pPr>
                  <w:r>
                    <w:rPr>
                      <w:rFonts w:hint="eastAsia"/>
                      <w:color w:val="auto"/>
                      <w:lang w:val="en-US" w:eastAsia="zh-CN"/>
                    </w:rPr>
                    <w:t>保护措施与发展方向</w:t>
                  </w:r>
                </w:p>
              </w:tc>
            </w:tr>
            <w:tr w14:paraId="3264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03" w:type="pct"/>
                  <w:vAlign w:val="center"/>
                </w:tcPr>
                <w:p w14:paraId="396A7C0B">
                  <w:pPr>
                    <w:pStyle w:val="29"/>
                    <w:bidi w:val="0"/>
                    <w:rPr>
                      <w:rFonts w:hint="default"/>
                      <w:color w:val="auto"/>
                      <w:lang w:val="en-US" w:eastAsia="zh-CN"/>
                    </w:rPr>
                  </w:pPr>
                  <w:r>
                    <w:rPr>
                      <w:rFonts w:hint="eastAsia"/>
                      <w:color w:val="auto"/>
                      <w:lang w:val="en-US" w:eastAsia="zh-CN"/>
                    </w:rPr>
                    <w:t>生态区</w:t>
                  </w:r>
                </w:p>
              </w:tc>
              <w:tc>
                <w:tcPr>
                  <w:tcW w:w="606" w:type="pct"/>
                  <w:vAlign w:val="center"/>
                </w:tcPr>
                <w:p w14:paraId="1A929E3B">
                  <w:pPr>
                    <w:pStyle w:val="29"/>
                    <w:bidi w:val="0"/>
                    <w:rPr>
                      <w:rFonts w:hint="default"/>
                      <w:color w:val="auto"/>
                      <w:lang w:val="en-US" w:eastAsia="zh-CN"/>
                    </w:rPr>
                  </w:pPr>
                  <w:r>
                    <w:rPr>
                      <w:rFonts w:hint="eastAsia"/>
                      <w:color w:val="auto"/>
                      <w:lang w:val="en-US" w:eastAsia="zh-CN"/>
                    </w:rPr>
                    <w:t>生态亚区</w:t>
                  </w:r>
                </w:p>
              </w:tc>
              <w:tc>
                <w:tcPr>
                  <w:tcW w:w="605" w:type="pct"/>
                  <w:vAlign w:val="center"/>
                </w:tcPr>
                <w:p w14:paraId="4ACFBF95">
                  <w:pPr>
                    <w:pStyle w:val="29"/>
                    <w:bidi w:val="0"/>
                    <w:rPr>
                      <w:rFonts w:hint="default"/>
                      <w:color w:val="auto"/>
                      <w:lang w:val="en-US" w:eastAsia="zh-CN"/>
                    </w:rPr>
                  </w:pPr>
                  <w:r>
                    <w:rPr>
                      <w:rFonts w:hint="eastAsia"/>
                      <w:color w:val="auto"/>
                      <w:lang w:val="en-US" w:eastAsia="zh-CN"/>
                    </w:rPr>
                    <w:t>生态功能区</w:t>
                  </w:r>
                </w:p>
              </w:tc>
              <w:tc>
                <w:tcPr>
                  <w:tcW w:w="1243" w:type="pct"/>
                  <w:vMerge w:val="continue"/>
                  <w:vAlign w:val="center"/>
                </w:tcPr>
                <w:p w14:paraId="363689D7">
                  <w:pPr>
                    <w:pStyle w:val="29"/>
                    <w:bidi w:val="0"/>
                    <w:rPr>
                      <w:rFonts w:hint="default"/>
                      <w:color w:val="auto"/>
                      <w:lang w:val="en-US" w:eastAsia="zh-CN"/>
                    </w:rPr>
                  </w:pPr>
                </w:p>
              </w:tc>
              <w:tc>
                <w:tcPr>
                  <w:tcW w:w="582" w:type="pct"/>
                  <w:vMerge w:val="continue"/>
                  <w:vAlign w:val="center"/>
                </w:tcPr>
                <w:p w14:paraId="4F2815E0">
                  <w:pPr>
                    <w:pStyle w:val="29"/>
                    <w:bidi w:val="0"/>
                    <w:rPr>
                      <w:rFonts w:hint="default"/>
                      <w:color w:val="auto"/>
                      <w:lang w:val="en-US" w:eastAsia="zh-CN"/>
                    </w:rPr>
                  </w:pPr>
                </w:p>
              </w:tc>
              <w:tc>
                <w:tcPr>
                  <w:tcW w:w="400" w:type="pct"/>
                  <w:vMerge w:val="continue"/>
                  <w:vAlign w:val="center"/>
                </w:tcPr>
                <w:p w14:paraId="10371802">
                  <w:pPr>
                    <w:pStyle w:val="29"/>
                    <w:bidi w:val="0"/>
                    <w:rPr>
                      <w:rFonts w:hint="default"/>
                      <w:color w:val="auto"/>
                      <w:lang w:val="en-US" w:eastAsia="zh-CN"/>
                    </w:rPr>
                  </w:pPr>
                </w:p>
              </w:tc>
              <w:tc>
                <w:tcPr>
                  <w:tcW w:w="463" w:type="pct"/>
                  <w:vMerge w:val="continue"/>
                  <w:vAlign w:val="center"/>
                </w:tcPr>
                <w:p w14:paraId="5C4335CD">
                  <w:pPr>
                    <w:pStyle w:val="29"/>
                    <w:bidi w:val="0"/>
                    <w:rPr>
                      <w:rFonts w:hint="default"/>
                      <w:color w:val="auto"/>
                      <w:lang w:val="en-US" w:eastAsia="zh-CN"/>
                    </w:rPr>
                  </w:pPr>
                </w:p>
              </w:tc>
              <w:tc>
                <w:tcPr>
                  <w:tcW w:w="694" w:type="pct"/>
                  <w:vMerge w:val="continue"/>
                  <w:vAlign w:val="center"/>
                </w:tcPr>
                <w:p w14:paraId="31F75A0B">
                  <w:pPr>
                    <w:pStyle w:val="29"/>
                    <w:bidi w:val="0"/>
                    <w:rPr>
                      <w:rFonts w:hint="default"/>
                      <w:color w:val="auto"/>
                      <w:lang w:val="en-US" w:eastAsia="zh-CN"/>
                    </w:rPr>
                  </w:pPr>
                </w:p>
              </w:tc>
            </w:tr>
            <w:tr w14:paraId="285D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 w:type="pct"/>
                  <w:vAlign w:val="center"/>
                </w:tcPr>
                <w:p w14:paraId="518ABD5F">
                  <w:pPr>
                    <w:pStyle w:val="29"/>
                    <w:bidi w:val="0"/>
                    <w:rPr>
                      <w:rFonts w:hint="default" w:ascii="Times New Roman" w:hAnsi="Times New Roman" w:cs="Times New Roman"/>
                      <w:color w:val="auto"/>
                      <w:lang w:val="en-US" w:eastAsia="zh-CN"/>
                    </w:rPr>
                  </w:pPr>
                  <w:r>
                    <w:rPr>
                      <w:rFonts w:hint="default" w:ascii="Times New Roman" w:hAnsi="Times New Roman" w:cs="Times New Roman"/>
                      <w:color w:val="auto"/>
                    </w:rPr>
                    <w:t>Ⅲ 高原亚热带北部常绿阔叶林生态区</w:t>
                  </w:r>
                </w:p>
              </w:tc>
              <w:tc>
                <w:tcPr>
                  <w:tcW w:w="606" w:type="pct"/>
                  <w:vAlign w:val="center"/>
                </w:tcPr>
                <w:p w14:paraId="402D84E7">
                  <w:pPr>
                    <w:pStyle w:val="29"/>
                    <w:bidi w:val="0"/>
                    <w:rPr>
                      <w:rFonts w:hint="default" w:ascii="Times New Roman" w:hAnsi="Times New Roman" w:cs="Times New Roman"/>
                      <w:color w:val="auto"/>
                      <w:lang w:val="en-US" w:eastAsia="zh-CN"/>
                    </w:rPr>
                  </w:pPr>
                  <w:r>
                    <w:rPr>
                      <w:rFonts w:hint="default" w:ascii="Times New Roman" w:hAnsi="Times New Roman" w:cs="Times New Roman"/>
                      <w:color w:val="auto"/>
                    </w:rPr>
                    <w:t>Ⅲ1滇中高原谷盆半湿润常绿阔叶林、暖性针叶林生态亚区</w:t>
                  </w:r>
                </w:p>
              </w:tc>
              <w:tc>
                <w:tcPr>
                  <w:tcW w:w="605" w:type="pct"/>
                  <w:vAlign w:val="center"/>
                </w:tcPr>
                <w:p w14:paraId="2782FC03">
                  <w:pPr>
                    <w:pStyle w:val="29"/>
                    <w:bidi w:val="0"/>
                    <w:rPr>
                      <w:rFonts w:hint="default"/>
                      <w:color w:val="auto"/>
                      <w:lang w:val="en-US" w:eastAsia="zh-CN"/>
                    </w:rPr>
                  </w:pPr>
                  <w:r>
                    <w:rPr>
                      <w:rFonts w:hint="default"/>
                      <w:color w:val="auto"/>
                      <w:lang w:val="en-US" w:eastAsia="zh-CN"/>
                    </w:rPr>
                    <w:t>Ⅲ1-6 昆明、玉溪高原湖盆城镇生态功能区</w:t>
                  </w:r>
                </w:p>
              </w:tc>
              <w:tc>
                <w:tcPr>
                  <w:tcW w:w="1243" w:type="pct"/>
                  <w:vAlign w:val="center"/>
                </w:tcPr>
                <w:p w14:paraId="247DF8FA">
                  <w:pPr>
                    <w:pStyle w:val="29"/>
                    <w:bidi w:val="0"/>
                    <w:rPr>
                      <w:rFonts w:hint="default"/>
                      <w:color w:val="auto"/>
                      <w:lang w:val="en-US" w:eastAsia="zh-CN"/>
                    </w:rPr>
                  </w:pPr>
                  <w:r>
                    <w:rPr>
                      <w:rFonts w:hint="default"/>
                      <w:color w:val="auto"/>
                      <w:lang w:val="en-US" w:eastAsia="zh-CN"/>
                    </w:rPr>
                    <w:t>以湖盆和丘状高原地貌为主。滇池、抚仙湖、星云湖、杞麓湖等高原湖泊都分布在本区内，大部分地区的年降雨量在900-1000毫米，现存植被以云南松林为主。土壤以红壤、紫色土和水稻土为主</w:t>
                  </w:r>
                </w:p>
              </w:tc>
              <w:tc>
                <w:tcPr>
                  <w:tcW w:w="582" w:type="pct"/>
                  <w:vAlign w:val="center"/>
                </w:tcPr>
                <w:p w14:paraId="4F161DE0">
                  <w:pPr>
                    <w:pStyle w:val="29"/>
                    <w:bidi w:val="0"/>
                    <w:rPr>
                      <w:rFonts w:hint="default"/>
                      <w:color w:val="auto"/>
                      <w:lang w:val="en-US" w:eastAsia="zh-CN"/>
                    </w:rPr>
                  </w:pPr>
                  <w:r>
                    <w:rPr>
                      <w:rFonts w:hint="default"/>
                      <w:color w:val="auto"/>
                      <w:lang w:val="en-US" w:eastAsia="zh-CN"/>
                    </w:rPr>
                    <w:t>农业面源污染，环境污染、水资源和土地资源短缺</w:t>
                  </w:r>
                </w:p>
              </w:tc>
              <w:tc>
                <w:tcPr>
                  <w:tcW w:w="400" w:type="pct"/>
                  <w:vAlign w:val="center"/>
                </w:tcPr>
                <w:p w14:paraId="4E391970">
                  <w:pPr>
                    <w:pStyle w:val="29"/>
                    <w:bidi w:val="0"/>
                    <w:rPr>
                      <w:rFonts w:hint="default"/>
                      <w:color w:val="auto"/>
                      <w:lang w:val="en-US" w:eastAsia="zh-CN"/>
                    </w:rPr>
                  </w:pPr>
                  <w:r>
                    <w:rPr>
                      <w:rFonts w:hint="default"/>
                      <w:color w:val="auto"/>
                      <w:lang w:val="en-US" w:eastAsia="zh-CN"/>
                    </w:rPr>
                    <w:t>高原湖盆和城乡交错带的生态脆弱性</w:t>
                  </w:r>
                </w:p>
              </w:tc>
              <w:tc>
                <w:tcPr>
                  <w:tcW w:w="463" w:type="pct"/>
                  <w:vAlign w:val="center"/>
                </w:tcPr>
                <w:p w14:paraId="06E924C9">
                  <w:pPr>
                    <w:pStyle w:val="29"/>
                    <w:bidi w:val="0"/>
                    <w:rPr>
                      <w:rFonts w:hint="default"/>
                      <w:color w:val="auto"/>
                      <w:lang w:val="en-US" w:eastAsia="zh-CN"/>
                    </w:rPr>
                  </w:pPr>
                  <w:r>
                    <w:rPr>
                      <w:rFonts w:hint="default"/>
                      <w:color w:val="auto"/>
                      <w:lang w:val="en-US" w:eastAsia="zh-CN"/>
                    </w:rPr>
                    <w:t>昆明中心城市建设及维护高原湖泊群及周边地区的生态安全</w:t>
                  </w:r>
                </w:p>
              </w:tc>
              <w:tc>
                <w:tcPr>
                  <w:tcW w:w="694" w:type="pct"/>
                  <w:vAlign w:val="center"/>
                </w:tcPr>
                <w:p w14:paraId="2A34E8BD">
                  <w:pPr>
                    <w:pStyle w:val="29"/>
                    <w:bidi w:val="0"/>
                    <w:rPr>
                      <w:rFonts w:hint="default"/>
                      <w:color w:val="auto"/>
                      <w:lang w:val="en-US" w:eastAsia="zh-CN"/>
                    </w:rPr>
                  </w:pPr>
                  <w:r>
                    <w:rPr>
                      <w:rFonts w:hint="default"/>
                      <w:color w:val="auto"/>
                      <w:lang w:val="en-US" w:eastAsia="zh-CN"/>
                    </w:rPr>
                    <w:t>调整产业结构，发展循环经济，推行清洁生产，治理高原湖泊水体污染和流域区的面源污染</w:t>
                  </w:r>
                </w:p>
              </w:tc>
            </w:tr>
          </w:tbl>
          <w:p w14:paraId="23172FEA">
            <w:pPr>
              <w:ind w:firstLine="480"/>
              <w:rPr>
                <w:b/>
                <w:bCs/>
                <w:color w:val="auto"/>
              </w:rPr>
            </w:pPr>
            <w:r>
              <w:rPr>
                <w:rFonts w:hint="eastAsia" w:eastAsia="宋体" w:cs="Times New Roman"/>
                <w:color w:val="auto"/>
                <w:lang w:eastAsia="zh-CN"/>
              </w:rPr>
              <w:t>根据</w:t>
            </w:r>
            <w:r>
              <w:rPr>
                <w:rFonts w:hint="eastAsia"/>
                <w:b w:val="0"/>
                <w:bCs w:val="0"/>
                <w:color w:val="auto"/>
                <w:kern w:val="0"/>
              </w:rPr>
              <w:t>《云南省生态功能区划》</w:t>
            </w:r>
            <w:r>
              <w:rPr>
                <w:rFonts w:hint="eastAsia"/>
                <w:b w:val="0"/>
                <w:bCs w:val="0"/>
                <w:color w:val="auto"/>
                <w:kern w:val="0"/>
                <w:lang w:eastAsia="zh-CN"/>
              </w:rPr>
              <w:t>，</w:t>
            </w:r>
            <w:r>
              <w:rPr>
                <w:rFonts w:hint="eastAsia"/>
                <w:color w:val="auto"/>
                <w:lang w:val="en-US" w:eastAsia="zh-CN"/>
              </w:rPr>
              <w:t>本项目</w:t>
            </w:r>
            <w:r>
              <w:rPr>
                <w:rFonts w:hint="eastAsia"/>
                <w:color w:val="auto"/>
              </w:rPr>
              <w:t>为</w:t>
            </w:r>
            <w:r>
              <w:rPr>
                <w:rFonts w:hint="eastAsia"/>
                <w:color w:val="auto"/>
                <w:lang w:val="en-US" w:eastAsia="zh-CN"/>
              </w:rPr>
              <w:t>啤酒</w:t>
            </w:r>
            <w:r>
              <w:rPr>
                <w:rFonts w:hint="eastAsia"/>
                <w:color w:val="auto"/>
                <w:lang w:eastAsia="zh-CN"/>
              </w:rPr>
              <w:t>生产</w:t>
            </w:r>
            <w:r>
              <w:rPr>
                <w:rFonts w:hint="eastAsia"/>
                <w:color w:val="auto"/>
              </w:rPr>
              <w:t>项目，</w:t>
            </w:r>
            <w:r>
              <w:rPr>
                <w:rFonts w:hint="eastAsia"/>
                <w:color w:val="auto"/>
                <w:lang w:eastAsia="zh-CN"/>
              </w:rPr>
              <w:t>项目</w:t>
            </w:r>
            <w:r>
              <w:rPr>
                <w:rFonts w:hint="eastAsia"/>
                <w:color w:val="auto"/>
                <w:lang w:val="en-US" w:eastAsia="zh-CN"/>
              </w:rPr>
              <w:t>生产废水经自建的一体化污水处理设施处理达标后经园区污水管网进入市政污水管网，最后进入玉溪市第一、第三污水处理厂处理后排放</w:t>
            </w:r>
            <w:r>
              <w:rPr>
                <w:rFonts w:hint="eastAsia"/>
                <w:color w:val="auto"/>
                <w:lang w:eastAsia="zh-CN"/>
              </w:rPr>
              <w:t>，不会污染高原湖泊水域</w:t>
            </w:r>
            <w:r>
              <w:rPr>
                <w:rFonts w:hint="eastAsia"/>
                <w:color w:val="auto"/>
              </w:rPr>
              <w:t>，</w:t>
            </w:r>
            <w:r>
              <w:rPr>
                <w:rFonts w:hint="eastAsia"/>
                <w:color w:val="auto"/>
                <w:lang w:eastAsia="zh-CN"/>
              </w:rPr>
              <w:t>项目租用玉溪市高新区九龙池片区工业园区内D4栋第一层进行建设，不新增占地，不会造成土地资源短缺，</w:t>
            </w:r>
            <w:r>
              <w:rPr>
                <w:rFonts w:hint="eastAsia"/>
                <w:color w:val="auto"/>
                <w:lang w:val="en-US" w:eastAsia="zh-CN"/>
              </w:rPr>
              <w:t>废水处置去向合理</w:t>
            </w:r>
            <w:r>
              <w:rPr>
                <w:rFonts w:hint="eastAsia"/>
                <w:color w:val="auto"/>
              </w:rPr>
              <w:t>，废气、噪声能达标排放</w:t>
            </w:r>
            <w:r>
              <w:rPr>
                <w:rFonts w:hint="eastAsia"/>
                <w:color w:val="auto"/>
                <w:lang w:val="en-US" w:eastAsia="zh-CN"/>
              </w:rPr>
              <w:t>。因此，本项目符合所在区生态功能区划的要求。</w:t>
            </w:r>
          </w:p>
          <w:p w14:paraId="4EFE2F74">
            <w:pPr>
              <w:ind w:firstLine="482"/>
              <w:rPr>
                <w:rFonts w:hint="eastAsia"/>
                <w:b/>
                <w:bCs/>
                <w:color w:val="auto"/>
                <w:lang w:val="en-US" w:eastAsia="zh-CN"/>
              </w:rPr>
            </w:pPr>
            <w:r>
              <w:rPr>
                <w:rFonts w:hint="eastAsia" w:eastAsia="宋体"/>
                <w:b/>
                <w:color w:val="auto"/>
                <w:lang w:val="en-US" w:eastAsia="zh-CN"/>
              </w:rPr>
              <w:t>4</w:t>
            </w:r>
            <w:r>
              <w:rPr>
                <w:b/>
                <w:color w:val="auto"/>
              </w:rPr>
              <w:t>、</w:t>
            </w:r>
            <w:r>
              <w:rPr>
                <w:rFonts w:hint="eastAsia"/>
                <w:b/>
                <w:bCs/>
                <w:color w:val="auto"/>
                <w:lang w:val="en-US" w:eastAsia="zh-CN"/>
              </w:rPr>
              <w:t>与玉溪市生态环境局《关于印发玉溪市生态环境分区管控动态更新调整方案》（2023年）的通知的符合性</w:t>
            </w:r>
          </w:p>
          <w:p w14:paraId="188A3DB8">
            <w:pPr>
              <w:ind w:firstLine="480"/>
              <w:jc w:val="center"/>
              <w:rPr>
                <w:rFonts w:hint="eastAsia" w:ascii="Times New Roman" w:hAnsi="Times New Roman" w:eastAsia="宋体" w:cs="Times New Roman"/>
                <w:color w:val="auto"/>
              </w:rPr>
            </w:pPr>
            <w:r>
              <w:rPr>
                <w:rFonts w:hint="eastAsia" w:ascii="Times New Roman" w:hAnsi="Times New Roman" w:eastAsia="宋体" w:cs="Times New Roman"/>
                <w:color w:val="auto"/>
              </w:rPr>
              <w:t>项目所在地位于玉溪市高新区九龙池片区工业园区内D4栋第一层，根据云南省生态环境分区管控公共服务查询平台查询结果可知，项目用地范围位于</w:t>
            </w:r>
            <w:r>
              <w:rPr>
                <w:rFonts w:hint="eastAsia" w:cs="Times New Roman"/>
                <w:color w:val="auto"/>
                <w:lang w:val="en-US" w:eastAsia="zh-CN"/>
              </w:rPr>
              <w:t>红塔区产业园区重点</w:t>
            </w:r>
            <w:r>
              <w:rPr>
                <w:rFonts w:hint="eastAsia" w:ascii="Times New Roman" w:hAnsi="Times New Roman" w:eastAsia="宋体" w:cs="Times New Roman"/>
                <w:color w:val="auto"/>
              </w:rPr>
              <w:t>管控单元，管控单元编码为：ZH53040220005</w:t>
            </w:r>
            <w:r>
              <w:rPr>
                <w:rFonts w:hint="eastAsia" w:cs="Times New Roman"/>
                <w:color w:val="auto"/>
                <w:lang w:eastAsia="zh-CN"/>
              </w:rPr>
              <w:t>，</w:t>
            </w:r>
            <w:r>
              <w:rPr>
                <w:rFonts w:hint="eastAsia" w:ascii="Times New Roman" w:hAnsi="Times New Roman" w:eastAsia="宋体" w:cs="Times New Roman"/>
                <w:color w:val="auto"/>
              </w:rPr>
              <w:t>查询结果详见下图：</w:t>
            </w:r>
            <w:r>
              <w:rPr>
                <w:rFonts w:hint="eastAsia" w:ascii="Times New Roman" w:hAnsi="Times New Roman" w:eastAsia="宋体" w:cs="Times New Roman"/>
                <w:color w:val="auto"/>
              </w:rPr>
              <w:drawing>
                <wp:inline distT="0" distB="0" distL="114300" distR="114300">
                  <wp:extent cx="5424805" cy="6569710"/>
                  <wp:effectExtent l="0" t="0" r="4445" b="254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8"/>
                          <a:stretch>
                            <a:fillRect/>
                          </a:stretch>
                        </pic:blipFill>
                        <pic:spPr>
                          <a:xfrm>
                            <a:off x="0" y="0"/>
                            <a:ext cx="5424805" cy="6569710"/>
                          </a:xfrm>
                          <a:prstGeom prst="rect">
                            <a:avLst/>
                          </a:prstGeom>
                          <a:noFill/>
                          <a:ln>
                            <a:noFill/>
                          </a:ln>
                        </pic:spPr>
                      </pic:pic>
                    </a:graphicData>
                  </a:graphic>
                </wp:inline>
              </w:drawing>
            </w:r>
          </w:p>
          <w:p w14:paraId="217DB0AF">
            <w:pPr>
              <w:pStyle w:val="30"/>
              <w:bidi w:val="0"/>
              <w:rPr>
                <w:rFonts w:hint="eastAsia" w:ascii="Times New Roman" w:hAnsi="Times New Roman" w:eastAsia="宋体" w:cs="Times New Roman"/>
                <w:color w:val="auto"/>
                <w:lang w:val="en-US" w:eastAsia="zh-CN"/>
              </w:rPr>
            </w:pPr>
            <w:r>
              <w:rPr>
                <w:rFonts w:hint="eastAsia"/>
                <w:color w:val="auto"/>
              </w:rPr>
              <w:t>附图1-1 分区管控单元查询结果图</w:t>
            </w:r>
          </w:p>
          <w:p w14:paraId="4A69E366">
            <w:pPr>
              <w:pStyle w:val="30"/>
              <w:bidi w:val="0"/>
              <w:rPr>
                <w:rFonts w:hint="eastAsia"/>
                <w:color w:val="auto"/>
                <w:lang w:val="en-US" w:eastAsia="zh-CN"/>
              </w:rPr>
            </w:pPr>
            <w:r>
              <w:rPr>
                <w:rFonts w:hint="eastAsia"/>
                <w:color w:val="auto"/>
                <w:lang w:val="en-US" w:eastAsia="zh-CN"/>
              </w:rPr>
              <w:t>表1-5  与玉溪市生态环境分区管控动态更新调整方案（2023年）符合性分析</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528"/>
              <w:gridCol w:w="2873"/>
              <w:gridCol w:w="97"/>
              <w:gridCol w:w="3589"/>
              <w:gridCol w:w="15"/>
              <w:gridCol w:w="205"/>
              <w:gridCol w:w="446"/>
            </w:tblGrid>
            <w:tr w14:paraId="7798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pct"/>
                  <w:vAlign w:val="center"/>
                </w:tcPr>
                <w:p w14:paraId="7438C9DC">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管控领域</w:t>
                  </w:r>
                </w:p>
              </w:tc>
              <w:tc>
                <w:tcPr>
                  <w:tcW w:w="1991" w:type="pct"/>
                  <w:gridSpan w:val="2"/>
                  <w:vAlign w:val="center"/>
                </w:tcPr>
                <w:p w14:paraId="0C93DF3B">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通知要求</w:t>
                  </w:r>
                </w:p>
              </w:tc>
              <w:tc>
                <w:tcPr>
                  <w:tcW w:w="2158" w:type="pct"/>
                  <w:gridSpan w:val="2"/>
                  <w:vAlign w:val="center"/>
                </w:tcPr>
                <w:p w14:paraId="666C8A9A">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项目情况</w:t>
                  </w:r>
                </w:p>
              </w:tc>
              <w:tc>
                <w:tcPr>
                  <w:tcW w:w="388" w:type="pct"/>
                  <w:gridSpan w:val="3"/>
                  <w:vAlign w:val="center"/>
                </w:tcPr>
                <w:p w14:paraId="61AE9926">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符合性</w:t>
                  </w:r>
                </w:p>
              </w:tc>
            </w:tr>
            <w:tr w14:paraId="11C8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8"/>
                  <w:vAlign w:val="center"/>
                </w:tcPr>
                <w:p w14:paraId="59FD07D7">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一、生态环境管控总体要求</w:t>
                  </w:r>
                </w:p>
              </w:tc>
            </w:tr>
            <w:tr w14:paraId="6215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pct"/>
                  <w:vAlign w:val="center"/>
                </w:tcPr>
                <w:p w14:paraId="316ABF10">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空间布局</w:t>
                  </w:r>
                </w:p>
                <w:p w14:paraId="2A2B25A6">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约束</w:t>
                  </w:r>
                </w:p>
              </w:tc>
              <w:tc>
                <w:tcPr>
                  <w:tcW w:w="1991" w:type="pct"/>
                  <w:gridSpan w:val="2"/>
                  <w:vAlign w:val="center"/>
                </w:tcPr>
                <w:p w14:paraId="57667AA9">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1.严格落实国家产业政策、国家产业结构调整指导目录。坚决遏制高耗能、高排放、低水平项目盲目发展，项目审批严格落实国家和云南省相关政策要求。严格落实钢铁、水泥、平板玻璃、电解铝等行业产能置换相关政策，严管严控新增电解铝和工业硅产能。</w:t>
                  </w:r>
                </w:p>
                <w:p w14:paraId="6E27D2D9">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2.加强河湖水域岸线空间管控，严格落实九大高原湖泊（抚仙湖、星云湖、杞麓湖）“两线三区”相关管控要求。加快推动重点区域、重点流域落后和过剩产能退出。依法加快城市建成区重污染企业搬迁改造或关闭退出。</w:t>
                  </w:r>
                </w:p>
                <w:p w14:paraId="3057C3EF">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3.禁止在合规园区外新建、扩建钢铁、石化、化工、焦化、建材、有色、制浆造纸行业中的高污染项目。禁止新建、扩建不符合国家石化、现代煤化工等产业布局规划的项目。禁止列入《云南省城镇人口密集区危险化学品生</w:t>
                  </w:r>
                </w:p>
                <w:p w14:paraId="6F2EFFAA">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产企业搬迁改造名单》的搬迁改造企业在原址新建、扩建危险化学品生产项目。新建、改建、扩建“两高”项目须符合生态环境保护法律法规和相关法定规划，满足重点污染物排放总量控制、碳排放达峰目标、生态环境准入清单、相关规划环评和相应行业建设项目环境准入条件、环评文件审批原则要求。</w:t>
                  </w:r>
                </w:p>
                <w:p w14:paraId="48D01C23">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4.禁止在九大高原湖泊（抚仙湖、星云湖、杞麓湖）流域内新建、改建、扩建污染环境、高耗水、高耗能、破坏生态平衡和自然景观的项目。</w:t>
                  </w:r>
                </w:p>
                <w:p w14:paraId="7B601A3B">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5.落实云南省碳达峰碳中和相关要求，处理好发展和减排、整体和局部、长远目标和短期目标、政府和市场的关系，坚定不移走生态优先、绿色低碳的高质量发展道路。</w:t>
                  </w:r>
                </w:p>
              </w:tc>
              <w:tc>
                <w:tcPr>
                  <w:tcW w:w="2158" w:type="pct"/>
                  <w:gridSpan w:val="2"/>
                  <w:vAlign w:val="center"/>
                </w:tcPr>
                <w:p w14:paraId="3669BD82">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根据《产业结构调整指导目录（2024年本）》，项目不属于鼓励类、限制类、淘汰类范围，根据国务院《促进产业结构调整暂行规定》（国发〔2005〕40号），第十三条“不属于鼓励类、限制类及淘汰类，且符合国家有关法律、法规和政策规定的，为允许类”，故本项目视为允许类项目，符合产业政策。</w:t>
                  </w:r>
                </w:p>
                <w:p w14:paraId="630C5C70">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r>
                    <w:rPr>
                      <w:rFonts w:hint="eastAsia" w:cs="Times New Roman"/>
                      <w:color w:val="auto"/>
                      <w:lang w:val="en-US" w:eastAsia="zh-CN"/>
                    </w:rPr>
                    <w:t>项目位于玉溪市高新区九龙池片区工业园区内D4栋第一层</w:t>
                  </w:r>
                  <w:r>
                    <w:rPr>
                      <w:rFonts w:hint="eastAsia" w:ascii="Times New Roman" w:hAnsi="Times New Roman" w:eastAsia="宋体" w:cs="Times New Roman"/>
                      <w:color w:val="auto"/>
                      <w:lang w:val="en-US" w:eastAsia="zh-CN"/>
                    </w:rPr>
                    <w:t>，不在（抚仙湖、星云湖、杞麓湖）“两线三区”管控范围内。</w:t>
                  </w:r>
                </w:p>
                <w:p w14:paraId="1A4C5E8C">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3、本项目为</w:t>
                  </w:r>
                  <w:r>
                    <w:rPr>
                      <w:rFonts w:hint="eastAsia" w:cs="Times New Roman"/>
                      <w:color w:val="auto"/>
                      <w:lang w:val="en-US" w:eastAsia="zh-CN"/>
                    </w:rPr>
                    <w:t>啤酒</w:t>
                  </w:r>
                  <w:r>
                    <w:rPr>
                      <w:rFonts w:hint="eastAsia" w:ascii="Times New Roman" w:hAnsi="Times New Roman" w:eastAsia="宋体" w:cs="Times New Roman"/>
                      <w:color w:val="auto"/>
                      <w:lang w:val="en-US" w:eastAsia="zh-CN"/>
                    </w:rPr>
                    <w:t>生产项目，不属于钢铁、石化、化工、焦化、建材、有色、制浆造纸行业中的高污染项目，也不属于“两高”项目符合产业政策。</w:t>
                  </w:r>
                </w:p>
                <w:p w14:paraId="1273E9E3">
                  <w:pPr>
                    <w:pStyle w:val="59"/>
                    <w:widowControl w:val="0"/>
                    <w:adjustRightInd w:val="0"/>
                    <w:snapToGrid w:val="0"/>
                    <w:spacing w:beforeLines="0" w:afterLines="0" w:line="240" w:lineRule="auto"/>
                    <w:ind w:firstLine="0" w:firstLineChars="0"/>
                    <w:jc w:val="both"/>
                    <w:rPr>
                      <w:color w:val="auto"/>
                      <w:sz w:val="21"/>
                      <w:szCs w:val="21"/>
                    </w:rPr>
                  </w:pPr>
                  <w:r>
                    <w:rPr>
                      <w:rFonts w:hint="eastAsia"/>
                      <w:color w:val="auto"/>
                      <w:sz w:val="21"/>
                      <w:szCs w:val="21"/>
                      <w:lang w:val="en-US" w:eastAsia="zh-CN"/>
                    </w:rPr>
                    <w:t>4、项目位于玉溪市高新区九龙池片区工业园区内D4栋第一层，所在地不属于杞麓湖径流区，项目产能较小不属于</w:t>
                  </w:r>
                  <w:r>
                    <w:rPr>
                      <w:rFonts w:hint="eastAsia" w:ascii="Times New Roman" w:hAnsi="Times New Roman" w:eastAsia="宋体" w:cs="宋体"/>
                      <w:color w:val="auto"/>
                      <w:kern w:val="0"/>
                      <w:sz w:val="21"/>
                      <w:szCs w:val="21"/>
                      <w:lang w:val="en-US" w:eastAsia="zh-CN" w:bidi="ar-SA"/>
                    </w:rPr>
                    <w:t>高耗水、高耗能、破坏生态平衡和自然景观的项目</w:t>
                  </w:r>
                  <w:r>
                    <w:rPr>
                      <w:rFonts w:hint="eastAsia"/>
                      <w:color w:val="auto"/>
                      <w:sz w:val="21"/>
                      <w:szCs w:val="21"/>
                      <w:lang w:val="en-US" w:eastAsia="zh-CN"/>
                    </w:rPr>
                    <w:t>。</w:t>
                  </w:r>
                </w:p>
                <w:p w14:paraId="1368A112">
                  <w:pPr>
                    <w:pStyle w:val="29"/>
                    <w:bidi w:val="0"/>
                    <w:jc w:val="left"/>
                    <w:rPr>
                      <w:rFonts w:hint="default" w:ascii="Times New Roman" w:hAnsi="Times New Roman" w:eastAsia="宋体" w:cs="Times New Roman"/>
                      <w:color w:val="auto"/>
                      <w:lang w:val="en-US" w:eastAsia="zh-CN"/>
                    </w:rPr>
                  </w:pPr>
                  <w:r>
                    <w:rPr>
                      <w:rFonts w:hint="eastAsia"/>
                      <w:color w:val="auto"/>
                      <w:sz w:val="21"/>
                      <w:szCs w:val="21"/>
                      <w:lang w:val="en-US" w:eastAsia="zh-CN"/>
                    </w:rPr>
                    <w:t>5、本项目为啤酒生产项目，生产工序简单，</w:t>
                  </w:r>
                  <w:r>
                    <w:rPr>
                      <w:rFonts w:hint="eastAsia" w:ascii="Times New Roman" w:hAnsi="Times New Roman" w:eastAsia="宋体" w:cs="Times New Roman"/>
                      <w:b w:val="0"/>
                      <w:bCs w:val="0"/>
                      <w:color w:val="auto"/>
                      <w:sz w:val="21"/>
                      <w:szCs w:val="21"/>
                      <w:vertAlign w:val="baseline"/>
                      <w:lang w:val="en-US" w:eastAsia="zh-CN"/>
                    </w:rPr>
                    <w:t>主要能耗为电能</w:t>
                  </w:r>
                  <w:r>
                    <w:rPr>
                      <w:rFonts w:hint="eastAsia" w:cs="Times New Roman"/>
                      <w:b w:val="0"/>
                      <w:bCs w:val="0"/>
                      <w:color w:val="auto"/>
                      <w:sz w:val="21"/>
                      <w:szCs w:val="21"/>
                      <w:vertAlign w:val="baseline"/>
                      <w:lang w:val="en-US" w:eastAsia="zh-CN"/>
                    </w:rPr>
                    <w:t>和天然气，</w:t>
                  </w:r>
                  <w:r>
                    <w:rPr>
                      <w:rFonts w:hint="eastAsia"/>
                      <w:color w:val="auto"/>
                      <w:sz w:val="21"/>
                      <w:szCs w:val="21"/>
                      <w:lang w:val="en-US" w:eastAsia="zh-CN"/>
                    </w:rPr>
                    <w:t>属于清洁能源，碳排放量较少。</w:t>
                  </w:r>
                </w:p>
              </w:tc>
              <w:tc>
                <w:tcPr>
                  <w:tcW w:w="388" w:type="pct"/>
                  <w:gridSpan w:val="3"/>
                  <w:vAlign w:val="center"/>
                </w:tcPr>
                <w:p w14:paraId="440C6D9E">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符合</w:t>
                  </w:r>
                </w:p>
              </w:tc>
            </w:tr>
            <w:tr w14:paraId="5DEA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pct"/>
                  <w:vAlign w:val="center"/>
                </w:tcPr>
                <w:p w14:paraId="2E574BBD">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污染物排</w:t>
                  </w:r>
                </w:p>
                <w:p w14:paraId="58853B9D">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放管控</w:t>
                  </w:r>
                </w:p>
              </w:tc>
              <w:tc>
                <w:tcPr>
                  <w:tcW w:w="1991" w:type="pct"/>
                  <w:gridSpan w:val="2"/>
                  <w:vAlign w:val="center"/>
                </w:tcPr>
                <w:p w14:paraId="415A4C24">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1.严格落实强制性清洁生产审核要求，引导重点行业实施清洁生产改造，到2025年底，重点行业企业基本达到国内清洁生产先进水平。</w:t>
                  </w:r>
                </w:p>
                <w:p w14:paraId="4493DAC9">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2.加大“三湖”（抚仙湖、星云湖、杞麓湖）及“两江”（南盘江干流、红河水系玉溪段）流域的保护和治理，推进流域环湖截污治污，加强湖泊内源污染风险防范，开展污水处理提质增效、农业面源污染治理、入河排污口整治、开发区污染治理、“三磷”和重金属行业排查等专项行动，建立水环境质量管理长效机制，持续巩固治理成效。持续打好城市黑臭水体治理攻坚战，有效控制入河污染物排放，强化溯源整治，推进城镇污水管网全覆盖。</w:t>
                  </w:r>
                </w:p>
                <w:p w14:paraId="24E90357">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3.严格保护城乡饮用水水源地，整治饮用水水源保护区内的污染源，确保饮水安全。</w:t>
                  </w:r>
                </w:p>
                <w:p w14:paraId="31AF47ED">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4.开展细颗粒物和臭氧协同控制、挥发性有机物和氮氧化物协同减排。石化、化工、包装印刷、工业涂装等VOCs排放重点源，纳入重点排污单位名录，推进挥发性有机物综合治理，实施原辅材料和产品源头替代工程，排污口安装自动监控设施。推进运输结构调整，开展清洁柴油车（机）、清洁油品、车用尿素等专项行动，开展建筑施工工地扬尘专项治理；加大餐饮油烟污染、恶臭异味治理力度，强化秸秆综合利用和禁烧管控。推动有色金属、钢铁、磷化工、建材等重点行业节能降碳升级改造，淘汰落后工艺技术和生产装置，实施煤电、水泥、焦化企业超低排放改造，到2025年，钢铁行业全面完成超低排放改造。</w:t>
                  </w:r>
                </w:p>
                <w:p w14:paraId="17F01345">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5.加大环境污染物减排力度，到2025年，实现氮氧化物减排1224吨，挥发性有机物减排1393吨，化学需氧量减排2461吨，氨氮减排230吨。</w:t>
                  </w:r>
                </w:p>
                <w:p w14:paraId="2F5C0A59">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6.严格管控农用地，不得在特定农产品禁止生产区域种植食用农产品；安全利用农用地，制定受污染耕地安全利用方案，降低农产品超标风险。合理规划污染地块土地用途，从严管控农药、化工、有色金属等行业企业重度污染地块开发利用，对列入建设用地土壤污染风险管控和修复名录的地块不得作为住宅、公共管理与公共服务用地，不得办理土地征收、收回、收购、土地供应以及改变土地用途等手续，应当依法开展土壤污染状况调查、治理与修复，并符合相应规划用地土壤环境质量要求后，方可进入用地程序。</w:t>
                  </w:r>
                </w:p>
                <w:p w14:paraId="1D0D519F">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7.加快“无废城市”建设，产生工业固体废物的单位应当建立健全工业固体废物产生、收集、贮存、运输、利用、处置全过程的污染环境防治责任制度，按照国家有关规定建立工业固体废物管理台账，加强重金属污染物排放管理，落实区域“减量替代”和“等量替代”要求，重金属污染物排放量2025年比2020年削减4%。</w:t>
                  </w:r>
                </w:p>
                <w:p w14:paraId="53F6D045">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8.到2025年，中心城区细颗粒物（PM2.5）平均浓度控制在21微克/立方米以内，城市空气质量优良天数比率达到98.5%以上，坚决防范重度及以上污染天气发生，全市地表水国控断面优良水体比例达80%，消除城市黑臭水体，消除劣Ⅴ类水体。</w:t>
                  </w:r>
                </w:p>
              </w:tc>
              <w:tc>
                <w:tcPr>
                  <w:tcW w:w="2158" w:type="pct"/>
                  <w:gridSpan w:val="2"/>
                  <w:vAlign w:val="center"/>
                </w:tcPr>
                <w:p w14:paraId="74044D2F">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1、本项目为</w:t>
                  </w:r>
                  <w:r>
                    <w:rPr>
                      <w:rFonts w:hint="eastAsia" w:cs="Times New Roman"/>
                      <w:color w:val="auto"/>
                      <w:lang w:val="en-US" w:eastAsia="zh-CN"/>
                    </w:rPr>
                    <w:t>啤酒生产</w:t>
                  </w:r>
                  <w:r>
                    <w:rPr>
                      <w:rFonts w:hint="eastAsia" w:ascii="Times New Roman" w:hAnsi="Times New Roman" w:eastAsia="宋体" w:cs="Times New Roman"/>
                      <w:color w:val="auto"/>
                      <w:lang w:val="en-US" w:eastAsia="zh-CN"/>
                    </w:rPr>
                    <w:t>项目，</w:t>
                  </w:r>
                  <w:r>
                    <w:rPr>
                      <w:rFonts w:hint="eastAsia"/>
                      <w:color w:val="auto"/>
                      <w:sz w:val="21"/>
                      <w:szCs w:val="21"/>
                    </w:rPr>
                    <w:t>不属于重点行业</w:t>
                  </w:r>
                  <w:r>
                    <w:rPr>
                      <w:rFonts w:hint="eastAsia" w:ascii="Times New Roman" w:hAnsi="Times New Roman" w:eastAsia="宋体" w:cs="Times New Roman"/>
                      <w:color w:val="auto"/>
                      <w:lang w:val="en-US" w:eastAsia="zh-CN"/>
                    </w:rPr>
                    <w:t>。</w:t>
                  </w:r>
                </w:p>
                <w:p w14:paraId="2C3024A5">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r>
                    <w:rPr>
                      <w:rFonts w:hint="eastAsia" w:cs="Times New Roman"/>
                      <w:color w:val="auto"/>
                      <w:lang w:val="en-US" w:eastAsia="zh-CN"/>
                    </w:rPr>
                    <w:t>项目位于玉溪市高新区九龙池片区工业园区内D4栋第一层</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不属于三湖流域，不会对三湖流域造成污染。</w:t>
                  </w:r>
                </w:p>
                <w:p w14:paraId="05202260">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3、</w:t>
                  </w:r>
                  <w:r>
                    <w:rPr>
                      <w:rFonts w:hint="eastAsia" w:cs="Times New Roman"/>
                      <w:color w:val="auto"/>
                      <w:lang w:val="en-US" w:eastAsia="zh-CN"/>
                    </w:rPr>
                    <w:t>项目位于玉溪市高新区九龙池片区工业园区内D4栋第一层</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项目</w:t>
                  </w:r>
                  <w:r>
                    <w:rPr>
                      <w:rFonts w:hint="eastAsia" w:cs="Times New Roman"/>
                      <w:color w:val="auto"/>
                      <w:lang w:val="en-US" w:eastAsia="zh-CN"/>
                    </w:rPr>
                    <w:t>所在地</w:t>
                  </w:r>
                  <w:r>
                    <w:rPr>
                      <w:rFonts w:hint="eastAsia" w:ascii="Times New Roman" w:hAnsi="Times New Roman" w:eastAsia="宋体" w:cs="Times New Roman"/>
                      <w:color w:val="auto"/>
                      <w:lang w:val="en-US" w:eastAsia="zh-CN"/>
                    </w:rPr>
                    <w:t>不涉及饮用水源保护区，项目的建设不会对</w:t>
                  </w:r>
                  <w:r>
                    <w:rPr>
                      <w:rFonts w:hint="eastAsia" w:ascii="Times New Roman" w:hAnsi="Times New Roman" w:eastAsia="宋体" w:cs="Times New Roman"/>
                      <w:color w:val="auto"/>
                      <w:lang w:eastAsia="zh-CN"/>
                    </w:rPr>
                    <w:t>城乡饮用水水源地造成污染。</w:t>
                  </w:r>
                </w:p>
                <w:p w14:paraId="4B3B7ABE">
                  <w:pPr>
                    <w:pStyle w:val="29"/>
                    <w:bidi w:val="0"/>
                    <w:rPr>
                      <w:rFonts w:hint="eastAsia" w:cs="Times New Roman"/>
                      <w:color w:val="auto"/>
                      <w:lang w:val="en-US" w:eastAsia="zh-CN"/>
                    </w:rPr>
                  </w:pPr>
                  <w:r>
                    <w:rPr>
                      <w:rFonts w:hint="eastAsia" w:ascii="Times New Roman" w:hAnsi="Times New Roman" w:eastAsia="宋体" w:cs="Times New Roman"/>
                      <w:color w:val="auto"/>
                      <w:lang w:val="en-US" w:eastAsia="zh-CN"/>
                    </w:rPr>
                    <w:t>4、</w:t>
                  </w:r>
                  <w:r>
                    <w:rPr>
                      <w:rFonts w:hint="eastAsia" w:cs="Times New Roman"/>
                      <w:color w:val="auto"/>
                      <w:lang w:val="en-US" w:eastAsia="zh-CN"/>
                    </w:rPr>
                    <w:t>运营期产生的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s="Times New Roman"/>
                      <w:color w:val="auto"/>
                      <w:lang w:val="en-US" w:eastAsia="zh-CN"/>
                    </w:rPr>
                    <w:fldChar w:fldCharType="begin"/>
                  </w:r>
                  <w:r>
                    <w:rPr>
                      <w:rFonts w:hint="eastAsia" w:cs="Times New Roman"/>
                      <w:color w:val="auto"/>
                      <w:lang w:val="en-US" w:eastAsia="zh-CN"/>
                    </w:rPr>
                    <w:instrText xml:space="preserve"> = 6 \* GB3 \* MERGEFORMAT </w:instrText>
                  </w:r>
                  <w:r>
                    <w:rPr>
                      <w:rFonts w:hint="eastAsia" w:cs="Times New Roman"/>
                      <w:color w:val="auto"/>
                      <w:lang w:val="en-US" w:eastAsia="zh-CN"/>
                    </w:rPr>
                    <w:fldChar w:fldCharType="separate"/>
                  </w:r>
                  <w:r>
                    <w:rPr>
                      <w:rFonts w:hint="eastAsia" w:cs="Times New Roman"/>
                      <w:color w:val="auto"/>
                      <w:lang w:val="en-US" w:eastAsia="zh-CN"/>
                    </w:rPr>
                    <w:t>⑥</w:t>
                  </w:r>
                  <w:r>
                    <w:rPr>
                      <w:rFonts w:hint="eastAsia" w:cs="Times New Roman"/>
                      <w:color w:val="auto"/>
                      <w:lang w:val="en-US" w:eastAsia="zh-CN"/>
                    </w:rPr>
                    <w:fldChar w:fldCharType="end"/>
                  </w:r>
                  <w:r>
                    <w:rPr>
                      <w:rFonts w:hint="eastAsia" w:cs="Times New Roman"/>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通过采取以上措施后，本项目废气均可达标排放，涉及的非甲烷总烃排放量极小，通过车间阻隔，自然扩散后对周边环境影响较小，不涉及有毒有害气体。</w:t>
                  </w:r>
                </w:p>
                <w:p w14:paraId="2591ACC3">
                  <w:pPr>
                    <w:pStyle w:val="59"/>
                    <w:widowControl w:val="0"/>
                    <w:adjustRightInd w:val="0"/>
                    <w:snapToGrid w:val="0"/>
                    <w:spacing w:beforeLines="0" w:afterLines="0" w:line="240" w:lineRule="auto"/>
                    <w:ind w:firstLine="0" w:firstLineChars="0"/>
                    <w:jc w:val="both"/>
                    <w:rPr>
                      <w:rFonts w:hint="eastAsia" w:ascii="Times New Roman" w:hAnsi="Times New Roman" w:eastAsia="宋体" w:cs="宋体"/>
                      <w:color w:val="auto"/>
                      <w:kern w:val="0"/>
                      <w:sz w:val="21"/>
                      <w:szCs w:val="21"/>
                      <w:lang w:val="en-US" w:eastAsia="zh-CN" w:bidi="ar-SA"/>
                    </w:rPr>
                  </w:pPr>
                  <w:r>
                    <w:rPr>
                      <w:rFonts w:hint="eastAsia" w:cs="Times New Roman"/>
                      <w:color w:val="auto"/>
                      <w:lang w:val="en-US" w:eastAsia="zh-CN"/>
                    </w:rPr>
                    <w:t>5</w:t>
                  </w:r>
                  <w:r>
                    <w:rPr>
                      <w:rFonts w:hint="eastAsia" w:ascii="Times New Roman" w:hAnsi="Times New Roman" w:eastAsia="宋体" w:cs="Times New Roman"/>
                      <w:b w:val="0"/>
                      <w:color w:val="auto"/>
                      <w:kern w:val="2"/>
                      <w:sz w:val="21"/>
                      <w:szCs w:val="21"/>
                      <w:lang w:val="en-US" w:eastAsia="zh-CN" w:bidi="ar-SA"/>
                    </w:rPr>
                    <w:t>、项目区实行雨污分流制，项目区雨水经厂房周边园区雨水沟流入市政雨水管网；生产废水经自建的三级沉淀池沉淀预处理后进入自建的一体化污水处理设施处理后达到《酒类制造业水污染物排放标准》（GB 19821—2025）表1规定的间接排放限值标准《酒类制造业水污染物排放标准》（GB 19821—2025）表1规定的间接排放限值标准以及《污水综合排放标准》（GB8978-1996）表4三级标准及《污水排入城镇下水道水质标准》（GB/T31962-2015）表1 A等级标准三级标准从严值</w:t>
                  </w:r>
                  <w:r>
                    <w:rPr>
                      <w:rFonts w:hint="eastAsia" w:cs="Times New Roman"/>
                      <w:b w:val="0"/>
                      <w:color w:val="auto"/>
                      <w:kern w:val="2"/>
                      <w:sz w:val="21"/>
                      <w:szCs w:val="21"/>
                      <w:lang w:val="en-US" w:eastAsia="zh-CN" w:bidi="ar-SA"/>
                    </w:rPr>
                    <w:t>后排入园区污水管网经市政污水管网进入玉溪市第一、第三污水处理厂处理</w:t>
                  </w:r>
                  <w:r>
                    <w:rPr>
                      <w:rFonts w:hint="eastAsia" w:ascii="Times New Roman" w:hAnsi="Times New Roman" w:eastAsia="宋体" w:cs="Times New Roman"/>
                      <w:b w:val="0"/>
                      <w:color w:val="auto"/>
                      <w:kern w:val="2"/>
                      <w:sz w:val="21"/>
                      <w:szCs w:val="21"/>
                      <w:lang w:val="en-US" w:eastAsia="zh-CN" w:bidi="ar-SA"/>
                    </w:rPr>
                    <w:t>；生活污水经园区已建化粪池处理达到《污水综合排放标准》（GB8978-1996）表4三级标准及《污水排入城镇下水道水质标准》（GB/T31962-2015）表1</w:t>
                  </w:r>
                  <w:r>
                    <w:rPr>
                      <w:rFonts w:hint="eastAsia" w:cs="Times New Roman"/>
                      <w:b w:val="0"/>
                      <w:color w:val="auto"/>
                      <w:kern w:val="2"/>
                      <w:sz w:val="21"/>
                      <w:szCs w:val="21"/>
                      <w:lang w:val="en-US" w:eastAsia="zh-CN" w:bidi="ar-SA"/>
                    </w:rPr>
                    <w:t>A</w:t>
                  </w:r>
                  <w:r>
                    <w:rPr>
                      <w:rFonts w:hint="eastAsia" w:ascii="Times New Roman" w:hAnsi="Times New Roman" w:eastAsia="宋体" w:cs="Times New Roman"/>
                      <w:b w:val="0"/>
                      <w:color w:val="auto"/>
                      <w:kern w:val="2"/>
                      <w:sz w:val="21"/>
                      <w:szCs w:val="21"/>
                      <w:lang w:val="en-US" w:eastAsia="zh-CN" w:bidi="ar-SA"/>
                    </w:rPr>
                    <w:t>等级标准从严值后排入园区污水管网经市政污水管网进入玉溪市第一、第三污水处理厂处理。</w:t>
                  </w:r>
                </w:p>
                <w:p w14:paraId="762F7FC2">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r>
                    <w:rPr>
                      <w:rFonts w:hint="eastAsia" w:cs="Times New Roman"/>
                      <w:color w:val="auto"/>
                      <w:lang w:val="en-US" w:eastAsia="zh-CN"/>
                    </w:rPr>
                    <w:t>项目位于玉溪市高新区九龙池片区工业园区内D4栋第一层</w:t>
                  </w:r>
                  <w:r>
                    <w:rPr>
                      <w:rFonts w:hint="eastAsia" w:ascii="Times New Roman" w:hAnsi="Times New Roman" w:eastAsia="宋体" w:cs="Times New Roman"/>
                      <w:color w:val="auto"/>
                      <w:lang w:eastAsia="zh-CN"/>
                    </w:rPr>
                    <w:t>，</w:t>
                  </w:r>
                  <w:r>
                    <w:rPr>
                      <w:rFonts w:hint="eastAsia" w:cs="Times New Roman"/>
                      <w:color w:val="auto"/>
                      <w:lang w:eastAsia="zh-CN"/>
                    </w:rPr>
                    <w:t>项目于202</w:t>
                  </w:r>
                  <w:r>
                    <w:rPr>
                      <w:rFonts w:hint="eastAsia" w:cs="Times New Roman"/>
                      <w:color w:val="auto"/>
                      <w:lang w:val="en-US" w:eastAsia="zh-CN"/>
                    </w:rPr>
                    <w:t>6</w:t>
                  </w:r>
                  <w:r>
                    <w:rPr>
                      <w:rFonts w:hint="eastAsia" w:cs="Times New Roman"/>
                      <w:color w:val="auto"/>
                      <w:lang w:eastAsia="zh-CN"/>
                    </w:rPr>
                    <w:t>年</w:t>
                  </w:r>
                  <w:r>
                    <w:rPr>
                      <w:rFonts w:hint="eastAsia" w:cs="Times New Roman"/>
                      <w:color w:val="auto"/>
                      <w:lang w:val="en-US" w:eastAsia="zh-CN"/>
                    </w:rPr>
                    <w:t>5</w:t>
                  </w:r>
                  <w:r>
                    <w:rPr>
                      <w:rFonts w:hint="eastAsia" w:cs="Times New Roman"/>
                      <w:color w:val="auto"/>
                      <w:lang w:eastAsia="zh-CN"/>
                    </w:rPr>
                    <w:t>月</w:t>
                  </w:r>
                  <w:r>
                    <w:rPr>
                      <w:rFonts w:hint="eastAsia" w:cs="Times New Roman"/>
                      <w:color w:val="auto"/>
                      <w:lang w:val="en-US" w:eastAsia="zh-CN"/>
                    </w:rPr>
                    <w:t>7</w:t>
                  </w:r>
                  <w:r>
                    <w:rPr>
                      <w:rFonts w:hint="eastAsia" w:cs="Times New Roman"/>
                      <w:color w:val="auto"/>
                      <w:lang w:eastAsia="zh-CN"/>
                    </w:rPr>
                    <w:t>日取得了玉溪</w:t>
                  </w:r>
                  <w:r>
                    <w:rPr>
                      <w:rFonts w:hint="eastAsia" w:cs="Times New Roman"/>
                      <w:color w:val="auto"/>
                      <w:lang w:val="en-US" w:eastAsia="zh-CN"/>
                    </w:rPr>
                    <w:t>高新技术产业开发区出具的产业导向符合证明</w:t>
                  </w:r>
                  <w:r>
                    <w:rPr>
                      <w:rFonts w:hint="eastAsia" w:cs="Times New Roman"/>
                      <w:color w:val="auto"/>
                      <w:lang w:eastAsia="zh-CN"/>
                    </w:rPr>
                    <w:t>（详见附件</w:t>
                  </w:r>
                  <w:r>
                    <w:rPr>
                      <w:rFonts w:hint="eastAsia" w:cs="Times New Roman"/>
                      <w:color w:val="auto"/>
                      <w:lang w:val="en-US" w:eastAsia="zh-CN"/>
                    </w:rPr>
                    <w:t>6</w:t>
                  </w:r>
                  <w:r>
                    <w:rPr>
                      <w:rFonts w:hint="eastAsia" w:cs="Times New Roman"/>
                      <w:color w:val="auto"/>
                      <w:lang w:eastAsia="zh-CN"/>
                    </w:rPr>
                    <w:t>），项目符合国家产业政策，同意项目选址，用地合理，不涉及占用农用地</w:t>
                  </w:r>
                  <w:r>
                    <w:rPr>
                      <w:rFonts w:hint="eastAsia" w:ascii="Times New Roman" w:hAnsi="Times New Roman" w:eastAsia="宋体" w:cs="Times New Roman"/>
                      <w:color w:val="auto"/>
                      <w:lang w:val="en-US" w:eastAsia="zh-CN"/>
                    </w:rPr>
                    <w:t>。</w:t>
                  </w:r>
                </w:p>
                <w:p w14:paraId="0B2B22A6">
                  <w:pPr>
                    <w:pStyle w:val="29"/>
                    <w:bidi w:val="0"/>
                    <w:jc w:val="left"/>
                    <w:rPr>
                      <w:rFonts w:hint="eastAsia" w:ascii="Times New Roman" w:hAnsi="Times New Roman" w:eastAsia="宋体" w:cs="Times New Roman"/>
                      <w:color w:val="auto"/>
                      <w:lang w:val="en-US" w:eastAsia="zh-CN"/>
                    </w:rPr>
                  </w:pPr>
                  <w:r>
                    <w:rPr>
                      <w:rFonts w:hint="eastAsia" w:cs="Times New Roman"/>
                      <w:color w:val="auto"/>
                      <w:lang w:val="en-US" w:eastAsia="zh-CN"/>
                    </w:rPr>
                    <w:t>7</w:t>
                  </w:r>
                  <w:r>
                    <w:rPr>
                      <w:rFonts w:hint="eastAsia" w:ascii="Times New Roman" w:hAnsi="Times New Roman" w:eastAsia="宋体" w:cs="Times New Roman"/>
                      <w:color w:val="auto"/>
                      <w:lang w:val="en-US" w:eastAsia="zh-CN"/>
                    </w:rPr>
                    <w:t>、</w:t>
                  </w:r>
                  <w:r>
                    <w:rPr>
                      <w:rFonts w:hint="default"/>
                      <w:color w:val="auto"/>
                      <w:lang w:val="en-US" w:eastAsia="zh-CN"/>
                    </w:rPr>
                    <w:t>项目产生的</w:t>
                  </w:r>
                  <w:r>
                    <w:rPr>
                      <w:rFonts w:hint="eastAsia"/>
                      <w:color w:val="auto"/>
                      <w:lang w:eastAsia="zh-CN"/>
                    </w:rPr>
                    <w:t>生活垃圾：由当地环卫部门统一处置；</w:t>
                  </w:r>
                  <w:r>
                    <w:rPr>
                      <w:rFonts w:hint="eastAsia"/>
                      <w:color w:val="auto"/>
                      <w:lang w:val="en-US" w:eastAsia="zh-CN"/>
                    </w:rPr>
                    <w:t>生产过程中产生的废麦糟、酒花糟、废酵母、沉淀渣等全部定向外售至已取得饲料生产合法资质的饲料加工企业，或具备规模化养殖资质、配套合规饲料加工车间的养殖场，作为饲料生产原料实现全量资源化利用，不交由无资质散户零散收购处置，即产即清，</w:t>
                  </w:r>
                  <w:r>
                    <w:rPr>
                      <w:rFonts w:hint="eastAsia" w:ascii="Times New Roman" w:hAnsi="Times New Roman" w:cs="Times New Roman"/>
                      <w:color w:val="auto"/>
                      <w:sz w:val="21"/>
                      <w:szCs w:val="21"/>
                      <w:lang w:val="en-US" w:eastAsia="zh-CN"/>
                    </w:rPr>
                    <w:t>固废处置率达100%。</w:t>
                  </w:r>
                </w:p>
                <w:p w14:paraId="774EF53C">
                  <w:pPr>
                    <w:pStyle w:val="29"/>
                    <w:bidi w:val="0"/>
                    <w:rPr>
                      <w:rFonts w:hint="eastAsia" w:cs="Times New Roman"/>
                      <w:color w:val="auto"/>
                      <w:lang w:val="en-US" w:eastAsia="zh-CN"/>
                    </w:rPr>
                  </w:pPr>
                  <w:r>
                    <w:rPr>
                      <w:rFonts w:hint="eastAsia" w:cs="Times New Roman"/>
                      <w:color w:val="auto"/>
                      <w:lang w:val="en-US" w:eastAsia="zh-CN"/>
                    </w:rPr>
                    <w:t>8、运营期产生的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s="Times New Roman"/>
                      <w:color w:val="auto"/>
                      <w:lang w:val="en-US" w:eastAsia="zh-CN"/>
                    </w:rPr>
                    <w:fldChar w:fldCharType="begin"/>
                  </w:r>
                  <w:r>
                    <w:rPr>
                      <w:rFonts w:hint="eastAsia" w:cs="Times New Roman"/>
                      <w:color w:val="auto"/>
                      <w:lang w:val="en-US" w:eastAsia="zh-CN"/>
                    </w:rPr>
                    <w:instrText xml:space="preserve"> = 6 \* GB3 \* MERGEFORMAT </w:instrText>
                  </w:r>
                  <w:r>
                    <w:rPr>
                      <w:rFonts w:hint="eastAsia" w:cs="Times New Roman"/>
                      <w:color w:val="auto"/>
                      <w:lang w:val="en-US" w:eastAsia="zh-CN"/>
                    </w:rPr>
                    <w:fldChar w:fldCharType="separate"/>
                  </w:r>
                  <w:r>
                    <w:rPr>
                      <w:rFonts w:hint="eastAsia" w:cs="Times New Roman"/>
                      <w:color w:val="auto"/>
                      <w:lang w:val="en-US" w:eastAsia="zh-CN"/>
                    </w:rPr>
                    <w:t>⑥</w:t>
                  </w:r>
                  <w:r>
                    <w:rPr>
                      <w:rFonts w:hint="eastAsia" w:cs="Times New Roman"/>
                      <w:color w:val="auto"/>
                      <w:lang w:val="en-US" w:eastAsia="zh-CN"/>
                    </w:rPr>
                    <w:fldChar w:fldCharType="end"/>
                  </w:r>
                  <w:r>
                    <w:rPr>
                      <w:rFonts w:hint="eastAsia" w:cs="Times New Roman"/>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通过采取以上措施后，本项目废气均可达标排放，不涉及有毒有害气体。</w:t>
                  </w:r>
                </w:p>
                <w:p w14:paraId="38E8F3D2">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本项目严格落实雨污分流管控要求，厂区雨水系统与污水系统完全独立布设，无混接错接情况，洁净雨水经厂房周边园区雨水沟直接汇入市政雨水管网。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p>
              </w:tc>
              <w:tc>
                <w:tcPr>
                  <w:tcW w:w="388" w:type="pct"/>
                  <w:gridSpan w:val="3"/>
                  <w:vAlign w:val="center"/>
                </w:tcPr>
                <w:p w14:paraId="3D1C1BC0">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符合</w:t>
                  </w:r>
                </w:p>
              </w:tc>
            </w:tr>
            <w:tr w14:paraId="1896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pct"/>
                  <w:vAlign w:val="center"/>
                </w:tcPr>
                <w:p w14:paraId="7F3A3332">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环境风险防控</w:t>
                  </w:r>
                </w:p>
              </w:tc>
              <w:tc>
                <w:tcPr>
                  <w:tcW w:w="1991" w:type="pct"/>
                  <w:gridSpan w:val="2"/>
                  <w:vAlign w:val="center"/>
                </w:tcPr>
                <w:p w14:paraId="5A76EAB0">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1.强化与其他滇中城市的大气、水污染防治联防联控协作机制，加强区域内重污染天气和跨界水体风险应急联动。</w:t>
                  </w:r>
                </w:p>
                <w:p w14:paraId="56E166AB">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2.开展涉危险废物涉重金属企业、化工园区等重点领域环境风险调查评估，加强危险化学品运输全链条安全监管。完善环境应急管理体系，提升市县两级环境应急响应能力，推进应急物资库建设。开展涉铊企业排查整治行动。建立“平战结合”医疗废物应急处置体系。</w:t>
                  </w:r>
                </w:p>
              </w:tc>
              <w:tc>
                <w:tcPr>
                  <w:tcW w:w="2158" w:type="pct"/>
                  <w:gridSpan w:val="2"/>
                  <w:vAlign w:val="center"/>
                </w:tcPr>
                <w:p w14:paraId="54FC0B2E">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本项目为</w:t>
                  </w:r>
                  <w:r>
                    <w:rPr>
                      <w:rFonts w:hint="eastAsia" w:cs="Times New Roman"/>
                      <w:color w:val="auto"/>
                      <w:lang w:val="en-US" w:eastAsia="zh-CN"/>
                    </w:rPr>
                    <w:t>啤酒生产</w:t>
                  </w:r>
                  <w:r>
                    <w:rPr>
                      <w:rFonts w:hint="eastAsia" w:ascii="Times New Roman" w:hAnsi="Times New Roman" w:eastAsia="宋体" w:cs="Times New Roman"/>
                      <w:color w:val="auto"/>
                      <w:lang w:val="en-US" w:eastAsia="zh-CN"/>
                    </w:rPr>
                    <w:t>项目</w:t>
                  </w:r>
                  <w:r>
                    <w:rPr>
                      <w:rFonts w:hint="eastAsia" w:ascii="Times New Roman" w:hAnsi="Times New Roman" w:eastAsia="宋体" w:cs="Times New Roman"/>
                      <w:color w:val="auto"/>
                      <w:lang w:eastAsia="zh-CN"/>
                    </w:rPr>
                    <w:t>，不涉及医疗废物，项目运营期间不会产生水环境、大气环境造成污染，更不涉及重金属，项目产生的废</w:t>
                  </w:r>
                  <w:r>
                    <w:rPr>
                      <w:rFonts w:hint="eastAsia" w:cs="Times New Roman"/>
                      <w:color w:val="auto"/>
                      <w:lang w:eastAsia="zh-CN"/>
                    </w:rPr>
                    <w:t>机</w:t>
                  </w:r>
                  <w:r>
                    <w:rPr>
                      <w:rFonts w:hint="eastAsia" w:ascii="Times New Roman" w:hAnsi="Times New Roman" w:eastAsia="宋体" w:cs="Times New Roman"/>
                      <w:color w:val="auto"/>
                      <w:lang w:eastAsia="zh-CN"/>
                    </w:rPr>
                    <w:t>油和</w:t>
                  </w:r>
                  <w:r>
                    <w:rPr>
                      <w:rFonts w:hint="eastAsia" w:cs="Times New Roman"/>
                      <w:color w:val="auto"/>
                      <w:lang w:eastAsia="zh-CN"/>
                    </w:rPr>
                    <w:t>废油桶</w:t>
                  </w:r>
                  <w:r>
                    <w:rPr>
                      <w:rFonts w:hint="eastAsia" w:ascii="Times New Roman" w:hAnsi="Times New Roman" w:eastAsia="宋体" w:cs="Times New Roman"/>
                      <w:color w:val="auto"/>
                      <w:lang w:eastAsia="zh-CN"/>
                    </w:rPr>
                    <w:t>均委托有资质的单位进行其收集、转运和处置，并制定相应的应急预案。</w:t>
                  </w:r>
                </w:p>
              </w:tc>
              <w:tc>
                <w:tcPr>
                  <w:tcW w:w="388" w:type="pct"/>
                  <w:gridSpan w:val="3"/>
                  <w:vAlign w:val="center"/>
                </w:tcPr>
                <w:p w14:paraId="59768BF4">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符合</w:t>
                  </w:r>
                </w:p>
              </w:tc>
            </w:tr>
            <w:tr w14:paraId="4082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1" w:type="pct"/>
                  <w:vAlign w:val="center"/>
                </w:tcPr>
                <w:p w14:paraId="7FD77814">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资源开发利用效率</w:t>
                  </w:r>
                </w:p>
              </w:tc>
              <w:tc>
                <w:tcPr>
                  <w:tcW w:w="1991" w:type="pct"/>
                  <w:gridSpan w:val="2"/>
                  <w:vAlign w:val="center"/>
                </w:tcPr>
                <w:p w14:paraId="6A706C8C">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1.降低水、土地、能源、矿产资源消耗强度，强化约束性指标管理。</w:t>
                  </w:r>
                </w:p>
                <w:p w14:paraId="4C972E16">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2.实行最严格的水资源管理制度，严格用水总量、强度指标管理，严格取水管控，建立重点监控取水单位名录，强化重点监控取水单位管理。全市年用水总量、万元工业增加值用水量降幅等指标达到省考核要求。</w:t>
                  </w:r>
                </w:p>
                <w:p w14:paraId="5560499A">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3.坚持最严格的耕地保护制度，守住耕地保护红线。坚持节约用地，严格执行耕地占补平衡等制度，提高土地投资强度和单位面积产出水平。</w:t>
                  </w:r>
                </w:p>
                <w:p w14:paraId="02DF6A43">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4.全市单位GDP二氧化碳排放累计下降率完成云南省下达的指标；单位GDP能耗持续下降，到2025年，全市单位GDP能耗累计下降率14%。</w:t>
                  </w:r>
                </w:p>
                <w:p w14:paraId="14C88A58">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5.高污染燃料禁燃区按照《高污染燃料目录》及当地有关禁燃区管理规定执行。</w:t>
                  </w:r>
                </w:p>
                <w:p w14:paraId="6A108292">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6.实施高效节水灌溉工程，大力推广高效节水灌溉措施，到2025年，农田灌溉水有效利用系数达到0.55。</w:t>
                  </w:r>
                </w:p>
              </w:tc>
              <w:tc>
                <w:tcPr>
                  <w:tcW w:w="2158" w:type="pct"/>
                  <w:gridSpan w:val="2"/>
                  <w:vAlign w:val="center"/>
                </w:tcPr>
                <w:p w14:paraId="3773D351">
                  <w:pPr>
                    <w:pStyle w:val="59"/>
                    <w:widowControl w:val="0"/>
                    <w:adjustRightInd w:val="0"/>
                    <w:snapToGrid w:val="0"/>
                    <w:spacing w:beforeLines="0" w:afterLines="0" w:line="240" w:lineRule="auto"/>
                    <w:ind w:firstLine="0" w:firstLineChars="0"/>
                    <w:jc w:val="left"/>
                    <w:rPr>
                      <w:rFonts w:hint="eastAsia" w:eastAsia="宋体"/>
                      <w:color w:val="auto"/>
                      <w:sz w:val="21"/>
                      <w:szCs w:val="21"/>
                      <w:lang w:eastAsia="zh-CN"/>
                    </w:rPr>
                  </w:pPr>
                  <w:r>
                    <w:rPr>
                      <w:rFonts w:hint="eastAsia" w:ascii="Times New Roman" w:hAnsi="Times New Roman" w:eastAsia="宋体" w:cs="Times New Roman"/>
                      <w:color w:val="auto"/>
                      <w:lang w:val="en-US" w:eastAsia="zh-CN"/>
                    </w:rPr>
                    <w:t>1、</w:t>
                  </w:r>
                  <w:r>
                    <w:rPr>
                      <w:rFonts w:hint="eastAsia"/>
                      <w:color w:val="auto"/>
                      <w:sz w:val="21"/>
                      <w:szCs w:val="21"/>
                    </w:rPr>
                    <w:t>本项目</w:t>
                  </w:r>
                  <w:r>
                    <w:rPr>
                      <w:rFonts w:hint="eastAsia"/>
                      <w:color w:val="auto"/>
                      <w:sz w:val="21"/>
                      <w:szCs w:val="21"/>
                      <w:lang w:val="en-US" w:eastAsia="zh-CN"/>
                    </w:rPr>
                    <w:t>生活、生产用水由园区给水管供给，用水量较少</w:t>
                  </w:r>
                  <w:r>
                    <w:rPr>
                      <w:rFonts w:hint="eastAsia"/>
                      <w:color w:val="auto"/>
                      <w:sz w:val="21"/>
                      <w:szCs w:val="21"/>
                    </w:rPr>
                    <w:t>；项目</w:t>
                  </w:r>
                  <w:r>
                    <w:rPr>
                      <w:rFonts w:hint="eastAsia"/>
                      <w:color w:val="auto"/>
                      <w:sz w:val="21"/>
                      <w:szCs w:val="21"/>
                      <w:lang w:val="en-US" w:eastAsia="zh-CN"/>
                    </w:rPr>
                    <w:t>不单独</w:t>
                  </w:r>
                  <w:r>
                    <w:rPr>
                      <w:rFonts w:hint="eastAsia"/>
                      <w:color w:val="auto"/>
                      <w:sz w:val="21"/>
                      <w:szCs w:val="21"/>
                    </w:rPr>
                    <w:t>新增</w:t>
                  </w:r>
                  <w:r>
                    <w:rPr>
                      <w:rFonts w:hint="eastAsia"/>
                      <w:color w:val="auto"/>
                      <w:sz w:val="21"/>
                      <w:szCs w:val="21"/>
                      <w:lang w:val="en-US" w:eastAsia="zh-CN"/>
                    </w:rPr>
                    <w:t>占地</w:t>
                  </w:r>
                  <w:r>
                    <w:rPr>
                      <w:rFonts w:hint="eastAsia"/>
                      <w:color w:val="auto"/>
                      <w:sz w:val="21"/>
                      <w:szCs w:val="21"/>
                    </w:rPr>
                    <w:t>，可降低土地资源消耗强度</w:t>
                  </w:r>
                  <w:r>
                    <w:rPr>
                      <w:rFonts w:hint="eastAsia"/>
                      <w:color w:val="auto"/>
                      <w:sz w:val="21"/>
                      <w:szCs w:val="21"/>
                      <w:lang w:eastAsia="zh-CN"/>
                    </w:rPr>
                    <w:t>；</w:t>
                  </w:r>
                </w:p>
                <w:p w14:paraId="6521C29D">
                  <w:pPr>
                    <w:pStyle w:val="29"/>
                    <w:bidi w:val="0"/>
                    <w:jc w:val="left"/>
                    <w:rPr>
                      <w:rFonts w:hint="eastAsia"/>
                      <w:color w:val="auto"/>
                      <w:sz w:val="21"/>
                      <w:szCs w:val="21"/>
                      <w:lang w:val="en-US" w:eastAsia="zh-CN"/>
                    </w:rPr>
                  </w:pPr>
                  <w:r>
                    <w:rPr>
                      <w:rFonts w:hint="eastAsia" w:ascii="Times New Roman" w:hAnsi="Times New Roman" w:eastAsia="宋体" w:cs="Times New Roman"/>
                      <w:color w:val="auto"/>
                      <w:lang w:val="en-US" w:eastAsia="zh-CN"/>
                    </w:rPr>
                    <w:t>2、</w:t>
                  </w:r>
                  <w:r>
                    <w:rPr>
                      <w:rFonts w:hint="eastAsia"/>
                      <w:color w:val="auto"/>
                      <w:sz w:val="21"/>
                      <w:szCs w:val="21"/>
                      <w:lang w:val="en-US" w:eastAsia="zh-CN"/>
                    </w:rPr>
                    <w:t>本项目严格落实雨污分流管控要求，厂区雨水系统与污水系统完全独立布设，无混接错接情况，洁净雨水经厂房周边园区雨水沟直接汇入市政雨水管网。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p>
                <w:p w14:paraId="6ECB2511">
                  <w:pPr>
                    <w:pStyle w:val="29"/>
                    <w:bidi w:val="0"/>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r>
                    <w:rPr>
                      <w:rFonts w:hint="eastAsia" w:cs="Times New Roman"/>
                      <w:color w:val="auto"/>
                      <w:lang w:val="en-US" w:eastAsia="zh-CN"/>
                    </w:rPr>
                    <w:t>项目位于玉溪市高新区九龙池片区工业园区内D4栋第一层</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不涉及耕地。</w:t>
                  </w:r>
                </w:p>
                <w:p w14:paraId="41009FBE">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4、本项目使用清洁能源电能</w:t>
                  </w:r>
                  <w:r>
                    <w:rPr>
                      <w:rFonts w:hint="eastAsia" w:cs="Times New Roman"/>
                      <w:color w:val="auto"/>
                      <w:lang w:val="en-US" w:eastAsia="zh-CN"/>
                    </w:rPr>
                    <w:t>和天然气</w:t>
                  </w:r>
                  <w:r>
                    <w:rPr>
                      <w:rFonts w:hint="eastAsia" w:ascii="Times New Roman" w:hAnsi="Times New Roman" w:eastAsia="宋体" w:cs="Times New Roman"/>
                      <w:color w:val="auto"/>
                      <w:lang w:val="en-US" w:eastAsia="zh-CN"/>
                    </w:rPr>
                    <w:t>，不使用污染燃料，</w:t>
                  </w:r>
                  <w:r>
                    <w:rPr>
                      <w:rFonts w:hint="eastAsia" w:cs="Times New Roman"/>
                      <w:color w:val="auto"/>
                      <w:lang w:val="en-US" w:eastAsia="zh-CN"/>
                    </w:rPr>
                    <w:t>并将产生的CO</w:t>
                  </w:r>
                  <w:r>
                    <w:rPr>
                      <w:rFonts w:hint="eastAsia" w:cs="Times New Roman"/>
                      <w:color w:val="auto"/>
                      <w:vertAlign w:val="subscript"/>
                      <w:lang w:val="en-US" w:eastAsia="zh-CN"/>
                    </w:rPr>
                    <w:t>2</w:t>
                  </w:r>
                  <w:r>
                    <w:rPr>
                      <w:rFonts w:hint="eastAsia" w:cs="Times New Roman"/>
                      <w:color w:val="auto"/>
                      <w:lang w:val="en-US" w:eastAsia="zh-CN"/>
                    </w:rPr>
                    <w:t>回收利用，利用率达85%，不会导致</w:t>
                  </w:r>
                  <w:r>
                    <w:rPr>
                      <w:rFonts w:hint="eastAsia" w:ascii="Times New Roman" w:hAnsi="Times New Roman" w:eastAsia="宋体" w:cs="Times New Roman"/>
                      <w:color w:val="auto"/>
                      <w:lang w:eastAsia="zh-CN"/>
                    </w:rPr>
                    <w:t>单位GDP二氧化碳排放</w:t>
                  </w:r>
                  <w:r>
                    <w:rPr>
                      <w:rFonts w:hint="eastAsia" w:cs="Times New Roman"/>
                      <w:color w:val="auto"/>
                      <w:lang w:eastAsia="zh-CN"/>
                    </w:rPr>
                    <w:t>上升</w:t>
                  </w:r>
                  <w:r>
                    <w:rPr>
                      <w:rFonts w:hint="eastAsia" w:ascii="Times New Roman" w:hAnsi="Times New Roman" w:eastAsia="宋体" w:cs="Times New Roman"/>
                      <w:color w:val="auto"/>
                      <w:lang w:eastAsia="zh-CN"/>
                    </w:rPr>
                    <w:t>。</w:t>
                  </w:r>
                </w:p>
                <w:p w14:paraId="39F14E5C">
                  <w:pPr>
                    <w:pStyle w:val="29"/>
                    <w:bidi w:val="0"/>
                    <w:jc w:val="left"/>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5、</w:t>
                  </w:r>
                  <w:r>
                    <w:rPr>
                      <w:rFonts w:hint="eastAsia"/>
                      <w:color w:val="auto"/>
                      <w:lang w:eastAsia="zh-CN"/>
                    </w:rPr>
                    <w:t>本项目位于玉溪市高新区九龙池片区工业园区内D4栋第一层</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不属于</w:t>
                  </w:r>
                  <w:r>
                    <w:rPr>
                      <w:rFonts w:hint="eastAsia" w:ascii="Times New Roman" w:hAnsi="Times New Roman" w:eastAsia="宋体" w:cs="Times New Roman"/>
                      <w:color w:val="auto"/>
                      <w:lang w:eastAsia="zh-CN"/>
                    </w:rPr>
                    <w:t>高污染燃料禁燃区。</w:t>
                  </w:r>
                </w:p>
                <w:p w14:paraId="3E92CC8C">
                  <w:pPr>
                    <w:pStyle w:val="29"/>
                    <w:bidi w:val="0"/>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6、本项目</w:t>
                  </w:r>
                  <w:r>
                    <w:rPr>
                      <w:rFonts w:hint="eastAsia" w:cs="Times New Roman"/>
                      <w:color w:val="auto"/>
                      <w:lang w:val="en-US" w:eastAsia="zh-CN"/>
                    </w:rPr>
                    <w:t>为啤酒生产项目，</w:t>
                  </w:r>
                  <w:r>
                    <w:rPr>
                      <w:rFonts w:hint="eastAsia" w:ascii="Times New Roman" w:hAnsi="Times New Roman" w:eastAsia="宋体" w:cs="宋体"/>
                      <w:color w:val="auto"/>
                      <w:kern w:val="0"/>
                      <w:sz w:val="21"/>
                      <w:szCs w:val="21"/>
                      <w:lang w:val="en-US" w:eastAsia="zh-CN" w:bidi="ar-SA"/>
                    </w:rPr>
                    <w:t>不涉及节水灌溉工程</w:t>
                  </w:r>
                  <w:r>
                    <w:rPr>
                      <w:rFonts w:hint="eastAsia"/>
                      <w:color w:val="auto"/>
                      <w:sz w:val="21"/>
                      <w:szCs w:val="21"/>
                    </w:rPr>
                    <w:t>。</w:t>
                  </w:r>
                </w:p>
              </w:tc>
              <w:tc>
                <w:tcPr>
                  <w:tcW w:w="388" w:type="pct"/>
                  <w:gridSpan w:val="3"/>
                  <w:vAlign w:val="center"/>
                </w:tcPr>
                <w:p w14:paraId="5827ACAF">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符合</w:t>
                  </w:r>
                </w:p>
              </w:tc>
            </w:tr>
            <w:tr w14:paraId="3185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8"/>
                  <w:vAlign w:val="center"/>
                </w:tcPr>
                <w:p w14:paraId="48844CF4">
                  <w:pPr>
                    <w:pStyle w:val="29"/>
                    <w:bidi w:val="0"/>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二</w:t>
                  </w:r>
                  <w:r>
                    <w:rPr>
                      <w:rFonts w:hint="eastAsia" w:ascii="Times New Roman" w:hAnsi="Times New Roman" w:eastAsia="宋体" w:cs="Times New Roman"/>
                      <w:color w:val="auto"/>
                    </w:rPr>
                    <w:t>、</w:t>
                  </w:r>
                  <w:r>
                    <w:rPr>
                      <w:rFonts w:hint="eastAsia" w:ascii="Times New Roman" w:hAnsi="Times New Roman" w:eastAsia="宋体" w:cs="Times New Roman"/>
                      <w:color w:val="auto"/>
                      <w:lang w:eastAsia="zh-CN"/>
                    </w:rPr>
                    <w:t>红塔区</w:t>
                  </w:r>
                  <w:r>
                    <w:rPr>
                      <w:rFonts w:hint="eastAsia" w:ascii="Times New Roman" w:hAnsi="Times New Roman" w:eastAsia="宋体" w:cs="Times New Roman"/>
                      <w:color w:val="auto"/>
                    </w:rPr>
                    <w:t>生态环境准入清单</w:t>
                  </w:r>
                </w:p>
              </w:tc>
            </w:tr>
            <w:tr w14:paraId="0F66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shd w:val="clear" w:color="auto" w:fill="auto"/>
                  <w:vAlign w:val="center"/>
                </w:tcPr>
                <w:p w14:paraId="3A73CA5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管控单元</w:t>
                  </w:r>
                </w:p>
              </w:tc>
              <w:tc>
                <w:tcPr>
                  <w:tcW w:w="2048" w:type="pct"/>
                  <w:gridSpan w:val="3"/>
                  <w:shd w:val="clear" w:color="auto" w:fill="auto"/>
                  <w:vAlign w:val="center"/>
                </w:tcPr>
                <w:p w14:paraId="065B7EB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管控要求</w:t>
                  </w:r>
                </w:p>
              </w:tc>
              <w:tc>
                <w:tcPr>
                  <w:tcW w:w="2110" w:type="pct"/>
                  <w:gridSpan w:val="2"/>
                  <w:shd w:val="clear" w:color="auto" w:fill="auto"/>
                  <w:vAlign w:val="center"/>
                </w:tcPr>
                <w:p w14:paraId="48D6BD4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项目情况</w:t>
                  </w:r>
                </w:p>
              </w:tc>
              <w:tc>
                <w:tcPr>
                  <w:tcW w:w="379" w:type="pct"/>
                  <w:gridSpan w:val="2"/>
                  <w:shd w:val="clear" w:color="auto" w:fill="auto"/>
                  <w:vAlign w:val="center"/>
                </w:tcPr>
                <w:p w14:paraId="1434DCA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符合性</w:t>
                  </w:r>
                </w:p>
              </w:tc>
            </w:tr>
            <w:tr w14:paraId="5FDC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restart"/>
                  <w:shd w:val="clear" w:color="auto" w:fill="auto"/>
                  <w:vAlign w:val="center"/>
                </w:tcPr>
                <w:p w14:paraId="3C2756D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rPr>
                    <w:t>红塔区产业园区重点管控单元</w:t>
                  </w:r>
                </w:p>
              </w:tc>
              <w:tc>
                <w:tcPr>
                  <w:tcW w:w="309" w:type="pct"/>
                  <w:shd w:val="clear" w:color="auto" w:fill="auto"/>
                  <w:vAlign w:val="center"/>
                </w:tcPr>
                <w:p w14:paraId="22B51FF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空间布局约束</w:t>
                  </w:r>
                </w:p>
              </w:tc>
              <w:tc>
                <w:tcPr>
                  <w:tcW w:w="1738" w:type="pct"/>
                  <w:gridSpan w:val="2"/>
                  <w:shd w:val="clear" w:color="auto" w:fill="auto"/>
                  <w:vAlign w:val="center"/>
                </w:tcPr>
                <w:p w14:paraId="49ADD51D">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1.合理规划产业分区和功能定位，禁止不符合产业政策、产业结构调整指导目录和园区规划要求的项目入园区。</w:t>
                  </w:r>
                </w:p>
                <w:p w14:paraId="355004F3">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2.红塔片区限制扩建水泥、化工等大气重污染型企业；限制以废水、高架点源废气为特征污染的工业企业入园。</w:t>
                  </w:r>
                </w:p>
                <w:p w14:paraId="37062318">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3.九龙片区、南片区、大营街地块、莲池地块、卧牛山地块、青龙山地块禁止高风险、高污染行业以及《云南省城镇人口密集区危险化学品生产企业搬迁改造实施方案》中相关企业入驻，禁止布局排放有毒有害气体的项目。</w:t>
                  </w:r>
                </w:p>
                <w:p w14:paraId="5329168B">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4.</w:t>
                  </w:r>
                  <w:r>
                    <w:rPr>
                      <w:rFonts w:hint="eastAsia" w:cs="Times New Roman"/>
                      <w:color w:val="auto"/>
                      <w:lang w:eastAsia="zh-CN"/>
                    </w:rPr>
                    <w:t>北城</w:t>
                  </w:r>
                  <w:r>
                    <w:rPr>
                      <w:rFonts w:hint="default" w:ascii="Times New Roman" w:hAnsi="Times New Roman" w:eastAsia="宋体" w:cs="Times New Roman"/>
                      <w:color w:val="auto"/>
                    </w:rPr>
                    <w:t>片区地块一、核心区南片区、红塔片区禁止新增三类工业项目。金属冶炼项目总规模不得新增，新增金属冶炼项目必须严格落实产能减量置换、污染物削减方案要求，污染物排放必须满足超低排放要求。</w:t>
                  </w:r>
                </w:p>
                <w:p w14:paraId="1862661D">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5.</w:t>
                  </w:r>
                  <w:r>
                    <w:rPr>
                      <w:rFonts w:hint="eastAsia" w:cs="Times New Roman"/>
                      <w:color w:val="auto"/>
                      <w:lang w:eastAsia="zh-CN"/>
                    </w:rPr>
                    <w:t>北城</w:t>
                  </w:r>
                  <w:r>
                    <w:rPr>
                      <w:rFonts w:hint="default" w:ascii="Times New Roman" w:hAnsi="Times New Roman" w:eastAsia="宋体" w:cs="Times New Roman"/>
                      <w:color w:val="auto"/>
                    </w:rPr>
                    <w:t>片区禁止使用高污染燃料及涉及重金属排放的企业入驻。装备制造产业禁止投资电镀、金属表面处理等排放重金属废水、废气项目。禁止布局有色金属冶炼，禁止新增粗钢、生铁冶炼产能，金属冶炼及制品加工行业尽量布局完善产业链，促进园区金属冶炼行业转型升级。同时与周边居住区间需保留足够的防护距离。</w:t>
                  </w:r>
                </w:p>
                <w:p w14:paraId="4EF23707">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6.太标钢铁加快布局特种钢材铸造等黑色金属精深加工，完成超低排放改造和产能置换。新兴钢铁、玉昆钢铁、汇溪金属完成搬迁升级改造。</w:t>
                  </w:r>
                </w:p>
                <w:p w14:paraId="38109E9E">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7.生物医药大健康产业禁止投资新建药品、食品、饲料、化妆品等用途的维生素B1、维生素B2、维生素B12、维生素E原料生产装置。</w:t>
                  </w:r>
                </w:p>
                <w:p w14:paraId="4A4F5929">
                  <w:pPr>
                    <w:pStyle w:val="29"/>
                    <w:bidi w:val="0"/>
                    <w:ind w:firstLine="0" w:firstLineChars="0"/>
                    <w:jc w:val="left"/>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rPr>
                    <w:t>8.在玉溪大河、石邑河水质达标前，核心区、</w:t>
                  </w:r>
                  <w:r>
                    <w:rPr>
                      <w:rFonts w:hint="eastAsia" w:cs="Times New Roman"/>
                      <w:color w:val="auto"/>
                      <w:lang w:eastAsia="zh-CN"/>
                    </w:rPr>
                    <w:t>北城</w:t>
                  </w:r>
                  <w:r>
                    <w:rPr>
                      <w:rFonts w:hint="default" w:ascii="Times New Roman" w:hAnsi="Times New Roman" w:eastAsia="宋体" w:cs="Times New Roman"/>
                      <w:color w:val="auto"/>
                    </w:rPr>
                    <w:t>片区禁止引入高废水产生的项目。</w:t>
                  </w:r>
                </w:p>
              </w:tc>
              <w:tc>
                <w:tcPr>
                  <w:tcW w:w="2230" w:type="pct"/>
                  <w:gridSpan w:val="3"/>
                  <w:shd w:val="clear" w:color="auto" w:fill="auto"/>
                  <w:vAlign w:val="center"/>
                </w:tcPr>
                <w:p w14:paraId="55D4745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本项目位于玉溪市高新区九龙池片区工业园区内D4栋第一层</w:t>
                  </w:r>
                  <w:r>
                    <w:rPr>
                      <w:rFonts w:hint="eastAsia" w:ascii="Times New Roman" w:hAnsi="Times New Roman" w:eastAsia="宋体" w:cs="Times New Roman"/>
                      <w:color w:val="auto"/>
                    </w:rPr>
                    <w:t>，属于重点管控单元。（1）项目不属于钢铁、冶金等行业，不属于重污染企业；（2）项目不涉及饮用水源保护区；（3）项目位于</w:t>
                  </w:r>
                  <w:r>
                    <w:rPr>
                      <w:rFonts w:hint="eastAsia" w:cs="Times New Roman"/>
                      <w:color w:val="auto"/>
                      <w:lang w:eastAsia="zh-CN"/>
                    </w:rPr>
                    <w:t>玉溪市高新区九龙池片区工业园区内D4栋第一层</w:t>
                  </w:r>
                  <w:r>
                    <w:rPr>
                      <w:rFonts w:hint="eastAsia" w:ascii="Times New Roman" w:hAnsi="Times New Roman" w:eastAsia="宋体" w:cs="Times New Roman"/>
                      <w:color w:val="auto"/>
                    </w:rPr>
                    <w:t>，</w:t>
                  </w:r>
                  <w:r>
                    <w:rPr>
                      <w:rFonts w:hint="eastAsia" w:cs="Times New Roman"/>
                      <w:color w:val="auto"/>
                      <w:lang w:val="en-US" w:eastAsia="zh-CN"/>
                    </w:rPr>
                    <w:t>属于高新技术产业开发区核心区九龙片区（地块）</w:t>
                  </w:r>
                  <w:r>
                    <w:rPr>
                      <w:rFonts w:hint="eastAsia" w:ascii="Times New Roman" w:hAnsi="Times New Roman" w:eastAsia="宋体" w:cs="Times New Roman"/>
                      <w:color w:val="auto"/>
                    </w:rPr>
                    <w:t>运营期产生的</w:t>
                  </w:r>
                  <w:r>
                    <w:rPr>
                      <w:rFonts w:hint="eastAsia" w:cs="Times New Roman"/>
                      <w:color w:val="auto"/>
                      <w:lang w:val="en-US" w:eastAsia="zh-CN"/>
                    </w:rPr>
                    <w:t>废气</w:t>
                  </w:r>
                  <w:r>
                    <w:rPr>
                      <w:rFonts w:hint="eastAsia" w:ascii="Times New Roman" w:hAnsi="Times New Roman" w:eastAsia="宋体" w:cs="Times New Roman"/>
                      <w:color w:val="auto"/>
                    </w:rPr>
                    <w:t>采取</w:t>
                  </w:r>
                  <w:r>
                    <w:rPr>
                      <w:rFonts w:hint="eastAsia" w:cs="Times New Roman"/>
                      <w:color w:val="auto"/>
                      <w:lang w:val="en-US" w:eastAsia="zh-CN"/>
                    </w:rPr>
                    <w:t>相应措施</w:t>
                  </w:r>
                  <w:r>
                    <w:rPr>
                      <w:rFonts w:hint="eastAsia" w:ascii="Times New Roman" w:hAnsi="Times New Roman" w:eastAsia="宋体" w:cs="Times New Roman"/>
                      <w:color w:val="auto"/>
                    </w:rPr>
                    <w:t>后排放量减小；（4）根据《产业结构调整指导目录</w:t>
                  </w:r>
                  <w:r>
                    <w:rPr>
                      <w:rFonts w:hint="eastAsia" w:cs="Times New Roman"/>
                      <w:color w:val="auto"/>
                      <w:lang w:eastAsia="zh-CN"/>
                    </w:rPr>
                    <w:t>（</w:t>
                  </w:r>
                  <w:r>
                    <w:rPr>
                      <w:rFonts w:hint="eastAsia" w:ascii="Times New Roman" w:hAnsi="Times New Roman" w:eastAsia="宋体" w:cs="Times New Roman"/>
                      <w:color w:val="auto"/>
                    </w:rPr>
                    <w:t>2024年本）》，项目</w:t>
                  </w:r>
                  <w:r>
                    <w:rPr>
                      <w:rFonts w:hint="eastAsia" w:cs="Times New Roman"/>
                      <w:color w:val="auto"/>
                      <w:lang w:eastAsia="zh-CN"/>
                    </w:rPr>
                    <w:t>视为允许</w:t>
                  </w:r>
                  <w:r>
                    <w:rPr>
                      <w:rFonts w:hint="eastAsia" w:ascii="Times New Roman" w:hAnsi="Times New Roman" w:eastAsia="宋体" w:cs="Times New Roman"/>
                      <w:color w:val="auto"/>
                    </w:rPr>
                    <w:t>类。</w:t>
                  </w:r>
                </w:p>
              </w:tc>
              <w:tc>
                <w:tcPr>
                  <w:tcW w:w="259" w:type="pct"/>
                  <w:shd w:val="clear" w:color="auto" w:fill="auto"/>
                  <w:vAlign w:val="center"/>
                </w:tcPr>
                <w:p w14:paraId="3DE3101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rPr>
                    <w:t>符合</w:t>
                  </w:r>
                </w:p>
              </w:tc>
            </w:tr>
            <w:tr w14:paraId="03BD8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tcPr>
                <w:p w14:paraId="6BE3B33D">
                  <w:pPr>
                    <w:pStyle w:val="29"/>
                    <w:bidi w:val="0"/>
                    <w:rPr>
                      <w:rFonts w:hint="default" w:ascii="Times New Roman" w:hAnsi="Times New Roman" w:eastAsia="宋体" w:cs="Times New Roman"/>
                      <w:color w:val="auto"/>
                    </w:rPr>
                  </w:pPr>
                </w:p>
              </w:tc>
              <w:tc>
                <w:tcPr>
                  <w:tcW w:w="309" w:type="pct"/>
                  <w:shd w:val="clear" w:color="auto" w:fill="auto"/>
                  <w:vAlign w:val="center"/>
                </w:tcPr>
                <w:p w14:paraId="4839095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污染物排放管控</w:t>
                  </w:r>
                </w:p>
              </w:tc>
              <w:tc>
                <w:tcPr>
                  <w:tcW w:w="1738" w:type="pct"/>
                  <w:gridSpan w:val="2"/>
                  <w:shd w:val="clear" w:color="auto" w:fill="auto"/>
                  <w:vAlign w:val="center"/>
                </w:tcPr>
                <w:p w14:paraId="19D579D7">
                  <w:pPr>
                    <w:pStyle w:val="29"/>
                    <w:bidi w:val="0"/>
                    <w:jc w:val="left"/>
                    <w:rPr>
                      <w:rFonts w:hint="eastAsia"/>
                      <w:color w:val="auto"/>
                    </w:rPr>
                  </w:pPr>
                  <w:r>
                    <w:rPr>
                      <w:rFonts w:hint="eastAsia"/>
                      <w:color w:val="auto"/>
                    </w:rPr>
                    <w:t>1.加强控制颗粒物的排放，红塔片区、南片区维持现状水平，污染排放等量或减量替代，不允许新增大气污染物。</w:t>
                  </w:r>
                </w:p>
                <w:p w14:paraId="47FAD073">
                  <w:pPr>
                    <w:pStyle w:val="29"/>
                    <w:bidi w:val="0"/>
                    <w:jc w:val="left"/>
                    <w:rPr>
                      <w:rFonts w:hint="eastAsia"/>
                      <w:color w:val="auto"/>
                    </w:rPr>
                  </w:pPr>
                  <w:r>
                    <w:rPr>
                      <w:rFonts w:hint="eastAsia"/>
                      <w:color w:val="auto"/>
                    </w:rPr>
                    <w:t>2.入驻企业采用低（无）VOCs含量、低反应活性的原辅材料，加快对芳香烃、含卤素有机化合物的绿色替代，全面加强无组织排放控制，新建治污设施或对现有治污设施实施改造，有效降低VOCs的排放量。</w:t>
                  </w:r>
                </w:p>
                <w:p w14:paraId="6F91F1D6">
                  <w:pPr>
                    <w:pStyle w:val="29"/>
                    <w:bidi w:val="0"/>
                    <w:jc w:val="left"/>
                    <w:rPr>
                      <w:rFonts w:hint="eastAsia"/>
                      <w:color w:val="auto"/>
                    </w:rPr>
                  </w:pPr>
                  <w:r>
                    <w:rPr>
                      <w:rFonts w:hint="eastAsia"/>
                      <w:color w:val="auto"/>
                    </w:rPr>
                    <w:t>3.钢铁企业按照超低排放要求，配套建设高效脱硫、脱硝、除尘设施，落实物料储存、输送及生产工艺过程无组织排放管控措施，大宗物料和产品采取清洁方式运输，加强企业污染排放监测监控。</w:t>
                  </w:r>
                </w:p>
                <w:p w14:paraId="1B5EAD33">
                  <w:pPr>
                    <w:pStyle w:val="29"/>
                    <w:bidi w:val="0"/>
                    <w:ind w:firstLine="0" w:firstLineChars="0"/>
                    <w:jc w:val="left"/>
                    <w:rPr>
                      <w:rFonts w:hint="default" w:ascii="Times New Roman" w:hAnsi="Times New Roman" w:eastAsia="宋体" w:cs="Times New Roman"/>
                      <w:b w:val="0"/>
                      <w:color w:val="auto"/>
                      <w:kern w:val="2"/>
                      <w:sz w:val="21"/>
                      <w:szCs w:val="21"/>
                      <w:lang w:val="en-US" w:eastAsia="zh-CN" w:bidi="ar-SA"/>
                    </w:rPr>
                  </w:pPr>
                  <w:r>
                    <w:rPr>
                      <w:rFonts w:hint="eastAsia"/>
                      <w:color w:val="auto"/>
                    </w:rPr>
                    <w:t>4.</w:t>
                  </w:r>
                  <w:r>
                    <w:rPr>
                      <w:rFonts w:hint="eastAsia"/>
                      <w:color w:val="auto"/>
                      <w:lang w:eastAsia="zh-CN"/>
                    </w:rPr>
                    <w:t>北城</w:t>
                  </w:r>
                  <w:r>
                    <w:rPr>
                      <w:rFonts w:hint="eastAsia"/>
                      <w:color w:val="auto"/>
                    </w:rPr>
                    <w:t>片区污水处理厂未建成前，企业废水自行处置后回用，不外排；污水处理厂投入运行后，企业外排废水实行受纳水体超标因子1.5—2倍削减替代。南片区、九龙片区、大营街地块、观音山地块、莲池地块等区域污水进入第三污水处理厂。</w:t>
                  </w:r>
                </w:p>
              </w:tc>
              <w:tc>
                <w:tcPr>
                  <w:tcW w:w="2230" w:type="pct"/>
                  <w:gridSpan w:val="3"/>
                  <w:shd w:val="clear" w:color="auto" w:fill="auto"/>
                  <w:vAlign w:val="center"/>
                </w:tcPr>
                <w:p w14:paraId="213FCDB0">
                  <w:pPr>
                    <w:pStyle w:val="29"/>
                    <w:bidi w:val="0"/>
                    <w:rPr>
                      <w:rFonts w:hint="eastAsia" w:ascii="Times New Roman" w:hAnsi="Times New Roman" w:eastAsia="宋体" w:cs="Times New Roman"/>
                      <w:color w:val="auto"/>
                      <w:lang w:val="en-US" w:eastAsia="zh-CN"/>
                    </w:rPr>
                  </w:pPr>
                  <w:r>
                    <w:rPr>
                      <w:rFonts w:hint="eastAsia"/>
                      <w:color w:val="auto"/>
                      <w:lang w:val="en-US" w:eastAsia="zh-CN"/>
                    </w:rPr>
                    <w:t>1.运营期产生的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olor w:val="auto"/>
                      <w:lang w:val="en-US" w:eastAsia="zh-CN"/>
                    </w:rPr>
                    <w:fldChar w:fldCharType="begin"/>
                  </w:r>
                  <w:r>
                    <w:rPr>
                      <w:rFonts w:hint="eastAsia"/>
                      <w:color w:val="auto"/>
                      <w:lang w:val="en-US" w:eastAsia="zh-CN"/>
                    </w:rPr>
                    <w:instrText xml:space="preserve"> = 6 \* GB3 \* MERGEFORMAT </w:instrText>
                  </w:r>
                  <w:r>
                    <w:rPr>
                      <w:rFonts w:hint="eastAsia"/>
                      <w:color w:val="auto"/>
                      <w:lang w:val="en-US" w:eastAsia="zh-CN"/>
                    </w:rPr>
                    <w:fldChar w:fldCharType="separate"/>
                  </w:r>
                  <w:r>
                    <w:rPr>
                      <w:rFonts w:hint="eastAsia"/>
                      <w:color w:val="auto"/>
                      <w:lang w:val="en-US" w:eastAsia="zh-CN"/>
                    </w:rPr>
                    <w:t>⑥</w:t>
                  </w:r>
                  <w:r>
                    <w:rPr>
                      <w:rFonts w:hint="eastAsia"/>
                      <w:color w:val="auto"/>
                      <w:lang w:val="en-US" w:eastAsia="zh-CN"/>
                    </w:rPr>
                    <w:fldChar w:fldCharType="end"/>
                  </w:r>
                  <w:r>
                    <w:rPr>
                      <w:rFonts w:hint="eastAsia"/>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通过采取以上措施后，本项目废气均可达标排放</w:t>
                  </w:r>
                  <w:r>
                    <w:rPr>
                      <w:rFonts w:hint="eastAsia"/>
                      <w:color w:val="auto"/>
                      <w:sz w:val="21"/>
                      <w:szCs w:val="21"/>
                      <w:lang w:eastAsia="zh-CN"/>
                    </w:rPr>
                    <w:t>。</w:t>
                  </w:r>
                </w:p>
                <w:p w14:paraId="37E96931">
                  <w:pPr>
                    <w:pStyle w:val="29"/>
                    <w:bidi w:val="0"/>
                    <w:jc w:val="both"/>
                    <w:rPr>
                      <w:rFonts w:hint="eastAsia"/>
                      <w:color w:val="auto"/>
                      <w:lang w:val="en-US" w:eastAsia="zh-CN"/>
                    </w:rPr>
                  </w:pPr>
                  <w:r>
                    <w:rPr>
                      <w:rFonts w:hint="eastAsia"/>
                      <w:color w:val="auto"/>
                      <w:lang w:val="en-US" w:eastAsia="zh-CN"/>
                    </w:rPr>
                    <w:t>2.项目属于啤酒生产项目，不属于钢铁企业，项目的物料运输尽量使用清洁能源汽车或达标排放的汽车进行运输。</w:t>
                  </w:r>
                </w:p>
                <w:p w14:paraId="79F237B2">
                  <w:pPr>
                    <w:pStyle w:val="29"/>
                    <w:bidi w:val="0"/>
                    <w:ind w:firstLine="0" w:firstLineChars="0"/>
                    <w:jc w:val="both"/>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本项目严格落实雨污分流管控要求，厂区雨水系统与污水系统完全独立布设，无混接错接情况，洁净雨水经厂房周边园区雨水沟直接汇入市政雨水管网。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p>
              </w:tc>
              <w:tc>
                <w:tcPr>
                  <w:tcW w:w="259" w:type="pct"/>
                  <w:shd w:val="clear" w:color="auto" w:fill="auto"/>
                  <w:vAlign w:val="center"/>
                </w:tcPr>
                <w:p w14:paraId="5D2EF46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符合</w:t>
                  </w:r>
                </w:p>
              </w:tc>
            </w:tr>
            <w:tr w14:paraId="713C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tcPr>
                <w:p w14:paraId="4C6F762E">
                  <w:pPr>
                    <w:pStyle w:val="29"/>
                    <w:bidi w:val="0"/>
                    <w:rPr>
                      <w:rFonts w:hint="default" w:ascii="Times New Roman" w:hAnsi="Times New Roman" w:eastAsia="宋体" w:cs="Times New Roman"/>
                      <w:color w:val="auto"/>
                    </w:rPr>
                  </w:pPr>
                </w:p>
              </w:tc>
              <w:tc>
                <w:tcPr>
                  <w:tcW w:w="309" w:type="pct"/>
                  <w:shd w:val="clear" w:color="auto" w:fill="auto"/>
                  <w:vAlign w:val="center"/>
                </w:tcPr>
                <w:p w14:paraId="3C2BF3E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环境风险防控</w:t>
                  </w:r>
                </w:p>
              </w:tc>
              <w:tc>
                <w:tcPr>
                  <w:tcW w:w="1738" w:type="pct"/>
                  <w:gridSpan w:val="2"/>
                  <w:shd w:val="clear" w:color="auto" w:fill="auto"/>
                  <w:vAlign w:val="center"/>
                </w:tcPr>
                <w:p w14:paraId="0779037F">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1.九龙片区不得在飞井海水库流域范围内新建扩建对水体污染严重的项目，防止出现飞井海水库的污染风险。</w:t>
                  </w:r>
                </w:p>
                <w:p w14:paraId="67E1AC66">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2.</w:t>
                  </w:r>
                  <w:r>
                    <w:rPr>
                      <w:rFonts w:hint="eastAsia" w:cs="Times New Roman"/>
                      <w:color w:val="auto"/>
                      <w:lang w:eastAsia="zh-CN"/>
                    </w:rPr>
                    <w:t>北城</w:t>
                  </w:r>
                  <w:r>
                    <w:rPr>
                      <w:rFonts w:hint="default" w:ascii="Times New Roman" w:hAnsi="Times New Roman" w:eastAsia="宋体" w:cs="Times New Roman"/>
                      <w:color w:val="auto"/>
                    </w:rPr>
                    <w:t>片区慎重布局危险化学品仓储设施和污水处理设施等对地下水存在较大环境风险的设施。</w:t>
                  </w:r>
                </w:p>
                <w:p w14:paraId="4E68A60D">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3.岩溶发育区域，应严格落实分区防渗要求，不宜布置日常储量构成重大危险源的使用危险化学品的项目。区域设置地下水监测井定期监测，防止事故情况下污染区域地下水。</w:t>
                  </w:r>
                </w:p>
                <w:p w14:paraId="340F8CB9">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4.居民分布密集区和学校周边区域不宜布置日常储量构成重大危险源的使用危险化学品的项目。</w:t>
                  </w:r>
                </w:p>
                <w:p w14:paraId="0C88EC34">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5.工业企业应有完善的风险防范措施，其最大可信事故半致死浓度范围内不得有居民点存在。</w:t>
                  </w:r>
                </w:p>
                <w:p w14:paraId="6B44E5F8">
                  <w:pPr>
                    <w:pStyle w:val="29"/>
                    <w:bidi w:val="0"/>
                    <w:jc w:val="left"/>
                    <w:rPr>
                      <w:rFonts w:hint="default" w:ascii="Times New Roman" w:hAnsi="Times New Roman" w:eastAsia="宋体" w:cs="Times New Roman"/>
                      <w:color w:val="auto"/>
                    </w:rPr>
                  </w:pPr>
                  <w:r>
                    <w:rPr>
                      <w:rFonts w:hint="default" w:ascii="Times New Roman" w:hAnsi="Times New Roman" w:eastAsia="宋体" w:cs="Times New Roman"/>
                      <w:color w:val="auto"/>
                    </w:rPr>
                    <w:t>6.及时完成重污染企业周边环境防护距离内居民的搬迁工作。</w:t>
                  </w:r>
                </w:p>
                <w:p w14:paraId="623D2606">
                  <w:pPr>
                    <w:pStyle w:val="29"/>
                    <w:bidi w:val="0"/>
                    <w:ind w:firstLine="0" w:firstLineChars="0"/>
                    <w:jc w:val="left"/>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rPr>
                    <w:t>7.制定突发环境事件应急预案，完善风险管理机制，加强风险控制防范。建立区域环境监测制度，加强规划实施的跟踪监测与管理。</w:t>
                  </w:r>
                </w:p>
              </w:tc>
              <w:tc>
                <w:tcPr>
                  <w:tcW w:w="2230" w:type="pct"/>
                  <w:gridSpan w:val="3"/>
                  <w:shd w:val="clear" w:color="auto" w:fill="auto"/>
                  <w:vAlign w:val="center"/>
                </w:tcPr>
                <w:p w14:paraId="0D3C8204">
                  <w:pPr>
                    <w:pStyle w:val="29"/>
                    <w:bidi w:val="0"/>
                    <w:jc w:val="both"/>
                    <w:rPr>
                      <w:rFonts w:hint="eastAsia"/>
                      <w:color w:val="auto"/>
                      <w:lang w:val="en-US" w:eastAsia="zh-CN"/>
                    </w:rPr>
                  </w:pPr>
                  <w:r>
                    <w:rPr>
                      <w:rFonts w:hint="eastAsia" w:cs="Times New Roman"/>
                      <w:color w:val="auto"/>
                      <w:lang w:val="en-US" w:eastAsia="zh-CN"/>
                    </w:rPr>
                    <w:t>1.</w:t>
                  </w:r>
                  <w:r>
                    <w:rPr>
                      <w:rFonts w:hint="eastAsia"/>
                      <w:color w:val="auto"/>
                      <w:lang w:eastAsia="zh-CN"/>
                    </w:rPr>
                    <w:t>本项目位于玉溪市高新区九龙池片区工业园区内D4栋第一层</w:t>
                  </w:r>
                  <w:r>
                    <w:rPr>
                      <w:rFonts w:hint="eastAsia" w:eastAsia="宋体" w:cs="Times New Roman"/>
                      <w:color w:val="auto"/>
                      <w:lang w:eastAsia="zh-CN"/>
                    </w:rPr>
                    <w:t>，</w:t>
                  </w:r>
                  <w:r>
                    <w:rPr>
                      <w:rFonts w:hint="eastAsia"/>
                      <w:color w:val="auto"/>
                      <w:lang w:val="en-US" w:eastAsia="zh-CN"/>
                    </w:rPr>
                    <w:t>项目严格执行《地下水管理条例》中相关规定，项目区内采取分区防渗措施，（1）重点防渗区：危废暂存间按照《危险废物贮存污染控制标准》（GB18597-2023）中基础必须防渗，防渗层为至少1m厚黏土层(渗透系数≤10</w:t>
                  </w:r>
                  <w:r>
                    <w:rPr>
                      <w:rFonts w:hint="eastAsia"/>
                      <w:color w:val="auto"/>
                      <w:vertAlign w:val="superscript"/>
                      <w:lang w:val="en-US" w:eastAsia="zh-CN"/>
                    </w:rPr>
                    <w:t>-7</w:t>
                  </w:r>
                  <w:r>
                    <w:rPr>
                      <w:rFonts w:hint="eastAsia"/>
                      <w:color w:val="auto"/>
                      <w:lang w:val="en-US" w:eastAsia="zh-CN"/>
                    </w:rPr>
                    <w:t>cm/s)，或2mm厚高密度聚乙烯，或至少2mm厚的其它人工材料，渗透系数≤10</w:t>
                  </w:r>
                  <w:r>
                    <w:rPr>
                      <w:rFonts w:hint="eastAsia"/>
                      <w:color w:val="auto"/>
                      <w:vertAlign w:val="superscript"/>
                      <w:lang w:val="en-US" w:eastAsia="zh-CN"/>
                    </w:rPr>
                    <w:t>-10</w:t>
                  </w:r>
                  <w:r>
                    <w:rPr>
                      <w:rFonts w:hint="eastAsia"/>
                      <w:color w:val="auto"/>
                      <w:lang w:val="en-US" w:eastAsia="zh-CN"/>
                    </w:rPr>
                    <w:t>cm/s进行防渗；（2）一般防渗区：沉淀池、化粪池、一体化污水处理设备、事故池，满足等效黏土防渗层厚度Mb≥1.5m，渗透系数K≤1.0×10</w:t>
                  </w:r>
                  <w:r>
                    <w:rPr>
                      <w:rFonts w:hint="eastAsia"/>
                      <w:color w:val="auto"/>
                      <w:vertAlign w:val="superscript"/>
                      <w:lang w:val="en-US" w:eastAsia="zh-CN"/>
                    </w:rPr>
                    <w:t>-7</w:t>
                  </w:r>
                  <w:r>
                    <w:rPr>
                      <w:rFonts w:hint="eastAsia"/>
                      <w:color w:val="auto"/>
                      <w:lang w:val="en-US" w:eastAsia="zh-CN"/>
                    </w:rPr>
                    <w:t>cm/s；（3）简单防渗区：办公区、生产车间、厂内道路防渗技术要求为地面硬化。防止废油垂直入渗污染土壤。</w:t>
                  </w:r>
                </w:p>
                <w:p w14:paraId="5C32235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2、本项目周边无</w:t>
                  </w:r>
                  <w:r>
                    <w:rPr>
                      <w:rFonts w:hint="default" w:ascii="Times New Roman" w:hAnsi="Times New Roman" w:eastAsia="宋体" w:cs="Times New Roman"/>
                      <w:color w:val="auto"/>
                    </w:rPr>
                    <w:t>居民分布密集区和学校</w:t>
                  </w:r>
                  <w:r>
                    <w:rPr>
                      <w:rFonts w:hint="eastAsia" w:eastAsia="宋体" w:cs="Times New Roman"/>
                      <w:color w:val="auto"/>
                      <w:lang w:eastAsia="zh-CN"/>
                    </w:rPr>
                    <w:t>，且项目不属于</w:t>
                  </w:r>
                  <w:r>
                    <w:rPr>
                      <w:rFonts w:hint="default" w:ascii="Times New Roman" w:hAnsi="Times New Roman" w:eastAsia="宋体" w:cs="Times New Roman"/>
                      <w:color w:val="auto"/>
                    </w:rPr>
                    <w:t>重污染企业</w:t>
                  </w:r>
                  <w:r>
                    <w:rPr>
                      <w:rFonts w:hint="eastAsia" w:eastAsia="宋体" w:cs="Times New Roman"/>
                      <w:color w:val="auto"/>
                      <w:lang w:eastAsia="zh-CN"/>
                    </w:rPr>
                    <w:t>，项目运营期产生的</w:t>
                  </w:r>
                  <w:r>
                    <w:rPr>
                      <w:rFonts w:hint="eastAsia"/>
                      <w:color w:val="auto"/>
                      <w:lang w:val="en-US" w:eastAsia="zh-CN"/>
                    </w:rPr>
                    <w:t>废机油及废油桶收集后暂存于危废暂存间内定期委托有资质的单位进行处置，同时</w:t>
                  </w:r>
                  <w:r>
                    <w:rPr>
                      <w:rFonts w:hint="default"/>
                      <w:color w:val="auto"/>
                    </w:rPr>
                    <w:t>项目建成后建设单位按照《突发事件应急预案管理办法的通知》规定，编制《突发环境事件应急预案》，并报环保部门审查备案</w:t>
                  </w:r>
                  <w:r>
                    <w:rPr>
                      <w:rFonts w:hint="eastAsia"/>
                      <w:color w:val="auto"/>
                      <w:lang w:val="en-US" w:eastAsia="zh-CN"/>
                    </w:rPr>
                    <w:t>。</w:t>
                  </w:r>
                </w:p>
              </w:tc>
              <w:tc>
                <w:tcPr>
                  <w:tcW w:w="259" w:type="pct"/>
                  <w:shd w:val="clear" w:color="auto" w:fill="auto"/>
                  <w:vAlign w:val="center"/>
                </w:tcPr>
                <w:p w14:paraId="370F86A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符合</w:t>
                  </w:r>
                </w:p>
              </w:tc>
            </w:tr>
            <w:tr w14:paraId="53A6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pct"/>
                  <w:vMerge w:val="continue"/>
                </w:tcPr>
                <w:p w14:paraId="50E141FF">
                  <w:pPr>
                    <w:pStyle w:val="29"/>
                    <w:bidi w:val="0"/>
                    <w:rPr>
                      <w:rFonts w:hint="default" w:ascii="Times New Roman" w:hAnsi="Times New Roman" w:eastAsia="宋体" w:cs="Times New Roman"/>
                      <w:color w:val="auto"/>
                    </w:rPr>
                  </w:pPr>
                </w:p>
              </w:tc>
              <w:tc>
                <w:tcPr>
                  <w:tcW w:w="309" w:type="pct"/>
                  <w:shd w:val="clear" w:color="auto" w:fill="auto"/>
                  <w:vAlign w:val="center"/>
                </w:tcPr>
                <w:p w14:paraId="01F5E73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资源开发效率要求</w:t>
                  </w:r>
                </w:p>
              </w:tc>
              <w:tc>
                <w:tcPr>
                  <w:tcW w:w="1738" w:type="pct"/>
                  <w:gridSpan w:val="2"/>
                  <w:shd w:val="clear" w:color="auto" w:fill="auto"/>
                  <w:vAlign w:val="center"/>
                </w:tcPr>
                <w:p w14:paraId="32CD515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rPr>
                    <w:t>园区工业废水集中处理率不低于90%，再生水利用率达到30%，工业用水重复率不低于80%。</w:t>
                  </w:r>
                </w:p>
              </w:tc>
              <w:tc>
                <w:tcPr>
                  <w:tcW w:w="2230" w:type="pct"/>
                  <w:gridSpan w:val="3"/>
                  <w:shd w:val="clear" w:color="auto" w:fill="auto"/>
                  <w:vAlign w:val="center"/>
                </w:tcPr>
                <w:p w14:paraId="0763825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本项目所在园区无工业废水集中处理设施。</w:t>
                  </w:r>
                  <w:r>
                    <w:rPr>
                      <w:rFonts w:hint="eastAsia"/>
                      <w:color w:val="auto"/>
                      <w:lang w:val="en-US" w:eastAsia="zh-CN"/>
                    </w:rPr>
                    <w:t>本项目严格落实雨污分流管控要求，厂区雨水系统与污水系统完全独立布设，无混接错接情况，洁净雨水经厂房周边园区雨水沟直接汇入市政雨水管网。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r>
                    <w:rPr>
                      <w:rFonts w:hint="eastAsia"/>
                      <w:color w:val="auto"/>
                      <w:lang w:eastAsia="zh-CN"/>
                    </w:rPr>
                    <w:t>本项目废水收集率、处理率100%，废水在区域范围内依托玉溪市第</w:t>
                  </w:r>
                  <w:r>
                    <w:rPr>
                      <w:rFonts w:hint="eastAsia"/>
                      <w:color w:val="auto"/>
                      <w:lang w:val="en-US" w:eastAsia="zh-CN"/>
                    </w:rPr>
                    <w:t>一、第</w:t>
                  </w:r>
                  <w:r>
                    <w:rPr>
                      <w:rFonts w:hint="eastAsia"/>
                      <w:color w:val="auto"/>
                      <w:lang w:eastAsia="zh-CN"/>
                    </w:rPr>
                    <w:t>三污水处理厂后部分达标外排，部分区域统筹回用</w:t>
                  </w:r>
                  <w:r>
                    <w:rPr>
                      <w:rFonts w:hint="eastAsia"/>
                      <w:color w:val="auto"/>
                    </w:rPr>
                    <w:t>。</w:t>
                  </w:r>
                </w:p>
              </w:tc>
              <w:tc>
                <w:tcPr>
                  <w:tcW w:w="259" w:type="pct"/>
                  <w:shd w:val="clear" w:color="auto" w:fill="auto"/>
                  <w:vAlign w:val="center"/>
                </w:tcPr>
                <w:p w14:paraId="7269BE4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符合</w:t>
                  </w:r>
                </w:p>
              </w:tc>
            </w:tr>
          </w:tbl>
          <w:p w14:paraId="5A53D041">
            <w:pPr>
              <w:ind w:firstLine="480"/>
              <w:rPr>
                <w:color w:val="auto"/>
              </w:rPr>
            </w:pPr>
            <w:r>
              <w:rPr>
                <w:color w:val="auto"/>
              </w:rPr>
              <w:t>综上，本项目</w:t>
            </w:r>
            <w:r>
              <w:rPr>
                <w:rFonts w:hint="eastAsia"/>
                <w:color w:val="auto"/>
                <w:lang w:val="en-US" w:eastAsia="zh-CN"/>
              </w:rPr>
              <w:t>符合</w:t>
            </w:r>
            <w:r>
              <w:rPr>
                <w:rFonts w:hint="eastAsia"/>
                <w:color w:val="auto"/>
                <w:lang w:eastAsia="zh-CN"/>
              </w:rPr>
              <w:t>《玉溪市生态环境分区管控动态更新调整方案2023年》（玉市环〔2024〕40号）</w:t>
            </w:r>
            <w:r>
              <w:rPr>
                <w:rFonts w:hint="eastAsia"/>
                <w:color w:val="auto"/>
                <w:lang w:val="en-US" w:eastAsia="zh-CN"/>
              </w:rPr>
              <w:t>要求</w:t>
            </w:r>
            <w:r>
              <w:rPr>
                <w:color w:val="auto"/>
              </w:rPr>
              <w:t>。</w:t>
            </w:r>
          </w:p>
          <w:p w14:paraId="63CCF5DD">
            <w:pPr>
              <w:ind w:firstLine="482"/>
              <w:rPr>
                <w:rFonts w:hint="eastAsia"/>
                <w:b/>
                <w:bCs/>
                <w:color w:val="auto"/>
                <w:lang w:val="en-US" w:eastAsia="zh-CN"/>
              </w:rPr>
            </w:pPr>
            <w:r>
              <w:rPr>
                <w:rFonts w:hint="eastAsia" w:eastAsia="宋体"/>
                <w:b/>
                <w:bCs/>
                <w:color w:val="auto"/>
                <w:lang w:val="en-US" w:eastAsia="zh-CN"/>
              </w:rPr>
              <w:t>5、</w:t>
            </w:r>
            <w:r>
              <w:rPr>
                <w:rFonts w:hint="eastAsia"/>
                <w:b/>
                <w:bCs/>
                <w:color w:val="auto"/>
                <w:lang w:val="en-US" w:eastAsia="zh-CN"/>
              </w:rPr>
              <w:t>与《云南省空气质量持续改善行动实施方案》符合性分析</w:t>
            </w:r>
          </w:p>
          <w:p w14:paraId="69EE1896">
            <w:pPr>
              <w:pStyle w:val="30"/>
              <w:bidi w:val="0"/>
              <w:rPr>
                <w:rFonts w:hint="eastAsia"/>
                <w:color w:val="auto"/>
                <w:lang w:val="en-US" w:eastAsia="zh-CN"/>
              </w:rPr>
            </w:pPr>
            <w:r>
              <w:rPr>
                <w:rFonts w:hint="eastAsia"/>
                <w:color w:val="auto"/>
                <w:lang w:val="en-US" w:eastAsia="zh-CN"/>
              </w:rPr>
              <w:t>表1-6  项目与《云南省空气质量持续改善行动实施方案》符合性分析一览表</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3675"/>
              <w:gridCol w:w="3760"/>
              <w:gridCol w:w="566"/>
            </w:tblGrid>
            <w:tr w14:paraId="1699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59C77E6D">
                  <w:pPr>
                    <w:pStyle w:val="29"/>
                    <w:bidi w:val="0"/>
                    <w:jc w:val="center"/>
                    <w:rPr>
                      <w:rFonts w:hint="default"/>
                      <w:color w:val="auto"/>
                      <w:lang w:val="en-US" w:eastAsia="zh-CN"/>
                    </w:rPr>
                  </w:pPr>
                  <w:r>
                    <w:rPr>
                      <w:rFonts w:hint="eastAsia"/>
                      <w:color w:val="auto"/>
                      <w:lang w:val="en-US" w:eastAsia="zh-CN"/>
                    </w:rPr>
                    <w:t>序号</w:t>
                  </w:r>
                </w:p>
              </w:tc>
              <w:tc>
                <w:tcPr>
                  <w:tcW w:w="2150" w:type="pct"/>
                  <w:vAlign w:val="center"/>
                </w:tcPr>
                <w:p w14:paraId="39B55129">
                  <w:pPr>
                    <w:pStyle w:val="29"/>
                    <w:bidi w:val="0"/>
                    <w:jc w:val="center"/>
                    <w:rPr>
                      <w:rFonts w:hint="default"/>
                      <w:color w:val="auto"/>
                      <w:lang w:val="en-US" w:eastAsia="zh-CN"/>
                    </w:rPr>
                  </w:pPr>
                  <w:r>
                    <w:rPr>
                      <w:rFonts w:hint="default"/>
                      <w:color w:val="auto"/>
                      <w:lang w:val="en-US" w:eastAsia="zh-CN"/>
                    </w:rPr>
                    <w:t>《云南省空气质量持续改善行动实施方案》相关内容</w:t>
                  </w:r>
                </w:p>
              </w:tc>
              <w:tc>
                <w:tcPr>
                  <w:tcW w:w="2200" w:type="pct"/>
                  <w:vAlign w:val="center"/>
                </w:tcPr>
                <w:p w14:paraId="7F6BF93E">
                  <w:pPr>
                    <w:pStyle w:val="29"/>
                    <w:bidi w:val="0"/>
                    <w:jc w:val="center"/>
                    <w:rPr>
                      <w:rFonts w:hint="default"/>
                      <w:color w:val="auto"/>
                      <w:lang w:val="en-US" w:eastAsia="zh-CN"/>
                    </w:rPr>
                  </w:pPr>
                  <w:r>
                    <w:rPr>
                      <w:rFonts w:hint="eastAsia"/>
                      <w:color w:val="auto"/>
                      <w:lang w:val="en-US" w:eastAsia="zh-CN"/>
                    </w:rPr>
                    <w:t>项目情况</w:t>
                  </w:r>
                </w:p>
              </w:tc>
              <w:tc>
                <w:tcPr>
                  <w:tcW w:w="331" w:type="pct"/>
                  <w:vAlign w:val="center"/>
                </w:tcPr>
                <w:p w14:paraId="6BC12D23">
                  <w:pPr>
                    <w:pStyle w:val="29"/>
                    <w:bidi w:val="0"/>
                    <w:jc w:val="center"/>
                    <w:rPr>
                      <w:rFonts w:hint="default"/>
                      <w:color w:val="auto"/>
                      <w:lang w:val="en-US" w:eastAsia="zh-CN"/>
                    </w:rPr>
                  </w:pPr>
                  <w:r>
                    <w:rPr>
                      <w:rFonts w:hint="eastAsia"/>
                      <w:color w:val="auto"/>
                      <w:lang w:val="en-US" w:eastAsia="zh-CN"/>
                    </w:rPr>
                    <w:t>符合性</w:t>
                  </w:r>
                </w:p>
              </w:tc>
            </w:tr>
            <w:tr w14:paraId="3200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02A9E327">
                  <w:pPr>
                    <w:pStyle w:val="29"/>
                    <w:bidi w:val="0"/>
                    <w:jc w:val="center"/>
                    <w:rPr>
                      <w:rFonts w:hint="default"/>
                      <w:color w:val="auto"/>
                      <w:lang w:val="en-US" w:eastAsia="zh-CN"/>
                    </w:rPr>
                  </w:pPr>
                  <w:r>
                    <w:rPr>
                      <w:rFonts w:hint="eastAsia"/>
                      <w:color w:val="auto"/>
                      <w:lang w:val="en-US" w:eastAsia="zh-CN"/>
                    </w:rPr>
                    <w:t>1</w:t>
                  </w:r>
                </w:p>
              </w:tc>
              <w:tc>
                <w:tcPr>
                  <w:tcW w:w="2150" w:type="pct"/>
                  <w:vAlign w:val="center"/>
                </w:tcPr>
                <w:p w14:paraId="19CCCE2D">
                  <w:pPr>
                    <w:pStyle w:val="29"/>
                    <w:bidi w:val="0"/>
                    <w:jc w:val="left"/>
                    <w:rPr>
                      <w:rFonts w:hint="default"/>
                      <w:color w:val="auto"/>
                      <w:lang w:val="en-US" w:eastAsia="zh-CN"/>
                    </w:rPr>
                  </w:pPr>
                  <w:r>
                    <w:rPr>
                      <w:rFonts w:hint="default"/>
                      <w:color w:val="auto"/>
                      <w:lang w:val="en-US" w:eastAsia="zh-CN"/>
                    </w:rPr>
                    <w:t>坚决遏制“两高一低”项目盲目上马。新改扩建项目严格落实国家和省产业规划、产业政策、生态环境分区管控方案、规划环评、项目环评、节能审查、产能置换、重点污染物总量控制、污染物排放区域削减、碳排放达峰目标等相关要求，原则上采用清洁运输方式。加快推进钢铁产业转型升级，鼓励钢铁、焦化、烧结一体化布局，减少独立焦化、烧结、球团和热轧企业及工序。到2025年，短流程炼钢产量占比达15%。</w:t>
                  </w:r>
                </w:p>
              </w:tc>
              <w:tc>
                <w:tcPr>
                  <w:tcW w:w="2200" w:type="pct"/>
                  <w:shd w:val="clear" w:color="auto" w:fill="auto"/>
                  <w:vAlign w:val="center"/>
                </w:tcPr>
                <w:p w14:paraId="3A5528B6">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本项目不属于钢铁产业，项目属于啤酒生产项目，</w:t>
                  </w:r>
                  <w:r>
                    <w:rPr>
                      <w:rFonts w:hint="default"/>
                      <w:color w:val="auto"/>
                      <w:lang w:val="en-US" w:eastAsia="zh-CN"/>
                    </w:rPr>
                    <w:t>严格落实国家和省产业规划、产业政策、生态环境分区管控方案、项目环评、节能审查、</w:t>
                  </w:r>
                  <w:r>
                    <w:rPr>
                      <w:rFonts w:hint="eastAsia"/>
                      <w:color w:val="auto"/>
                      <w:lang w:val="en-US" w:eastAsia="zh-CN"/>
                    </w:rPr>
                    <w:t>本项目不涉及</w:t>
                  </w:r>
                  <w:r>
                    <w:rPr>
                      <w:rFonts w:hint="default"/>
                      <w:color w:val="auto"/>
                      <w:lang w:val="en-US" w:eastAsia="zh-CN"/>
                    </w:rPr>
                    <w:t>规划环评、</w:t>
                  </w:r>
                  <w:r>
                    <w:rPr>
                      <w:rFonts w:hint="eastAsia"/>
                      <w:color w:val="auto"/>
                      <w:lang w:val="en-US" w:eastAsia="zh-CN"/>
                    </w:rPr>
                    <w:t>不涉及</w:t>
                  </w:r>
                  <w:r>
                    <w:rPr>
                      <w:rFonts w:hint="default"/>
                      <w:color w:val="auto"/>
                      <w:lang w:val="en-US" w:eastAsia="zh-CN"/>
                    </w:rPr>
                    <w:t>产能置换、重点污染物总量控制、污染物排放区域削减、碳排放达峰目标等相关要求</w:t>
                  </w:r>
                  <w:r>
                    <w:rPr>
                      <w:rFonts w:hint="eastAsia"/>
                      <w:color w:val="auto"/>
                      <w:lang w:val="en-US" w:eastAsia="zh-CN"/>
                    </w:rPr>
                    <w:t>。</w:t>
                  </w:r>
                </w:p>
              </w:tc>
              <w:tc>
                <w:tcPr>
                  <w:tcW w:w="331" w:type="pct"/>
                  <w:vAlign w:val="center"/>
                </w:tcPr>
                <w:p w14:paraId="52E071C5">
                  <w:pPr>
                    <w:pStyle w:val="29"/>
                    <w:bidi w:val="0"/>
                    <w:jc w:val="center"/>
                    <w:rPr>
                      <w:rFonts w:hint="default"/>
                      <w:color w:val="auto"/>
                      <w:lang w:val="en-US" w:eastAsia="zh-CN"/>
                    </w:rPr>
                  </w:pPr>
                  <w:r>
                    <w:rPr>
                      <w:rFonts w:hint="eastAsia"/>
                      <w:color w:val="auto"/>
                      <w:lang w:val="en-US" w:eastAsia="zh-CN"/>
                    </w:rPr>
                    <w:t>符合</w:t>
                  </w:r>
                </w:p>
              </w:tc>
            </w:tr>
            <w:tr w14:paraId="3990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40668AFF">
                  <w:pPr>
                    <w:pStyle w:val="29"/>
                    <w:bidi w:val="0"/>
                    <w:jc w:val="center"/>
                    <w:rPr>
                      <w:rFonts w:hint="default"/>
                      <w:color w:val="auto"/>
                      <w:lang w:val="en-US" w:eastAsia="zh-CN"/>
                    </w:rPr>
                  </w:pPr>
                  <w:r>
                    <w:rPr>
                      <w:rFonts w:hint="eastAsia"/>
                      <w:color w:val="auto"/>
                      <w:lang w:val="en-US" w:eastAsia="zh-CN"/>
                    </w:rPr>
                    <w:t>2</w:t>
                  </w:r>
                </w:p>
              </w:tc>
              <w:tc>
                <w:tcPr>
                  <w:tcW w:w="2150" w:type="pct"/>
                  <w:vAlign w:val="center"/>
                </w:tcPr>
                <w:p w14:paraId="7C87EDCA">
                  <w:pPr>
                    <w:pStyle w:val="29"/>
                    <w:bidi w:val="0"/>
                    <w:jc w:val="center"/>
                    <w:rPr>
                      <w:rFonts w:hint="default"/>
                      <w:color w:val="auto"/>
                      <w:lang w:val="en-US" w:eastAsia="zh-CN"/>
                    </w:rPr>
                  </w:pPr>
                  <w:r>
                    <w:rPr>
                      <w:rFonts w:hint="default"/>
                      <w:color w:val="auto"/>
                      <w:lang w:val="en-US" w:eastAsia="zh-CN"/>
                    </w:rPr>
                    <w:t>推动落后产能退出。推动能耗、环保、质量、安全、技术达不到标准和生产不合格产品或淘汰类产能依法依规关停退出。不予审批限制类新建项目，按照国家要求对属于限制类的现有生产能力进行升级改造。</w:t>
                  </w:r>
                </w:p>
              </w:tc>
              <w:tc>
                <w:tcPr>
                  <w:tcW w:w="2200" w:type="pct"/>
                  <w:shd w:val="clear" w:color="auto" w:fill="auto"/>
                  <w:vAlign w:val="center"/>
                </w:tcPr>
                <w:p w14:paraId="2CB5F1A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项目属于啤酒生产项目，</w:t>
                  </w:r>
                  <w:r>
                    <w:rPr>
                      <w:rFonts w:hint="default"/>
                      <w:color w:val="auto"/>
                      <w:lang w:val="en-US" w:eastAsia="zh-CN"/>
                    </w:rPr>
                    <w:t>不属于《产业结构调整指导目录（</w:t>
                  </w:r>
                  <w:r>
                    <w:rPr>
                      <w:rFonts w:hint="eastAsia"/>
                      <w:color w:val="auto"/>
                      <w:lang w:val="en-US" w:eastAsia="zh-CN"/>
                    </w:rPr>
                    <w:t>2024</w:t>
                  </w:r>
                  <w:r>
                    <w:rPr>
                      <w:rFonts w:hint="default"/>
                      <w:color w:val="auto"/>
                      <w:lang w:val="en-US" w:eastAsia="zh-CN"/>
                    </w:rPr>
                    <w:t>年本）》中淘汰类、限制类、鼓励类项目，根据国务院《促进产业结构调整暂行规定》（国发</w:t>
                  </w:r>
                  <w:r>
                    <w:rPr>
                      <w:rFonts w:hint="eastAsia"/>
                      <w:color w:val="auto"/>
                      <w:lang w:val="en-US" w:eastAsia="zh-CN"/>
                    </w:rPr>
                    <w:t>〔</w:t>
                  </w:r>
                  <w:r>
                    <w:rPr>
                      <w:rFonts w:hint="default"/>
                      <w:color w:val="auto"/>
                      <w:lang w:val="en-US" w:eastAsia="zh-CN"/>
                    </w:rPr>
                    <w:t>2005</w:t>
                  </w:r>
                  <w:r>
                    <w:rPr>
                      <w:rFonts w:hint="eastAsia"/>
                      <w:color w:val="auto"/>
                      <w:lang w:val="en-US" w:eastAsia="zh-CN"/>
                    </w:rPr>
                    <w:t>〕</w:t>
                  </w:r>
                  <w:r>
                    <w:rPr>
                      <w:rFonts w:hint="default"/>
                      <w:color w:val="auto"/>
                      <w:lang w:val="en-US" w:eastAsia="zh-CN"/>
                    </w:rPr>
                    <w:t>40号）第十三条“不属于鼓励类、限制类及淘汰类，且符合国家有关法律、法规和政策规定的，为允许类”。项目不属于落后、过剩产能项目，不属于高能耗、高排放项目。</w:t>
                  </w:r>
                </w:p>
              </w:tc>
              <w:tc>
                <w:tcPr>
                  <w:tcW w:w="331" w:type="pct"/>
                  <w:vAlign w:val="center"/>
                </w:tcPr>
                <w:p w14:paraId="2C50D057">
                  <w:pPr>
                    <w:pStyle w:val="29"/>
                    <w:bidi w:val="0"/>
                    <w:jc w:val="center"/>
                    <w:rPr>
                      <w:rFonts w:hint="default"/>
                      <w:color w:val="auto"/>
                      <w:lang w:val="en-US" w:eastAsia="zh-CN"/>
                    </w:rPr>
                  </w:pPr>
                  <w:r>
                    <w:rPr>
                      <w:rFonts w:hint="eastAsia"/>
                      <w:color w:val="auto"/>
                      <w:lang w:val="en-US" w:eastAsia="zh-CN"/>
                    </w:rPr>
                    <w:t>符合</w:t>
                  </w:r>
                </w:p>
              </w:tc>
            </w:tr>
            <w:tr w14:paraId="501E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5E4BDD88">
                  <w:pPr>
                    <w:pStyle w:val="29"/>
                    <w:bidi w:val="0"/>
                    <w:jc w:val="center"/>
                    <w:rPr>
                      <w:rFonts w:hint="default"/>
                      <w:color w:val="auto"/>
                      <w:lang w:val="en-US" w:eastAsia="zh-CN"/>
                    </w:rPr>
                  </w:pPr>
                  <w:r>
                    <w:rPr>
                      <w:rFonts w:hint="eastAsia"/>
                      <w:color w:val="auto"/>
                      <w:lang w:val="en-US" w:eastAsia="zh-CN"/>
                    </w:rPr>
                    <w:t>3</w:t>
                  </w:r>
                </w:p>
              </w:tc>
              <w:tc>
                <w:tcPr>
                  <w:tcW w:w="2150" w:type="pct"/>
                  <w:vAlign w:val="center"/>
                </w:tcPr>
                <w:p w14:paraId="0CDA06EE">
                  <w:pPr>
                    <w:pStyle w:val="29"/>
                    <w:bidi w:val="0"/>
                    <w:jc w:val="left"/>
                    <w:rPr>
                      <w:rFonts w:hint="default"/>
                      <w:color w:val="auto"/>
                      <w:lang w:val="en-US" w:eastAsia="zh-CN"/>
                    </w:rPr>
                  </w:pPr>
                  <w:r>
                    <w:rPr>
                      <w:rFonts w:hint="default"/>
                      <w:color w:val="auto"/>
                      <w:lang w:val="en-US" w:eastAsia="zh-CN"/>
                    </w:rPr>
                    <w:t>优化含VOCs原辅材料和产品结构。严格控制生产和使用高VOCs含量涂料、油墨、胶粘剂、清洗剂等建设项目，加大工业涂装、包装印刷和电子行业低（无）VOCs含量原辅材替代力度。严格执行VOCs含量限值标准，室外构筑物防护和城市道路交通标志推广使用低（无）VOCs含量涂料。</w:t>
                  </w:r>
                </w:p>
              </w:tc>
              <w:tc>
                <w:tcPr>
                  <w:tcW w:w="2200" w:type="pct"/>
                  <w:shd w:val="clear" w:color="auto" w:fill="auto"/>
                  <w:vAlign w:val="center"/>
                </w:tcPr>
                <w:p w14:paraId="32850DBD">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运营期产生的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olor w:val="auto"/>
                      <w:lang w:val="en-US" w:eastAsia="zh-CN"/>
                    </w:rPr>
                    <w:fldChar w:fldCharType="begin"/>
                  </w:r>
                  <w:r>
                    <w:rPr>
                      <w:rFonts w:hint="eastAsia"/>
                      <w:color w:val="auto"/>
                      <w:lang w:val="en-US" w:eastAsia="zh-CN"/>
                    </w:rPr>
                    <w:instrText xml:space="preserve"> = 6 \* GB3 \* MERGEFORMAT </w:instrText>
                  </w:r>
                  <w:r>
                    <w:rPr>
                      <w:rFonts w:hint="eastAsia"/>
                      <w:color w:val="auto"/>
                      <w:lang w:val="en-US" w:eastAsia="zh-CN"/>
                    </w:rPr>
                    <w:fldChar w:fldCharType="separate"/>
                  </w:r>
                  <w:r>
                    <w:rPr>
                      <w:rFonts w:hint="eastAsia"/>
                      <w:color w:val="auto"/>
                      <w:lang w:val="en-US" w:eastAsia="zh-CN"/>
                    </w:rPr>
                    <w:t>⑥</w:t>
                  </w:r>
                  <w:r>
                    <w:rPr>
                      <w:rFonts w:hint="eastAsia"/>
                      <w:color w:val="auto"/>
                      <w:lang w:val="en-US" w:eastAsia="zh-CN"/>
                    </w:rPr>
                    <w:fldChar w:fldCharType="end"/>
                  </w:r>
                  <w:r>
                    <w:rPr>
                      <w:rFonts w:hint="eastAsia"/>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通过采取以上措施后，本项目废气均可达标排放，涉及非甲烷总烃排放量极小，通过厂房阻隔、自然通风后对周边环境影响较小。</w:t>
                  </w:r>
                </w:p>
              </w:tc>
              <w:tc>
                <w:tcPr>
                  <w:tcW w:w="331" w:type="pct"/>
                  <w:vAlign w:val="center"/>
                </w:tcPr>
                <w:p w14:paraId="47397D1B">
                  <w:pPr>
                    <w:pStyle w:val="29"/>
                    <w:bidi w:val="0"/>
                    <w:jc w:val="center"/>
                    <w:rPr>
                      <w:rFonts w:hint="default"/>
                      <w:color w:val="auto"/>
                      <w:lang w:val="en-US" w:eastAsia="zh-CN"/>
                    </w:rPr>
                  </w:pPr>
                  <w:r>
                    <w:rPr>
                      <w:rFonts w:hint="eastAsia"/>
                      <w:color w:val="auto"/>
                      <w:lang w:val="en-US" w:eastAsia="zh-CN"/>
                    </w:rPr>
                    <w:t>符合</w:t>
                  </w:r>
                </w:p>
              </w:tc>
            </w:tr>
            <w:tr w14:paraId="3B3B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7" w:type="pct"/>
                  <w:vAlign w:val="center"/>
                </w:tcPr>
                <w:p w14:paraId="384500DE">
                  <w:pPr>
                    <w:pStyle w:val="29"/>
                    <w:bidi w:val="0"/>
                    <w:jc w:val="center"/>
                    <w:rPr>
                      <w:rFonts w:hint="default"/>
                      <w:color w:val="auto"/>
                      <w:lang w:val="en-US" w:eastAsia="zh-CN"/>
                    </w:rPr>
                  </w:pPr>
                  <w:r>
                    <w:rPr>
                      <w:rFonts w:hint="eastAsia"/>
                      <w:color w:val="auto"/>
                      <w:lang w:val="en-US" w:eastAsia="zh-CN"/>
                    </w:rPr>
                    <w:t>4</w:t>
                  </w:r>
                </w:p>
              </w:tc>
              <w:tc>
                <w:tcPr>
                  <w:tcW w:w="2150" w:type="pct"/>
                  <w:vAlign w:val="center"/>
                </w:tcPr>
                <w:p w14:paraId="370D368E">
                  <w:pPr>
                    <w:pStyle w:val="29"/>
                    <w:bidi w:val="0"/>
                    <w:jc w:val="left"/>
                    <w:rPr>
                      <w:rFonts w:hint="default"/>
                      <w:color w:val="auto"/>
                      <w:lang w:val="en-US" w:eastAsia="zh-CN"/>
                    </w:rPr>
                  </w:pPr>
                  <w:r>
                    <w:rPr>
                      <w:rFonts w:hint="default"/>
                      <w:color w:val="auto"/>
                      <w:lang w:val="en-US" w:eastAsia="zh-CN"/>
                    </w:rPr>
                    <w:t>推动工业炉窑清洁能源替代。有序推进以电代煤，积极稳妥推进以气代煤。对以煤、石油焦、渣油、重油等为燃料的工业炉窑，加快使用工业余热、电能、天然气等清洁能源进行替代。</w:t>
                  </w:r>
                </w:p>
              </w:tc>
              <w:tc>
                <w:tcPr>
                  <w:tcW w:w="2200" w:type="pct"/>
                  <w:shd w:val="clear" w:color="auto" w:fill="auto"/>
                  <w:vAlign w:val="center"/>
                </w:tcPr>
                <w:p w14:paraId="250E6F79">
                  <w:pPr>
                    <w:pStyle w:val="29"/>
                    <w:bidi w:val="0"/>
                    <w:ind w:firstLine="0" w:firstLineChars="0"/>
                    <w:jc w:val="left"/>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本项目生产主要采用电能和天然气，不涉及</w:t>
                  </w:r>
                  <w:r>
                    <w:rPr>
                      <w:rFonts w:hint="default"/>
                      <w:color w:val="auto"/>
                      <w:lang w:val="en-US" w:eastAsia="zh-CN"/>
                    </w:rPr>
                    <w:t>工业炉窑</w:t>
                  </w:r>
                  <w:r>
                    <w:rPr>
                      <w:rFonts w:hint="eastAsia"/>
                      <w:color w:val="auto"/>
                      <w:lang w:val="en-US" w:eastAsia="zh-CN"/>
                    </w:rPr>
                    <w:t>。</w:t>
                  </w:r>
                </w:p>
              </w:tc>
              <w:tc>
                <w:tcPr>
                  <w:tcW w:w="331" w:type="pct"/>
                  <w:vAlign w:val="center"/>
                </w:tcPr>
                <w:p w14:paraId="3A389C04">
                  <w:pPr>
                    <w:pStyle w:val="29"/>
                    <w:bidi w:val="0"/>
                    <w:jc w:val="center"/>
                    <w:rPr>
                      <w:rFonts w:hint="default"/>
                      <w:color w:val="auto"/>
                      <w:lang w:val="en-US" w:eastAsia="zh-CN"/>
                    </w:rPr>
                  </w:pPr>
                  <w:r>
                    <w:rPr>
                      <w:rFonts w:hint="eastAsia"/>
                      <w:color w:val="auto"/>
                      <w:lang w:val="en-US" w:eastAsia="zh-CN"/>
                    </w:rPr>
                    <w:t>符合</w:t>
                  </w:r>
                </w:p>
              </w:tc>
            </w:tr>
          </w:tbl>
          <w:p w14:paraId="51441839">
            <w:pPr>
              <w:ind w:firstLine="482"/>
              <w:rPr>
                <w:rFonts w:hint="default"/>
                <w:b w:val="0"/>
                <w:bCs w:val="0"/>
                <w:color w:val="auto"/>
                <w:lang w:val="en-US" w:eastAsia="zh-CN"/>
              </w:rPr>
            </w:pPr>
            <w:r>
              <w:rPr>
                <w:rFonts w:hint="eastAsia"/>
                <w:b w:val="0"/>
                <w:bCs w:val="0"/>
                <w:color w:val="auto"/>
                <w:lang w:val="en-US" w:eastAsia="zh-CN"/>
              </w:rPr>
              <w:t>综上，本项目符合《云南省空气质量持续改善行动实施方案》中相关要求。</w:t>
            </w:r>
          </w:p>
          <w:p w14:paraId="48390380">
            <w:pPr>
              <w:rPr>
                <w:rFonts w:hint="eastAsia"/>
                <w:color w:val="auto"/>
                <w:lang w:val="en-US" w:eastAsia="zh-CN"/>
              </w:rPr>
            </w:pPr>
            <w:r>
              <w:rPr>
                <w:rFonts w:hint="eastAsia"/>
                <w:b/>
                <w:bCs/>
                <w:color w:val="auto"/>
                <w:lang w:val="en-US" w:eastAsia="zh-CN"/>
              </w:rPr>
              <w:t>6、与《大气污染防治行动计划》相符性分析</w:t>
            </w:r>
          </w:p>
          <w:p w14:paraId="141C2D88">
            <w:pPr>
              <w:pStyle w:val="30"/>
              <w:bidi w:val="0"/>
              <w:rPr>
                <w:rFonts w:hint="eastAsia"/>
                <w:color w:val="auto"/>
                <w:lang w:val="en-US" w:eastAsia="zh-CN"/>
              </w:rPr>
            </w:pPr>
            <w:r>
              <w:rPr>
                <w:rFonts w:hint="eastAsia"/>
                <w:color w:val="auto"/>
                <w:lang w:val="en-US" w:eastAsia="zh-CN"/>
              </w:rPr>
              <w:t>表1-8 项目与《大气污染防治行动计划》符合性分析表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4243"/>
              <w:gridCol w:w="3179"/>
              <w:gridCol w:w="562"/>
            </w:tblGrid>
            <w:tr w14:paraId="2F24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pct"/>
                  <w:vAlign w:val="center"/>
                </w:tcPr>
                <w:p w14:paraId="5009239B">
                  <w:pPr>
                    <w:pStyle w:val="29"/>
                    <w:bidi w:val="0"/>
                    <w:rPr>
                      <w:rFonts w:hint="default"/>
                      <w:color w:val="auto"/>
                      <w:lang w:val="en-US" w:eastAsia="zh-CN"/>
                    </w:rPr>
                  </w:pPr>
                  <w:r>
                    <w:rPr>
                      <w:rFonts w:hint="default"/>
                      <w:color w:val="auto"/>
                      <w:lang w:val="en-US" w:eastAsia="zh-CN"/>
                    </w:rPr>
                    <w:t>序号</w:t>
                  </w:r>
                </w:p>
              </w:tc>
              <w:tc>
                <w:tcPr>
                  <w:tcW w:w="2484" w:type="pct"/>
                  <w:vAlign w:val="center"/>
                </w:tcPr>
                <w:p w14:paraId="62DC3A7D">
                  <w:pPr>
                    <w:pStyle w:val="29"/>
                    <w:bidi w:val="0"/>
                    <w:rPr>
                      <w:rFonts w:hint="eastAsia"/>
                      <w:color w:val="auto"/>
                      <w:lang w:val="en-US" w:eastAsia="zh-CN"/>
                    </w:rPr>
                  </w:pPr>
                  <w:r>
                    <w:rPr>
                      <w:rFonts w:hint="eastAsia"/>
                      <w:color w:val="auto"/>
                      <w:lang w:val="en-US" w:eastAsia="zh-CN"/>
                    </w:rPr>
                    <w:t>文件内容</w:t>
                  </w:r>
                </w:p>
              </w:tc>
              <w:tc>
                <w:tcPr>
                  <w:tcW w:w="1861" w:type="pct"/>
                  <w:vAlign w:val="center"/>
                </w:tcPr>
                <w:p w14:paraId="6B3450AE">
                  <w:pPr>
                    <w:pStyle w:val="29"/>
                    <w:bidi w:val="0"/>
                    <w:rPr>
                      <w:rFonts w:hint="default"/>
                      <w:color w:val="auto"/>
                      <w:lang w:val="en-US" w:eastAsia="zh-CN"/>
                    </w:rPr>
                  </w:pPr>
                  <w:r>
                    <w:rPr>
                      <w:rFonts w:hint="eastAsia"/>
                      <w:color w:val="auto"/>
                      <w:lang w:val="en-US" w:eastAsia="zh-CN"/>
                    </w:rPr>
                    <w:t>项目情况</w:t>
                  </w:r>
                </w:p>
              </w:tc>
              <w:tc>
                <w:tcPr>
                  <w:tcW w:w="327" w:type="pct"/>
                  <w:vAlign w:val="center"/>
                </w:tcPr>
                <w:p w14:paraId="29EEB722">
                  <w:pPr>
                    <w:pStyle w:val="29"/>
                    <w:bidi w:val="0"/>
                    <w:rPr>
                      <w:rFonts w:hint="default"/>
                      <w:color w:val="auto"/>
                      <w:lang w:val="en-US" w:eastAsia="zh-CN"/>
                    </w:rPr>
                  </w:pPr>
                  <w:r>
                    <w:rPr>
                      <w:rFonts w:hint="eastAsia"/>
                      <w:color w:val="auto"/>
                      <w:lang w:val="en-US" w:eastAsia="zh-CN"/>
                    </w:rPr>
                    <w:t>符合性</w:t>
                  </w:r>
                </w:p>
              </w:tc>
            </w:tr>
            <w:tr w14:paraId="2D2AC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pct"/>
                  <w:vAlign w:val="center"/>
                </w:tcPr>
                <w:p w14:paraId="663B65A4">
                  <w:pPr>
                    <w:pStyle w:val="29"/>
                    <w:bidi w:val="0"/>
                    <w:rPr>
                      <w:rFonts w:hint="default"/>
                      <w:color w:val="auto"/>
                      <w:lang w:val="en-US" w:eastAsia="zh-CN"/>
                    </w:rPr>
                  </w:pPr>
                  <w:r>
                    <w:rPr>
                      <w:rFonts w:hint="eastAsia"/>
                      <w:color w:val="auto"/>
                      <w:lang w:val="en-US" w:eastAsia="zh-CN"/>
                    </w:rPr>
                    <w:t>1</w:t>
                  </w:r>
                </w:p>
              </w:tc>
              <w:tc>
                <w:tcPr>
                  <w:tcW w:w="2484" w:type="pct"/>
                  <w:vAlign w:val="center"/>
                </w:tcPr>
                <w:p w14:paraId="5A86618F">
                  <w:pPr>
                    <w:pStyle w:val="29"/>
                    <w:bidi w:val="0"/>
                    <w:jc w:val="left"/>
                    <w:rPr>
                      <w:rFonts w:hint="default"/>
                      <w:color w:val="auto"/>
                      <w:lang w:val="en-US" w:eastAsia="zh-CN"/>
                    </w:rPr>
                  </w:pPr>
                  <w:r>
                    <w:rPr>
                      <w:rFonts w:hint="default"/>
                      <w:color w:val="auto"/>
                      <w:lang w:val="en-US" w:eastAsia="zh-CN"/>
                    </w:rPr>
                    <w:t>一、加大综合治理力度，减少多污染物排放：加强工业企业大气污染综合治理。全面整治燃煤小锅炉。加快推进集中供热、“煤改气”、“煤改电”工程建设，到2017年除必要保留的以外，地级及以上城市建成区基本淘汰每小时10蒸吨及以下的燃煤锅炉，禁止新建每小时20蒸吨以下的燃煤锅炉，其他地区原则上不再新建每小时10蒸吨以下的燃煤锅炉。</w:t>
                  </w:r>
                </w:p>
              </w:tc>
              <w:tc>
                <w:tcPr>
                  <w:tcW w:w="1861" w:type="pct"/>
                  <w:shd w:val="clear" w:color="auto" w:fill="auto"/>
                  <w:vAlign w:val="center"/>
                </w:tcPr>
                <w:p w14:paraId="445B9BA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本项目为</w:t>
                  </w:r>
                  <w:r>
                    <w:rPr>
                      <w:rFonts w:hint="eastAsia"/>
                      <w:color w:val="auto"/>
                      <w:lang w:val="en-US" w:eastAsia="zh-CN"/>
                    </w:rPr>
                    <w:t>啤酒生产</w:t>
                  </w:r>
                  <w:r>
                    <w:rPr>
                      <w:rFonts w:hint="default"/>
                      <w:color w:val="auto"/>
                      <w:lang w:val="en-US" w:eastAsia="zh-CN"/>
                    </w:rPr>
                    <w:t>项目，</w:t>
                  </w:r>
                  <w:r>
                    <w:rPr>
                      <w:rFonts w:hint="eastAsia"/>
                      <w:color w:val="auto"/>
                      <w:lang w:val="en-US" w:eastAsia="zh-CN"/>
                    </w:rPr>
                    <w:t>项目采用燃气锅炉，</w:t>
                  </w:r>
                  <w:r>
                    <w:rPr>
                      <w:rFonts w:hint="default"/>
                      <w:color w:val="auto"/>
                      <w:lang w:val="en-US" w:eastAsia="zh-CN"/>
                    </w:rPr>
                    <w:t>不涉及燃煤锅炉。</w:t>
                  </w:r>
                </w:p>
              </w:tc>
              <w:tc>
                <w:tcPr>
                  <w:tcW w:w="327" w:type="pct"/>
                  <w:vAlign w:val="center"/>
                </w:tcPr>
                <w:p w14:paraId="1C22A40F">
                  <w:pPr>
                    <w:pStyle w:val="29"/>
                    <w:bidi w:val="0"/>
                    <w:rPr>
                      <w:rFonts w:hint="default"/>
                      <w:color w:val="auto"/>
                      <w:lang w:val="en-US" w:eastAsia="zh-CN"/>
                    </w:rPr>
                  </w:pPr>
                  <w:r>
                    <w:rPr>
                      <w:rFonts w:hint="eastAsia"/>
                      <w:color w:val="auto"/>
                      <w:lang w:val="en-US" w:eastAsia="zh-CN"/>
                    </w:rPr>
                    <w:t>符合</w:t>
                  </w:r>
                </w:p>
              </w:tc>
            </w:tr>
            <w:tr w14:paraId="4330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 w:type="pct"/>
                  <w:vAlign w:val="center"/>
                </w:tcPr>
                <w:p w14:paraId="6FFA8EB3">
                  <w:pPr>
                    <w:pStyle w:val="29"/>
                    <w:bidi w:val="0"/>
                    <w:rPr>
                      <w:rFonts w:hint="default"/>
                      <w:color w:val="auto"/>
                      <w:lang w:val="en-US" w:eastAsia="zh-CN"/>
                    </w:rPr>
                  </w:pPr>
                  <w:r>
                    <w:rPr>
                      <w:rFonts w:hint="eastAsia"/>
                      <w:color w:val="auto"/>
                      <w:lang w:val="en-US" w:eastAsia="zh-CN"/>
                    </w:rPr>
                    <w:t>2</w:t>
                  </w:r>
                </w:p>
              </w:tc>
              <w:tc>
                <w:tcPr>
                  <w:tcW w:w="2484" w:type="pct"/>
                  <w:vAlign w:val="center"/>
                </w:tcPr>
                <w:p w14:paraId="152024CD">
                  <w:pPr>
                    <w:pStyle w:val="29"/>
                    <w:bidi w:val="0"/>
                    <w:rPr>
                      <w:rFonts w:hint="default"/>
                      <w:color w:val="auto"/>
                      <w:lang w:val="en-US" w:eastAsia="zh-CN"/>
                    </w:rPr>
                  </w:pPr>
                  <w:r>
                    <w:rPr>
                      <w:rFonts w:hint="default"/>
                      <w:color w:val="auto"/>
                      <w:lang w:val="en-US" w:eastAsia="zh-CN"/>
                    </w:rPr>
                    <w:t>二、调整优化产业结构，推动产业转型升级：</w:t>
                  </w:r>
                </w:p>
                <w:p w14:paraId="721277D5">
                  <w:pPr>
                    <w:pStyle w:val="29"/>
                    <w:bidi w:val="0"/>
                    <w:rPr>
                      <w:rFonts w:hint="default"/>
                      <w:color w:val="auto"/>
                      <w:lang w:val="en-US" w:eastAsia="zh-CN"/>
                    </w:rPr>
                  </w:pPr>
                  <w:r>
                    <w:rPr>
                      <w:rFonts w:hint="default"/>
                      <w:color w:val="auto"/>
                      <w:lang w:val="en-US" w:eastAsia="zh-CN"/>
                    </w:rPr>
                    <w:t>①严控“两高”行业新增产能。修订高耗能、高污染和资源性行业准入条件明确资源能源节约和污染物排放等指标。②加快淘汰落后产能。结合产业发展实际和环境质量状况，进一步提高环保、能耗、安全、质量等标准，分区域明确落后产能淘汰任务，倒逼产业转型升级。③压缩过剩产能。加大环保、能耗、安全执法处罚力度，建立以节能环保标准促进“两高”行业过剩产能退出的机制。制定财政、土地、金融等扶持政策支持产能过剩“两高”行业企业退出、转型发展。严禁核准产能严重过剩行业新增产能项目。④坚决停建产能严重过剩行业违规在建项目。认真清理产能严重过剩行业违规在建项目，对未批先建、边批边建、越权核准的违规项目尚未开工建设的，不准开工；正在建设的，要停止建设。地方人民政府要加强组织领导和监督检查坚决遏制产能严重过剩行业盲目扩张。</w:t>
                  </w:r>
                </w:p>
              </w:tc>
              <w:tc>
                <w:tcPr>
                  <w:tcW w:w="1861" w:type="pct"/>
                  <w:shd w:val="clear" w:color="auto" w:fill="auto"/>
                  <w:vAlign w:val="center"/>
                </w:tcPr>
                <w:p w14:paraId="363634A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本项目为</w:t>
                  </w:r>
                  <w:r>
                    <w:rPr>
                      <w:rFonts w:hint="eastAsia"/>
                      <w:color w:val="auto"/>
                      <w:lang w:val="en-US" w:eastAsia="zh-CN"/>
                    </w:rPr>
                    <w:t>啤酒生产</w:t>
                  </w:r>
                  <w:r>
                    <w:rPr>
                      <w:rFonts w:hint="default"/>
                      <w:color w:val="auto"/>
                      <w:lang w:val="en-US" w:eastAsia="zh-CN"/>
                    </w:rPr>
                    <w:t>项目，不属于《产业结构调整指导目录（</w:t>
                  </w:r>
                  <w:r>
                    <w:rPr>
                      <w:rFonts w:hint="eastAsia"/>
                      <w:color w:val="auto"/>
                      <w:lang w:val="en-US" w:eastAsia="zh-CN"/>
                    </w:rPr>
                    <w:t>2024</w:t>
                  </w:r>
                  <w:r>
                    <w:rPr>
                      <w:rFonts w:hint="default"/>
                      <w:color w:val="auto"/>
                      <w:lang w:val="en-US" w:eastAsia="zh-CN"/>
                    </w:rPr>
                    <w:t>年本）》中淘汰类、限制类、鼓励类项目，根据国务院《促进产业结构调整暂行规定》（国发</w:t>
                  </w:r>
                  <w:r>
                    <w:rPr>
                      <w:rFonts w:hint="eastAsia"/>
                      <w:color w:val="auto"/>
                      <w:lang w:val="en-US" w:eastAsia="zh-CN"/>
                    </w:rPr>
                    <w:t>〔</w:t>
                  </w:r>
                  <w:r>
                    <w:rPr>
                      <w:rFonts w:hint="default"/>
                      <w:color w:val="auto"/>
                      <w:lang w:val="en-US" w:eastAsia="zh-CN"/>
                    </w:rPr>
                    <w:t>2005</w:t>
                  </w:r>
                  <w:r>
                    <w:rPr>
                      <w:rFonts w:hint="eastAsia"/>
                      <w:color w:val="auto"/>
                      <w:lang w:val="en-US" w:eastAsia="zh-CN"/>
                    </w:rPr>
                    <w:t>〕</w:t>
                  </w:r>
                  <w:r>
                    <w:rPr>
                      <w:rFonts w:hint="default"/>
                      <w:color w:val="auto"/>
                      <w:lang w:val="en-US" w:eastAsia="zh-CN"/>
                    </w:rPr>
                    <w:t>40号）第十三条“不属于鼓励类、限制类及淘汰类，且符合国家有关法律、法规和政策规定的，为允许类”。项目不属于落后、过剩产能项目，不属于高能耗、高排放项目。</w:t>
                  </w:r>
                </w:p>
              </w:tc>
              <w:tc>
                <w:tcPr>
                  <w:tcW w:w="327" w:type="pct"/>
                  <w:vAlign w:val="center"/>
                </w:tcPr>
                <w:p w14:paraId="6CF8EF95">
                  <w:pPr>
                    <w:pStyle w:val="29"/>
                    <w:bidi w:val="0"/>
                    <w:rPr>
                      <w:rFonts w:hint="default"/>
                      <w:color w:val="auto"/>
                      <w:lang w:val="en-US" w:eastAsia="zh-CN"/>
                    </w:rPr>
                  </w:pPr>
                  <w:r>
                    <w:rPr>
                      <w:rFonts w:hint="eastAsia"/>
                      <w:color w:val="auto"/>
                      <w:lang w:val="en-US" w:eastAsia="zh-CN"/>
                    </w:rPr>
                    <w:t>符合</w:t>
                  </w:r>
                </w:p>
              </w:tc>
            </w:tr>
            <w:tr w14:paraId="27848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vAlign w:val="center"/>
                </w:tcPr>
                <w:p w14:paraId="366581FD">
                  <w:pPr>
                    <w:pStyle w:val="29"/>
                    <w:bidi w:val="0"/>
                    <w:rPr>
                      <w:rFonts w:hint="default"/>
                      <w:color w:val="auto"/>
                      <w:lang w:val="en-US" w:eastAsia="zh-CN"/>
                    </w:rPr>
                  </w:pPr>
                  <w:r>
                    <w:rPr>
                      <w:rFonts w:hint="eastAsia"/>
                      <w:color w:val="auto"/>
                      <w:lang w:val="en-US" w:eastAsia="zh-CN"/>
                    </w:rPr>
                    <w:t>备注：其他与项目无关项未列入</w:t>
                  </w:r>
                </w:p>
              </w:tc>
            </w:tr>
          </w:tbl>
          <w:p w14:paraId="58D6C5BF">
            <w:pPr>
              <w:bidi w:val="0"/>
              <w:rPr>
                <w:rFonts w:hint="eastAsia"/>
                <w:color w:val="auto"/>
                <w:lang w:val="en-US" w:eastAsia="zh-CN"/>
              </w:rPr>
            </w:pPr>
            <w:r>
              <w:rPr>
                <w:rFonts w:hint="eastAsia"/>
                <w:color w:val="auto"/>
                <w:lang w:val="en-US" w:eastAsia="zh-CN"/>
              </w:rPr>
              <w:t>综上，项目建设符合《大气污染防治行动计划》的相关要求。</w:t>
            </w:r>
          </w:p>
          <w:p w14:paraId="0BCE98D7">
            <w:pPr>
              <w:ind w:firstLine="482"/>
              <w:rPr>
                <w:rFonts w:hint="eastAsia"/>
                <w:b/>
                <w:bCs/>
                <w:color w:val="auto"/>
              </w:rPr>
            </w:pPr>
            <w:r>
              <w:rPr>
                <w:rFonts w:hint="eastAsia"/>
                <w:b/>
                <w:bCs/>
                <w:color w:val="auto"/>
                <w:lang w:val="en-US" w:eastAsia="zh-CN"/>
              </w:rPr>
              <w:t>7</w:t>
            </w:r>
            <w:r>
              <w:rPr>
                <w:rFonts w:hint="eastAsia"/>
                <w:b/>
                <w:bCs/>
                <w:color w:val="auto"/>
              </w:rPr>
              <w:t>、与《玉溪市大气污染防治行动实施方案》相关符合性分析</w:t>
            </w:r>
          </w:p>
          <w:p w14:paraId="71F10CC5">
            <w:pPr>
              <w:pStyle w:val="30"/>
              <w:rPr>
                <w:rFonts w:hint="default"/>
                <w:color w:val="auto"/>
              </w:rPr>
            </w:pPr>
            <w:r>
              <w:rPr>
                <w:rFonts w:hint="default"/>
                <w:color w:val="auto"/>
              </w:rPr>
              <w:t>表1-</w:t>
            </w:r>
            <w:r>
              <w:rPr>
                <w:rFonts w:hint="eastAsia"/>
                <w:color w:val="auto"/>
                <w:lang w:val="en-US" w:eastAsia="zh-CN"/>
              </w:rPr>
              <w:t>9</w:t>
            </w:r>
            <w:r>
              <w:rPr>
                <w:rFonts w:hint="default"/>
                <w:color w:val="auto"/>
              </w:rPr>
              <w:t xml:space="preserve"> 项目与《玉溪市大气污染防治行动实施方案》相关符合性分析表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0"/>
              <w:gridCol w:w="4179"/>
              <w:gridCol w:w="3184"/>
              <w:gridCol w:w="567"/>
            </w:tblGrid>
            <w:tr w14:paraId="6682A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3929BEC1">
                  <w:pPr>
                    <w:pStyle w:val="29"/>
                    <w:rPr>
                      <w:rFonts w:hint="eastAsia" w:eastAsia="宋体"/>
                      <w:color w:val="auto"/>
                      <w:lang w:eastAsia="zh-CN"/>
                    </w:rPr>
                  </w:pPr>
                  <w:r>
                    <w:rPr>
                      <w:rFonts w:hint="eastAsia"/>
                      <w:color w:val="auto"/>
                      <w:lang w:eastAsia="zh-CN"/>
                    </w:rPr>
                    <w:t>序号</w:t>
                  </w:r>
                </w:p>
              </w:tc>
              <w:tc>
                <w:tcPr>
                  <w:tcW w:w="2447" w:type="pct"/>
                  <w:vAlign w:val="center"/>
                </w:tcPr>
                <w:p w14:paraId="1BD4D1F5">
                  <w:pPr>
                    <w:pStyle w:val="29"/>
                    <w:rPr>
                      <w:rFonts w:hint="eastAsia" w:eastAsia="宋体"/>
                      <w:color w:val="auto"/>
                      <w:lang w:eastAsia="zh-CN"/>
                    </w:rPr>
                  </w:pPr>
                  <w:r>
                    <w:rPr>
                      <w:rFonts w:hint="eastAsia"/>
                      <w:color w:val="auto"/>
                      <w:lang w:eastAsia="zh-CN"/>
                    </w:rPr>
                    <w:t>内容</w:t>
                  </w:r>
                </w:p>
              </w:tc>
              <w:tc>
                <w:tcPr>
                  <w:tcW w:w="1864" w:type="pct"/>
                  <w:vAlign w:val="center"/>
                </w:tcPr>
                <w:p w14:paraId="715BFF05">
                  <w:pPr>
                    <w:pStyle w:val="29"/>
                    <w:rPr>
                      <w:rFonts w:hint="default"/>
                      <w:color w:val="auto"/>
                    </w:rPr>
                  </w:pPr>
                  <w:r>
                    <w:rPr>
                      <w:color w:val="auto"/>
                    </w:rPr>
                    <w:t>项目情况</w:t>
                  </w:r>
                </w:p>
              </w:tc>
              <w:tc>
                <w:tcPr>
                  <w:tcW w:w="330" w:type="pct"/>
                  <w:vAlign w:val="center"/>
                </w:tcPr>
                <w:p w14:paraId="4767DDA0">
                  <w:pPr>
                    <w:pStyle w:val="29"/>
                    <w:rPr>
                      <w:rFonts w:hint="default"/>
                      <w:color w:val="auto"/>
                    </w:rPr>
                  </w:pPr>
                  <w:r>
                    <w:rPr>
                      <w:color w:val="auto"/>
                    </w:rPr>
                    <w:t>符合性</w:t>
                  </w:r>
                </w:p>
              </w:tc>
            </w:tr>
            <w:tr w14:paraId="67CC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2F7D7044">
                  <w:pPr>
                    <w:pStyle w:val="29"/>
                    <w:rPr>
                      <w:rFonts w:hint="eastAsia" w:eastAsia="宋体"/>
                      <w:color w:val="auto"/>
                      <w:lang w:val="en-US" w:eastAsia="zh-CN"/>
                    </w:rPr>
                  </w:pPr>
                  <w:r>
                    <w:rPr>
                      <w:rFonts w:hint="eastAsia"/>
                      <w:color w:val="auto"/>
                      <w:lang w:val="en-US" w:eastAsia="zh-CN"/>
                    </w:rPr>
                    <w:t>1</w:t>
                  </w:r>
                </w:p>
              </w:tc>
              <w:tc>
                <w:tcPr>
                  <w:tcW w:w="2447" w:type="pct"/>
                  <w:vAlign w:val="center"/>
                </w:tcPr>
                <w:p w14:paraId="66B7E603">
                  <w:pPr>
                    <w:pStyle w:val="29"/>
                    <w:jc w:val="left"/>
                    <w:rPr>
                      <w:rFonts w:hint="default"/>
                      <w:color w:val="auto"/>
                    </w:rPr>
                  </w:pPr>
                  <w:r>
                    <w:rPr>
                      <w:rFonts w:hint="default"/>
                      <w:color w:val="auto"/>
                    </w:rPr>
                    <w:t>（二）严格节能环保准入。提高高污染、高耗能行业准入门槛，进一步强化节能、环保指标约束，严控高污染、高耗能行业新增产能。对新增用能项目，要实施严格的节能评估审查和环境影响评价制度。把二氧化硫、氮氧化物、烟粉尘和挥发性有机物排放是否符合总量控制要求，作为建设项目环境影响评价审批的主要因素予以审查。未通过能评和环评审查的建设项目，有关部门不得审批、核准、备案。积极发展绿色建筑，新建建筑要严格执行强制性节能标准，大力推广使用太阳能热水系统和光伏建筑一体化等技术和装备。</w:t>
                  </w:r>
                </w:p>
              </w:tc>
              <w:tc>
                <w:tcPr>
                  <w:tcW w:w="1864" w:type="pct"/>
                  <w:shd w:val="clear" w:color="auto" w:fill="auto"/>
                  <w:vAlign w:val="center"/>
                </w:tcPr>
                <w:p w14:paraId="0BCDCBD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本项目为</w:t>
                  </w:r>
                  <w:r>
                    <w:rPr>
                      <w:rFonts w:hint="eastAsia"/>
                      <w:color w:val="auto"/>
                      <w:lang w:eastAsia="zh-CN"/>
                    </w:rPr>
                    <w:t>啤酒生产</w:t>
                  </w:r>
                  <w:r>
                    <w:rPr>
                      <w:rFonts w:hint="default"/>
                      <w:color w:val="auto"/>
                    </w:rPr>
                    <w:t>项目，不属于高污染、高耗能行业。</w:t>
                  </w:r>
                  <w:r>
                    <w:rPr>
                      <w:rFonts w:hint="default"/>
                      <w:color w:val="auto"/>
                      <w:lang w:val="en-US" w:eastAsia="zh-CN"/>
                    </w:rPr>
                    <w:t>运营期产生的</w:t>
                  </w:r>
                  <w:r>
                    <w:rPr>
                      <w:rFonts w:hint="eastAsia"/>
                      <w:color w:val="auto"/>
                      <w:lang w:val="en-US" w:eastAsia="zh-CN"/>
                    </w:rPr>
                    <w:t>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olor w:val="auto"/>
                      <w:lang w:val="en-US" w:eastAsia="zh-CN"/>
                    </w:rPr>
                    <w:fldChar w:fldCharType="begin"/>
                  </w:r>
                  <w:r>
                    <w:rPr>
                      <w:rFonts w:hint="eastAsia"/>
                      <w:color w:val="auto"/>
                      <w:lang w:val="en-US" w:eastAsia="zh-CN"/>
                    </w:rPr>
                    <w:instrText xml:space="preserve"> = 6 \* GB3 \* MERGEFORMAT </w:instrText>
                  </w:r>
                  <w:r>
                    <w:rPr>
                      <w:rFonts w:hint="eastAsia"/>
                      <w:color w:val="auto"/>
                      <w:lang w:val="en-US" w:eastAsia="zh-CN"/>
                    </w:rPr>
                    <w:fldChar w:fldCharType="separate"/>
                  </w:r>
                  <w:r>
                    <w:rPr>
                      <w:rFonts w:hint="eastAsia"/>
                      <w:color w:val="auto"/>
                      <w:lang w:val="en-US" w:eastAsia="zh-CN"/>
                    </w:rPr>
                    <w:t>⑥</w:t>
                  </w:r>
                  <w:r>
                    <w:rPr>
                      <w:rFonts w:hint="eastAsia"/>
                      <w:color w:val="auto"/>
                      <w:lang w:val="en-US" w:eastAsia="zh-CN"/>
                    </w:rPr>
                    <w:fldChar w:fldCharType="end"/>
                  </w:r>
                  <w:r>
                    <w:rPr>
                      <w:rFonts w:hint="eastAsia"/>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w:t>
                  </w:r>
                  <w:r>
                    <w:rPr>
                      <w:rFonts w:hint="default"/>
                      <w:color w:val="auto"/>
                      <w:lang w:val="en-US" w:eastAsia="zh-CN"/>
                    </w:rPr>
                    <w:t>。通过采取以上措施后，本项目废气均可达标排放</w:t>
                  </w:r>
                  <w:r>
                    <w:rPr>
                      <w:rFonts w:hint="default"/>
                      <w:color w:val="auto"/>
                    </w:rPr>
                    <w:t>，对大气环境的影响较小，符合总量控制要求。</w:t>
                  </w:r>
                </w:p>
              </w:tc>
              <w:tc>
                <w:tcPr>
                  <w:tcW w:w="330" w:type="pct"/>
                  <w:vAlign w:val="center"/>
                </w:tcPr>
                <w:p w14:paraId="29F5246B">
                  <w:pPr>
                    <w:pStyle w:val="29"/>
                    <w:rPr>
                      <w:rFonts w:hint="default"/>
                      <w:color w:val="auto"/>
                    </w:rPr>
                  </w:pPr>
                  <w:r>
                    <w:rPr>
                      <w:color w:val="auto"/>
                    </w:rPr>
                    <w:t>符合</w:t>
                  </w:r>
                </w:p>
              </w:tc>
            </w:tr>
            <w:tr w14:paraId="66CF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5C4E16E9">
                  <w:pPr>
                    <w:pStyle w:val="29"/>
                    <w:rPr>
                      <w:rFonts w:hint="default" w:eastAsia="宋体"/>
                      <w:color w:val="auto"/>
                      <w:lang w:val="en-US" w:eastAsia="zh-CN"/>
                    </w:rPr>
                  </w:pPr>
                  <w:r>
                    <w:rPr>
                      <w:rFonts w:hint="eastAsia"/>
                      <w:color w:val="auto"/>
                      <w:lang w:val="en-US" w:eastAsia="zh-CN"/>
                    </w:rPr>
                    <w:t>2</w:t>
                  </w:r>
                </w:p>
              </w:tc>
              <w:tc>
                <w:tcPr>
                  <w:tcW w:w="2447" w:type="pct"/>
                  <w:vAlign w:val="center"/>
                </w:tcPr>
                <w:p w14:paraId="2B3D6822">
                  <w:pPr>
                    <w:pStyle w:val="29"/>
                    <w:jc w:val="left"/>
                    <w:rPr>
                      <w:rFonts w:hint="default"/>
                      <w:color w:val="auto"/>
                    </w:rPr>
                  </w:pPr>
                  <w:r>
                    <w:rPr>
                      <w:rFonts w:hint="default"/>
                      <w:color w:val="auto"/>
                    </w:rPr>
                    <w:t>（四）加快清洁能源替代利用。优化调整能源结构，加大清洁能源推广使用力度。在做好生态保护和移民安置的基础上，积极推进水电开发，统筹协调中小水电发展，规范有序发展风电。积极开发以生物柴油、生物质固体成型燃料为主的生物质能，稳妥推进太阳能发电，加快推进太阳能多元化利用。加快建设和完善天然气管网及配套设施，不断扩大天然气利用规模。认真落实《玉溪市人民政府办公室关于印发玉溪市中心城区天然气利用发展三年行动计划的通知》（玉政办发〔2014〕113号），从2014年起，用3年左右的时间，全力推进中心城区天然气利用普及工作。各县区应逐步建设和完善天然气管网及配套设施，加快清洁能源替代，优化调整能源结构。</w:t>
                  </w:r>
                </w:p>
              </w:tc>
              <w:tc>
                <w:tcPr>
                  <w:tcW w:w="1864" w:type="pct"/>
                  <w:shd w:val="clear" w:color="auto" w:fill="auto"/>
                  <w:vAlign w:val="center"/>
                </w:tcPr>
                <w:p w14:paraId="3D45904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rPr>
                    <w:t>项目</w:t>
                  </w:r>
                  <w:r>
                    <w:rPr>
                      <w:rFonts w:hint="eastAsia"/>
                      <w:color w:val="auto"/>
                      <w:lang w:eastAsia="zh-CN"/>
                    </w:rPr>
                    <w:t>生产</w:t>
                  </w:r>
                  <w:r>
                    <w:rPr>
                      <w:rFonts w:hint="default"/>
                      <w:color w:val="auto"/>
                    </w:rPr>
                    <w:t>使用电能</w:t>
                  </w:r>
                  <w:r>
                    <w:rPr>
                      <w:rFonts w:hint="eastAsia"/>
                      <w:color w:val="auto"/>
                      <w:lang w:val="en-US" w:eastAsia="zh-CN"/>
                    </w:rPr>
                    <w:t>和天然气</w:t>
                  </w:r>
                  <w:r>
                    <w:rPr>
                      <w:rFonts w:hint="default"/>
                      <w:color w:val="auto"/>
                    </w:rPr>
                    <w:t>，为清洁能源，符合其要求。</w:t>
                  </w:r>
                </w:p>
              </w:tc>
              <w:tc>
                <w:tcPr>
                  <w:tcW w:w="330" w:type="pct"/>
                  <w:vAlign w:val="center"/>
                </w:tcPr>
                <w:p w14:paraId="0E95AC61">
                  <w:pPr>
                    <w:pStyle w:val="29"/>
                    <w:bidi w:val="0"/>
                    <w:rPr>
                      <w:rFonts w:hint="default"/>
                      <w:color w:val="auto"/>
                    </w:rPr>
                  </w:pPr>
                  <w:r>
                    <w:rPr>
                      <w:color w:val="auto"/>
                    </w:rPr>
                    <w:t>符合</w:t>
                  </w:r>
                </w:p>
              </w:tc>
            </w:tr>
            <w:tr w14:paraId="3ABC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17981369">
                  <w:pPr>
                    <w:pStyle w:val="29"/>
                    <w:rPr>
                      <w:rFonts w:hint="eastAsia" w:eastAsia="宋体"/>
                      <w:color w:val="auto"/>
                      <w:lang w:val="en-US" w:eastAsia="zh-CN"/>
                    </w:rPr>
                  </w:pPr>
                  <w:r>
                    <w:rPr>
                      <w:rFonts w:hint="eastAsia"/>
                      <w:color w:val="auto"/>
                      <w:lang w:val="en-US" w:eastAsia="zh-CN"/>
                    </w:rPr>
                    <w:t>3</w:t>
                  </w:r>
                </w:p>
              </w:tc>
              <w:tc>
                <w:tcPr>
                  <w:tcW w:w="2447" w:type="pct"/>
                  <w:vAlign w:val="center"/>
                </w:tcPr>
                <w:p w14:paraId="621DF7A3">
                  <w:pPr>
                    <w:pStyle w:val="29"/>
                    <w:jc w:val="left"/>
                    <w:rPr>
                      <w:rFonts w:hint="default"/>
                      <w:color w:val="auto"/>
                    </w:rPr>
                  </w:pPr>
                  <w:r>
                    <w:rPr>
                      <w:rFonts w:hint="default"/>
                      <w:color w:val="auto"/>
                    </w:rPr>
                    <w:t>（五）转变生产、生活方式，逐步取缔高污染燃料。各县区政府所在地建成区全面禁止烧煤、烧柴，取缔燃煤锅炉、炉灶，推广使用天然气、液化石油气、电力、生物燃料等清洁能源。中心城区及各县县城所在地建成区在2016年底前制定并实施高污染燃料禁燃区管理规定。提高煤炭洗选比例，鼓励建设群矿型和矿区选煤厂，大力发展煤炭洗选加工技术，现有煤矿要加快结构调整和升级改造。发展洁净煤技术，实现煤炭高效洁净燃烧，新建高耗能项目单位产品（产值）能耗要达到国内先进水平。逐步淘汰各县区燃煤锅炉，到2017年底基本淘汰中心城区建成区内每小时10蒸吨及以下燃煤锅炉；原则上不再新建、改建、扩建燃煤锅炉，禁止新建每小时20蒸吨以下燃煤锅炉。其他具备天然气供应和使用条件的地区，不再新建每小时10蒸吨以下燃煤锅炉。2017年底前，县区政府所在地建成区全面禁止使用燃煤锅炉。产业聚集区要集中建设热电联产机组或大型集中供热设施，逐步淘汰分散燃煤锅炉。天然气干、支线可以覆盖的地区原则上不再审批以煤（油）作为燃料的新建、改建、扩建项目。</w:t>
                  </w:r>
                </w:p>
              </w:tc>
              <w:tc>
                <w:tcPr>
                  <w:tcW w:w="1864" w:type="pct"/>
                  <w:shd w:val="clear" w:color="auto" w:fill="auto"/>
                  <w:vAlign w:val="center"/>
                </w:tcPr>
                <w:p w14:paraId="0426281C">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本项目</w:t>
                  </w:r>
                  <w:r>
                    <w:rPr>
                      <w:rFonts w:hint="default"/>
                      <w:color w:val="auto"/>
                    </w:rPr>
                    <w:t>不涉及燃煤锅炉</w:t>
                  </w:r>
                  <w:r>
                    <w:rPr>
                      <w:rFonts w:hint="eastAsia"/>
                      <w:color w:val="auto"/>
                      <w:lang w:eastAsia="zh-CN"/>
                    </w:rPr>
                    <w:t>。</w:t>
                  </w:r>
                </w:p>
              </w:tc>
              <w:tc>
                <w:tcPr>
                  <w:tcW w:w="330" w:type="pct"/>
                  <w:vAlign w:val="center"/>
                </w:tcPr>
                <w:p w14:paraId="37D7013D">
                  <w:pPr>
                    <w:pStyle w:val="29"/>
                    <w:rPr>
                      <w:rFonts w:hint="default"/>
                      <w:color w:val="auto"/>
                    </w:rPr>
                  </w:pPr>
                  <w:r>
                    <w:rPr>
                      <w:color w:val="auto"/>
                    </w:rPr>
                    <w:t>符合</w:t>
                  </w:r>
                </w:p>
              </w:tc>
            </w:tr>
            <w:tr w14:paraId="69FC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7" w:type="pct"/>
                  <w:vAlign w:val="center"/>
                </w:tcPr>
                <w:p w14:paraId="2E746CB7">
                  <w:pPr>
                    <w:pStyle w:val="29"/>
                    <w:rPr>
                      <w:rFonts w:hint="eastAsia" w:eastAsia="宋体"/>
                      <w:color w:val="auto"/>
                      <w:lang w:val="en-US" w:eastAsia="zh-CN"/>
                    </w:rPr>
                  </w:pPr>
                  <w:r>
                    <w:rPr>
                      <w:rFonts w:hint="eastAsia"/>
                      <w:color w:val="auto"/>
                      <w:lang w:val="en-US" w:eastAsia="zh-CN"/>
                    </w:rPr>
                    <w:t>4</w:t>
                  </w:r>
                </w:p>
              </w:tc>
              <w:tc>
                <w:tcPr>
                  <w:tcW w:w="2447" w:type="pct"/>
                  <w:vAlign w:val="center"/>
                </w:tcPr>
                <w:p w14:paraId="0F0CDF3D">
                  <w:pPr>
                    <w:pStyle w:val="29"/>
                    <w:jc w:val="left"/>
                    <w:rPr>
                      <w:rFonts w:hint="default"/>
                      <w:color w:val="auto"/>
                    </w:rPr>
                  </w:pPr>
                  <w:r>
                    <w:rPr>
                      <w:rFonts w:hint="default"/>
                      <w:color w:val="auto"/>
                    </w:rPr>
                    <w:t>（八）深化城市扬尘污染治理。2014年底前，各县区人民政府要制定并完善工程建设工地扬尘管理措施办法，明确部门职责，加强施工扬尘监管，积极推进绿色施工。城市建成区及周边地区的工程建设施工现场应全封闭设置围挡墙、施工围网、防风抑尘网，严禁敞开式作业，施工现场道路应进行地面硬化。渣土运输车辆进出施工工地要进行清洗，运输过程采取密闭措施，并按照指定路线运输，2017年底前基本安装卫星定位系统。县级以上城市要加大城市建成区内洒水等防风抑尘作业力度，推行道路机械化清扫等低尘作业方式；大型煤堆、料堆实现封闭存储或建设防风抑尘设施。</w:t>
                  </w:r>
                </w:p>
              </w:tc>
              <w:tc>
                <w:tcPr>
                  <w:tcW w:w="1864" w:type="pct"/>
                  <w:shd w:val="clear" w:color="auto" w:fill="auto"/>
                  <w:vAlign w:val="center"/>
                </w:tcPr>
                <w:p w14:paraId="769DB04C">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项目</w:t>
                  </w:r>
                  <w:r>
                    <w:rPr>
                      <w:rFonts w:hint="eastAsia"/>
                      <w:color w:val="auto"/>
                      <w:lang w:eastAsia="zh-CN"/>
                    </w:rPr>
                    <w:t>施工现场地面已经硬化，施工工程量小，运输过程采取低速、篷布遮盖，运输道路进行洒水降尘，扬尘产生量较少。</w:t>
                  </w:r>
                </w:p>
              </w:tc>
              <w:tc>
                <w:tcPr>
                  <w:tcW w:w="330" w:type="pct"/>
                  <w:vAlign w:val="center"/>
                </w:tcPr>
                <w:p w14:paraId="37625EBE">
                  <w:pPr>
                    <w:pStyle w:val="29"/>
                    <w:rPr>
                      <w:rFonts w:hint="default"/>
                      <w:color w:val="auto"/>
                    </w:rPr>
                  </w:pPr>
                  <w:r>
                    <w:rPr>
                      <w:color w:val="auto"/>
                    </w:rPr>
                    <w:t>符合</w:t>
                  </w:r>
                </w:p>
              </w:tc>
            </w:tr>
            <w:tr w14:paraId="5F19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6D13F1C4">
                  <w:pPr>
                    <w:pStyle w:val="29"/>
                    <w:rPr>
                      <w:rFonts w:hint="eastAsia" w:eastAsia="宋体"/>
                      <w:color w:val="auto"/>
                      <w:lang w:eastAsia="zh-CN"/>
                    </w:rPr>
                  </w:pPr>
                  <w:r>
                    <w:rPr>
                      <w:rFonts w:hint="eastAsia"/>
                      <w:color w:val="auto"/>
                      <w:lang w:eastAsia="zh-CN"/>
                    </w:rPr>
                    <w:t>备注：其他与项目无关项未列入</w:t>
                  </w:r>
                </w:p>
              </w:tc>
            </w:tr>
          </w:tbl>
          <w:p w14:paraId="6325B2FF">
            <w:pPr>
              <w:ind w:firstLine="482"/>
              <w:rPr>
                <w:rFonts w:hint="eastAsia"/>
                <w:b/>
                <w:bCs/>
                <w:color w:val="auto"/>
                <w:lang w:val="en-US" w:eastAsia="zh-CN"/>
              </w:rPr>
            </w:pPr>
            <w:r>
              <w:rPr>
                <w:rFonts w:hint="eastAsia"/>
                <w:b/>
                <w:bCs/>
                <w:color w:val="auto"/>
                <w:lang w:val="en-US" w:eastAsia="zh-CN"/>
              </w:rPr>
              <w:t>8、与玉溪市人民政府于2023年4月24日印发的《关于深入打好污染防治攻坚战的实施方案》和《中共云南省委、云南省人民政府关于深入打好污染防治攻坚战的实施意见》（云发〔2022〕20号）相符性分析</w:t>
            </w:r>
          </w:p>
          <w:p w14:paraId="567E326E">
            <w:pPr>
              <w:pStyle w:val="30"/>
              <w:bidi w:val="0"/>
              <w:rPr>
                <w:rFonts w:hint="eastAsia"/>
                <w:b/>
                <w:bCs/>
                <w:color w:val="auto"/>
                <w:lang w:val="en-US" w:eastAsia="zh-CN"/>
              </w:rPr>
            </w:pPr>
            <w:r>
              <w:rPr>
                <w:rFonts w:hint="eastAsia"/>
                <w:color w:val="auto"/>
                <w:lang w:val="en-US" w:eastAsia="zh-CN"/>
              </w:rPr>
              <w:t>表1-10  与《关于深入打好污染防治攻坚战的实施方案》符合性分析</w:t>
            </w:r>
          </w:p>
          <w:tbl>
            <w:tblPr>
              <w:tblStyle w:val="2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935"/>
              <w:gridCol w:w="2958"/>
              <w:gridCol w:w="937"/>
            </w:tblGrid>
            <w:tr w14:paraId="7585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480C186F">
                  <w:pPr>
                    <w:pStyle w:val="29"/>
                    <w:bidi w:val="0"/>
                    <w:rPr>
                      <w:rFonts w:hint="default"/>
                      <w:color w:val="auto"/>
                      <w:lang w:val="en-US" w:eastAsia="zh-CN"/>
                    </w:rPr>
                  </w:pPr>
                  <w:r>
                    <w:rPr>
                      <w:rFonts w:hint="default"/>
                      <w:color w:val="auto"/>
                      <w:lang w:val="en-US" w:eastAsia="zh-CN"/>
                    </w:rPr>
                    <w:t>序号</w:t>
                  </w:r>
                </w:p>
              </w:tc>
              <w:tc>
                <w:tcPr>
                  <w:tcW w:w="2306" w:type="pct"/>
                  <w:vAlign w:val="center"/>
                </w:tcPr>
                <w:p w14:paraId="2133F68A">
                  <w:pPr>
                    <w:pStyle w:val="29"/>
                    <w:bidi w:val="0"/>
                    <w:rPr>
                      <w:rFonts w:hint="eastAsia"/>
                      <w:color w:val="auto"/>
                      <w:lang w:val="en-US" w:eastAsia="zh-CN"/>
                    </w:rPr>
                  </w:pPr>
                  <w:r>
                    <w:rPr>
                      <w:rFonts w:hint="eastAsia"/>
                      <w:color w:val="auto"/>
                      <w:lang w:val="en-US" w:eastAsia="zh-CN"/>
                    </w:rPr>
                    <w:t>深入打好蓝天保卫战</w:t>
                  </w:r>
                </w:p>
              </w:tc>
              <w:tc>
                <w:tcPr>
                  <w:tcW w:w="1733" w:type="pct"/>
                  <w:vAlign w:val="center"/>
                </w:tcPr>
                <w:p w14:paraId="4A3BB517">
                  <w:pPr>
                    <w:pStyle w:val="29"/>
                    <w:bidi w:val="0"/>
                    <w:rPr>
                      <w:rFonts w:hint="default"/>
                      <w:color w:val="auto"/>
                      <w:lang w:val="en-US" w:eastAsia="zh-CN"/>
                    </w:rPr>
                  </w:pPr>
                  <w:r>
                    <w:rPr>
                      <w:rFonts w:hint="eastAsia"/>
                      <w:color w:val="auto"/>
                      <w:lang w:val="en-US" w:eastAsia="zh-CN"/>
                    </w:rPr>
                    <w:t>项目情况</w:t>
                  </w:r>
                </w:p>
              </w:tc>
              <w:tc>
                <w:tcPr>
                  <w:tcW w:w="547" w:type="pct"/>
                  <w:vAlign w:val="center"/>
                </w:tcPr>
                <w:p w14:paraId="12388C73">
                  <w:pPr>
                    <w:pStyle w:val="29"/>
                    <w:bidi w:val="0"/>
                    <w:rPr>
                      <w:rFonts w:hint="default"/>
                      <w:color w:val="auto"/>
                      <w:lang w:val="en-US" w:eastAsia="zh-CN"/>
                    </w:rPr>
                  </w:pPr>
                  <w:r>
                    <w:rPr>
                      <w:rFonts w:hint="eastAsia"/>
                      <w:color w:val="auto"/>
                      <w:lang w:val="en-US" w:eastAsia="zh-CN"/>
                    </w:rPr>
                    <w:t>符合性</w:t>
                  </w:r>
                </w:p>
              </w:tc>
            </w:tr>
            <w:tr w14:paraId="6004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316FB2AC">
                  <w:pPr>
                    <w:pStyle w:val="29"/>
                    <w:bidi w:val="0"/>
                    <w:rPr>
                      <w:rFonts w:hint="default"/>
                      <w:color w:val="auto"/>
                      <w:lang w:val="en-US" w:eastAsia="zh-CN"/>
                    </w:rPr>
                  </w:pPr>
                  <w:r>
                    <w:rPr>
                      <w:rFonts w:hint="eastAsia"/>
                      <w:color w:val="auto"/>
                      <w:lang w:val="en-US" w:eastAsia="zh-CN"/>
                    </w:rPr>
                    <w:t>1</w:t>
                  </w:r>
                </w:p>
              </w:tc>
              <w:tc>
                <w:tcPr>
                  <w:tcW w:w="2306" w:type="pct"/>
                  <w:vAlign w:val="center"/>
                </w:tcPr>
                <w:p w14:paraId="54A6A084">
                  <w:pPr>
                    <w:pStyle w:val="29"/>
                    <w:bidi w:val="0"/>
                    <w:jc w:val="left"/>
                    <w:rPr>
                      <w:rFonts w:hint="default"/>
                      <w:color w:val="auto"/>
                      <w:lang w:val="en-US" w:eastAsia="zh-CN"/>
                    </w:rPr>
                  </w:pPr>
                  <w:r>
                    <w:rPr>
                      <w:rFonts w:hint="default"/>
                      <w:color w:val="auto"/>
                      <w:lang w:val="en-US" w:eastAsia="zh-CN"/>
                    </w:rPr>
                    <w:t>持续打好柴油货车污染治理攻坚战。深入开展清洁柴油车（机）行动，基本淘汰国三及以下排放标准汽车。加大清洁能源汽车推广力度，推动氢燃料电池汽车示范应用。以大宗货物运输“公转铁”、“公转水”为重点推进运输结构调整。</w:t>
                  </w:r>
                </w:p>
              </w:tc>
              <w:tc>
                <w:tcPr>
                  <w:tcW w:w="1733" w:type="pct"/>
                  <w:shd w:val="clear" w:color="auto" w:fill="auto"/>
                  <w:vAlign w:val="center"/>
                </w:tcPr>
                <w:p w14:paraId="39C2DED1">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本项目物料运输均采用新能源汽车或达到国家排放的汽车进行运输，且运输过程采用防尘网进行遮盖。</w:t>
                  </w:r>
                </w:p>
              </w:tc>
              <w:tc>
                <w:tcPr>
                  <w:tcW w:w="547" w:type="pct"/>
                  <w:vAlign w:val="center"/>
                </w:tcPr>
                <w:p w14:paraId="26443176">
                  <w:pPr>
                    <w:pStyle w:val="29"/>
                    <w:bidi w:val="0"/>
                    <w:rPr>
                      <w:rFonts w:hint="default"/>
                      <w:color w:val="auto"/>
                      <w:lang w:val="en-US" w:eastAsia="zh-CN"/>
                    </w:rPr>
                  </w:pPr>
                  <w:r>
                    <w:rPr>
                      <w:rFonts w:hint="eastAsia"/>
                      <w:color w:val="auto"/>
                      <w:lang w:val="en-US" w:eastAsia="zh-CN"/>
                    </w:rPr>
                    <w:t>符合</w:t>
                  </w:r>
                </w:p>
              </w:tc>
            </w:tr>
            <w:tr w14:paraId="6D11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1FCE6D00">
                  <w:pPr>
                    <w:pStyle w:val="29"/>
                    <w:bidi w:val="0"/>
                    <w:rPr>
                      <w:rFonts w:hint="default"/>
                      <w:color w:val="auto"/>
                      <w:lang w:val="en-US" w:eastAsia="zh-CN"/>
                    </w:rPr>
                  </w:pPr>
                  <w:r>
                    <w:rPr>
                      <w:rFonts w:hint="eastAsia"/>
                      <w:color w:val="auto"/>
                      <w:lang w:val="en-US" w:eastAsia="zh-CN"/>
                    </w:rPr>
                    <w:t>2</w:t>
                  </w:r>
                </w:p>
              </w:tc>
              <w:tc>
                <w:tcPr>
                  <w:tcW w:w="2306" w:type="pct"/>
                  <w:vAlign w:val="center"/>
                </w:tcPr>
                <w:p w14:paraId="7DE3A405">
                  <w:pPr>
                    <w:pStyle w:val="29"/>
                    <w:bidi w:val="0"/>
                    <w:jc w:val="left"/>
                    <w:rPr>
                      <w:rFonts w:hint="default"/>
                      <w:color w:val="auto"/>
                      <w:lang w:val="en-US" w:eastAsia="zh-CN"/>
                    </w:rPr>
                  </w:pPr>
                  <w:r>
                    <w:rPr>
                      <w:rFonts w:hint="default"/>
                      <w:color w:val="auto"/>
                      <w:lang w:val="en-US" w:eastAsia="zh-CN"/>
                    </w:rPr>
                    <w:t>深入打好建筑施工工地扬尘污染治理攻坚战。全面推行绿色施工，落实施工工地“六个百分之百”工作要求，推动扬尘精细化管控。加强建筑渣土运输管理，严格落实密闭运输措施。强化施工、道路、堆场、裸露地面等扬尘管控。</w:t>
                  </w:r>
                </w:p>
              </w:tc>
              <w:tc>
                <w:tcPr>
                  <w:tcW w:w="1733" w:type="pct"/>
                  <w:shd w:val="clear" w:color="auto" w:fill="auto"/>
                  <w:vAlign w:val="center"/>
                </w:tcPr>
                <w:p w14:paraId="30DB09D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项目施工现场地面已经硬化，施工工程量小，运输过程采取低速、篷布遮盖，运输道路进行洒水降尘，扬尘产生量较少，施工作业过程中采用洒水车等方式来减少扬尘污染。</w:t>
                  </w:r>
                </w:p>
              </w:tc>
              <w:tc>
                <w:tcPr>
                  <w:tcW w:w="547" w:type="pct"/>
                  <w:vAlign w:val="center"/>
                </w:tcPr>
                <w:p w14:paraId="4BB3622F">
                  <w:pPr>
                    <w:pStyle w:val="29"/>
                    <w:bidi w:val="0"/>
                    <w:rPr>
                      <w:rFonts w:hint="default"/>
                      <w:color w:val="auto"/>
                      <w:lang w:val="en-US" w:eastAsia="zh-CN"/>
                    </w:rPr>
                  </w:pPr>
                  <w:r>
                    <w:rPr>
                      <w:rFonts w:hint="eastAsia"/>
                      <w:color w:val="auto"/>
                      <w:lang w:val="en-US" w:eastAsia="zh-CN"/>
                    </w:rPr>
                    <w:t>符合</w:t>
                  </w:r>
                </w:p>
              </w:tc>
            </w:tr>
            <w:tr w14:paraId="3254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106F602F">
                  <w:pPr>
                    <w:pStyle w:val="29"/>
                    <w:bidi w:val="0"/>
                    <w:rPr>
                      <w:rFonts w:hint="default"/>
                      <w:color w:val="auto"/>
                      <w:lang w:val="en-US" w:eastAsia="zh-CN"/>
                    </w:rPr>
                  </w:pPr>
                  <w:r>
                    <w:rPr>
                      <w:rFonts w:hint="eastAsia"/>
                      <w:color w:val="auto"/>
                      <w:lang w:val="en-US" w:eastAsia="zh-CN"/>
                    </w:rPr>
                    <w:t>3</w:t>
                  </w:r>
                </w:p>
              </w:tc>
              <w:tc>
                <w:tcPr>
                  <w:tcW w:w="2306" w:type="pct"/>
                  <w:vAlign w:val="center"/>
                </w:tcPr>
                <w:p w14:paraId="369CECE7">
                  <w:pPr>
                    <w:pStyle w:val="29"/>
                    <w:bidi w:val="0"/>
                    <w:rPr>
                      <w:rFonts w:hint="default"/>
                      <w:color w:val="auto"/>
                      <w:lang w:val="en-US" w:eastAsia="zh-CN"/>
                    </w:rPr>
                  </w:pPr>
                  <w:r>
                    <w:rPr>
                      <w:rFonts w:hint="default"/>
                      <w:color w:val="auto"/>
                      <w:lang w:val="en-US" w:eastAsia="zh-CN"/>
                    </w:rPr>
                    <w:t>推进挥发性有机物和氮氧化物协同治理。安全高效推进挥发性有机物综合治理，实施原辅材料和产品源头替代工程。推进氮氧化物排放深度治理，完成钢铁企业超低排放改造，实施煤电、水泥、焦化企业超低排放改造。</w:t>
                  </w:r>
                </w:p>
              </w:tc>
              <w:tc>
                <w:tcPr>
                  <w:tcW w:w="1733" w:type="pct"/>
                  <w:vMerge w:val="restart"/>
                  <w:shd w:val="clear" w:color="auto" w:fill="auto"/>
                  <w:vAlign w:val="center"/>
                </w:tcPr>
                <w:p w14:paraId="0FD4BF23">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运营期产生的燃烧废气通过采用低氮燃烧技术脱氮后经锅炉上密封管道进行收集后由引风机引入高度为18m（内径0.3m）的1根烟囱排放（排放口编号DA001）；麦芽破碎粉尘经集气罩收集后通过引风机引入布袋除尘器处理后通过一根高20m的排气筒（DA002）排放。项目无组织排放源主要为发酵废气、固废暂存废气、污水处理恶臭、车辆运输扬尘，为降低无组织废气排放量，项目做出以下管理要求：①发酵废气：车间阻隔，自然扩散；②固废暂存废气：密封桶暂存，定期喷洒除臭剂，对环境空气影响较小；③污水处理恶臭：加强对污水处理站的维护保养，定期喷洒除臭剂；④车辆运输扬尘：厂区道路硬化、路面遗撒及时清扫，运输车辆进行遮盖并采用洒水车进行降尘；⑤未捕集粉尘：粉碎间全封闭，自然沉降；</w:t>
                  </w:r>
                  <w:r>
                    <w:rPr>
                      <w:rFonts w:hint="eastAsia"/>
                      <w:color w:val="auto"/>
                      <w:lang w:val="en-US" w:eastAsia="zh-CN"/>
                    </w:rPr>
                    <w:fldChar w:fldCharType="begin"/>
                  </w:r>
                  <w:r>
                    <w:rPr>
                      <w:rFonts w:hint="eastAsia"/>
                      <w:color w:val="auto"/>
                      <w:lang w:val="en-US" w:eastAsia="zh-CN"/>
                    </w:rPr>
                    <w:instrText xml:space="preserve"> = 6 \* GB3 \* MERGEFORMAT </w:instrText>
                  </w:r>
                  <w:r>
                    <w:rPr>
                      <w:rFonts w:hint="eastAsia"/>
                      <w:color w:val="auto"/>
                      <w:lang w:val="en-US" w:eastAsia="zh-CN"/>
                    </w:rPr>
                    <w:fldChar w:fldCharType="separate"/>
                  </w:r>
                  <w:r>
                    <w:rPr>
                      <w:color w:val="auto"/>
                    </w:rPr>
                    <w:t>⑥</w:t>
                  </w:r>
                  <w:r>
                    <w:rPr>
                      <w:rFonts w:hint="eastAsia"/>
                      <w:color w:val="auto"/>
                      <w:lang w:val="en-US" w:eastAsia="zh-CN"/>
                    </w:rPr>
                    <w:fldChar w:fldCharType="end"/>
                  </w:r>
                  <w:r>
                    <w:rPr>
                      <w:rFonts w:hint="eastAsia"/>
                      <w:color w:val="auto"/>
                      <w:lang w:val="en-US" w:eastAsia="zh-CN"/>
                    </w:rPr>
                    <w:t>制冷废气：本项目制冷系统采用全密闭循环设计，正常连续生产工况下几乎不会出现持续性泄漏，仅会产生少量氟氯烃类制冷剂的无组织挥发，通过车间阻隔和自然扩散后对环境影响较小。通过采取以上措施后，本项目废气均可达标排放，对大气环境的影响较小，符合总量控制要求。项目生产时产生的噪声，通过厂房阻隔、距离衰减后对周边环境影响不大。</w:t>
                  </w:r>
                </w:p>
              </w:tc>
              <w:tc>
                <w:tcPr>
                  <w:tcW w:w="547" w:type="pct"/>
                  <w:vMerge w:val="restart"/>
                  <w:vAlign w:val="center"/>
                </w:tcPr>
                <w:p w14:paraId="4D7559C6">
                  <w:pPr>
                    <w:pStyle w:val="29"/>
                    <w:bidi w:val="0"/>
                    <w:rPr>
                      <w:rFonts w:hint="eastAsia"/>
                      <w:color w:val="auto"/>
                      <w:lang w:val="en-US" w:eastAsia="zh-CN"/>
                    </w:rPr>
                  </w:pPr>
                  <w:r>
                    <w:rPr>
                      <w:rFonts w:hint="eastAsia"/>
                      <w:color w:val="auto"/>
                      <w:lang w:val="en-US" w:eastAsia="zh-CN"/>
                    </w:rPr>
                    <w:t>符合</w:t>
                  </w:r>
                </w:p>
              </w:tc>
            </w:tr>
            <w:tr w14:paraId="51CB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vAlign w:val="center"/>
                </w:tcPr>
                <w:p w14:paraId="7805B6DD">
                  <w:pPr>
                    <w:pStyle w:val="29"/>
                    <w:bidi w:val="0"/>
                    <w:rPr>
                      <w:rFonts w:hint="default"/>
                      <w:color w:val="auto"/>
                      <w:lang w:val="en-US" w:eastAsia="zh-CN"/>
                    </w:rPr>
                  </w:pPr>
                  <w:r>
                    <w:rPr>
                      <w:rFonts w:hint="eastAsia"/>
                      <w:color w:val="auto"/>
                      <w:lang w:val="en-US" w:eastAsia="zh-CN"/>
                    </w:rPr>
                    <w:t>4</w:t>
                  </w:r>
                </w:p>
              </w:tc>
              <w:tc>
                <w:tcPr>
                  <w:tcW w:w="2306" w:type="pct"/>
                  <w:vAlign w:val="center"/>
                </w:tcPr>
                <w:p w14:paraId="3BC4E238">
                  <w:pPr>
                    <w:pStyle w:val="29"/>
                    <w:bidi w:val="0"/>
                    <w:rPr>
                      <w:rFonts w:hint="default"/>
                      <w:color w:val="auto"/>
                      <w:lang w:val="en-US" w:eastAsia="zh-CN"/>
                    </w:rPr>
                  </w:pPr>
                  <w:r>
                    <w:rPr>
                      <w:rFonts w:hint="default"/>
                      <w:color w:val="auto"/>
                      <w:lang w:val="en-US" w:eastAsia="zh-CN"/>
                    </w:rPr>
                    <w:t>改善区域大气和声环境质量。持续开展春夏季攻坚行动，提升滇西南、滇南环境空气质量。完善滇中地区大气污染联防联控机制。加大餐饮油烟污染、恶臭异味治理力度。实施噪声污染防治行动，解决群众关心的噪声污染问题。</w:t>
                  </w:r>
                </w:p>
              </w:tc>
              <w:tc>
                <w:tcPr>
                  <w:tcW w:w="1733" w:type="pct"/>
                  <w:vMerge w:val="continue"/>
                  <w:vAlign w:val="center"/>
                </w:tcPr>
                <w:p w14:paraId="0B0DD055">
                  <w:pPr>
                    <w:pStyle w:val="29"/>
                    <w:bidi w:val="0"/>
                    <w:jc w:val="center"/>
                    <w:rPr>
                      <w:rFonts w:hint="default"/>
                      <w:color w:val="auto"/>
                      <w:lang w:val="en-US" w:eastAsia="zh-CN"/>
                    </w:rPr>
                  </w:pPr>
                </w:p>
              </w:tc>
              <w:tc>
                <w:tcPr>
                  <w:tcW w:w="547" w:type="pct"/>
                  <w:vMerge w:val="continue"/>
                  <w:vAlign w:val="center"/>
                </w:tcPr>
                <w:p w14:paraId="24CBC220">
                  <w:pPr>
                    <w:pStyle w:val="29"/>
                    <w:bidi w:val="0"/>
                    <w:rPr>
                      <w:rFonts w:hint="eastAsia"/>
                      <w:color w:val="auto"/>
                      <w:lang w:val="en-US" w:eastAsia="zh-CN"/>
                    </w:rPr>
                  </w:pPr>
                </w:p>
              </w:tc>
            </w:tr>
            <w:tr w14:paraId="33DD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1CD0A13C">
                  <w:pPr>
                    <w:pStyle w:val="29"/>
                    <w:bidi w:val="0"/>
                    <w:rPr>
                      <w:rFonts w:hint="default"/>
                      <w:color w:val="auto"/>
                      <w:lang w:val="en-US" w:eastAsia="zh-CN"/>
                    </w:rPr>
                  </w:pPr>
                  <w:r>
                    <w:rPr>
                      <w:rFonts w:hint="eastAsia"/>
                      <w:color w:val="auto"/>
                      <w:lang w:val="en-US" w:eastAsia="zh-CN"/>
                    </w:rPr>
                    <w:t>备注：其他与项目无关项未列入</w:t>
                  </w:r>
                </w:p>
              </w:tc>
            </w:tr>
          </w:tbl>
          <w:p w14:paraId="53A21700">
            <w:pPr>
              <w:ind w:firstLine="482"/>
              <w:rPr>
                <w:rFonts w:hint="eastAsia"/>
                <w:b/>
                <w:bCs/>
                <w:color w:val="auto"/>
                <w:lang w:val="en-US" w:eastAsia="zh-CN"/>
              </w:rPr>
            </w:pPr>
            <w:r>
              <w:rPr>
                <w:rFonts w:hint="eastAsia"/>
                <w:b w:val="0"/>
                <w:bCs w:val="0"/>
                <w:color w:val="auto"/>
                <w:lang w:val="en-US" w:eastAsia="zh-CN"/>
              </w:rPr>
              <w:t>综上，本项目符合《关于深入打好污染防治攻坚战的实施方案》（玉发〔2023〕4号）和《中共云南省委、云南省人民政府关于深入打好污染防治攻坚战的实施意见》（云发〔2022〕20号）中相关要求。</w:t>
            </w:r>
          </w:p>
          <w:p w14:paraId="6BFAB654">
            <w:pPr>
              <w:ind w:firstLine="482"/>
              <w:rPr>
                <w:b/>
                <w:bCs/>
                <w:color w:val="auto"/>
              </w:rPr>
            </w:pPr>
            <w:r>
              <w:rPr>
                <w:rFonts w:hint="eastAsia"/>
                <w:b/>
                <w:bCs/>
                <w:color w:val="auto"/>
                <w:lang w:val="en-US" w:eastAsia="zh-CN"/>
              </w:rPr>
              <w:t>9、</w:t>
            </w:r>
            <w:r>
              <w:rPr>
                <w:rFonts w:hint="eastAsia"/>
                <w:b/>
                <w:bCs/>
                <w:color w:val="auto"/>
              </w:rPr>
              <w:t>与《云南省长江经济带发展负面清单指南实施细则（试行</w:t>
            </w:r>
            <w:r>
              <w:rPr>
                <w:rFonts w:hint="eastAsia"/>
                <w:b/>
                <w:bCs/>
                <w:color w:val="auto"/>
                <w:lang w:eastAsia="zh-CN"/>
              </w:rPr>
              <w:t>，</w:t>
            </w:r>
            <w:r>
              <w:rPr>
                <w:rFonts w:hint="eastAsia"/>
                <w:b/>
                <w:bCs/>
                <w:color w:val="auto"/>
                <w:lang w:val="en-US" w:eastAsia="zh-CN"/>
              </w:rPr>
              <w:t>2022年版</w:t>
            </w:r>
            <w:r>
              <w:rPr>
                <w:rFonts w:hint="eastAsia"/>
                <w:b/>
                <w:bCs/>
                <w:color w:val="auto"/>
              </w:rPr>
              <w:t>）》符合性分析</w:t>
            </w:r>
          </w:p>
          <w:p w14:paraId="263AAF84">
            <w:pPr>
              <w:ind w:firstLine="480"/>
              <w:rPr>
                <w:color w:val="auto"/>
              </w:rPr>
            </w:pPr>
            <w:r>
              <w:rPr>
                <w:rFonts w:hint="eastAsia"/>
                <w:color w:val="auto"/>
              </w:rPr>
              <w:t>《云南省长江经济带发展负面清单指南实施细则（试行</w:t>
            </w:r>
            <w:r>
              <w:rPr>
                <w:rFonts w:hint="eastAsia"/>
                <w:color w:val="auto"/>
                <w:lang w:eastAsia="zh-CN"/>
              </w:rPr>
              <w:t>，</w:t>
            </w:r>
            <w:r>
              <w:rPr>
                <w:rFonts w:hint="eastAsia"/>
                <w:color w:val="auto"/>
                <w:lang w:val="en-US" w:eastAsia="zh-CN"/>
              </w:rPr>
              <w:t>2022年版</w:t>
            </w:r>
            <w:r>
              <w:rPr>
                <w:rFonts w:hint="eastAsia"/>
                <w:color w:val="auto"/>
              </w:rPr>
              <w:t>）》主要对各类功能区、各类保护区、工业布局等划定发展负面清单。项目与该负面清单比对分析如下：</w:t>
            </w:r>
          </w:p>
          <w:p w14:paraId="2B684C6C">
            <w:pPr>
              <w:pStyle w:val="30"/>
              <w:rPr>
                <w:rFonts w:hint="default"/>
                <w:color w:val="auto"/>
              </w:rPr>
            </w:pPr>
            <w:r>
              <w:rPr>
                <w:color w:val="auto"/>
              </w:rPr>
              <w:t>表1-</w:t>
            </w:r>
            <w:r>
              <w:rPr>
                <w:rFonts w:hint="eastAsia"/>
                <w:color w:val="auto"/>
                <w:lang w:val="en-US" w:eastAsia="zh-CN"/>
              </w:rPr>
              <w:t>11</w:t>
            </w:r>
            <w:r>
              <w:rPr>
                <w:color w:val="auto"/>
              </w:rPr>
              <w:t xml:space="preserve"> 项目与《云南省长江经济带发展负面清单指南实施细则（试行）》对照分析</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3769"/>
              <w:gridCol w:w="3282"/>
              <w:gridCol w:w="802"/>
            </w:tblGrid>
            <w:tr w14:paraId="631D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17A32F54">
                  <w:pPr>
                    <w:pStyle w:val="29"/>
                    <w:rPr>
                      <w:rFonts w:hint="default"/>
                      <w:color w:val="auto"/>
                    </w:rPr>
                  </w:pPr>
                  <w:r>
                    <w:rPr>
                      <w:color w:val="auto"/>
                    </w:rPr>
                    <w:t>序号</w:t>
                  </w:r>
                </w:p>
              </w:tc>
              <w:tc>
                <w:tcPr>
                  <w:tcW w:w="2206" w:type="pct"/>
                  <w:shd w:val="clear" w:color="auto" w:fill="auto"/>
                  <w:vAlign w:val="center"/>
                </w:tcPr>
                <w:p w14:paraId="6DF93857">
                  <w:pPr>
                    <w:pStyle w:val="29"/>
                    <w:rPr>
                      <w:rFonts w:hint="default"/>
                      <w:color w:val="auto"/>
                    </w:rPr>
                  </w:pPr>
                  <w:r>
                    <w:rPr>
                      <w:color w:val="auto"/>
                    </w:rPr>
                    <w:t>《云南省长江经济带发展负面清单指南实施细则（试行</w:t>
                  </w:r>
                  <w:r>
                    <w:rPr>
                      <w:rFonts w:hint="eastAsia"/>
                      <w:color w:val="auto"/>
                      <w:lang w:eastAsia="zh-CN"/>
                    </w:rPr>
                    <w:t>，</w:t>
                  </w:r>
                  <w:r>
                    <w:rPr>
                      <w:rFonts w:hint="eastAsia"/>
                      <w:color w:val="auto"/>
                      <w:lang w:val="en-US" w:eastAsia="zh-CN"/>
                    </w:rPr>
                    <w:t>2022年版</w:t>
                  </w:r>
                  <w:r>
                    <w:rPr>
                      <w:color w:val="auto"/>
                    </w:rPr>
                    <w:t>）》要求</w:t>
                  </w:r>
                </w:p>
              </w:tc>
              <w:tc>
                <w:tcPr>
                  <w:tcW w:w="1921" w:type="pct"/>
                  <w:shd w:val="clear" w:color="auto" w:fill="auto"/>
                  <w:vAlign w:val="center"/>
                </w:tcPr>
                <w:p w14:paraId="3AA965D1">
                  <w:pPr>
                    <w:pStyle w:val="29"/>
                    <w:rPr>
                      <w:rFonts w:hint="default"/>
                      <w:color w:val="auto"/>
                    </w:rPr>
                  </w:pPr>
                  <w:r>
                    <w:rPr>
                      <w:color w:val="auto"/>
                    </w:rPr>
                    <w:t>本项目</w:t>
                  </w:r>
                </w:p>
              </w:tc>
              <w:tc>
                <w:tcPr>
                  <w:tcW w:w="469" w:type="pct"/>
                  <w:shd w:val="clear" w:color="auto" w:fill="auto"/>
                  <w:vAlign w:val="center"/>
                </w:tcPr>
                <w:p w14:paraId="21E7EF95">
                  <w:pPr>
                    <w:pStyle w:val="29"/>
                    <w:rPr>
                      <w:rFonts w:hint="eastAsia" w:eastAsia="宋体"/>
                      <w:color w:val="auto"/>
                      <w:lang w:eastAsia="zh-CN"/>
                    </w:rPr>
                  </w:pPr>
                  <w:r>
                    <w:rPr>
                      <w:rFonts w:hint="eastAsia"/>
                      <w:color w:val="auto"/>
                      <w:lang w:eastAsia="zh-CN"/>
                    </w:rPr>
                    <w:t>符合情况</w:t>
                  </w:r>
                </w:p>
              </w:tc>
            </w:tr>
            <w:tr w14:paraId="1CE2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6B733FEE">
                  <w:pPr>
                    <w:pStyle w:val="29"/>
                    <w:rPr>
                      <w:rFonts w:hint="default"/>
                      <w:color w:val="auto"/>
                    </w:rPr>
                  </w:pPr>
                  <w:r>
                    <w:rPr>
                      <w:color w:val="auto"/>
                    </w:rPr>
                    <w:t>1</w:t>
                  </w:r>
                </w:p>
              </w:tc>
              <w:tc>
                <w:tcPr>
                  <w:tcW w:w="2206" w:type="pct"/>
                  <w:shd w:val="clear" w:color="auto" w:fill="auto"/>
                  <w:vAlign w:val="center"/>
                </w:tcPr>
                <w:p w14:paraId="56D2D87C">
                  <w:pPr>
                    <w:pStyle w:val="29"/>
                    <w:jc w:val="left"/>
                    <w:rPr>
                      <w:rFonts w:hint="default"/>
                      <w:color w:val="auto"/>
                    </w:rPr>
                  </w:pPr>
                  <w:r>
                    <w:rPr>
                      <w:rFonts w:hint="eastAsia"/>
                      <w:color w:val="auto"/>
                    </w:rPr>
                    <w:t>禁止新建、改建和扩建不符合《全国内河航道与港口布局规划》等全国港口规划和《昭通市港口码头岸线规划（金沙江段2019年—2035年）》、《景洪港总体规划（2019—2035年）》等州（市）级以上港口布局规划以及港口总体规划的码头项目</w:t>
                  </w:r>
                </w:p>
              </w:tc>
              <w:tc>
                <w:tcPr>
                  <w:tcW w:w="1921" w:type="pct"/>
                  <w:shd w:val="clear" w:color="auto" w:fill="auto"/>
                  <w:vAlign w:val="center"/>
                </w:tcPr>
                <w:p w14:paraId="4F398A5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sz w:val="21"/>
                      <w:szCs w:val="21"/>
                      <w:lang w:val="en-US" w:eastAsia="zh-CN"/>
                    </w:rPr>
                    <w:t>本项目为啤酒生产项目</w:t>
                  </w:r>
                  <w:r>
                    <w:rPr>
                      <w:rFonts w:hint="eastAsia"/>
                      <w:color w:val="auto"/>
                      <w:lang w:eastAsia="zh-CN"/>
                    </w:rPr>
                    <w:t>，不涉及码头。</w:t>
                  </w:r>
                </w:p>
              </w:tc>
              <w:tc>
                <w:tcPr>
                  <w:tcW w:w="469" w:type="pct"/>
                  <w:shd w:val="clear" w:color="auto" w:fill="auto"/>
                  <w:vAlign w:val="center"/>
                </w:tcPr>
                <w:p w14:paraId="192E4596">
                  <w:pPr>
                    <w:pStyle w:val="29"/>
                    <w:rPr>
                      <w:rFonts w:hint="eastAsia" w:eastAsia="宋体"/>
                      <w:color w:val="auto"/>
                      <w:lang w:eastAsia="zh-CN"/>
                    </w:rPr>
                  </w:pPr>
                  <w:r>
                    <w:rPr>
                      <w:rFonts w:hint="eastAsia"/>
                      <w:color w:val="auto"/>
                      <w:lang w:eastAsia="zh-CN"/>
                    </w:rPr>
                    <w:t>符合</w:t>
                  </w:r>
                </w:p>
              </w:tc>
            </w:tr>
            <w:tr w14:paraId="2DD3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7EFC70B9">
                  <w:pPr>
                    <w:pStyle w:val="29"/>
                    <w:rPr>
                      <w:rFonts w:hint="default"/>
                      <w:color w:val="auto"/>
                    </w:rPr>
                  </w:pPr>
                  <w:r>
                    <w:rPr>
                      <w:color w:val="auto"/>
                    </w:rPr>
                    <w:t>2</w:t>
                  </w:r>
                </w:p>
              </w:tc>
              <w:tc>
                <w:tcPr>
                  <w:tcW w:w="2206" w:type="pct"/>
                  <w:shd w:val="clear" w:color="auto" w:fill="auto"/>
                  <w:vAlign w:val="center"/>
                </w:tcPr>
                <w:p w14:paraId="14C0867F">
                  <w:pPr>
                    <w:pStyle w:val="29"/>
                    <w:jc w:val="left"/>
                    <w:rPr>
                      <w:rFonts w:hint="eastAsia" w:eastAsia="宋体"/>
                      <w:color w:val="auto"/>
                      <w:lang w:eastAsia="zh-CN"/>
                    </w:rPr>
                  </w:pPr>
                  <w:r>
                    <w:rPr>
                      <w:rFonts w:hint="eastAsia"/>
                      <w:color w:val="auto"/>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r>
                    <w:rPr>
                      <w:rFonts w:hint="eastAsia"/>
                      <w:color w:val="auto"/>
                      <w:lang w:eastAsia="zh-CN"/>
                    </w:rPr>
                    <w:t>。</w:t>
                  </w:r>
                </w:p>
              </w:tc>
              <w:tc>
                <w:tcPr>
                  <w:tcW w:w="1921" w:type="pct"/>
                  <w:vMerge w:val="restart"/>
                  <w:shd w:val="clear" w:color="auto" w:fill="auto"/>
                  <w:vAlign w:val="center"/>
                </w:tcPr>
                <w:p w14:paraId="7F2C09CD">
                  <w:pPr>
                    <w:pStyle w:val="29"/>
                    <w:ind w:firstLine="0" w:firstLineChars="0"/>
                    <w:rPr>
                      <w:rFonts w:hint="default"/>
                      <w:color w:val="auto"/>
                    </w:rPr>
                  </w:pPr>
                  <w:r>
                    <w:rPr>
                      <w:rFonts w:hint="eastAsia"/>
                      <w:color w:val="auto"/>
                      <w:lang w:eastAsia="zh-CN"/>
                    </w:rPr>
                    <w:t>本项目位于玉溪市高新区九龙池片区工业园区内D4栋第一层，不涉及风景名胜区</w:t>
                  </w:r>
                  <w:r>
                    <w:rPr>
                      <w:color w:val="auto"/>
                    </w:rPr>
                    <w:t>。</w:t>
                  </w:r>
                </w:p>
              </w:tc>
              <w:tc>
                <w:tcPr>
                  <w:tcW w:w="469" w:type="pct"/>
                  <w:vMerge w:val="restart"/>
                  <w:shd w:val="clear" w:color="auto" w:fill="auto"/>
                  <w:vAlign w:val="center"/>
                </w:tcPr>
                <w:p w14:paraId="627AA30E">
                  <w:pPr>
                    <w:pStyle w:val="29"/>
                    <w:rPr>
                      <w:rFonts w:hint="eastAsia" w:eastAsia="宋体"/>
                      <w:color w:val="auto"/>
                      <w:lang w:eastAsia="zh-CN"/>
                    </w:rPr>
                  </w:pPr>
                  <w:r>
                    <w:rPr>
                      <w:rFonts w:hint="eastAsia"/>
                      <w:color w:val="auto"/>
                      <w:lang w:eastAsia="zh-CN"/>
                    </w:rPr>
                    <w:t>符合</w:t>
                  </w:r>
                </w:p>
              </w:tc>
            </w:tr>
            <w:tr w14:paraId="72C7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64F5C499">
                  <w:pPr>
                    <w:pStyle w:val="29"/>
                    <w:rPr>
                      <w:rFonts w:hint="default"/>
                      <w:color w:val="auto"/>
                    </w:rPr>
                  </w:pPr>
                  <w:r>
                    <w:rPr>
                      <w:color w:val="auto"/>
                    </w:rPr>
                    <w:t>3</w:t>
                  </w:r>
                </w:p>
              </w:tc>
              <w:tc>
                <w:tcPr>
                  <w:tcW w:w="2206" w:type="pct"/>
                  <w:shd w:val="clear" w:color="auto" w:fill="auto"/>
                  <w:vAlign w:val="center"/>
                </w:tcPr>
                <w:p w14:paraId="25499FC6">
                  <w:pPr>
                    <w:pStyle w:val="29"/>
                    <w:jc w:val="left"/>
                    <w:rPr>
                      <w:rFonts w:hint="eastAsia"/>
                      <w:color w:val="auto"/>
                    </w:rPr>
                  </w:pPr>
                  <w:r>
                    <w:rPr>
                      <w:rFonts w:hint="eastAsia"/>
                      <w:color w:val="auto"/>
                    </w:rPr>
                    <w:t>禁止在风景名胜区核心景区的岸线和河段范围内投资建设与风景名胜资源保护无关的项目。禁止在风景名胜区内进行开山、采石、开矿、开荒、修坟立碑等破坏景观、植被和地</w:t>
                  </w:r>
                </w:p>
                <w:p w14:paraId="2E912DA7">
                  <w:pPr>
                    <w:pStyle w:val="29"/>
                    <w:jc w:val="left"/>
                    <w:rPr>
                      <w:rFonts w:hint="default"/>
                      <w:color w:val="auto"/>
                    </w:rPr>
                  </w:pPr>
                  <w:r>
                    <w:rPr>
                      <w:rFonts w:hint="eastAsia"/>
                      <w:color w:val="auto"/>
                    </w:rPr>
                    <w:t>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921" w:type="pct"/>
                  <w:vMerge w:val="continue"/>
                  <w:shd w:val="clear" w:color="auto" w:fill="auto"/>
                  <w:vAlign w:val="center"/>
                </w:tcPr>
                <w:p w14:paraId="377D44F0">
                  <w:pPr>
                    <w:pStyle w:val="29"/>
                    <w:rPr>
                      <w:rFonts w:hint="default"/>
                      <w:color w:val="auto"/>
                    </w:rPr>
                  </w:pPr>
                </w:p>
              </w:tc>
              <w:tc>
                <w:tcPr>
                  <w:tcW w:w="469" w:type="pct"/>
                  <w:vMerge w:val="continue"/>
                  <w:shd w:val="clear" w:color="auto" w:fill="auto"/>
                  <w:vAlign w:val="center"/>
                </w:tcPr>
                <w:p w14:paraId="77EC1BC7">
                  <w:pPr>
                    <w:pStyle w:val="29"/>
                    <w:rPr>
                      <w:rFonts w:hint="default"/>
                      <w:color w:val="auto"/>
                    </w:rPr>
                  </w:pPr>
                </w:p>
              </w:tc>
            </w:tr>
            <w:tr w14:paraId="3CDF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69AE41B3">
                  <w:pPr>
                    <w:pStyle w:val="29"/>
                    <w:rPr>
                      <w:rFonts w:hint="default"/>
                      <w:color w:val="auto"/>
                    </w:rPr>
                  </w:pPr>
                  <w:r>
                    <w:rPr>
                      <w:color w:val="auto"/>
                    </w:rPr>
                    <w:t>4</w:t>
                  </w:r>
                </w:p>
              </w:tc>
              <w:tc>
                <w:tcPr>
                  <w:tcW w:w="2206" w:type="pct"/>
                  <w:shd w:val="clear" w:color="auto" w:fill="auto"/>
                  <w:vAlign w:val="center"/>
                </w:tcPr>
                <w:p w14:paraId="485490E7">
                  <w:pPr>
                    <w:pStyle w:val="29"/>
                    <w:jc w:val="left"/>
                    <w:rPr>
                      <w:rFonts w:hint="default"/>
                      <w:color w:val="auto"/>
                    </w:rPr>
                  </w:pPr>
                  <w:r>
                    <w:rPr>
                      <w:rFonts w:hint="default"/>
                      <w:color w:val="auto"/>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921" w:type="pct"/>
                  <w:shd w:val="clear" w:color="auto" w:fill="auto"/>
                  <w:vAlign w:val="center"/>
                </w:tcPr>
                <w:p w14:paraId="7279E765">
                  <w:pPr>
                    <w:pStyle w:val="29"/>
                    <w:ind w:firstLine="0" w:firstLineChars="0"/>
                    <w:jc w:val="both"/>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本项目位于玉溪市高新区九龙池片区工业园区内D4栋第一层，不在饮用水源保护区范围内，故项目不涉及。</w:t>
                  </w:r>
                </w:p>
              </w:tc>
              <w:tc>
                <w:tcPr>
                  <w:tcW w:w="469" w:type="pct"/>
                  <w:shd w:val="clear" w:color="auto" w:fill="auto"/>
                  <w:vAlign w:val="center"/>
                </w:tcPr>
                <w:p w14:paraId="0A52097A">
                  <w:pPr>
                    <w:pStyle w:val="29"/>
                    <w:jc w:val="center"/>
                    <w:rPr>
                      <w:rFonts w:hint="eastAsia"/>
                      <w:color w:val="auto"/>
                      <w:lang w:eastAsia="zh-CN"/>
                    </w:rPr>
                  </w:pPr>
                  <w:r>
                    <w:rPr>
                      <w:rFonts w:hint="eastAsia"/>
                      <w:color w:val="auto"/>
                      <w:lang w:eastAsia="zh-CN"/>
                    </w:rPr>
                    <w:t>符合</w:t>
                  </w:r>
                </w:p>
              </w:tc>
            </w:tr>
            <w:tr w14:paraId="361D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5E5F30A0">
                  <w:pPr>
                    <w:pStyle w:val="29"/>
                    <w:rPr>
                      <w:rFonts w:hint="default"/>
                      <w:color w:val="auto"/>
                    </w:rPr>
                  </w:pPr>
                  <w:r>
                    <w:rPr>
                      <w:color w:val="auto"/>
                    </w:rPr>
                    <w:t>5</w:t>
                  </w:r>
                </w:p>
              </w:tc>
              <w:tc>
                <w:tcPr>
                  <w:tcW w:w="2206" w:type="pct"/>
                  <w:shd w:val="clear" w:color="auto" w:fill="auto"/>
                  <w:vAlign w:val="center"/>
                </w:tcPr>
                <w:p w14:paraId="49A5B8F9">
                  <w:pPr>
                    <w:pStyle w:val="29"/>
                    <w:jc w:val="left"/>
                    <w:rPr>
                      <w:rFonts w:hint="eastAsia" w:eastAsia="宋体"/>
                      <w:color w:val="auto"/>
                      <w:lang w:eastAsia="zh-CN"/>
                    </w:rPr>
                  </w:pPr>
                  <w:r>
                    <w:rPr>
                      <w:rFonts w:hint="default"/>
                      <w:color w:val="auto"/>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r>
                    <w:rPr>
                      <w:rFonts w:hint="eastAsia"/>
                      <w:color w:val="auto"/>
                      <w:lang w:eastAsia="zh-CN"/>
                    </w:rPr>
                    <w:t>。</w:t>
                  </w:r>
                </w:p>
              </w:tc>
              <w:tc>
                <w:tcPr>
                  <w:tcW w:w="1921" w:type="pct"/>
                  <w:shd w:val="clear" w:color="auto" w:fill="auto"/>
                  <w:vAlign w:val="center"/>
                </w:tcPr>
                <w:p w14:paraId="0046B6F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本项目位于玉溪市高新区九龙池片区工业园区内D4栋第一层</w:t>
                  </w:r>
                  <w:r>
                    <w:rPr>
                      <w:rFonts w:hint="default"/>
                      <w:color w:val="auto"/>
                    </w:rPr>
                    <w:t>，不在水产种质资源保护区的岸线和河段范围内，故项目不涉及</w:t>
                  </w:r>
                  <w:r>
                    <w:rPr>
                      <w:rFonts w:hint="eastAsia"/>
                      <w:color w:val="auto"/>
                      <w:lang w:eastAsia="zh-CN"/>
                    </w:rPr>
                    <w:t>。</w:t>
                  </w:r>
                </w:p>
              </w:tc>
              <w:tc>
                <w:tcPr>
                  <w:tcW w:w="469" w:type="pct"/>
                  <w:shd w:val="clear" w:color="auto" w:fill="auto"/>
                  <w:vAlign w:val="center"/>
                </w:tcPr>
                <w:p w14:paraId="27E1E395">
                  <w:pPr>
                    <w:pStyle w:val="29"/>
                    <w:rPr>
                      <w:rFonts w:hint="eastAsia" w:eastAsia="宋体"/>
                      <w:color w:val="auto"/>
                      <w:lang w:eastAsia="zh-CN"/>
                    </w:rPr>
                  </w:pPr>
                  <w:r>
                    <w:rPr>
                      <w:rFonts w:hint="eastAsia"/>
                      <w:color w:val="auto"/>
                      <w:lang w:eastAsia="zh-CN"/>
                    </w:rPr>
                    <w:t>符合</w:t>
                  </w:r>
                </w:p>
              </w:tc>
            </w:tr>
            <w:tr w14:paraId="58B5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545D83FF">
                  <w:pPr>
                    <w:pStyle w:val="29"/>
                    <w:rPr>
                      <w:rFonts w:hint="default"/>
                      <w:color w:val="auto"/>
                    </w:rPr>
                  </w:pPr>
                  <w:r>
                    <w:rPr>
                      <w:color w:val="auto"/>
                    </w:rPr>
                    <w:t>6</w:t>
                  </w:r>
                </w:p>
              </w:tc>
              <w:tc>
                <w:tcPr>
                  <w:tcW w:w="2206" w:type="pct"/>
                  <w:shd w:val="clear" w:color="auto" w:fill="auto"/>
                  <w:vAlign w:val="center"/>
                </w:tcPr>
                <w:p w14:paraId="7E8F4D94">
                  <w:pPr>
                    <w:pStyle w:val="29"/>
                    <w:jc w:val="left"/>
                    <w:rPr>
                      <w:rFonts w:hint="eastAsia" w:eastAsia="宋体"/>
                      <w:color w:val="auto"/>
                      <w:lang w:eastAsia="zh-CN"/>
                    </w:rPr>
                  </w:pPr>
                  <w:r>
                    <w:rPr>
                      <w:rFonts w:hint="eastAsia"/>
                      <w:color w:val="auto"/>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r>
                    <w:rPr>
                      <w:rFonts w:hint="eastAsia"/>
                      <w:color w:val="auto"/>
                      <w:lang w:eastAsia="zh-CN"/>
                    </w:rPr>
                    <w:t>。</w:t>
                  </w:r>
                </w:p>
              </w:tc>
              <w:tc>
                <w:tcPr>
                  <w:tcW w:w="1921" w:type="pct"/>
                  <w:vMerge w:val="restart"/>
                  <w:shd w:val="clear" w:color="auto" w:fill="auto"/>
                  <w:vAlign w:val="center"/>
                </w:tcPr>
                <w:p w14:paraId="75CC2203">
                  <w:pPr>
                    <w:pStyle w:val="29"/>
                    <w:ind w:firstLine="0" w:firstLineChars="0"/>
                    <w:rPr>
                      <w:rFonts w:hint="eastAsia" w:eastAsia="宋体"/>
                      <w:color w:val="auto"/>
                      <w:lang w:eastAsia="zh-CN"/>
                    </w:rPr>
                  </w:pPr>
                  <w:r>
                    <w:rPr>
                      <w:rFonts w:hint="eastAsia"/>
                      <w:color w:val="auto"/>
                      <w:lang w:eastAsia="zh-CN"/>
                    </w:rPr>
                    <w:t>本项目位于玉溪市高新区九龙池片区工业园区内D4栋第一层，不涉及长江流域河湖岸线、金沙江干流、九大高原湖泊保护区、保留区。</w:t>
                  </w:r>
                </w:p>
              </w:tc>
              <w:tc>
                <w:tcPr>
                  <w:tcW w:w="469" w:type="pct"/>
                  <w:vMerge w:val="restart"/>
                  <w:shd w:val="clear" w:color="auto" w:fill="auto"/>
                  <w:vAlign w:val="center"/>
                </w:tcPr>
                <w:p w14:paraId="41965831">
                  <w:pPr>
                    <w:pStyle w:val="29"/>
                    <w:rPr>
                      <w:rFonts w:hint="eastAsia" w:eastAsia="宋体"/>
                      <w:color w:val="auto"/>
                      <w:lang w:eastAsia="zh-CN"/>
                    </w:rPr>
                  </w:pPr>
                  <w:r>
                    <w:rPr>
                      <w:rFonts w:hint="eastAsia"/>
                      <w:color w:val="auto"/>
                      <w:lang w:eastAsia="zh-CN"/>
                    </w:rPr>
                    <w:t>符合</w:t>
                  </w:r>
                </w:p>
              </w:tc>
            </w:tr>
            <w:tr w14:paraId="5A09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5C738E42">
                  <w:pPr>
                    <w:pStyle w:val="29"/>
                    <w:rPr>
                      <w:rFonts w:hint="default"/>
                      <w:color w:val="auto"/>
                    </w:rPr>
                  </w:pPr>
                  <w:r>
                    <w:rPr>
                      <w:color w:val="auto"/>
                    </w:rPr>
                    <w:t>7</w:t>
                  </w:r>
                </w:p>
              </w:tc>
              <w:tc>
                <w:tcPr>
                  <w:tcW w:w="2206" w:type="pct"/>
                  <w:shd w:val="clear" w:color="auto" w:fill="auto"/>
                  <w:vAlign w:val="center"/>
                </w:tcPr>
                <w:p w14:paraId="4CFC1778">
                  <w:pPr>
                    <w:pStyle w:val="29"/>
                    <w:jc w:val="left"/>
                    <w:rPr>
                      <w:rFonts w:hint="default"/>
                      <w:color w:val="auto"/>
                    </w:rPr>
                  </w:pPr>
                  <w:r>
                    <w:rPr>
                      <w:rFonts w:hint="default"/>
                      <w:color w:val="auto"/>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921" w:type="pct"/>
                  <w:vMerge w:val="continue"/>
                  <w:shd w:val="clear" w:color="auto" w:fill="auto"/>
                  <w:vAlign w:val="center"/>
                </w:tcPr>
                <w:p w14:paraId="22F7EAC8">
                  <w:pPr>
                    <w:pStyle w:val="29"/>
                    <w:rPr>
                      <w:rFonts w:hint="default"/>
                      <w:color w:val="auto"/>
                    </w:rPr>
                  </w:pPr>
                </w:p>
              </w:tc>
              <w:tc>
                <w:tcPr>
                  <w:tcW w:w="469" w:type="pct"/>
                  <w:vMerge w:val="continue"/>
                  <w:shd w:val="clear" w:color="auto" w:fill="auto"/>
                  <w:vAlign w:val="center"/>
                </w:tcPr>
                <w:p w14:paraId="53FFF7A6">
                  <w:pPr>
                    <w:pStyle w:val="29"/>
                    <w:rPr>
                      <w:rFonts w:hint="default"/>
                      <w:color w:val="auto"/>
                    </w:rPr>
                  </w:pPr>
                </w:p>
              </w:tc>
            </w:tr>
            <w:tr w14:paraId="6F966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2" w:type="pct"/>
                  <w:shd w:val="clear" w:color="auto" w:fill="auto"/>
                  <w:vAlign w:val="center"/>
                </w:tcPr>
                <w:p w14:paraId="3135CCC5">
                  <w:pPr>
                    <w:pStyle w:val="29"/>
                    <w:rPr>
                      <w:rFonts w:hint="default"/>
                      <w:color w:val="auto"/>
                    </w:rPr>
                  </w:pPr>
                  <w:r>
                    <w:rPr>
                      <w:color w:val="auto"/>
                    </w:rPr>
                    <w:t>8</w:t>
                  </w:r>
                </w:p>
              </w:tc>
              <w:tc>
                <w:tcPr>
                  <w:tcW w:w="2206" w:type="pct"/>
                  <w:shd w:val="clear" w:color="auto" w:fill="auto"/>
                  <w:vAlign w:val="center"/>
                </w:tcPr>
                <w:p w14:paraId="55B4306D">
                  <w:pPr>
                    <w:pStyle w:val="29"/>
                    <w:rPr>
                      <w:rFonts w:hint="default"/>
                      <w:color w:val="auto"/>
                    </w:rPr>
                  </w:pPr>
                  <w:r>
                    <w:rPr>
                      <w:rFonts w:hint="default"/>
                      <w:color w:val="auto"/>
                    </w:rPr>
                    <w:t>禁止在金沙江干流、长江一级支流、水生生物保护区和长江流域禁捕水域开展天然渔业资源生产性捕捞。</w:t>
                  </w:r>
                </w:p>
              </w:tc>
              <w:tc>
                <w:tcPr>
                  <w:tcW w:w="1921" w:type="pct"/>
                  <w:shd w:val="clear" w:color="auto" w:fill="auto"/>
                  <w:vAlign w:val="center"/>
                </w:tcPr>
                <w:p w14:paraId="66B7D61B">
                  <w:pPr>
                    <w:pStyle w:val="29"/>
                    <w:ind w:firstLine="0" w:firstLineChars="0"/>
                    <w:rPr>
                      <w:rFonts w:hint="default" w:ascii="Times New Roman" w:hAnsi="Times New Roman" w:eastAsia="宋体" w:cs="Times New Roman"/>
                      <w:b w:val="0"/>
                      <w:color w:val="auto"/>
                      <w:kern w:val="0"/>
                      <w:sz w:val="21"/>
                      <w:szCs w:val="22"/>
                      <w:lang w:val="en-US" w:eastAsia="zh-CN" w:bidi="ar-SA"/>
                    </w:rPr>
                  </w:pPr>
                  <w:r>
                    <w:rPr>
                      <w:color w:val="auto"/>
                    </w:rPr>
                    <w:t>本项目不涉及。</w:t>
                  </w:r>
                </w:p>
              </w:tc>
              <w:tc>
                <w:tcPr>
                  <w:tcW w:w="469" w:type="pct"/>
                  <w:shd w:val="clear" w:color="auto" w:fill="auto"/>
                  <w:vAlign w:val="center"/>
                </w:tcPr>
                <w:p w14:paraId="6F1BEF5B">
                  <w:pPr>
                    <w:pStyle w:val="29"/>
                    <w:rPr>
                      <w:rFonts w:hint="eastAsia" w:eastAsia="宋体"/>
                      <w:color w:val="auto"/>
                      <w:lang w:eastAsia="zh-CN"/>
                    </w:rPr>
                  </w:pPr>
                  <w:r>
                    <w:rPr>
                      <w:rFonts w:hint="eastAsia"/>
                      <w:color w:val="auto"/>
                      <w:lang w:eastAsia="zh-CN"/>
                    </w:rPr>
                    <w:t>符合</w:t>
                  </w:r>
                </w:p>
              </w:tc>
            </w:tr>
            <w:tr w14:paraId="0EF49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626608C4">
                  <w:pPr>
                    <w:pStyle w:val="29"/>
                    <w:rPr>
                      <w:rFonts w:hint="default"/>
                      <w:color w:val="auto"/>
                    </w:rPr>
                  </w:pPr>
                  <w:r>
                    <w:rPr>
                      <w:color w:val="auto"/>
                    </w:rPr>
                    <w:t>9</w:t>
                  </w:r>
                </w:p>
              </w:tc>
              <w:tc>
                <w:tcPr>
                  <w:tcW w:w="2206" w:type="pct"/>
                  <w:shd w:val="clear" w:color="auto" w:fill="auto"/>
                  <w:vAlign w:val="center"/>
                </w:tcPr>
                <w:p w14:paraId="40F3BBEC">
                  <w:pPr>
                    <w:pStyle w:val="29"/>
                    <w:jc w:val="left"/>
                    <w:rPr>
                      <w:rFonts w:hint="default"/>
                      <w:color w:val="auto"/>
                    </w:rPr>
                  </w:pPr>
                  <w:r>
                    <w:rPr>
                      <w:rFonts w:hint="eastAsia"/>
                      <w:color w:val="auto"/>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921" w:type="pct"/>
                  <w:shd w:val="clear" w:color="auto" w:fill="auto"/>
                  <w:vAlign w:val="center"/>
                </w:tcPr>
                <w:p w14:paraId="46A27CB7">
                  <w:pPr>
                    <w:pStyle w:val="29"/>
                    <w:ind w:firstLine="0" w:firstLineChars="0"/>
                    <w:rPr>
                      <w:rFonts w:hint="default" w:ascii="Times New Roman" w:hAnsi="Times New Roman" w:eastAsia="宋体" w:cs="Times New Roman"/>
                      <w:b w:val="0"/>
                      <w:color w:val="auto"/>
                      <w:kern w:val="0"/>
                      <w:sz w:val="21"/>
                      <w:szCs w:val="22"/>
                      <w:lang w:val="en-US" w:eastAsia="zh-CN" w:bidi="ar-SA"/>
                    </w:rPr>
                  </w:pPr>
                  <w:r>
                    <w:rPr>
                      <w:color w:val="auto"/>
                    </w:rPr>
                    <w:t>本项目不涉及。</w:t>
                  </w:r>
                </w:p>
              </w:tc>
              <w:tc>
                <w:tcPr>
                  <w:tcW w:w="469" w:type="pct"/>
                  <w:shd w:val="clear" w:color="auto" w:fill="auto"/>
                  <w:vAlign w:val="center"/>
                </w:tcPr>
                <w:p w14:paraId="2840338B">
                  <w:pPr>
                    <w:pStyle w:val="29"/>
                    <w:rPr>
                      <w:rFonts w:hint="eastAsia" w:eastAsia="宋体"/>
                      <w:color w:val="auto"/>
                      <w:lang w:eastAsia="zh-CN"/>
                    </w:rPr>
                  </w:pPr>
                  <w:r>
                    <w:rPr>
                      <w:rFonts w:hint="eastAsia"/>
                      <w:color w:val="auto"/>
                      <w:lang w:eastAsia="zh-CN"/>
                    </w:rPr>
                    <w:t>符合</w:t>
                  </w:r>
                </w:p>
              </w:tc>
            </w:tr>
            <w:tr w14:paraId="539E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6D213265">
                  <w:pPr>
                    <w:pStyle w:val="29"/>
                    <w:rPr>
                      <w:rFonts w:hint="default"/>
                      <w:color w:val="auto"/>
                    </w:rPr>
                  </w:pPr>
                  <w:r>
                    <w:rPr>
                      <w:color w:val="auto"/>
                    </w:rPr>
                    <w:t>10</w:t>
                  </w:r>
                </w:p>
              </w:tc>
              <w:tc>
                <w:tcPr>
                  <w:tcW w:w="2206" w:type="pct"/>
                  <w:shd w:val="clear" w:color="auto" w:fill="auto"/>
                  <w:vAlign w:val="center"/>
                </w:tcPr>
                <w:p w14:paraId="46E434BD">
                  <w:pPr>
                    <w:pStyle w:val="29"/>
                    <w:jc w:val="left"/>
                    <w:rPr>
                      <w:rFonts w:hint="default"/>
                      <w:color w:val="auto"/>
                    </w:rPr>
                  </w:pPr>
                  <w:r>
                    <w:rPr>
                      <w:rFonts w:hint="default"/>
                      <w:color w:val="auto"/>
                    </w:rPr>
                    <w:t>禁止在合规园区外新建、扩建钢铁、石化、化工、焦化、建材、有色、制浆造纸行业中的高污染项目。</w:t>
                  </w:r>
                </w:p>
              </w:tc>
              <w:tc>
                <w:tcPr>
                  <w:tcW w:w="1921" w:type="pct"/>
                  <w:shd w:val="clear" w:color="auto" w:fill="auto"/>
                  <w:vAlign w:val="center"/>
                </w:tcPr>
                <w:p w14:paraId="20FD460C">
                  <w:pPr>
                    <w:pStyle w:val="29"/>
                    <w:ind w:firstLine="0" w:firstLineChars="0"/>
                    <w:rPr>
                      <w:rFonts w:hint="default" w:ascii="Times New Roman" w:hAnsi="Times New Roman" w:eastAsia="宋体" w:cs="Times New Roman"/>
                      <w:b w:val="0"/>
                      <w:color w:val="auto"/>
                      <w:kern w:val="0"/>
                      <w:sz w:val="21"/>
                      <w:szCs w:val="22"/>
                      <w:lang w:val="en-US" w:eastAsia="zh-CN" w:bidi="ar-SA"/>
                    </w:rPr>
                  </w:pPr>
                  <w:r>
                    <w:rPr>
                      <w:color w:val="auto"/>
                    </w:rPr>
                    <w:t>本项目不涉及。</w:t>
                  </w:r>
                </w:p>
              </w:tc>
              <w:tc>
                <w:tcPr>
                  <w:tcW w:w="469" w:type="pct"/>
                  <w:shd w:val="clear" w:color="auto" w:fill="auto"/>
                  <w:vAlign w:val="center"/>
                </w:tcPr>
                <w:p w14:paraId="28DB8BA8">
                  <w:pPr>
                    <w:pStyle w:val="29"/>
                    <w:rPr>
                      <w:color w:val="auto"/>
                    </w:rPr>
                  </w:pPr>
                  <w:r>
                    <w:rPr>
                      <w:rFonts w:hint="eastAsia"/>
                      <w:color w:val="auto"/>
                      <w:lang w:eastAsia="zh-CN"/>
                    </w:rPr>
                    <w:t>符合</w:t>
                  </w:r>
                </w:p>
              </w:tc>
            </w:tr>
            <w:tr w14:paraId="5404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6EA7F3D9">
                  <w:pPr>
                    <w:pStyle w:val="29"/>
                    <w:rPr>
                      <w:rFonts w:hint="default"/>
                      <w:color w:val="auto"/>
                    </w:rPr>
                  </w:pPr>
                  <w:r>
                    <w:rPr>
                      <w:color w:val="auto"/>
                    </w:rPr>
                    <w:t>11</w:t>
                  </w:r>
                </w:p>
              </w:tc>
              <w:tc>
                <w:tcPr>
                  <w:tcW w:w="2206" w:type="pct"/>
                  <w:shd w:val="clear" w:color="auto" w:fill="auto"/>
                  <w:vAlign w:val="center"/>
                </w:tcPr>
                <w:p w14:paraId="01D594F4">
                  <w:pPr>
                    <w:pStyle w:val="29"/>
                    <w:jc w:val="left"/>
                    <w:rPr>
                      <w:rFonts w:hint="eastAsia" w:eastAsia="宋体"/>
                      <w:color w:val="auto"/>
                      <w:lang w:eastAsia="zh-CN"/>
                    </w:rPr>
                  </w:pPr>
                  <w:r>
                    <w:rPr>
                      <w:rFonts w:hint="default"/>
                      <w:color w:val="auto"/>
                    </w:rPr>
                    <w:t>禁止新建、扩建不符合国家石化、现代煤化工等产业布局规划的项目。禁止列入《云南省城镇人口密集区危险化学品生产企业搬迁改造名单》的搬迁改造企业在原址新建、扩建危险化学品生产项目</w:t>
                  </w:r>
                  <w:r>
                    <w:rPr>
                      <w:rFonts w:hint="eastAsia"/>
                      <w:color w:val="auto"/>
                      <w:lang w:eastAsia="zh-CN"/>
                    </w:rPr>
                    <w:t>。</w:t>
                  </w:r>
                </w:p>
              </w:tc>
              <w:tc>
                <w:tcPr>
                  <w:tcW w:w="1921" w:type="pct"/>
                  <w:shd w:val="clear" w:color="auto" w:fill="auto"/>
                  <w:vAlign w:val="center"/>
                </w:tcPr>
                <w:p w14:paraId="4E627E3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本项目不涉及</w:t>
                  </w:r>
                </w:p>
              </w:tc>
              <w:tc>
                <w:tcPr>
                  <w:tcW w:w="469" w:type="pct"/>
                  <w:shd w:val="clear" w:color="auto" w:fill="auto"/>
                  <w:vAlign w:val="center"/>
                </w:tcPr>
                <w:p w14:paraId="3A6765DD">
                  <w:pPr>
                    <w:pStyle w:val="29"/>
                    <w:rPr>
                      <w:rFonts w:hint="eastAsia"/>
                      <w:color w:val="auto"/>
                      <w:lang w:eastAsia="zh-CN"/>
                    </w:rPr>
                  </w:pPr>
                  <w:r>
                    <w:rPr>
                      <w:rFonts w:hint="eastAsia"/>
                      <w:color w:val="auto"/>
                      <w:lang w:eastAsia="zh-CN"/>
                    </w:rPr>
                    <w:t>符合</w:t>
                  </w:r>
                </w:p>
              </w:tc>
            </w:tr>
            <w:tr w14:paraId="7385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2" w:type="pct"/>
                  <w:shd w:val="clear" w:color="auto" w:fill="auto"/>
                  <w:vAlign w:val="center"/>
                </w:tcPr>
                <w:p w14:paraId="1E3C884D">
                  <w:pPr>
                    <w:pStyle w:val="29"/>
                    <w:rPr>
                      <w:rFonts w:hint="default"/>
                      <w:color w:val="auto"/>
                    </w:rPr>
                  </w:pPr>
                  <w:r>
                    <w:rPr>
                      <w:color w:val="auto"/>
                    </w:rPr>
                    <w:t>12</w:t>
                  </w:r>
                </w:p>
              </w:tc>
              <w:tc>
                <w:tcPr>
                  <w:tcW w:w="2206" w:type="pct"/>
                  <w:shd w:val="clear" w:color="auto" w:fill="auto"/>
                  <w:vAlign w:val="center"/>
                </w:tcPr>
                <w:p w14:paraId="18DBBA84">
                  <w:pPr>
                    <w:pStyle w:val="29"/>
                    <w:jc w:val="left"/>
                    <w:rPr>
                      <w:rFonts w:hint="default"/>
                      <w:color w:val="auto"/>
                    </w:rPr>
                  </w:pPr>
                  <w:r>
                    <w:rPr>
                      <w:rFonts w:hint="default"/>
                      <w:color w:val="auto"/>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921" w:type="pct"/>
                  <w:shd w:val="clear" w:color="auto" w:fill="auto"/>
                  <w:vAlign w:val="center"/>
                </w:tcPr>
                <w:p w14:paraId="2CFB266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本项目不涉及。</w:t>
                  </w:r>
                </w:p>
              </w:tc>
              <w:tc>
                <w:tcPr>
                  <w:tcW w:w="469" w:type="pct"/>
                  <w:shd w:val="clear" w:color="auto" w:fill="auto"/>
                  <w:vAlign w:val="center"/>
                </w:tcPr>
                <w:p w14:paraId="72E3B26A">
                  <w:pPr>
                    <w:pStyle w:val="29"/>
                    <w:rPr>
                      <w:color w:val="auto"/>
                    </w:rPr>
                  </w:pPr>
                  <w:r>
                    <w:rPr>
                      <w:rFonts w:hint="eastAsia"/>
                      <w:color w:val="auto"/>
                      <w:lang w:eastAsia="zh-CN"/>
                    </w:rPr>
                    <w:t>符合</w:t>
                  </w:r>
                </w:p>
              </w:tc>
            </w:tr>
          </w:tbl>
          <w:p w14:paraId="71E3C8CE">
            <w:pPr>
              <w:ind w:firstLine="480"/>
              <w:rPr>
                <w:color w:val="auto"/>
              </w:rPr>
            </w:pPr>
            <w:r>
              <w:rPr>
                <w:color w:val="auto"/>
              </w:rPr>
              <w:t>本项目不属于区域内限制或禁止开发建设的项目，且项目污染物排放量也根据要求采取相应的</w:t>
            </w:r>
            <w:r>
              <w:rPr>
                <w:rFonts w:hint="eastAsia"/>
                <w:color w:val="auto"/>
              </w:rPr>
              <w:t>环保</w:t>
            </w:r>
            <w:r>
              <w:rPr>
                <w:color w:val="auto"/>
              </w:rPr>
              <w:t>措施</w:t>
            </w:r>
            <w:r>
              <w:rPr>
                <w:rFonts w:hint="eastAsia"/>
                <w:color w:val="auto"/>
              </w:rPr>
              <w:t>，项目对生态</w:t>
            </w:r>
            <w:r>
              <w:rPr>
                <w:color w:val="auto"/>
              </w:rPr>
              <w:t>环境影响较小。本项目不属于《云南省长江经济带发展负面清单指南实施细则（试行）》中禁止的项目，不属于禁止发展的产业类型，从该角度分析，项目满足负面清单要求</w:t>
            </w:r>
            <w:r>
              <w:rPr>
                <w:rFonts w:hint="eastAsia"/>
                <w:color w:val="auto"/>
              </w:rPr>
              <w:t>。</w:t>
            </w:r>
          </w:p>
          <w:p w14:paraId="7E3B369D">
            <w:pPr>
              <w:ind w:firstLine="480"/>
              <w:rPr>
                <w:rFonts w:hint="eastAsia"/>
                <w:b/>
                <w:bCs/>
                <w:color w:val="auto"/>
                <w:lang w:val="en-US" w:eastAsia="zh-CN"/>
              </w:rPr>
            </w:pPr>
            <w:r>
              <w:rPr>
                <w:rFonts w:hint="eastAsia"/>
                <w:b/>
                <w:bCs/>
                <w:color w:val="auto"/>
                <w:lang w:val="en-US" w:eastAsia="zh-CN"/>
              </w:rPr>
              <w:t>10、项目与《饮料酒制造业污染防治技术政策》符合性分析</w:t>
            </w:r>
          </w:p>
          <w:p w14:paraId="661C62DE">
            <w:pPr>
              <w:ind w:firstLine="480"/>
              <w:rPr>
                <w:rFonts w:hint="eastAsia"/>
                <w:color w:val="auto"/>
                <w:lang w:val="en-US" w:eastAsia="zh-CN"/>
              </w:rPr>
            </w:pPr>
            <w:r>
              <w:rPr>
                <w:rFonts w:hint="eastAsia"/>
                <w:color w:val="auto"/>
                <w:lang w:val="en-US" w:eastAsia="zh-CN"/>
              </w:rPr>
              <w:t>根据《关于发布&lt;饮料酒制造业污染防治技术政策&gt;的公告》（生态环境部公告2018年第7号）；“（四）饮料酒制造业污染防治应遵循减量化、资源化、无害化的原则，采用源头控制、生产过程减排、废物资源化利用和末端治理的全过程综合污染防治技术路线，强化工艺清洁、资源循环利用。（五）鼓励在生产过程中采用自动控制系统《饮料酒制造业污染防治技术政策》和生产监控系统，在各用水节点安装计量装置，加强用水量监控。（六）积极在全行业推行清洁生产技术和工艺，满足行业清洁生产的基本要求”，污染防治技术政策见表1-15。</w:t>
            </w:r>
          </w:p>
          <w:p w14:paraId="2413E9F5">
            <w:pPr>
              <w:pStyle w:val="13"/>
              <w:spacing w:line="240" w:lineRule="auto"/>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color w:val="auto"/>
                <w:kern w:val="2"/>
                <w:sz w:val="21"/>
                <w:szCs w:val="21"/>
                <w:highlight w:val="none"/>
                <w:lang w:val="en-US"/>
              </w:rPr>
              <w:t>表1-</w:t>
            </w:r>
            <w:r>
              <w:rPr>
                <w:rFonts w:hint="eastAsia" w:ascii="Times New Roman" w:hAnsi="Times New Roman" w:eastAsia="宋体" w:cs="Times New Roman"/>
                <w:b/>
                <w:color w:val="auto"/>
                <w:kern w:val="2"/>
                <w:sz w:val="21"/>
                <w:szCs w:val="21"/>
                <w:highlight w:val="none"/>
                <w:lang w:val="en-US" w:eastAsia="zh-CN"/>
              </w:rPr>
              <w:t>1</w:t>
            </w:r>
            <w:r>
              <w:rPr>
                <w:rFonts w:hint="eastAsia" w:ascii="Times New Roman" w:hAnsi="Times New Roman" w:cs="Times New Roman"/>
                <w:b/>
                <w:color w:val="auto"/>
                <w:kern w:val="2"/>
                <w:sz w:val="21"/>
                <w:szCs w:val="21"/>
                <w:highlight w:val="none"/>
                <w:lang w:val="en-US" w:eastAsia="zh-CN"/>
              </w:rPr>
              <w:t>2</w:t>
            </w:r>
            <w:r>
              <w:rPr>
                <w:rFonts w:hint="default" w:ascii="Times New Roman" w:hAnsi="Times New Roman" w:eastAsia="宋体" w:cs="Times New Roman"/>
                <w:b/>
                <w:color w:val="auto"/>
                <w:kern w:val="2"/>
                <w:sz w:val="21"/>
                <w:szCs w:val="21"/>
                <w:highlight w:val="none"/>
                <w:lang w:val="en-US"/>
              </w:rPr>
              <w:t>项目与</w:t>
            </w:r>
            <w:r>
              <w:rPr>
                <w:rFonts w:hint="eastAsia" w:ascii="Times New Roman" w:hAnsi="Times New Roman" w:eastAsia="宋体" w:cs="Times New Roman"/>
                <w:b/>
                <w:color w:val="auto"/>
                <w:sz w:val="21"/>
                <w:szCs w:val="21"/>
                <w:highlight w:val="none"/>
                <w:lang w:val="en-US" w:eastAsia="zh-CN"/>
              </w:rPr>
              <w:t>《饮料酒制造业污染防治技术政策》</w:t>
            </w:r>
            <w:r>
              <w:rPr>
                <w:rFonts w:hint="default" w:ascii="Times New Roman" w:hAnsi="Times New Roman" w:eastAsia="宋体" w:cs="Times New Roman"/>
                <w:b/>
                <w:color w:val="auto"/>
                <w:kern w:val="2"/>
                <w:sz w:val="21"/>
                <w:szCs w:val="21"/>
                <w:highlight w:val="none"/>
                <w:lang w:val="en-US"/>
              </w:rPr>
              <w:t>符合性</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92"/>
              <w:gridCol w:w="3325"/>
              <w:gridCol w:w="3356"/>
              <w:gridCol w:w="867"/>
            </w:tblGrid>
            <w:tr w14:paraId="3157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tcBorders>
                    <w:top w:val="single" w:color="000000" w:sz="4" w:space="0"/>
                    <w:left w:val="single" w:color="000000" w:sz="4" w:space="0"/>
                    <w:bottom w:val="single" w:color="000000" w:sz="4" w:space="0"/>
                    <w:right w:val="single" w:color="000000" w:sz="4" w:space="0"/>
                    <w:tl2br w:val="nil"/>
                  </w:tcBorders>
                  <w:shd w:val="clear" w:color="auto" w:fill="auto"/>
                  <w:noWrap w:val="0"/>
                  <w:vAlign w:val="center"/>
                </w:tcPr>
                <w:p w14:paraId="3100BECB">
                  <w:pPr>
                    <w:pStyle w:val="29"/>
                    <w:bidi w:val="0"/>
                    <w:rPr>
                      <w:rFonts w:hint="default"/>
                      <w:color w:val="auto"/>
                    </w:rPr>
                  </w:pPr>
                  <w:r>
                    <w:rPr>
                      <w:rFonts w:hint="eastAsia"/>
                      <w:color w:val="auto"/>
                      <w:lang w:val="en-US" w:eastAsia="zh-CN"/>
                    </w:rPr>
                    <w:t>项目类别</w:t>
                  </w:r>
                </w:p>
              </w:tc>
              <w:tc>
                <w:tcPr>
                  <w:tcW w:w="19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C323B">
                  <w:pPr>
                    <w:pStyle w:val="29"/>
                    <w:bidi w:val="0"/>
                    <w:rPr>
                      <w:rFonts w:hint="eastAsia"/>
                      <w:color w:val="auto"/>
                      <w:lang w:eastAsia="zh-CN"/>
                    </w:rPr>
                  </w:pPr>
                  <w:r>
                    <w:rPr>
                      <w:rFonts w:hint="eastAsia"/>
                      <w:color w:val="auto"/>
                      <w:lang w:val="en-US" w:eastAsia="zh-CN"/>
                    </w:rPr>
                    <w:t>防治技术</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4247E">
                  <w:pPr>
                    <w:pStyle w:val="29"/>
                    <w:bidi w:val="0"/>
                    <w:rPr>
                      <w:rFonts w:hint="default"/>
                      <w:color w:val="auto"/>
                    </w:rPr>
                  </w:pPr>
                  <w:r>
                    <w:rPr>
                      <w:rFonts w:hint="default"/>
                      <w:color w:val="auto"/>
                    </w:rPr>
                    <w:t>本项目情况</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3A689">
                  <w:pPr>
                    <w:pStyle w:val="29"/>
                    <w:bidi w:val="0"/>
                    <w:rPr>
                      <w:rFonts w:hint="default"/>
                      <w:color w:val="auto"/>
                    </w:rPr>
                  </w:pPr>
                  <w:r>
                    <w:rPr>
                      <w:rFonts w:hint="default"/>
                      <w:color w:val="auto"/>
                    </w:rPr>
                    <w:t>符合性</w:t>
                  </w:r>
                </w:p>
              </w:tc>
            </w:tr>
            <w:tr w14:paraId="6BD83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E70F7">
                  <w:pPr>
                    <w:pStyle w:val="29"/>
                    <w:bidi w:val="0"/>
                    <w:rPr>
                      <w:rFonts w:hint="default"/>
                      <w:color w:val="auto"/>
                    </w:rPr>
                  </w:pPr>
                  <w:r>
                    <w:rPr>
                      <w:rFonts w:hint="default"/>
                      <w:color w:val="auto"/>
                    </w:rPr>
                    <w:t>一、源头及生产过程污染防控</w:t>
                  </w:r>
                </w:p>
              </w:tc>
            </w:tr>
            <w:tr w14:paraId="2EEC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7E9BD">
                  <w:pPr>
                    <w:pStyle w:val="29"/>
                    <w:bidi w:val="0"/>
                    <w:rPr>
                      <w:rFonts w:hint="default"/>
                      <w:color w:val="auto"/>
                    </w:rPr>
                  </w:pPr>
                  <w:r>
                    <w:rPr>
                      <w:rFonts w:hint="default"/>
                      <w:color w:val="auto"/>
                    </w:rPr>
                    <w:t>源头控制</w:t>
                  </w:r>
                </w:p>
              </w:tc>
              <w:tc>
                <w:tcPr>
                  <w:tcW w:w="19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162F4">
                  <w:pPr>
                    <w:pStyle w:val="29"/>
                    <w:bidi w:val="0"/>
                    <w:rPr>
                      <w:rFonts w:hint="default"/>
                      <w:color w:val="auto"/>
                    </w:rPr>
                  </w:pPr>
                  <w:r>
                    <w:rPr>
                      <w:rFonts w:hint="default"/>
                      <w:color w:val="auto"/>
                    </w:rPr>
                    <w:t>白酒、啤酒、黄酒制造业应加强原料储存与输送过程的污染控制，原料宜采用标准化仓储、密闭输送。</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93E3F">
                  <w:pPr>
                    <w:pStyle w:val="29"/>
                    <w:bidi w:val="0"/>
                    <w:rPr>
                      <w:rFonts w:hint="default"/>
                      <w:color w:val="auto"/>
                      <w:lang w:val="en-US" w:eastAsia="zh-CN"/>
                    </w:rPr>
                  </w:pPr>
                  <w:r>
                    <w:rPr>
                      <w:rFonts w:hint="eastAsia"/>
                      <w:color w:val="auto"/>
                      <w:lang w:val="en-US" w:eastAsia="zh-CN"/>
                    </w:rPr>
                    <w:t>本项目为啤酒生产，原料为麦芽，储存在原料库，原料输送为车辆运输加盖篷布、密闭输送。</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D3781">
                  <w:pPr>
                    <w:pStyle w:val="29"/>
                    <w:bidi w:val="0"/>
                    <w:rPr>
                      <w:rFonts w:hint="default"/>
                      <w:color w:val="auto"/>
                    </w:rPr>
                  </w:pPr>
                  <w:r>
                    <w:rPr>
                      <w:rFonts w:hint="default"/>
                      <w:color w:val="auto"/>
                    </w:rPr>
                    <w:t>符合</w:t>
                  </w:r>
                </w:p>
              </w:tc>
            </w:tr>
            <w:tr w14:paraId="7A17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85424">
                  <w:pPr>
                    <w:pStyle w:val="29"/>
                    <w:bidi w:val="0"/>
                    <w:rPr>
                      <w:rFonts w:hint="default"/>
                      <w:color w:val="auto"/>
                      <w:lang w:val="en-US" w:eastAsia="zh-CN"/>
                    </w:rPr>
                  </w:pPr>
                  <w:r>
                    <w:rPr>
                      <w:rFonts w:hint="default"/>
                      <w:color w:val="auto"/>
                    </w:rPr>
                    <w:t>生产过程污染防控</w:t>
                  </w:r>
                  <w:r>
                    <w:rPr>
                      <w:rFonts w:hint="eastAsia"/>
                      <w:color w:val="auto"/>
                      <w:lang w:eastAsia="zh-CN"/>
                    </w:rPr>
                    <w:t>—</w:t>
                  </w:r>
                  <w:r>
                    <w:rPr>
                      <w:rFonts w:hint="eastAsia"/>
                      <w:color w:val="auto"/>
                      <w:lang w:val="en-US" w:eastAsia="zh-CN"/>
                    </w:rPr>
                    <w:t>啤酒</w:t>
                  </w:r>
                </w:p>
              </w:tc>
              <w:tc>
                <w:tcPr>
                  <w:tcW w:w="19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8088C">
                  <w:pPr>
                    <w:pStyle w:val="29"/>
                    <w:bidi w:val="0"/>
                    <w:rPr>
                      <w:rFonts w:hint="default"/>
                      <w:color w:val="auto"/>
                    </w:rPr>
                  </w:pPr>
                  <w:r>
                    <w:rPr>
                      <w:rFonts w:hint="default"/>
                      <w:color w:val="auto"/>
                      <w:lang w:val="en-US" w:eastAsia="zh-CN"/>
                    </w:rPr>
                    <w:t>（1）鼓励麦汁过滤采用干排糟技术，提高麦糟的综合利用率，减少用水量及水污染负荷。（2）应配备热凝固物、废酵母、废硅藻土回收系统，回收和再利用固体废物中的有用物质，降低综合废水污染负荷。（3）鼓励进行弱麦汁、残酒的回收再利用，降低综合废水污染负荷。（4）发酵过程应对二氧化碳进行回收，回收率应达到85%以上。（5）鼓励采用错流膜过滤等新型无土过滤技术，代替硅藻土过滤技术。（6）加强对冷却水和冲洗水等低浓度工艺废水的循环利用，提高水重复利用率。（7）应采用高效在线清洗CIP（原位清洗）技术，通过采取调整清洗液配方、分段冲洗、优化CIP流程和改良清洗装备等措施，降低取水量。（8）麦汁冷却应采用一段冷却热麦汁热能回收技术，降低能耗和水耗。（9）煮沸锅应配备二次蒸汽回收系统。鼓励采用低压动态煮沸等新型节能煮沸技术。</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CE75F">
                  <w:pPr>
                    <w:pStyle w:val="29"/>
                    <w:bidi w:val="0"/>
                    <w:rPr>
                      <w:rFonts w:hint="default"/>
                      <w:color w:val="auto"/>
                      <w:lang w:val="en-US" w:eastAsia="zh-CN"/>
                    </w:rPr>
                  </w:pPr>
                  <w:r>
                    <w:rPr>
                      <w:rFonts w:hint="eastAsia"/>
                      <w:color w:val="auto"/>
                      <w:lang w:val="en-US" w:eastAsia="zh-CN"/>
                    </w:rPr>
                    <w:t>（1）本项目</w:t>
                  </w:r>
                  <w:r>
                    <w:rPr>
                      <w:rFonts w:hint="default"/>
                      <w:color w:val="auto"/>
                      <w:lang w:val="en-US" w:eastAsia="zh-CN"/>
                    </w:rPr>
                    <w:t>麦汁过滤采用干排糟技术，</w:t>
                  </w:r>
                  <w:r>
                    <w:rPr>
                      <w:rFonts w:hint="eastAsia"/>
                      <w:color w:val="auto"/>
                      <w:lang w:val="en-US" w:eastAsia="zh-CN"/>
                    </w:rPr>
                    <w:t>可</w:t>
                  </w:r>
                  <w:r>
                    <w:rPr>
                      <w:rFonts w:hint="default"/>
                      <w:color w:val="auto"/>
                      <w:lang w:val="en-US" w:eastAsia="zh-CN"/>
                    </w:rPr>
                    <w:t>提高麦糟的综合利用率，减少用水量及水污染负荷</w:t>
                  </w:r>
                  <w:r>
                    <w:rPr>
                      <w:rFonts w:hint="eastAsia"/>
                      <w:color w:val="auto"/>
                      <w:lang w:val="en-US" w:eastAsia="zh-CN"/>
                    </w:rPr>
                    <w:t>。（2）本项目</w:t>
                  </w:r>
                  <w:r>
                    <w:rPr>
                      <w:rFonts w:hint="default"/>
                      <w:color w:val="auto"/>
                      <w:lang w:val="en-US" w:eastAsia="zh-CN"/>
                    </w:rPr>
                    <w:t>麦糟、</w:t>
                  </w:r>
                  <w:r>
                    <w:rPr>
                      <w:rFonts w:hint="eastAsia"/>
                      <w:color w:val="auto"/>
                      <w:lang w:val="en-US" w:eastAsia="zh-CN"/>
                    </w:rPr>
                    <w:t>沉淀渣、</w:t>
                  </w:r>
                  <w:r>
                    <w:rPr>
                      <w:rFonts w:hint="default"/>
                      <w:color w:val="auto"/>
                      <w:lang w:val="en-US" w:eastAsia="zh-CN"/>
                    </w:rPr>
                    <w:t>酒花糟、废酵母等进入密闭设计的麦槽罐贮存，全部定向外售至已取得饲料生产合法资质的饲料加工企业，或具备规模化养殖资质、配套合规饲料加工车间的养殖场，作为饲料生产原料实现全量资源化利用，不交由无资质散户零散收购处置，即产即清</w:t>
                  </w:r>
                  <w:r>
                    <w:rPr>
                      <w:rFonts w:hint="default"/>
                      <w:color w:val="auto"/>
                    </w:rPr>
                    <w:t>。</w:t>
                  </w: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本项目发酵、灌装过程均在密闭容器中进行，且采用优级麦芽，</w:t>
                  </w:r>
                  <w:r>
                    <w:rPr>
                      <w:rFonts w:hint="default"/>
                      <w:color w:val="auto"/>
                      <w:lang w:val="en-US" w:eastAsia="zh-CN"/>
                    </w:rPr>
                    <w:t>弱麦汁、残酒</w:t>
                  </w:r>
                  <w:r>
                    <w:rPr>
                      <w:rFonts w:hint="eastAsia"/>
                      <w:color w:val="auto"/>
                      <w:lang w:val="en-US" w:eastAsia="zh-CN"/>
                    </w:rPr>
                    <w:t>产生量较小。（4）本项目发酵过程中CO</w:t>
                  </w:r>
                  <w:r>
                    <w:rPr>
                      <w:rFonts w:hint="eastAsia"/>
                      <w:color w:val="auto"/>
                      <w:vertAlign w:val="subscript"/>
                      <w:lang w:val="en-US" w:eastAsia="zh-CN"/>
                    </w:rPr>
                    <w:t>2</w:t>
                  </w:r>
                  <w:r>
                    <w:rPr>
                      <w:rFonts w:hint="eastAsia"/>
                      <w:color w:val="auto"/>
                      <w:lang w:val="en-US" w:eastAsia="zh-CN"/>
                    </w:rPr>
                    <w:t>通过采取采用食品级空钢瓶回收利用CO</w:t>
                  </w:r>
                  <w:r>
                    <w:rPr>
                      <w:rFonts w:hint="eastAsia"/>
                      <w:color w:val="auto"/>
                      <w:vertAlign w:val="subscript"/>
                      <w:lang w:val="en-US" w:eastAsia="zh-CN"/>
                    </w:rPr>
                    <w:t>2</w:t>
                  </w:r>
                  <w:r>
                    <w:rPr>
                      <w:rFonts w:hint="eastAsia"/>
                      <w:color w:val="auto"/>
                      <w:lang w:val="en-US" w:eastAsia="zh-CN"/>
                    </w:rPr>
                    <w:t>，回收效率可达85%。（5）本项目使用过滤无需加入硅藻泥，可满足生产需求。（6）本项目制冷系统采用板式换热器结合制冷机使用，冷却水循环使用不外排。低浓度废水与其他废水混合后进入厂内自建三级沉淀池与处理后再进入一体化污水处理设备处理。（7）</w:t>
                  </w:r>
                  <w:r>
                    <w:rPr>
                      <w:rFonts w:hint="default"/>
                      <w:color w:val="auto"/>
                      <w:lang w:val="en-US" w:eastAsia="zh-CN"/>
                    </w:rPr>
                    <w:t>本项目糖化锅、发酵罐等生产设备及管道清洗均采用高效在线清洗CIP清洗系统，降低取水量</w:t>
                  </w:r>
                  <w:r>
                    <w:rPr>
                      <w:rFonts w:hint="eastAsia"/>
                      <w:color w:val="auto"/>
                      <w:lang w:val="en-US" w:eastAsia="zh-CN"/>
                    </w:rPr>
                    <w:t>。（8）本项目麦汁冷却采用板式换热器结合制冷机使用，冷却水循环使用不外排，能耗和水耗较低。（9）本项目煮沸锅</w:t>
                  </w:r>
                  <w:r>
                    <w:rPr>
                      <w:rFonts w:hint="default"/>
                      <w:color w:val="auto"/>
                      <w:lang w:val="en-US" w:eastAsia="zh-CN"/>
                    </w:rPr>
                    <w:t>采用低压动态煮沸。</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0C537">
                  <w:pPr>
                    <w:pStyle w:val="29"/>
                    <w:bidi w:val="0"/>
                    <w:rPr>
                      <w:rFonts w:hint="default"/>
                      <w:color w:val="auto"/>
                    </w:rPr>
                  </w:pPr>
                  <w:r>
                    <w:rPr>
                      <w:rFonts w:hint="default"/>
                      <w:color w:val="auto"/>
                    </w:rPr>
                    <w:t>符合</w:t>
                  </w:r>
                </w:p>
              </w:tc>
            </w:tr>
            <w:tr w14:paraId="01392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C187D">
                  <w:pPr>
                    <w:pStyle w:val="29"/>
                    <w:bidi w:val="0"/>
                    <w:rPr>
                      <w:rFonts w:hint="default"/>
                      <w:color w:val="auto"/>
                    </w:rPr>
                  </w:pPr>
                  <w:r>
                    <w:rPr>
                      <w:rFonts w:hint="eastAsia"/>
                      <w:color w:val="auto"/>
                      <w:lang w:val="en-US" w:eastAsia="zh-CN"/>
                    </w:rPr>
                    <w:t>二</w:t>
                  </w:r>
                  <w:r>
                    <w:rPr>
                      <w:rFonts w:hint="default"/>
                      <w:color w:val="auto"/>
                    </w:rPr>
                    <w:t>、污染治理及综合利用</w:t>
                  </w:r>
                </w:p>
              </w:tc>
            </w:tr>
            <w:tr w14:paraId="508D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3E5BC">
                  <w:pPr>
                    <w:pStyle w:val="29"/>
                    <w:bidi w:val="0"/>
                    <w:rPr>
                      <w:rFonts w:hint="default"/>
                      <w:color w:val="auto"/>
                    </w:rPr>
                  </w:pPr>
                  <w:r>
                    <w:rPr>
                      <w:rFonts w:hint="default"/>
                      <w:color w:val="auto"/>
                    </w:rPr>
                    <w:t>大气污染治理</w:t>
                  </w:r>
                </w:p>
              </w:tc>
              <w:tc>
                <w:tcPr>
                  <w:tcW w:w="19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93DD2">
                  <w:pPr>
                    <w:pStyle w:val="29"/>
                    <w:bidi w:val="0"/>
                    <w:rPr>
                      <w:rFonts w:hint="default"/>
                      <w:color w:val="auto"/>
                    </w:rPr>
                  </w:pPr>
                  <w:r>
                    <w:rPr>
                      <w:rFonts w:hint="default"/>
                      <w:color w:val="auto"/>
                    </w:rPr>
                    <w:t>1．应采用封闭粉碎、袋式除尘或喷水降尘等方法与技术，对原料输送、粉碎工序产生的粉尘进行收集处理，达标排放。2．酒糟、滤渣堆场应采取封闭措施，对产生废气进行收集，经化学吸收法或活性炭吸附法等技术处理后达标排放。</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F8AF5">
                  <w:pPr>
                    <w:pStyle w:val="29"/>
                    <w:bidi w:val="0"/>
                    <w:rPr>
                      <w:rFonts w:hint="eastAsia"/>
                      <w:color w:val="auto"/>
                      <w:lang w:eastAsia="zh-CN"/>
                    </w:rPr>
                  </w:pPr>
                  <w:r>
                    <w:rPr>
                      <w:rFonts w:hint="eastAsia"/>
                      <w:color w:val="auto"/>
                      <w:lang w:val="en-US" w:eastAsia="zh-CN"/>
                    </w:rPr>
                    <w:t>1.项目</w:t>
                  </w:r>
                  <w:r>
                    <w:rPr>
                      <w:rFonts w:hint="default"/>
                      <w:color w:val="auto"/>
                      <w:lang w:eastAsia="zh-CN"/>
                    </w:rPr>
                    <w:t>运营期</w:t>
                  </w:r>
                  <w:r>
                    <w:rPr>
                      <w:rFonts w:hint="eastAsia"/>
                      <w:color w:val="auto"/>
                      <w:lang w:val="en-US" w:eastAsia="zh-CN"/>
                    </w:rPr>
                    <w:t>产生的破碎粉尘经集气罩收集后通过引风机引入布袋除尘器处理后通过一根高20m的排气筒（DA002）排放</w:t>
                  </w:r>
                  <w:r>
                    <w:rPr>
                      <w:rFonts w:hint="eastAsia"/>
                      <w:color w:val="auto"/>
                      <w:lang w:eastAsia="zh-CN"/>
                    </w:rPr>
                    <w:t>。</w:t>
                  </w:r>
                </w:p>
                <w:p w14:paraId="620C1748">
                  <w:pPr>
                    <w:pStyle w:val="29"/>
                    <w:bidi w:val="0"/>
                    <w:rPr>
                      <w:rFonts w:hint="default"/>
                      <w:color w:val="auto"/>
                      <w:lang w:val="en-US"/>
                    </w:rPr>
                  </w:pPr>
                  <w:r>
                    <w:rPr>
                      <w:rFonts w:hint="eastAsia"/>
                      <w:color w:val="auto"/>
                      <w:lang w:val="en-US" w:eastAsia="zh-CN"/>
                    </w:rPr>
                    <w:t>2.麦糟、沉淀渣、酒花槽、废酵母进入密闭设计的麦槽罐贮存后全部定向外售至已取得饲料生产合法资质的饲料加工企业，或具备规模化养殖资质、配套合规饲料加工车间的养殖场，作为饲料生产原料实现全量资源化利用，不交由无资质散户零散收购处置，即产即清，仅在装罐和清运时会产生少量恶臭气体，该部分废气属无组织排放，产生量较少，清运过程喷洒除臭剂后对环境影响大不。</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64144">
                  <w:pPr>
                    <w:pStyle w:val="29"/>
                    <w:bidi w:val="0"/>
                    <w:rPr>
                      <w:rFonts w:hint="default"/>
                      <w:color w:val="auto"/>
                    </w:rPr>
                  </w:pPr>
                  <w:r>
                    <w:rPr>
                      <w:rFonts w:hint="default"/>
                      <w:color w:val="auto"/>
                    </w:rPr>
                    <w:t>符合</w:t>
                  </w:r>
                </w:p>
              </w:tc>
            </w:tr>
            <w:tr w14:paraId="623CD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C43AA">
                  <w:pPr>
                    <w:pStyle w:val="29"/>
                    <w:bidi w:val="0"/>
                    <w:rPr>
                      <w:rFonts w:hint="default"/>
                      <w:color w:val="auto"/>
                    </w:rPr>
                  </w:pPr>
                  <w:r>
                    <w:rPr>
                      <w:rFonts w:hint="default"/>
                      <w:color w:val="auto"/>
                    </w:rPr>
                    <w:t>水污染治理</w:t>
                  </w:r>
                </w:p>
              </w:tc>
              <w:tc>
                <w:tcPr>
                  <w:tcW w:w="19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C6C12">
                  <w:pPr>
                    <w:pStyle w:val="29"/>
                    <w:bidi w:val="0"/>
                    <w:rPr>
                      <w:rFonts w:hint="default"/>
                      <w:color w:val="auto"/>
                    </w:rPr>
                  </w:pPr>
                  <w:r>
                    <w:rPr>
                      <w:rFonts w:hint="default"/>
                      <w:color w:val="auto"/>
                      <w:lang w:val="en-US" w:eastAsia="zh-CN"/>
                    </w:rPr>
                    <w:t>1.高浓度废水（锅底水、黄水、废糟液、麦糟滤液、酵母滤洗水、洗糟水、米浆水、酒糟堆存场地渗滤液等）应单独收集进行预处理，再与中低浓度工艺废水（冲洗水、洗涤水、冷却水等）混合处理。2.鼓励白酒企业提取锅底水中的乳酸和乳酸钙，黄水中的酸、酯、醇类物质；啤酒企业残余废碱液宜单独收集、处理、封闭循环利用；葡萄酒与果酒企业对洗瓶废水单独收集处理循环利用；黄酒企业回收米浆水中的固形物。3.综合废水宜采取“预处理+（厌氧）好氧”的废水处理工艺技术路线。对于排放标准要求高的区域或需废水回用的企业，废水应进行深度处理，宜在生物处理后再增加混凝沉淀、过滤或膜分离等处理单元。</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F3A83">
                  <w:pPr>
                    <w:pStyle w:val="29"/>
                    <w:bidi w:val="0"/>
                    <w:rPr>
                      <w:rFonts w:hint="default"/>
                      <w:color w:val="auto"/>
                      <w:lang w:val="en-US" w:eastAsia="zh-CN"/>
                    </w:rPr>
                  </w:pPr>
                  <w:r>
                    <w:rPr>
                      <w:rFonts w:hint="eastAsia"/>
                      <w:color w:val="auto"/>
                      <w:lang w:val="en-US" w:eastAsia="zh-CN"/>
                    </w:rPr>
                    <w:t>1.本项目产生的清洗废水与麦糟滤液、酵母滤洗水混合后一并进入项目自建的三级沉淀池预处理后再进入一体化污水处理设施处理；项目的碱液酸液循环使用不外排。</w:t>
                  </w:r>
                </w:p>
                <w:p w14:paraId="0313B148">
                  <w:pPr>
                    <w:pStyle w:val="29"/>
                    <w:bidi w:val="0"/>
                    <w:rPr>
                      <w:rFonts w:hint="eastAsia"/>
                      <w:color w:val="auto"/>
                      <w:lang w:val="en-US" w:eastAsia="zh-CN"/>
                    </w:rPr>
                  </w:pPr>
                  <w:r>
                    <w:rPr>
                      <w:rFonts w:hint="eastAsia"/>
                      <w:color w:val="auto"/>
                      <w:lang w:val="en-US" w:eastAsia="zh-CN"/>
                    </w:rPr>
                    <w:t>2。本项目残余废碱液采用单独收集、处理、循环利用。</w:t>
                  </w:r>
                </w:p>
                <w:p w14:paraId="05535771">
                  <w:pPr>
                    <w:pStyle w:val="29"/>
                    <w:bidi w:val="0"/>
                    <w:rPr>
                      <w:rFonts w:hint="default"/>
                      <w:color w:val="auto"/>
                      <w:lang w:val="en-US" w:eastAsia="zh-CN"/>
                    </w:rPr>
                  </w:pPr>
                  <w:r>
                    <w:rPr>
                      <w:rFonts w:hint="eastAsia"/>
                      <w:color w:val="auto"/>
                      <w:lang w:val="en-US" w:eastAsia="zh-CN"/>
                    </w:rPr>
                    <w:t>3.本项目综合废水</w:t>
                  </w:r>
                  <w:r>
                    <w:rPr>
                      <w:rFonts w:hint="default"/>
                      <w:color w:val="auto"/>
                      <w:lang w:val="en-US" w:eastAsia="zh-CN"/>
                    </w:rPr>
                    <w:t>采用“格栅渠+调节池+水解酸化池+接触氧化池+沉淀池+清水池”</w:t>
                  </w:r>
                  <w:r>
                    <w:rPr>
                      <w:rFonts w:hint="default"/>
                      <w:color w:val="auto"/>
                    </w:rPr>
                    <w:t>的</w:t>
                  </w:r>
                  <w:r>
                    <w:rPr>
                      <w:rFonts w:hint="default"/>
                      <w:color w:val="auto"/>
                      <w:lang w:val="en-US"/>
                    </w:rPr>
                    <w:t>处理工艺</w:t>
                  </w:r>
                  <w:r>
                    <w:rPr>
                      <w:rFonts w:hint="default"/>
                      <w:color w:val="auto"/>
                    </w:rPr>
                    <w:t>方法</w:t>
                  </w:r>
                  <w:r>
                    <w:rPr>
                      <w:rFonts w:hint="eastAsia"/>
                      <w:color w:val="auto"/>
                      <w:lang w:eastAsia="zh-CN"/>
                    </w:rPr>
                    <w:t>，</w:t>
                  </w:r>
                  <w:r>
                    <w:rPr>
                      <w:rFonts w:hint="eastAsia"/>
                      <w:color w:val="auto"/>
                      <w:lang w:val="en-US" w:eastAsia="zh-CN"/>
                    </w:rPr>
                    <w:t>属于“物理法+厌氧/好氧组合法+化学处理法”组合技术，是《排污许可证申请与核发技术规范酒、饮料制造工业》（HJ1028—2019）推荐的可性技术。</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10503">
                  <w:pPr>
                    <w:pStyle w:val="29"/>
                    <w:bidi w:val="0"/>
                    <w:rPr>
                      <w:rFonts w:hint="default"/>
                      <w:color w:val="auto"/>
                    </w:rPr>
                  </w:pPr>
                  <w:r>
                    <w:rPr>
                      <w:rFonts w:hint="default"/>
                      <w:color w:val="auto"/>
                    </w:rPr>
                    <w:t>符合</w:t>
                  </w:r>
                </w:p>
              </w:tc>
            </w:tr>
            <w:tr w14:paraId="01C9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8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B3953">
                  <w:pPr>
                    <w:pStyle w:val="29"/>
                    <w:bidi w:val="0"/>
                    <w:rPr>
                      <w:rFonts w:hint="default"/>
                      <w:color w:val="auto"/>
                    </w:rPr>
                  </w:pPr>
                  <w:r>
                    <w:rPr>
                      <w:rFonts w:hint="default"/>
                      <w:color w:val="auto"/>
                    </w:rPr>
                    <w:t>固体废物处理处置及综合利用</w:t>
                  </w:r>
                </w:p>
              </w:tc>
              <w:tc>
                <w:tcPr>
                  <w:tcW w:w="19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158F9">
                  <w:pPr>
                    <w:pStyle w:val="29"/>
                    <w:bidi w:val="0"/>
                    <w:rPr>
                      <w:rFonts w:hint="default"/>
                      <w:color w:val="auto"/>
                    </w:rPr>
                  </w:pPr>
                  <w:r>
                    <w:rPr>
                      <w:rFonts w:hint="default"/>
                      <w:color w:val="auto"/>
                    </w:rPr>
                    <w:t>1．酒糟、麦糟宜作为优质饲料或锅炉燃料。葡萄酒与果酒皮渣应100%收集，并进行综合利用或无害化处理。黄酒糟宜制备糟烧酒、调味料、栽培食用菌，开发饲料蛋白等。2．鼓励白酒企业废窖泥经处理后作为肥料利用；鼓励啤酒企业产生的废酵母100%回收利用，废酵母深度开发生产医药、食品添加剂等产品；鼓励葡萄酒与果酒企业对酒石进行回收综合利用；鼓励采用坛式储酒方式的黄酒企业回收和减少封坛泥用量，节约资源。3．应对废硅藻土全部收集并妥善处置（填埋等），禁止排入下水道和环境中。4．鼓励对废酒瓶、废包装材料等进行收集、利用。</w:t>
                  </w:r>
                </w:p>
              </w:tc>
              <w:tc>
                <w:tcPr>
                  <w:tcW w:w="196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D8AE0">
                  <w:pPr>
                    <w:pStyle w:val="29"/>
                    <w:bidi w:val="0"/>
                    <w:rPr>
                      <w:rFonts w:hint="default"/>
                      <w:color w:val="auto"/>
                    </w:rPr>
                  </w:pPr>
                  <w:r>
                    <w:rPr>
                      <w:rFonts w:hint="default"/>
                      <w:color w:val="auto"/>
                    </w:rPr>
                    <w:t>1</w:t>
                  </w:r>
                  <w:r>
                    <w:rPr>
                      <w:rFonts w:hint="eastAsia"/>
                      <w:color w:val="auto"/>
                      <w:lang w:val="en-US" w:eastAsia="zh-CN"/>
                    </w:rPr>
                    <w:t>.2.</w:t>
                  </w:r>
                  <w:r>
                    <w:rPr>
                      <w:rFonts w:hint="default"/>
                      <w:color w:val="auto"/>
                    </w:rPr>
                    <w:t>本项目</w:t>
                  </w:r>
                  <w:r>
                    <w:rPr>
                      <w:rFonts w:hint="default"/>
                      <w:color w:val="auto"/>
                      <w:lang w:val="en-US" w:eastAsia="zh-CN"/>
                    </w:rPr>
                    <w:t>过滤、回旋沉淀后产生的麦糟、</w:t>
                  </w:r>
                  <w:r>
                    <w:rPr>
                      <w:rFonts w:hint="eastAsia"/>
                      <w:color w:val="auto"/>
                      <w:lang w:val="en-US" w:eastAsia="zh-CN"/>
                    </w:rPr>
                    <w:t>沉淀渣、</w:t>
                  </w:r>
                  <w:r>
                    <w:rPr>
                      <w:rFonts w:hint="default"/>
                      <w:color w:val="auto"/>
                      <w:lang w:val="en-US" w:eastAsia="zh-CN"/>
                    </w:rPr>
                    <w:t>酒花糟、废酵母等进入密闭设计的麦槽罐贮存，即产即清，</w:t>
                  </w:r>
                  <w:r>
                    <w:rPr>
                      <w:rFonts w:hint="default"/>
                      <w:color w:val="auto"/>
                    </w:rPr>
                    <w:t>置于</w:t>
                  </w:r>
                  <w:r>
                    <w:rPr>
                      <w:rFonts w:hint="default"/>
                      <w:color w:val="auto"/>
                      <w:lang w:val="en-US" w:eastAsia="zh-CN"/>
                    </w:rPr>
                    <w:t>麦糟</w:t>
                  </w:r>
                  <w:r>
                    <w:rPr>
                      <w:rFonts w:hint="default"/>
                      <w:color w:val="auto"/>
                      <w:lang w:eastAsia="zh-CN"/>
                    </w:rPr>
                    <w:t>暂存间</w:t>
                  </w:r>
                  <w:r>
                    <w:rPr>
                      <w:rFonts w:hint="default"/>
                      <w:color w:val="auto"/>
                    </w:rPr>
                    <w:t>，</w:t>
                  </w:r>
                  <w:r>
                    <w:rPr>
                      <w:rFonts w:hint="default"/>
                      <w:color w:val="auto"/>
                      <w:lang w:val="en-US" w:eastAsia="zh-CN"/>
                    </w:rPr>
                    <w:t>全部定向外售至已取得饲料生产合法资质的饲料加工企业，或具备规模化养殖资质、配套合规饲料加工车间的养殖场，作为饲料生产原料实现全量资源化利用，不交由无资质散户零散收购处置。回收率100%</w:t>
                  </w:r>
                  <w:r>
                    <w:rPr>
                      <w:rFonts w:hint="default"/>
                      <w:color w:val="auto"/>
                    </w:rPr>
                    <w:t>。</w:t>
                  </w:r>
                </w:p>
                <w:p w14:paraId="41C590C9">
                  <w:pPr>
                    <w:pStyle w:val="29"/>
                    <w:bidi w:val="0"/>
                    <w:rPr>
                      <w:rFonts w:hint="default"/>
                      <w:color w:val="auto"/>
                      <w:lang w:val="en-US"/>
                    </w:rPr>
                  </w:pPr>
                  <w:r>
                    <w:rPr>
                      <w:rFonts w:hint="default"/>
                      <w:color w:val="auto"/>
                      <w:lang w:val="en-US" w:eastAsia="zh-CN"/>
                    </w:rPr>
                    <w:t>3.</w:t>
                  </w:r>
                  <w:r>
                    <w:rPr>
                      <w:rFonts w:hint="eastAsia"/>
                      <w:color w:val="auto"/>
                      <w:lang w:val="en-US" w:eastAsia="zh-CN"/>
                    </w:rPr>
                    <w:t>本项目过滤无需使用硅藻泥，故不产生废硅藻土。</w:t>
                  </w:r>
                </w:p>
                <w:p w14:paraId="3080AFE0">
                  <w:pPr>
                    <w:pStyle w:val="29"/>
                    <w:bidi w:val="0"/>
                    <w:rPr>
                      <w:rFonts w:hint="default"/>
                      <w:color w:val="auto"/>
                    </w:rPr>
                  </w:pPr>
                  <w:r>
                    <w:rPr>
                      <w:rFonts w:hint="default"/>
                      <w:color w:val="auto"/>
                    </w:rPr>
                    <w:t>4．废包装材料</w:t>
                  </w:r>
                  <w:r>
                    <w:rPr>
                      <w:rFonts w:hint="default"/>
                      <w:color w:val="auto"/>
                      <w:lang w:val="en-US" w:eastAsia="zh-CN"/>
                    </w:rPr>
                    <w:t>统一收集后</w:t>
                  </w:r>
                  <w:r>
                    <w:rPr>
                      <w:rFonts w:hint="eastAsia"/>
                      <w:color w:val="auto"/>
                      <w:lang w:val="en-US" w:eastAsia="zh-CN"/>
                    </w:rPr>
                    <w:t>外售给废品回收站</w:t>
                  </w:r>
                  <w:r>
                    <w:rPr>
                      <w:rFonts w:hint="default"/>
                      <w:color w:val="auto"/>
                    </w:rPr>
                    <w:t>。</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B2698">
                  <w:pPr>
                    <w:pStyle w:val="29"/>
                    <w:bidi w:val="0"/>
                    <w:rPr>
                      <w:rFonts w:hint="eastAsia"/>
                      <w:color w:val="auto"/>
                      <w:lang w:val="en-US" w:eastAsia="zh-CN"/>
                    </w:rPr>
                  </w:pPr>
                  <w:r>
                    <w:rPr>
                      <w:rFonts w:hint="eastAsia"/>
                      <w:color w:val="auto"/>
                      <w:lang w:val="en-US" w:eastAsia="zh-CN"/>
                    </w:rPr>
                    <w:t>符合</w:t>
                  </w:r>
                </w:p>
              </w:tc>
            </w:tr>
          </w:tbl>
          <w:p w14:paraId="5BD490D5">
            <w:pPr>
              <w:autoSpaceDE w:val="0"/>
              <w:autoSpaceDN w:val="0"/>
              <w:adjustRightInd w:val="0"/>
              <w:snapToGrid w:val="0"/>
              <w:spacing w:line="360" w:lineRule="auto"/>
              <w:ind w:firstLine="480" w:firstLineChars="200"/>
              <w:rPr>
                <w:rFonts w:hint="eastAsia" w:ascii="Times New Roman" w:hAnsi="Times New Roman" w:eastAsia="宋体" w:cs="Times New Roman"/>
                <w:b/>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综上</w:t>
            </w:r>
            <w:r>
              <w:rPr>
                <w:rFonts w:hint="eastAsia" w:ascii="Times New Roman" w:hAnsi="Times New Roman" w:eastAsia="宋体" w:cs="Times New Roman"/>
                <w:color w:val="auto"/>
                <w:kern w:val="0"/>
                <w:sz w:val="24"/>
                <w:szCs w:val="24"/>
                <w:highlight w:val="none"/>
                <w:lang w:val="en-US" w:eastAsia="zh-CN"/>
              </w:rPr>
              <w:t>分析</w:t>
            </w:r>
            <w:r>
              <w:rPr>
                <w:rFonts w:hint="default" w:ascii="Times New Roman" w:hAnsi="Times New Roman" w:eastAsia="宋体" w:cs="Times New Roman"/>
                <w:color w:val="auto"/>
                <w:kern w:val="0"/>
                <w:sz w:val="24"/>
                <w:szCs w:val="24"/>
                <w:highlight w:val="none"/>
              </w:rPr>
              <w:t>，项目符合</w:t>
            </w:r>
            <w:r>
              <w:rPr>
                <w:rFonts w:hint="default" w:ascii="Times New Roman" w:hAnsi="Times New Roman" w:eastAsia="宋体" w:cs="Times New Roman"/>
                <w:color w:val="auto"/>
                <w:kern w:val="0"/>
                <w:sz w:val="24"/>
                <w:szCs w:val="24"/>
                <w:highlight w:val="none"/>
                <w:lang w:val="en-US" w:eastAsia="zh-CN"/>
              </w:rPr>
              <w:t>《饮料酒制造业污染防治技术政策》</w:t>
            </w:r>
            <w:r>
              <w:rPr>
                <w:rFonts w:hint="default" w:ascii="Times New Roman" w:hAnsi="Times New Roman" w:eastAsia="宋体" w:cs="Times New Roman"/>
                <w:color w:val="auto"/>
                <w:kern w:val="0"/>
                <w:sz w:val="24"/>
                <w:szCs w:val="24"/>
                <w:highlight w:val="none"/>
              </w:rPr>
              <w:t>相关要求</w:t>
            </w:r>
            <w:r>
              <w:rPr>
                <w:rFonts w:hint="default" w:ascii="Times New Roman" w:hAnsi="Times New Roman" w:eastAsia="宋体" w:cs="Times New Roman"/>
                <w:color w:val="auto"/>
                <w:kern w:val="0"/>
                <w:sz w:val="24"/>
                <w:szCs w:val="24"/>
                <w:highlight w:val="none"/>
                <w:lang w:eastAsia="zh-CN"/>
              </w:rPr>
              <w:t>。</w:t>
            </w:r>
          </w:p>
          <w:p w14:paraId="1F53160B">
            <w:pPr>
              <w:pStyle w:val="13"/>
              <w:ind w:firstLine="482" w:firstLineChars="200"/>
              <w:rPr>
                <w:rFonts w:hint="default" w:ascii="Times New Roman" w:hAnsi="Times New Roman" w:eastAsia="宋体" w:cs="Times New Roman"/>
                <w:b/>
                <w:color w:val="auto"/>
                <w:kern w:val="2"/>
                <w:sz w:val="21"/>
                <w:szCs w:val="21"/>
                <w:lang w:val="en-US"/>
              </w:rPr>
            </w:pPr>
            <w:r>
              <w:rPr>
                <w:rFonts w:hint="eastAsia" w:ascii="Times New Roman" w:hAnsi="Times New Roman" w:eastAsia="宋体" w:cs="Times New Roman"/>
                <w:b/>
                <w:color w:val="auto"/>
                <w:kern w:val="0"/>
                <w:sz w:val="24"/>
                <w:szCs w:val="24"/>
                <w:lang w:val="en-US" w:eastAsia="zh-CN" w:bidi="ar-SA"/>
              </w:rPr>
              <w:t>1</w:t>
            </w:r>
            <w:r>
              <w:rPr>
                <w:rFonts w:hint="eastAsia" w:ascii="Times New Roman" w:hAnsi="Times New Roman" w:cs="Times New Roman"/>
                <w:b/>
                <w:color w:val="auto"/>
                <w:kern w:val="0"/>
                <w:sz w:val="24"/>
                <w:szCs w:val="24"/>
                <w:lang w:val="en-US" w:eastAsia="zh-CN" w:bidi="ar-SA"/>
              </w:rPr>
              <w:t>1</w:t>
            </w:r>
            <w:r>
              <w:rPr>
                <w:rFonts w:hint="eastAsia" w:ascii="Times New Roman" w:hAnsi="Times New Roman" w:eastAsia="宋体" w:cs="Times New Roman"/>
                <w:b/>
                <w:color w:val="auto"/>
                <w:kern w:val="0"/>
                <w:sz w:val="24"/>
                <w:szCs w:val="24"/>
                <w:lang w:val="en-US" w:eastAsia="zh-CN" w:bidi="ar-SA"/>
              </w:rPr>
              <w:t>、项目与</w:t>
            </w:r>
            <w:r>
              <w:rPr>
                <w:rFonts w:hint="default" w:ascii="Times New Roman" w:hAnsi="Times New Roman" w:eastAsia="宋体" w:cs="Times New Roman"/>
                <w:b/>
                <w:color w:val="auto"/>
                <w:kern w:val="0"/>
                <w:sz w:val="24"/>
                <w:szCs w:val="24"/>
                <w:lang w:val="en-US" w:eastAsia="zh-CN" w:bidi="ar-SA"/>
              </w:rPr>
              <w:t>《食品生产通用卫生规范》（GB14881-2013）</w:t>
            </w:r>
            <w:r>
              <w:rPr>
                <w:rFonts w:hint="eastAsia" w:ascii="Times New Roman" w:hAnsi="Times New Roman" w:eastAsia="宋体" w:cs="Times New Roman"/>
                <w:b/>
                <w:color w:val="auto"/>
                <w:kern w:val="0"/>
                <w:sz w:val="24"/>
                <w:szCs w:val="24"/>
                <w:lang w:val="en-US" w:eastAsia="zh-CN" w:bidi="ar-SA"/>
              </w:rPr>
              <w:t>符合性分析</w:t>
            </w:r>
          </w:p>
          <w:p w14:paraId="5DD58E29">
            <w:pPr>
              <w:pStyle w:val="13"/>
              <w:spacing w:line="240" w:lineRule="auto"/>
              <w:jc w:val="center"/>
              <w:rPr>
                <w:rFonts w:hint="default" w:ascii="Times New Roman" w:hAnsi="Times New Roman" w:eastAsia="宋体" w:cs="Times New Roman"/>
                <w:b/>
                <w:color w:val="auto"/>
                <w:kern w:val="2"/>
                <w:sz w:val="24"/>
                <w:szCs w:val="24"/>
                <w:lang w:val="en-US"/>
              </w:rPr>
            </w:pPr>
            <w:r>
              <w:rPr>
                <w:rFonts w:hint="default" w:ascii="Times New Roman" w:hAnsi="Times New Roman" w:eastAsia="宋体" w:cs="Times New Roman"/>
                <w:b/>
                <w:color w:val="auto"/>
                <w:kern w:val="2"/>
                <w:sz w:val="21"/>
                <w:szCs w:val="21"/>
                <w:lang w:val="en-US"/>
              </w:rPr>
              <w:t>表1-</w:t>
            </w:r>
            <w:r>
              <w:rPr>
                <w:rFonts w:hint="default" w:ascii="Times New Roman" w:hAnsi="Times New Roman" w:eastAsia="宋体" w:cs="Times New Roman"/>
                <w:b/>
                <w:color w:val="auto"/>
                <w:kern w:val="2"/>
                <w:sz w:val="21"/>
                <w:szCs w:val="21"/>
                <w:lang w:val="en-US" w:eastAsia="zh-CN"/>
              </w:rPr>
              <w:t>1</w:t>
            </w:r>
            <w:r>
              <w:rPr>
                <w:rFonts w:hint="eastAsia" w:ascii="Times New Roman" w:hAnsi="Times New Roman" w:cs="Times New Roman"/>
                <w:b/>
                <w:color w:val="auto"/>
                <w:kern w:val="2"/>
                <w:sz w:val="21"/>
                <w:szCs w:val="21"/>
                <w:lang w:val="en-US" w:eastAsia="zh-CN"/>
              </w:rPr>
              <w:t>3</w:t>
            </w:r>
            <w:r>
              <w:rPr>
                <w:rFonts w:hint="default" w:ascii="Times New Roman" w:hAnsi="Times New Roman" w:eastAsia="宋体" w:cs="Times New Roman"/>
                <w:b/>
                <w:color w:val="auto"/>
                <w:kern w:val="2"/>
                <w:sz w:val="21"/>
                <w:szCs w:val="21"/>
                <w:lang w:val="en-US"/>
              </w:rPr>
              <w:t>项目与《食品生产通用卫生规范》符合性</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00"/>
              <w:gridCol w:w="3669"/>
              <w:gridCol w:w="3271"/>
              <w:gridCol w:w="800"/>
            </w:tblGrid>
            <w:tr w14:paraId="7DE4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pct"/>
                  <w:tcBorders>
                    <w:top w:val="single" w:color="000000" w:sz="4" w:space="0"/>
                    <w:left w:val="single" w:color="000000" w:sz="4" w:space="0"/>
                    <w:bottom w:val="single" w:color="000000" w:sz="4" w:space="0"/>
                    <w:right w:val="single" w:color="000000" w:sz="4" w:space="0"/>
                    <w:tl2br w:val="nil"/>
                  </w:tcBorders>
                  <w:shd w:val="clear" w:color="auto" w:fill="auto"/>
                  <w:noWrap w:val="0"/>
                  <w:vAlign w:val="center"/>
                </w:tcPr>
                <w:p w14:paraId="1C86B1AD">
                  <w:pPr>
                    <w:pStyle w:val="29"/>
                    <w:bidi w:val="0"/>
                    <w:rPr>
                      <w:rFonts w:hint="default"/>
                      <w:color w:val="auto"/>
                    </w:rPr>
                  </w:pPr>
                  <w:r>
                    <w:rPr>
                      <w:rFonts w:hint="default"/>
                      <w:color w:val="auto"/>
                    </w:rPr>
                    <w:t>序号</w:t>
                  </w:r>
                </w:p>
              </w:tc>
              <w:tc>
                <w:tcPr>
                  <w:tcW w:w="21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DE569">
                  <w:pPr>
                    <w:pStyle w:val="29"/>
                    <w:bidi w:val="0"/>
                    <w:rPr>
                      <w:rFonts w:hint="default"/>
                      <w:color w:val="auto"/>
                    </w:rPr>
                  </w:pPr>
                  <w:r>
                    <w:rPr>
                      <w:rFonts w:hint="default"/>
                      <w:color w:val="auto"/>
                    </w:rPr>
                    <w:t>规范要求</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0F725">
                  <w:pPr>
                    <w:pStyle w:val="29"/>
                    <w:bidi w:val="0"/>
                    <w:rPr>
                      <w:rFonts w:hint="default"/>
                      <w:color w:val="auto"/>
                    </w:rPr>
                  </w:pPr>
                  <w:r>
                    <w:rPr>
                      <w:rFonts w:hint="default"/>
                      <w:color w:val="auto"/>
                    </w:rPr>
                    <w:t>本项目情况</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C386A">
                  <w:pPr>
                    <w:pStyle w:val="29"/>
                    <w:bidi w:val="0"/>
                    <w:rPr>
                      <w:rFonts w:hint="default"/>
                      <w:color w:val="auto"/>
                    </w:rPr>
                  </w:pPr>
                  <w:r>
                    <w:rPr>
                      <w:rFonts w:hint="default"/>
                      <w:color w:val="auto"/>
                    </w:rPr>
                    <w:t>符合性</w:t>
                  </w:r>
                </w:p>
              </w:tc>
            </w:tr>
            <w:tr w14:paraId="041D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3" w:hRule="atLeast"/>
              </w:trPr>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F6968">
                  <w:pPr>
                    <w:pStyle w:val="29"/>
                    <w:bidi w:val="0"/>
                    <w:rPr>
                      <w:rFonts w:hint="default"/>
                      <w:color w:val="auto"/>
                    </w:rPr>
                  </w:pPr>
                  <w:r>
                    <w:rPr>
                      <w:rFonts w:hint="default"/>
                      <w:color w:val="auto"/>
                    </w:rPr>
                    <w:t>1</w:t>
                  </w:r>
                </w:p>
              </w:tc>
              <w:tc>
                <w:tcPr>
                  <w:tcW w:w="21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9902F">
                  <w:pPr>
                    <w:pStyle w:val="29"/>
                    <w:bidi w:val="0"/>
                    <w:rPr>
                      <w:rFonts w:hint="eastAsia"/>
                      <w:color w:val="auto"/>
                      <w:lang w:eastAsia="zh-CN"/>
                    </w:rPr>
                  </w:pPr>
                  <w:r>
                    <w:rPr>
                      <w:rFonts w:hint="default"/>
                      <w:color w:val="auto"/>
                    </w:rPr>
                    <w:t>厂区不应选择对食品有显著污染的污染的区域。如某地对食品安全和如某地对食品安全和食品宜食性存在明显的不利影响，且无法通过采取措施加以改善，应避免在该地址建厂</w:t>
                  </w:r>
                  <w:r>
                    <w:rPr>
                      <w:rFonts w:hint="eastAsia"/>
                      <w:color w:val="auto"/>
                      <w:lang w:eastAsia="zh-CN"/>
                    </w:rPr>
                    <w:t>。</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FFB0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本项目周边不存在污染源及其它污染情况，不存在对食品安全和食品宜食性不利影响</w:t>
                  </w:r>
                  <w:r>
                    <w:rPr>
                      <w:rFonts w:hint="eastAsia"/>
                      <w:color w:val="auto"/>
                      <w:lang w:eastAsia="zh-CN"/>
                    </w:rPr>
                    <w:t>。</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FE60E">
                  <w:pPr>
                    <w:pStyle w:val="29"/>
                    <w:bidi w:val="0"/>
                    <w:rPr>
                      <w:rFonts w:hint="default"/>
                      <w:color w:val="auto"/>
                    </w:rPr>
                  </w:pPr>
                  <w:r>
                    <w:rPr>
                      <w:rFonts w:hint="default"/>
                      <w:color w:val="auto"/>
                    </w:rPr>
                    <w:t>符合</w:t>
                  </w:r>
                </w:p>
              </w:tc>
            </w:tr>
            <w:tr w14:paraId="0E20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5ADBC">
                  <w:pPr>
                    <w:pStyle w:val="29"/>
                    <w:bidi w:val="0"/>
                    <w:rPr>
                      <w:rFonts w:hint="default"/>
                      <w:color w:val="auto"/>
                    </w:rPr>
                  </w:pPr>
                  <w:r>
                    <w:rPr>
                      <w:rFonts w:hint="default"/>
                      <w:color w:val="auto"/>
                    </w:rPr>
                    <w:t>2</w:t>
                  </w:r>
                </w:p>
              </w:tc>
              <w:tc>
                <w:tcPr>
                  <w:tcW w:w="21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704D3">
                  <w:pPr>
                    <w:pStyle w:val="29"/>
                    <w:bidi w:val="0"/>
                    <w:rPr>
                      <w:rFonts w:hint="eastAsia"/>
                      <w:color w:val="auto"/>
                      <w:lang w:eastAsia="zh-CN"/>
                    </w:rPr>
                  </w:pPr>
                  <w:r>
                    <w:rPr>
                      <w:rFonts w:hint="default"/>
                      <w:color w:val="auto"/>
                    </w:rPr>
                    <w:t>厂区不应选择有害废弃物以及粉尘、有害气体放射性物质和其他扩散污染源不能有效清除的地址</w:t>
                  </w:r>
                  <w:r>
                    <w:rPr>
                      <w:rFonts w:hint="eastAsia"/>
                      <w:color w:val="auto"/>
                      <w:lang w:eastAsia="zh-CN"/>
                    </w:rPr>
                    <w:t>。</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4F2F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本项目厂区周围无有害废弃物以及粉尘、有害气体放射性物质和其他扩散污染源</w:t>
                  </w:r>
                  <w:r>
                    <w:rPr>
                      <w:rFonts w:hint="eastAsia"/>
                      <w:color w:val="auto"/>
                      <w:lang w:eastAsia="zh-CN"/>
                    </w:rPr>
                    <w:t>。</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68EFE">
                  <w:pPr>
                    <w:pStyle w:val="29"/>
                    <w:bidi w:val="0"/>
                    <w:rPr>
                      <w:rFonts w:hint="default"/>
                      <w:color w:val="auto"/>
                    </w:rPr>
                  </w:pPr>
                  <w:r>
                    <w:rPr>
                      <w:rFonts w:hint="default"/>
                      <w:color w:val="auto"/>
                    </w:rPr>
                    <w:t>符合</w:t>
                  </w:r>
                </w:p>
              </w:tc>
            </w:tr>
            <w:tr w14:paraId="339D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AD9E0">
                  <w:pPr>
                    <w:pStyle w:val="29"/>
                    <w:bidi w:val="0"/>
                    <w:rPr>
                      <w:rFonts w:hint="default"/>
                      <w:color w:val="auto"/>
                    </w:rPr>
                  </w:pPr>
                  <w:r>
                    <w:rPr>
                      <w:rFonts w:hint="default"/>
                      <w:color w:val="auto"/>
                    </w:rPr>
                    <w:t>3</w:t>
                  </w:r>
                </w:p>
              </w:tc>
              <w:tc>
                <w:tcPr>
                  <w:tcW w:w="21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91AB3">
                  <w:pPr>
                    <w:pStyle w:val="29"/>
                    <w:bidi w:val="0"/>
                    <w:rPr>
                      <w:rFonts w:hint="eastAsia"/>
                      <w:color w:val="auto"/>
                      <w:lang w:eastAsia="zh-CN"/>
                    </w:rPr>
                  </w:pPr>
                  <w:r>
                    <w:rPr>
                      <w:rFonts w:hint="default"/>
                      <w:color w:val="auto"/>
                    </w:rPr>
                    <w:t>厂区不宜择易发生洪涝灾害的地区，难以避开时应设计必要的防范措施</w:t>
                  </w:r>
                  <w:r>
                    <w:rPr>
                      <w:rFonts w:hint="eastAsia"/>
                      <w:color w:val="auto"/>
                      <w:lang w:eastAsia="zh-CN"/>
                    </w:rPr>
                    <w:t>。</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2FE9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eastAsia="zh-CN"/>
                    </w:rPr>
                    <w:t>本项目位于玉溪市高新区九龙池片区工业园区内D4栋第一层</w:t>
                  </w:r>
                  <w:r>
                    <w:rPr>
                      <w:rFonts w:hint="default"/>
                      <w:color w:val="auto"/>
                    </w:rPr>
                    <w:t>，不易发生洪涝灾害</w:t>
                  </w:r>
                  <w:r>
                    <w:rPr>
                      <w:rFonts w:hint="eastAsia"/>
                      <w:color w:val="auto"/>
                      <w:lang w:eastAsia="zh-CN"/>
                    </w:rPr>
                    <w:t>。</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132FD">
                  <w:pPr>
                    <w:pStyle w:val="29"/>
                    <w:bidi w:val="0"/>
                    <w:rPr>
                      <w:rFonts w:hint="default"/>
                      <w:color w:val="auto"/>
                    </w:rPr>
                  </w:pPr>
                  <w:r>
                    <w:rPr>
                      <w:rFonts w:hint="default"/>
                      <w:color w:val="auto"/>
                    </w:rPr>
                    <w:t>符合</w:t>
                  </w:r>
                </w:p>
              </w:tc>
            </w:tr>
            <w:tr w14:paraId="45AB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C63BE">
                  <w:pPr>
                    <w:pStyle w:val="29"/>
                    <w:bidi w:val="0"/>
                    <w:rPr>
                      <w:rFonts w:hint="default"/>
                      <w:color w:val="auto"/>
                    </w:rPr>
                  </w:pPr>
                  <w:r>
                    <w:rPr>
                      <w:rFonts w:hint="default"/>
                      <w:color w:val="auto"/>
                    </w:rPr>
                    <w:t>4</w:t>
                  </w:r>
                </w:p>
              </w:tc>
              <w:tc>
                <w:tcPr>
                  <w:tcW w:w="214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29A8A">
                  <w:pPr>
                    <w:pStyle w:val="29"/>
                    <w:bidi w:val="0"/>
                    <w:rPr>
                      <w:rFonts w:hint="eastAsia"/>
                      <w:color w:val="auto"/>
                      <w:lang w:eastAsia="zh-CN"/>
                    </w:rPr>
                  </w:pPr>
                  <w:r>
                    <w:rPr>
                      <w:rFonts w:hint="default"/>
                      <w:color w:val="auto"/>
                    </w:rPr>
                    <w:t>厂区周围不宜有虫害大量孳生的潜在场所，难以避开时应设计必要的防范措施</w:t>
                  </w:r>
                  <w:r>
                    <w:rPr>
                      <w:rFonts w:hint="eastAsia"/>
                      <w:color w:val="auto"/>
                      <w:lang w:eastAsia="zh-CN"/>
                    </w:rPr>
                    <w:t>。</w:t>
                  </w:r>
                </w:p>
              </w:tc>
              <w:tc>
                <w:tcPr>
                  <w:tcW w:w="191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DE7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本项目厂区周围无有虫害大量孳生的潜在场所</w:t>
                  </w:r>
                  <w:r>
                    <w:rPr>
                      <w:rFonts w:hint="eastAsia"/>
                      <w:color w:val="auto"/>
                      <w:lang w:eastAsia="zh-CN"/>
                    </w:rPr>
                    <w:t>。</w:t>
                  </w:r>
                </w:p>
              </w:tc>
              <w:tc>
                <w:tcPr>
                  <w:tcW w:w="468"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C2710">
                  <w:pPr>
                    <w:pStyle w:val="29"/>
                    <w:bidi w:val="0"/>
                    <w:rPr>
                      <w:rFonts w:hint="default"/>
                      <w:color w:val="auto"/>
                    </w:rPr>
                  </w:pPr>
                  <w:r>
                    <w:rPr>
                      <w:rFonts w:hint="default"/>
                      <w:color w:val="auto"/>
                    </w:rPr>
                    <w:t>符合</w:t>
                  </w:r>
                </w:p>
              </w:tc>
            </w:tr>
          </w:tbl>
          <w:p w14:paraId="5DECE537">
            <w:pPr>
              <w:ind w:firstLine="482"/>
              <w:rPr>
                <w:rFonts w:hint="eastAsia"/>
                <w:b/>
                <w:bCs/>
                <w:color w:val="auto"/>
                <w:lang w:val="en-US" w:eastAsia="zh-CN"/>
              </w:rPr>
            </w:pPr>
            <w:r>
              <w:rPr>
                <w:rFonts w:hint="default" w:ascii="Times New Roman" w:hAnsi="Times New Roman" w:eastAsia="宋体" w:cs="Times New Roman"/>
                <w:color w:val="auto"/>
                <w:kern w:val="0"/>
                <w:sz w:val="24"/>
                <w:szCs w:val="24"/>
                <w:highlight w:val="none"/>
              </w:rPr>
              <w:t>综上</w:t>
            </w:r>
            <w:r>
              <w:rPr>
                <w:rFonts w:hint="eastAsia" w:ascii="Times New Roman" w:hAnsi="Times New Roman" w:eastAsia="宋体" w:cs="Times New Roman"/>
                <w:color w:val="auto"/>
                <w:kern w:val="0"/>
                <w:sz w:val="24"/>
                <w:szCs w:val="24"/>
                <w:highlight w:val="none"/>
                <w:lang w:val="en-US" w:eastAsia="zh-CN"/>
              </w:rPr>
              <w:t>分析</w:t>
            </w:r>
            <w:r>
              <w:rPr>
                <w:rFonts w:hint="default" w:ascii="Times New Roman" w:hAnsi="Times New Roman" w:eastAsia="宋体" w:cs="Times New Roman"/>
                <w:color w:val="auto"/>
                <w:kern w:val="0"/>
                <w:sz w:val="24"/>
                <w:szCs w:val="24"/>
                <w:highlight w:val="none"/>
              </w:rPr>
              <w:t>，项目符合</w:t>
            </w:r>
            <w:r>
              <w:rPr>
                <w:rFonts w:hint="default" w:ascii="Times New Roman" w:hAnsi="Times New Roman" w:eastAsia="宋体" w:cs="Times New Roman"/>
                <w:color w:val="auto"/>
                <w:kern w:val="0"/>
                <w:sz w:val="24"/>
                <w:szCs w:val="24"/>
                <w:highlight w:val="none"/>
                <w:lang w:val="en-US" w:eastAsia="zh-CN"/>
              </w:rPr>
              <w:t>《食品生产通用卫生规范》（GB14881-2013）</w:t>
            </w:r>
            <w:r>
              <w:rPr>
                <w:rFonts w:hint="default" w:ascii="Times New Roman" w:hAnsi="Times New Roman" w:eastAsia="宋体" w:cs="Times New Roman"/>
                <w:color w:val="auto"/>
                <w:kern w:val="0"/>
                <w:sz w:val="24"/>
                <w:szCs w:val="24"/>
                <w:highlight w:val="none"/>
              </w:rPr>
              <w:t>相关要求</w:t>
            </w:r>
            <w:r>
              <w:rPr>
                <w:rFonts w:hint="default" w:ascii="Times New Roman" w:hAnsi="Times New Roman" w:eastAsia="宋体" w:cs="Times New Roman"/>
                <w:color w:val="auto"/>
                <w:kern w:val="0"/>
                <w:sz w:val="24"/>
                <w:szCs w:val="24"/>
                <w:highlight w:val="none"/>
                <w:lang w:eastAsia="zh-CN"/>
              </w:rPr>
              <w:t>。</w:t>
            </w:r>
          </w:p>
          <w:p w14:paraId="35CDAB19">
            <w:pPr>
              <w:ind w:firstLine="482"/>
              <w:rPr>
                <w:rFonts w:hint="default"/>
                <w:b/>
                <w:bCs/>
                <w:color w:val="auto"/>
                <w:lang w:val="en-US" w:eastAsia="zh-CN"/>
              </w:rPr>
            </w:pPr>
            <w:r>
              <w:rPr>
                <w:rFonts w:hint="eastAsia"/>
                <w:b/>
                <w:bCs/>
                <w:color w:val="auto"/>
                <w:lang w:val="en-US" w:eastAsia="zh-CN"/>
              </w:rPr>
              <w:t>12项目与《清洁生产标准 啤酒制造业》（HJ/T 183-2006）符合性分析</w:t>
            </w:r>
          </w:p>
          <w:p w14:paraId="26F835A0">
            <w:pPr>
              <w:ind w:firstLine="482"/>
              <w:rPr>
                <w:rFonts w:hint="eastAsia"/>
                <w:b w:val="0"/>
                <w:bCs w:val="0"/>
                <w:color w:val="auto"/>
                <w:lang w:val="en-US" w:eastAsia="zh-CN"/>
              </w:rPr>
            </w:pPr>
            <w:r>
              <w:rPr>
                <w:rFonts w:hint="eastAsia"/>
                <w:b w:val="0"/>
                <w:bCs w:val="0"/>
                <w:color w:val="auto"/>
                <w:lang w:val="en-US" w:eastAsia="zh-CN"/>
              </w:rPr>
              <w:t>根据《清洁生产标准 啤酒制造业》（HJ/T 183-2006）明确规定：表中规模要求仅针对本标准实施（2006年10月1日）后新建的啤酒厂，分级要求中，一级对应新建厂规模10万吨/年以上，二级对应新建厂规模5万吨/年以上，本项目为新建项目，项目总产能为900吨/年，达不到二级及以上规模要求，因此按照标准规则，本项目啤酒生产环节清洁生产等级对应三级要求，本次逐项对照三级标准开展符合性判定。</w:t>
            </w:r>
          </w:p>
          <w:p w14:paraId="49B34214">
            <w:pPr>
              <w:pStyle w:val="30"/>
              <w:bidi w:val="0"/>
              <w:rPr>
                <w:rFonts w:hint="eastAsia"/>
                <w:color w:val="auto"/>
                <w:lang w:val="en-US" w:eastAsia="zh-CN"/>
              </w:rPr>
            </w:pPr>
            <w:r>
              <w:rPr>
                <w:rFonts w:hint="eastAsia"/>
                <w:color w:val="auto"/>
                <w:lang w:val="en-US" w:eastAsia="zh-CN"/>
              </w:rPr>
              <w:t>表1-14项目与《清洁生产标准 啤酒制造业》符合性</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6"/>
              <w:gridCol w:w="3718"/>
              <w:gridCol w:w="3220"/>
              <w:gridCol w:w="806"/>
            </w:tblGrid>
            <w:tr w14:paraId="35B12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l2br w:val="nil"/>
                  </w:tcBorders>
                  <w:shd w:val="clear" w:color="auto" w:fill="auto"/>
                  <w:noWrap w:val="0"/>
                  <w:vAlign w:val="center"/>
                </w:tcPr>
                <w:p w14:paraId="2795B19B">
                  <w:pPr>
                    <w:pStyle w:val="29"/>
                    <w:bidi w:val="0"/>
                    <w:rPr>
                      <w:rFonts w:hint="eastAsia"/>
                      <w:color w:val="auto"/>
                      <w:lang w:val="en-US" w:eastAsia="zh-CN"/>
                    </w:rPr>
                  </w:pPr>
                  <w:r>
                    <w:rPr>
                      <w:rFonts w:hint="eastAsia"/>
                      <w:color w:val="auto"/>
                      <w:lang w:val="en-US" w:eastAsia="zh-CN"/>
                    </w:rPr>
                    <w:t>项目</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C6541">
                  <w:pPr>
                    <w:pStyle w:val="29"/>
                    <w:bidi w:val="0"/>
                    <w:rPr>
                      <w:rFonts w:hint="eastAsia"/>
                      <w:color w:val="auto"/>
                      <w:lang w:val="en-US" w:eastAsia="zh-CN"/>
                    </w:rPr>
                  </w:pPr>
                  <w:r>
                    <w:rPr>
                      <w:rFonts w:hint="eastAsia"/>
                      <w:color w:val="auto"/>
                      <w:lang w:val="en-US" w:eastAsia="zh-CN"/>
                    </w:rPr>
                    <w:t>规范要求</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945B8">
                  <w:pPr>
                    <w:pStyle w:val="29"/>
                    <w:bidi w:val="0"/>
                    <w:rPr>
                      <w:rFonts w:hint="eastAsia"/>
                      <w:color w:val="auto"/>
                      <w:lang w:val="en-US" w:eastAsia="zh-CN"/>
                    </w:rPr>
                  </w:pPr>
                  <w:r>
                    <w:rPr>
                      <w:rFonts w:hint="eastAsia"/>
                      <w:color w:val="auto"/>
                      <w:lang w:val="en-US" w:eastAsia="zh-CN"/>
                    </w:rPr>
                    <w:t>本项目落实情况</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D17B1">
                  <w:pPr>
                    <w:pStyle w:val="29"/>
                    <w:bidi w:val="0"/>
                    <w:rPr>
                      <w:rFonts w:hint="eastAsia"/>
                      <w:color w:val="auto"/>
                      <w:lang w:val="en-US" w:eastAsia="zh-CN"/>
                    </w:rPr>
                  </w:pPr>
                  <w:r>
                    <w:rPr>
                      <w:rFonts w:hint="eastAsia"/>
                      <w:color w:val="auto"/>
                      <w:lang w:val="en-US" w:eastAsia="zh-CN"/>
                    </w:rPr>
                    <w:t>符合性</w:t>
                  </w:r>
                </w:p>
              </w:tc>
            </w:tr>
            <w:tr w14:paraId="58A8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000000" w:sz="4" w:space="0"/>
                    <w:left w:val="single" w:color="000000" w:sz="4" w:space="0"/>
                    <w:bottom w:val="single" w:color="000000" w:sz="4" w:space="0"/>
                    <w:right w:val="single" w:color="000000" w:sz="4" w:space="0"/>
                    <w:tl2br w:val="nil"/>
                  </w:tcBorders>
                  <w:shd w:val="clear" w:color="auto" w:fill="auto"/>
                  <w:noWrap w:val="0"/>
                  <w:vAlign w:val="center"/>
                </w:tcPr>
                <w:p w14:paraId="3676506E">
                  <w:pPr>
                    <w:pStyle w:val="29"/>
                    <w:bidi w:val="0"/>
                    <w:rPr>
                      <w:rFonts w:hint="default"/>
                      <w:color w:val="auto"/>
                      <w:lang w:val="en-US" w:eastAsia="zh-CN"/>
                    </w:rPr>
                  </w:pPr>
                  <w:r>
                    <w:rPr>
                      <w:rFonts w:hint="eastAsia"/>
                      <w:color w:val="auto"/>
                      <w:lang w:val="en-US" w:eastAsia="zh-CN"/>
                    </w:rPr>
                    <w:t>一、生产工艺与装备要求</w:t>
                  </w:r>
                </w:p>
              </w:tc>
            </w:tr>
            <w:tr w14:paraId="2E2C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0" w:hRule="atLeast"/>
              </w:trPr>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E599E">
                  <w:pPr>
                    <w:pStyle w:val="29"/>
                    <w:bidi w:val="0"/>
                    <w:rPr>
                      <w:rFonts w:hint="eastAsia"/>
                      <w:color w:val="auto"/>
                      <w:lang w:val="en-US" w:eastAsia="zh-CN"/>
                    </w:rPr>
                  </w:pPr>
                  <w:r>
                    <w:rPr>
                      <w:rFonts w:hint="eastAsia"/>
                      <w:color w:val="auto"/>
                      <w:lang w:val="en-US" w:eastAsia="zh-CN"/>
                    </w:rPr>
                    <w:t>工艺</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1285F">
                  <w:pPr>
                    <w:pStyle w:val="29"/>
                    <w:bidi w:val="0"/>
                    <w:rPr>
                      <w:rFonts w:hint="default"/>
                      <w:color w:val="auto"/>
                      <w:lang w:val="en-US" w:eastAsia="zh-CN"/>
                    </w:rPr>
                  </w:pPr>
                  <w:r>
                    <w:rPr>
                      <w:rFonts w:hint="eastAsia"/>
                      <w:color w:val="auto"/>
                      <w:lang w:val="en-US" w:eastAsia="zh-CN"/>
                    </w:rPr>
                    <w:t>罐体密闭发酵法</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0E01A">
                  <w:pPr>
                    <w:pStyle w:val="29"/>
                    <w:bidi w:val="0"/>
                    <w:rPr>
                      <w:rFonts w:hint="default"/>
                      <w:color w:val="auto"/>
                      <w:lang w:val="en-US" w:eastAsia="zh-CN"/>
                    </w:rPr>
                  </w:pPr>
                  <w:r>
                    <w:rPr>
                      <w:rFonts w:hint="eastAsia"/>
                      <w:color w:val="auto"/>
                      <w:lang w:val="en-US" w:eastAsia="zh-CN"/>
                    </w:rPr>
                    <w:t>项目采用罐体密闭发酵法。</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FB914">
                  <w:pPr>
                    <w:pStyle w:val="29"/>
                    <w:bidi w:val="0"/>
                    <w:rPr>
                      <w:rFonts w:hint="eastAsia"/>
                      <w:color w:val="auto"/>
                      <w:lang w:val="en-US" w:eastAsia="zh-CN"/>
                    </w:rPr>
                  </w:pPr>
                  <w:r>
                    <w:rPr>
                      <w:rFonts w:hint="eastAsia"/>
                      <w:color w:val="auto"/>
                      <w:lang w:val="en-US" w:eastAsia="zh-CN"/>
                    </w:rPr>
                    <w:t>符合</w:t>
                  </w:r>
                </w:p>
              </w:tc>
            </w:tr>
            <w:tr w14:paraId="6706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Merge w:val="restart"/>
                  <w:tcBorders>
                    <w:top w:val="single" w:color="000000" w:sz="4" w:space="0"/>
                    <w:left w:val="single" w:color="000000" w:sz="4" w:space="0"/>
                    <w:right w:val="single" w:color="000000" w:sz="4" w:space="0"/>
                  </w:tcBorders>
                  <w:shd w:val="clear" w:color="auto" w:fill="auto"/>
                  <w:noWrap w:val="0"/>
                  <w:vAlign w:val="center"/>
                </w:tcPr>
                <w:p w14:paraId="54E3C137">
                  <w:pPr>
                    <w:pStyle w:val="29"/>
                    <w:bidi w:val="0"/>
                    <w:rPr>
                      <w:rFonts w:hint="default"/>
                      <w:color w:val="auto"/>
                      <w:lang w:val="en-US" w:eastAsia="zh-CN"/>
                    </w:rPr>
                  </w:pPr>
                  <w:r>
                    <w:rPr>
                      <w:rFonts w:hint="eastAsia"/>
                      <w:color w:val="auto"/>
                      <w:lang w:val="en-US" w:eastAsia="zh-CN"/>
                    </w:rPr>
                    <w:t>糖化</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D8A77">
                  <w:pPr>
                    <w:pStyle w:val="29"/>
                    <w:bidi w:val="0"/>
                    <w:rPr>
                      <w:rFonts w:hint="default"/>
                      <w:color w:val="auto"/>
                      <w:lang w:val="en-US" w:eastAsia="zh-CN"/>
                    </w:rPr>
                  </w:pPr>
                  <w:r>
                    <w:rPr>
                      <w:rFonts w:hint="eastAsia"/>
                      <w:color w:val="auto"/>
                      <w:lang w:val="en-US" w:eastAsia="zh-CN"/>
                    </w:rPr>
                    <w:t>粉碎工段有粉尘回收装置，或采用增湿粉碎</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AAE33">
                  <w:pPr>
                    <w:pStyle w:val="29"/>
                    <w:bidi w:val="0"/>
                    <w:rPr>
                      <w:rFonts w:hint="default"/>
                      <w:color w:val="auto"/>
                      <w:lang w:val="en-US" w:eastAsia="zh-CN"/>
                    </w:rPr>
                  </w:pPr>
                  <w:r>
                    <w:rPr>
                      <w:rFonts w:hint="eastAsia"/>
                      <w:color w:val="auto"/>
                      <w:lang w:val="en-US" w:eastAsia="zh-CN"/>
                    </w:rPr>
                    <w:t>项目粉碎工段采用布袋除尘器回收粉尘。</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7A112">
                  <w:pPr>
                    <w:pStyle w:val="29"/>
                    <w:bidi w:val="0"/>
                    <w:rPr>
                      <w:rFonts w:hint="eastAsia"/>
                      <w:color w:val="auto"/>
                      <w:lang w:val="en-US" w:eastAsia="zh-CN"/>
                    </w:rPr>
                  </w:pPr>
                  <w:r>
                    <w:rPr>
                      <w:rFonts w:hint="eastAsia"/>
                      <w:color w:val="auto"/>
                      <w:lang w:val="en-US" w:eastAsia="zh-CN"/>
                    </w:rPr>
                    <w:t>符合</w:t>
                  </w:r>
                </w:p>
              </w:tc>
            </w:tr>
            <w:tr w14:paraId="71FF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right w:val="single" w:color="000000" w:sz="4" w:space="0"/>
                  </w:tcBorders>
                  <w:shd w:val="clear" w:color="auto" w:fill="auto"/>
                  <w:noWrap w:val="0"/>
                  <w:vAlign w:val="center"/>
                </w:tcPr>
                <w:p w14:paraId="0D40F494">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A342D">
                  <w:pPr>
                    <w:pStyle w:val="29"/>
                    <w:bidi w:val="0"/>
                    <w:rPr>
                      <w:rFonts w:hint="default"/>
                      <w:color w:val="auto"/>
                      <w:lang w:val="en-US" w:eastAsia="zh-CN"/>
                    </w:rPr>
                  </w:pPr>
                  <w:r>
                    <w:rPr>
                      <w:rFonts w:hint="eastAsia"/>
                      <w:color w:val="auto"/>
                      <w:lang w:val="en-US" w:eastAsia="zh-CN"/>
                    </w:rPr>
                    <w:t>麦汁过滤采用干排槽技术</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CD994">
                  <w:pPr>
                    <w:pStyle w:val="29"/>
                    <w:bidi w:val="0"/>
                    <w:rPr>
                      <w:rFonts w:hint="default"/>
                      <w:color w:val="auto"/>
                      <w:lang w:val="en-US" w:eastAsia="zh-CN"/>
                    </w:rPr>
                  </w:pPr>
                  <w:r>
                    <w:rPr>
                      <w:rFonts w:hint="eastAsia"/>
                      <w:color w:val="auto"/>
                      <w:lang w:val="en-US" w:eastAsia="zh-CN"/>
                    </w:rPr>
                    <w:t>项目麦汁过滤采用干排槽技术。</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1625E">
                  <w:pPr>
                    <w:pStyle w:val="29"/>
                    <w:bidi w:val="0"/>
                    <w:rPr>
                      <w:rFonts w:hint="eastAsia"/>
                      <w:color w:val="auto"/>
                      <w:lang w:val="en-US" w:eastAsia="zh-CN"/>
                    </w:rPr>
                  </w:pPr>
                  <w:r>
                    <w:rPr>
                      <w:rFonts w:hint="eastAsia"/>
                      <w:color w:val="auto"/>
                      <w:lang w:val="en-US" w:eastAsia="zh-CN"/>
                    </w:rPr>
                    <w:t>符合</w:t>
                  </w:r>
                </w:p>
              </w:tc>
            </w:tr>
            <w:tr w14:paraId="31A4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right w:val="single" w:color="000000" w:sz="4" w:space="0"/>
                  </w:tcBorders>
                  <w:shd w:val="clear" w:color="auto" w:fill="auto"/>
                  <w:noWrap w:val="0"/>
                  <w:vAlign w:val="center"/>
                </w:tcPr>
                <w:p w14:paraId="5C91CB83">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D905D">
                  <w:pPr>
                    <w:pStyle w:val="29"/>
                    <w:bidi w:val="0"/>
                    <w:rPr>
                      <w:rFonts w:hint="default"/>
                      <w:color w:val="auto"/>
                      <w:lang w:val="en-US" w:eastAsia="zh-CN"/>
                    </w:rPr>
                  </w:pPr>
                  <w:r>
                    <w:rPr>
                      <w:rFonts w:hint="eastAsia"/>
                      <w:color w:val="auto"/>
                      <w:lang w:val="en-US" w:eastAsia="zh-CN"/>
                    </w:rPr>
                    <w:t>麦汁冷却采用一段冷却技术</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AAB86">
                  <w:pPr>
                    <w:pStyle w:val="29"/>
                    <w:bidi w:val="0"/>
                    <w:rPr>
                      <w:rFonts w:hint="default"/>
                      <w:color w:val="auto"/>
                      <w:lang w:val="en-US" w:eastAsia="zh-CN"/>
                    </w:rPr>
                  </w:pPr>
                  <w:r>
                    <w:rPr>
                      <w:rFonts w:hint="eastAsia"/>
                      <w:color w:val="auto"/>
                      <w:lang w:val="en-US" w:eastAsia="zh-CN"/>
                    </w:rPr>
                    <w:t>项目冷却采用一段冷却技术。</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23ED6">
                  <w:pPr>
                    <w:pStyle w:val="29"/>
                    <w:bidi w:val="0"/>
                    <w:rPr>
                      <w:rFonts w:hint="eastAsia"/>
                      <w:color w:val="auto"/>
                      <w:lang w:val="en-US" w:eastAsia="zh-CN"/>
                    </w:rPr>
                  </w:pPr>
                  <w:r>
                    <w:rPr>
                      <w:rFonts w:hint="eastAsia"/>
                      <w:color w:val="auto"/>
                      <w:lang w:val="en-US" w:eastAsia="zh-CN"/>
                    </w:rPr>
                    <w:t>符合</w:t>
                  </w:r>
                </w:p>
              </w:tc>
            </w:tr>
            <w:tr w14:paraId="0B06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Merge w:val="continue"/>
                  <w:tcBorders>
                    <w:left w:val="single" w:color="000000" w:sz="4" w:space="0"/>
                    <w:right w:val="single" w:color="000000" w:sz="4" w:space="0"/>
                  </w:tcBorders>
                  <w:shd w:val="clear" w:color="auto" w:fill="auto"/>
                  <w:noWrap w:val="0"/>
                  <w:vAlign w:val="center"/>
                </w:tcPr>
                <w:p w14:paraId="38E44364">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1E0EC">
                  <w:pPr>
                    <w:pStyle w:val="29"/>
                    <w:bidi w:val="0"/>
                    <w:rPr>
                      <w:rFonts w:hint="default"/>
                      <w:color w:val="auto"/>
                      <w:lang w:val="en-US" w:eastAsia="zh-CN"/>
                    </w:rPr>
                  </w:pPr>
                  <w:r>
                    <w:rPr>
                      <w:rFonts w:hint="eastAsia"/>
                      <w:color w:val="auto"/>
                      <w:lang w:val="en-US" w:eastAsia="zh-CN"/>
                    </w:rPr>
                    <w:t>清洗采用CIP清洗技术</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7C603">
                  <w:pPr>
                    <w:pStyle w:val="29"/>
                    <w:bidi w:val="0"/>
                    <w:rPr>
                      <w:rFonts w:hint="default"/>
                      <w:color w:val="auto"/>
                      <w:lang w:val="en-US" w:eastAsia="zh-CN"/>
                    </w:rPr>
                  </w:pPr>
                  <w:r>
                    <w:rPr>
                      <w:rFonts w:hint="eastAsia"/>
                      <w:color w:val="auto"/>
                      <w:lang w:val="en-US" w:eastAsia="zh-CN"/>
                    </w:rPr>
                    <w:t>项目清洗采用CIP清洗技术。</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5B24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00C5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bottom w:val="single" w:color="000000" w:sz="4" w:space="0"/>
                    <w:right w:val="single" w:color="000000" w:sz="4" w:space="0"/>
                  </w:tcBorders>
                  <w:shd w:val="clear" w:color="auto" w:fill="auto"/>
                  <w:noWrap w:val="0"/>
                  <w:vAlign w:val="center"/>
                </w:tcPr>
                <w:p w14:paraId="10B8D343">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B6C86">
                  <w:pPr>
                    <w:pStyle w:val="29"/>
                    <w:bidi w:val="0"/>
                    <w:rPr>
                      <w:rFonts w:hint="default"/>
                      <w:color w:val="auto"/>
                      <w:lang w:val="en-US" w:eastAsia="zh-CN"/>
                    </w:rPr>
                  </w:pPr>
                  <w:r>
                    <w:rPr>
                      <w:rFonts w:hint="eastAsia"/>
                      <w:color w:val="auto"/>
                      <w:lang w:val="en-US" w:eastAsia="zh-CN"/>
                    </w:rPr>
                    <w:t>配置冷凝水回收系统</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15FC7">
                  <w:pPr>
                    <w:pStyle w:val="29"/>
                    <w:bidi w:val="0"/>
                    <w:rPr>
                      <w:rFonts w:hint="default"/>
                      <w:color w:val="auto"/>
                      <w:lang w:val="en-US" w:eastAsia="zh-CN"/>
                    </w:rPr>
                  </w:pPr>
                  <w:r>
                    <w:rPr>
                      <w:rFonts w:hint="eastAsia"/>
                      <w:color w:val="auto"/>
                      <w:lang w:val="en-US" w:eastAsia="zh-CN"/>
                    </w:rPr>
                    <w:t>项目配置冷凝水回收系统。</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6392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7011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466" w:type="pct"/>
                  <w:vMerge w:val="restart"/>
                  <w:tcBorders>
                    <w:top w:val="single" w:color="000000" w:sz="4" w:space="0"/>
                    <w:left w:val="single" w:color="000000" w:sz="4" w:space="0"/>
                    <w:right w:val="single" w:color="000000" w:sz="4" w:space="0"/>
                  </w:tcBorders>
                  <w:shd w:val="clear" w:color="auto" w:fill="auto"/>
                  <w:noWrap w:val="0"/>
                  <w:vAlign w:val="center"/>
                </w:tcPr>
                <w:p w14:paraId="71280014">
                  <w:pPr>
                    <w:pStyle w:val="29"/>
                    <w:bidi w:val="0"/>
                    <w:rPr>
                      <w:rFonts w:hint="default"/>
                      <w:color w:val="auto"/>
                      <w:lang w:val="en-US" w:eastAsia="zh-CN"/>
                    </w:rPr>
                  </w:pPr>
                  <w:r>
                    <w:rPr>
                      <w:rFonts w:hint="eastAsia"/>
                      <w:color w:val="auto"/>
                      <w:lang w:val="en-US" w:eastAsia="zh-CN"/>
                    </w:rPr>
                    <w:t>发酵</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CE53D">
                  <w:pPr>
                    <w:pStyle w:val="29"/>
                    <w:bidi w:val="0"/>
                    <w:rPr>
                      <w:rFonts w:hint="default"/>
                      <w:color w:val="auto"/>
                      <w:lang w:val="en-US" w:eastAsia="zh-CN"/>
                    </w:rPr>
                  </w:pPr>
                  <w:r>
                    <w:rPr>
                      <w:rFonts w:hint="eastAsia"/>
                      <w:color w:val="auto"/>
                      <w:lang w:val="en-US" w:eastAsia="zh-CN"/>
                    </w:rPr>
                    <w:t>发酵过程由微机控制</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B5450">
                  <w:pPr>
                    <w:pStyle w:val="29"/>
                    <w:bidi w:val="0"/>
                    <w:rPr>
                      <w:rFonts w:hint="default"/>
                      <w:color w:val="auto"/>
                      <w:lang w:val="en-US" w:eastAsia="zh-CN"/>
                    </w:rPr>
                  </w:pPr>
                  <w:r>
                    <w:rPr>
                      <w:rFonts w:hint="eastAsia"/>
                      <w:color w:val="auto"/>
                      <w:lang w:val="en-US" w:eastAsia="zh-CN"/>
                    </w:rPr>
                    <w:t>项目发酵过程由微机控制。</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E15C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0D5A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right w:val="single" w:color="000000" w:sz="4" w:space="0"/>
                  </w:tcBorders>
                  <w:shd w:val="clear" w:color="auto" w:fill="auto"/>
                  <w:noWrap w:val="0"/>
                  <w:vAlign w:val="center"/>
                </w:tcPr>
                <w:p w14:paraId="3807D2BB">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D98EC">
                  <w:pPr>
                    <w:pStyle w:val="29"/>
                    <w:bidi w:val="0"/>
                    <w:rPr>
                      <w:rFonts w:hint="default"/>
                      <w:color w:val="auto"/>
                      <w:lang w:val="en-US" w:eastAsia="zh-CN"/>
                    </w:rPr>
                  </w:pPr>
                  <w:r>
                    <w:rPr>
                      <w:rFonts w:hint="eastAsia"/>
                      <w:color w:val="auto"/>
                      <w:lang w:val="en-US" w:eastAsia="zh-CN"/>
                    </w:rPr>
                    <w:t>发酵室安装二氧化碳回收装置</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223DB">
                  <w:pPr>
                    <w:pStyle w:val="29"/>
                    <w:bidi w:val="0"/>
                    <w:rPr>
                      <w:rFonts w:hint="eastAsia"/>
                      <w:color w:val="auto"/>
                      <w:lang w:val="en-US" w:eastAsia="zh-CN"/>
                    </w:rPr>
                  </w:pPr>
                  <w:r>
                    <w:rPr>
                      <w:rFonts w:hint="eastAsia"/>
                      <w:color w:val="auto"/>
                      <w:lang w:val="en-US" w:eastAsia="zh-CN"/>
                    </w:rPr>
                    <w:t>项目采用食品级空钢瓶回收利用CO</w:t>
                  </w:r>
                  <w:r>
                    <w:rPr>
                      <w:rFonts w:hint="eastAsia"/>
                      <w:color w:val="auto"/>
                      <w:vertAlign w:val="subscript"/>
                      <w:lang w:val="en-US" w:eastAsia="zh-CN"/>
                    </w:rPr>
                    <w:t>2</w:t>
                  </w:r>
                  <w:r>
                    <w:rPr>
                      <w:rFonts w:hint="eastAsia"/>
                      <w:color w:val="auto"/>
                      <w:lang w:val="en-US" w:eastAsia="zh-CN"/>
                    </w:rPr>
                    <w:t>，回收效率可达85%。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2D8C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56D82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right w:val="single" w:color="000000" w:sz="4" w:space="0"/>
                  </w:tcBorders>
                  <w:shd w:val="clear" w:color="auto" w:fill="auto"/>
                  <w:noWrap w:val="0"/>
                  <w:vAlign w:val="center"/>
                </w:tcPr>
                <w:p w14:paraId="3BB24103">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EBDBA">
                  <w:pPr>
                    <w:pStyle w:val="29"/>
                    <w:bidi w:val="0"/>
                    <w:rPr>
                      <w:rFonts w:hint="default"/>
                      <w:color w:val="auto"/>
                      <w:lang w:val="en-US" w:eastAsia="zh-CN"/>
                    </w:rPr>
                  </w:pPr>
                  <w:r>
                    <w:rPr>
                      <w:rFonts w:hint="eastAsia"/>
                      <w:color w:val="auto"/>
                      <w:lang w:val="en-US" w:eastAsia="zh-CN"/>
                    </w:rPr>
                    <w:t>啤酒过滤采用硅藻土过滤、纸板或膜过滤</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9C6BA">
                  <w:pPr>
                    <w:pStyle w:val="29"/>
                    <w:bidi w:val="0"/>
                    <w:rPr>
                      <w:rFonts w:hint="default"/>
                      <w:color w:val="auto"/>
                      <w:lang w:val="en-US" w:eastAsia="zh-CN"/>
                    </w:rPr>
                  </w:pPr>
                  <w:r>
                    <w:rPr>
                      <w:rFonts w:hint="eastAsia"/>
                      <w:color w:val="auto"/>
                      <w:lang w:val="en-US" w:eastAsia="zh-CN"/>
                    </w:rPr>
                    <w:t>本项目啤酒过滤采用小型过滤器过滤。</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9257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7A10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right w:val="single" w:color="000000" w:sz="4" w:space="0"/>
                  </w:tcBorders>
                  <w:shd w:val="clear" w:color="auto" w:fill="auto"/>
                  <w:noWrap w:val="0"/>
                  <w:vAlign w:val="center"/>
                </w:tcPr>
                <w:p w14:paraId="71EA8314">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5CE6C">
                  <w:pPr>
                    <w:pStyle w:val="29"/>
                    <w:bidi w:val="0"/>
                    <w:rPr>
                      <w:rFonts w:hint="default"/>
                      <w:color w:val="auto"/>
                      <w:lang w:val="en-US" w:eastAsia="zh-CN"/>
                    </w:rPr>
                  </w:pPr>
                  <w:r>
                    <w:rPr>
                      <w:rFonts w:hint="eastAsia"/>
                      <w:color w:val="auto"/>
                      <w:lang w:val="en-US" w:eastAsia="zh-CN"/>
                    </w:rPr>
                    <w:t>清洗采用采用CIP清洗技术</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D3945">
                  <w:pPr>
                    <w:pStyle w:val="29"/>
                    <w:bidi w:val="0"/>
                    <w:rPr>
                      <w:rFonts w:hint="default"/>
                      <w:color w:val="auto"/>
                      <w:lang w:val="en-US" w:eastAsia="zh-CN"/>
                    </w:rPr>
                  </w:pPr>
                  <w:r>
                    <w:rPr>
                      <w:rFonts w:hint="eastAsia"/>
                      <w:color w:val="auto"/>
                      <w:lang w:val="en-US" w:eastAsia="zh-CN"/>
                    </w:rPr>
                    <w:t>本项目采用CIP清洗。</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660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6094A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vMerge w:val="continue"/>
                  <w:tcBorders>
                    <w:left w:val="single" w:color="000000" w:sz="4" w:space="0"/>
                    <w:bottom w:val="single" w:color="000000" w:sz="4" w:space="0"/>
                    <w:right w:val="single" w:color="000000" w:sz="4" w:space="0"/>
                  </w:tcBorders>
                  <w:shd w:val="clear" w:color="auto" w:fill="auto"/>
                  <w:noWrap w:val="0"/>
                  <w:vAlign w:val="center"/>
                </w:tcPr>
                <w:p w14:paraId="5E6BA5A2">
                  <w:pPr>
                    <w:pStyle w:val="29"/>
                    <w:bidi w:val="0"/>
                    <w:rPr>
                      <w:rFonts w:hint="eastAsia"/>
                      <w:color w:val="auto"/>
                      <w:lang w:val="en-US" w:eastAsia="zh-CN"/>
                    </w:rPr>
                  </w:pP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2F0F9">
                  <w:pPr>
                    <w:pStyle w:val="29"/>
                    <w:bidi w:val="0"/>
                    <w:rPr>
                      <w:rFonts w:hint="default"/>
                      <w:color w:val="auto"/>
                      <w:lang w:val="en-US" w:eastAsia="zh-CN"/>
                    </w:rPr>
                  </w:pPr>
                  <w:r>
                    <w:rPr>
                      <w:rFonts w:hint="eastAsia"/>
                      <w:color w:val="auto"/>
                      <w:lang w:val="en-US" w:eastAsia="zh-CN"/>
                    </w:rPr>
                    <w:t>配置冷凝固物/废酵母回收系统</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658F8">
                  <w:pPr>
                    <w:pStyle w:val="29"/>
                    <w:bidi w:val="0"/>
                    <w:rPr>
                      <w:rFonts w:hint="default"/>
                      <w:color w:val="auto"/>
                      <w:lang w:val="en-US" w:eastAsia="zh-CN"/>
                    </w:rPr>
                  </w:pPr>
                  <w:r>
                    <w:rPr>
                      <w:rFonts w:hint="eastAsia"/>
                      <w:color w:val="auto"/>
                      <w:lang w:val="en-US" w:eastAsia="zh-CN"/>
                    </w:rPr>
                    <w:t>本项目废酵母全部回收利用。</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59F0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6074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5C9BC">
                  <w:pPr>
                    <w:pStyle w:val="29"/>
                    <w:bidi w:val="0"/>
                    <w:rPr>
                      <w:rFonts w:hint="default"/>
                      <w:color w:val="auto"/>
                      <w:lang w:val="en-US" w:eastAsia="zh-CN"/>
                    </w:rPr>
                  </w:pPr>
                  <w:r>
                    <w:rPr>
                      <w:rFonts w:hint="eastAsia"/>
                      <w:color w:val="auto"/>
                      <w:lang w:val="en-US" w:eastAsia="zh-CN"/>
                    </w:rPr>
                    <w:t>包装</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040CB">
                  <w:pPr>
                    <w:pStyle w:val="29"/>
                    <w:bidi w:val="0"/>
                    <w:rPr>
                      <w:rFonts w:hint="default"/>
                      <w:color w:val="auto"/>
                      <w:lang w:val="en-US" w:eastAsia="zh-CN"/>
                    </w:rPr>
                  </w:pPr>
                  <w:r>
                    <w:rPr>
                      <w:rFonts w:hint="eastAsia"/>
                      <w:color w:val="auto"/>
                      <w:lang w:val="en-US" w:eastAsia="zh-CN"/>
                    </w:rPr>
                    <w:t>采用洗瓶（罐）、灌装、杀菌、贴标机械化灌装线</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CD3E">
                  <w:pPr>
                    <w:pStyle w:val="29"/>
                    <w:bidi w:val="0"/>
                    <w:rPr>
                      <w:rFonts w:hint="default"/>
                      <w:color w:val="auto"/>
                      <w:lang w:val="en-US" w:eastAsia="zh-CN"/>
                    </w:rPr>
                  </w:pPr>
                  <w:r>
                    <w:rPr>
                      <w:rFonts w:hint="eastAsia"/>
                      <w:color w:val="auto"/>
                      <w:lang w:val="en-US" w:eastAsia="zh-CN"/>
                    </w:rPr>
                    <w:t>本项目采用洗瓶（罐）、灌装、杀菌、贴标机械化灌装线。</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D69E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369F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CA7DA">
                  <w:pPr>
                    <w:pStyle w:val="29"/>
                    <w:bidi w:val="0"/>
                    <w:rPr>
                      <w:rFonts w:hint="default"/>
                      <w:color w:val="auto"/>
                      <w:lang w:val="en-US" w:eastAsia="zh-CN"/>
                    </w:rPr>
                  </w:pPr>
                  <w:r>
                    <w:rPr>
                      <w:rFonts w:hint="eastAsia"/>
                      <w:color w:val="auto"/>
                      <w:lang w:val="en-US" w:eastAsia="zh-CN"/>
                    </w:rPr>
                    <w:t>输送和贮存</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45E3A">
                  <w:pPr>
                    <w:pStyle w:val="29"/>
                    <w:bidi w:val="0"/>
                    <w:rPr>
                      <w:rFonts w:hint="eastAsia"/>
                      <w:color w:val="auto"/>
                      <w:lang w:val="en-US" w:eastAsia="zh-CN"/>
                    </w:rPr>
                  </w:pPr>
                  <w:r>
                    <w:rPr>
                      <w:rFonts w:hint="eastAsia"/>
                      <w:color w:val="auto"/>
                      <w:lang w:val="en-US" w:eastAsia="zh-CN"/>
                    </w:rPr>
                    <w:t>输送和贮存液质半成品和成品的管道和容器材质采用不锈钢、铜或碳钢涂料，不得产生对人体有害的气味和物质</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679A9">
                  <w:pPr>
                    <w:pStyle w:val="29"/>
                    <w:bidi w:val="0"/>
                    <w:rPr>
                      <w:rFonts w:hint="default"/>
                      <w:color w:val="auto"/>
                      <w:lang w:val="en-US" w:eastAsia="zh-CN"/>
                    </w:rPr>
                  </w:pPr>
                  <w:r>
                    <w:rPr>
                      <w:rFonts w:hint="eastAsia"/>
                      <w:color w:val="auto"/>
                      <w:lang w:val="en-US" w:eastAsia="zh-CN"/>
                    </w:rPr>
                    <w:t>本项目输送和贮存液质半成品和成品的管道和容器材质均采用不锈钢涂料。</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E5EF4">
                  <w:pPr>
                    <w:pStyle w:val="29"/>
                    <w:bidi w:val="0"/>
                    <w:rPr>
                      <w:rFonts w:hint="default"/>
                      <w:color w:val="auto"/>
                      <w:lang w:val="en-US" w:eastAsia="zh-CN"/>
                    </w:rPr>
                  </w:pPr>
                  <w:r>
                    <w:rPr>
                      <w:rFonts w:hint="eastAsia"/>
                      <w:color w:val="auto"/>
                      <w:lang w:val="en-US" w:eastAsia="zh-CN"/>
                    </w:rPr>
                    <w:t>符合</w:t>
                  </w:r>
                </w:p>
              </w:tc>
            </w:tr>
            <w:tr w14:paraId="21D0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8AE77">
                  <w:pPr>
                    <w:pStyle w:val="29"/>
                    <w:bidi w:val="0"/>
                    <w:rPr>
                      <w:rFonts w:hint="eastAsia"/>
                      <w:color w:val="auto"/>
                      <w:lang w:val="en-US" w:eastAsia="zh-CN"/>
                    </w:rPr>
                  </w:pPr>
                  <w:r>
                    <w:rPr>
                      <w:rFonts w:hint="eastAsia"/>
                      <w:color w:val="auto"/>
                      <w:lang w:val="en-US" w:eastAsia="zh-CN"/>
                    </w:rPr>
                    <w:t>二、资源能源利用指标</w:t>
                  </w:r>
                </w:p>
              </w:tc>
            </w:tr>
            <w:tr w14:paraId="5AE0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553B3">
                  <w:pPr>
                    <w:pStyle w:val="29"/>
                    <w:bidi w:val="0"/>
                    <w:rPr>
                      <w:rFonts w:hint="default"/>
                      <w:color w:val="auto"/>
                      <w:lang w:val="en-US" w:eastAsia="zh-CN"/>
                    </w:rPr>
                  </w:pPr>
                  <w:r>
                    <w:rPr>
                      <w:rFonts w:hint="eastAsia"/>
                      <w:color w:val="auto"/>
                      <w:lang w:val="en-US" w:eastAsia="zh-CN"/>
                    </w:rPr>
                    <w:t>1</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658E0">
                  <w:pPr>
                    <w:pStyle w:val="29"/>
                    <w:bidi w:val="0"/>
                    <w:rPr>
                      <w:rFonts w:hint="eastAsia"/>
                      <w:color w:val="auto"/>
                      <w:lang w:val="en-US" w:eastAsia="zh-CN"/>
                    </w:rPr>
                  </w:pPr>
                  <w:r>
                    <w:rPr>
                      <w:rFonts w:hint="eastAsia"/>
                      <w:color w:val="auto"/>
                      <w:lang w:val="en-US" w:eastAsia="zh-CN"/>
                    </w:rPr>
                    <w:t>使用清洁能源，燃煤含硫量符合当地环保要求</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4960B">
                  <w:pPr>
                    <w:pStyle w:val="29"/>
                    <w:bidi w:val="0"/>
                    <w:rPr>
                      <w:rFonts w:hint="default"/>
                      <w:color w:val="auto"/>
                      <w:lang w:val="en-US" w:eastAsia="zh-CN"/>
                    </w:rPr>
                  </w:pPr>
                  <w:r>
                    <w:rPr>
                      <w:rFonts w:hint="eastAsia"/>
                      <w:color w:val="auto"/>
                      <w:lang w:val="en-US" w:eastAsia="zh-CN"/>
                    </w:rPr>
                    <w:t>本项目使用清洁能源天然气</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B32C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5FFB3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A8EB8">
                  <w:pPr>
                    <w:pStyle w:val="29"/>
                    <w:bidi w:val="0"/>
                    <w:rPr>
                      <w:rFonts w:hint="default"/>
                      <w:color w:val="auto"/>
                      <w:lang w:val="en-US" w:eastAsia="zh-CN"/>
                    </w:rPr>
                  </w:pPr>
                  <w:r>
                    <w:rPr>
                      <w:rFonts w:hint="eastAsia"/>
                      <w:color w:val="auto"/>
                      <w:lang w:val="en-US" w:eastAsia="zh-CN"/>
                    </w:rPr>
                    <w:t>2</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0B770">
                  <w:pPr>
                    <w:pStyle w:val="29"/>
                    <w:bidi w:val="0"/>
                    <w:rPr>
                      <w:rFonts w:hint="eastAsia"/>
                      <w:color w:val="auto"/>
                      <w:lang w:val="en-US" w:eastAsia="zh-CN"/>
                    </w:rPr>
                  </w:pPr>
                  <w:r>
                    <w:rPr>
                      <w:rFonts w:hint="eastAsia"/>
                      <w:color w:val="auto"/>
                      <w:lang w:val="en-US" w:eastAsia="zh-CN"/>
                    </w:rPr>
                    <w:t>清洗管道和容器的洗涤剂不含任何对人体有害和对设备有腐蚀作用的物质</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94448">
                  <w:pPr>
                    <w:pStyle w:val="29"/>
                    <w:bidi w:val="0"/>
                    <w:rPr>
                      <w:rFonts w:hint="default"/>
                      <w:color w:val="auto"/>
                      <w:lang w:val="en-US" w:eastAsia="zh-CN"/>
                    </w:rPr>
                  </w:pPr>
                  <w:r>
                    <w:rPr>
                      <w:rFonts w:hint="eastAsia"/>
                      <w:color w:val="auto"/>
                      <w:lang w:val="en-US" w:eastAsia="zh-CN"/>
                    </w:rPr>
                    <w:t>本项目清洗采用过氧乙酸和稀释后的氢氧化钠溶液清洗，不含任何对人体有害和对设备有腐蚀作用的物质。</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20E1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1CFB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6AD66">
                  <w:pPr>
                    <w:pStyle w:val="29"/>
                    <w:bidi w:val="0"/>
                    <w:rPr>
                      <w:rFonts w:hint="eastAsia"/>
                      <w:color w:val="auto"/>
                      <w:lang w:val="en-US" w:eastAsia="zh-CN"/>
                    </w:rPr>
                  </w:pPr>
                  <w:r>
                    <w:rPr>
                      <w:rFonts w:hint="eastAsia"/>
                      <w:color w:val="auto"/>
                      <w:lang w:val="en-US" w:eastAsia="zh-CN"/>
                    </w:rPr>
                    <w:t>五、废物回收利用指标</w:t>
                  </w:r>
                </w:p>
              </w:tc>
            </w:tr>
            <w:tr w14:paraId="099D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22E17">
                  <w:pPr>
                    <w:pStyle w:val="29"/>
                    <w:bidi w:val="0"/>
                    <w:rPr>
                      <w:rFonts w:hint="default"/>
                      <w:color w:val="auto"/>
                      <w:lang w:val="en-US" w:eastAsia="zh-CN"/>
                    </w:rPr>
                  </w:pPr>
                  <w:r>
                    <w:rPr>
                      <w:rFonts w:hint="eastAsia"/>
                      <w:color w:val="auto"/>
                      <w:lang w:val="en-US" w:eastAsia="zh-CN"/>
                    </w:rPr>
                    <w:t>1</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D7DD7">
                  <w:pPr>
                    <w:pStyle w:val="29"/>
                    <w:bidi w:val="0"/>
                    <w:rPr>
                      <w:rFonts w:hint="eastAsia"/>
                      <w:color w:val="auto"/>
                      <w:lang w:val="en-US" w:eastAsia="zh-CN"/>
                    </w:rPr>
                  </w:pPr>
                  <w:r>
                    <w:rPr>
                      <w:rFonts w:hint="eastAsia"/>
                      <w:color w:val="auto"/>
                      <w:lang w:val="en-US" w:eastAsia="zh-CN"/>
                    </w:rPr>
                    <w:t>酒糟回收利用率：100%回收并利用（直接作饲料等）</w:t>
                  </w:r>
                </w:p>
              </w:tc>
              <w:tc>
                <w:tcPr>
                  <w:tcW w:w="1885" w:type="pct"/>
                  <w:vMerge w:val="restart"/>
                  <w:tcBorders>
                    <w:top w:val="single" w:color="000000" w:sz="4" w:space="0"/>
                    <w:left w:val="single" w:color="000000" w:sz="4" w:space="0"/>
                    <w:right w:val="single" w:color="000000" w:sz="4" w:space="0"/>
                  </w:tcBorders>
                  <w:shd w:val="clear" w:color="auto" w:fill="auto"/>
                  <w:noWrap w:val="0"/>
                  <w:vAlign w:val="center"/>
                </w:tcPr>
                <w:p w14:paraId="2A933BC9">
                  <w:pPr>
                    <w:pStyle w:val="29"/>
                    <w:bidi w:val="0"/>
                    <w:rPr>
                      <w:rFonts w:hint="default"/>
                      <w:color w:val="auto"/>
                      <w:lang w:val="en-US" w:eastAsia="zh-CN"/>
                    </w:rPr>
                  </w:pPr>
                  <w:r>
                    <w:rPr>
                      <w:rFonts w:hint="eastAsia"/>
                      <w:color w:val="auto"/>
                      <w:lang w:val="en-US" w:eastAsia="zh-CN"/>
                    </w:rPr>
                    <w:t>全部定向外售至已取得饲料生产合法资质的饲料加工企业，或具备规模化养殖资质、配套合规饲料加工车间的养殖场，作为饲料生产原料实现全量资源化利用，不交由无资质散户零散收购处置。回收率100%。</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E6D7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0C9C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AB6F2">
                  <w:pPr>
                    <w:pStyle w:val="29"/>
                    <w:bidi w:val="0"/>
                    <w:rPr>
                      <w:rFonts w:hint="default"/>
                      <w:color w:val="auto"/>
                      <w:lang w:val="en-US" w:eastAsia="zh-CN"/>
                    </w:rPr>
                  </w:pPr>
                  <w:r>
                    <w:rPr>
                      <w:rFonts w:hint="eastAsia"/>
                      <w:color w:val="auto"/>
                      <w:lang w:val="en-US" w:eastAsia="zh-CN"/>
                    </w:rPr>
                    <w:t>2</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63D5B">
                  <w:pPr>
                    <w:pStyle w:val="29"/>
                    <w:bidi w:val="0"/>
                    <w:rPr>
                      <w:rFonts w:hint="eastAsia"/>
                      <w:color w:val="auto"/>
                      <w:lang w:val="en-US" w:eastAsia="zh-CN"/>
                    </w:rPr>
                  </w:pPr>
                  <w:r>
                    <w:rPr>
                      <w:rFonts w:hint="eastAsia"/>
                      <w:color w:val="auto"/>
                      <w:lang w:val="en-US" w:eastAsia="zh-CN"/>
                    </w:rPr>
                    <w:t>废酵母回收利用率：100%回收并利用（直接作饲料等）</w:t>
                  </w:r>
                </w:p>
              </w:tc>
              <w:tc>
                <w:tcPr>
                  <w:tcW w:w="1885" w:type="pct"/>
                  <w:vMerge w:val="continue"/>
                  <w:tcBorders>
                    <w:left w:val="single" w:color="000000" w:sz="4" w:space="0"/>
                    <w:bottom w:val="single" w:color="000000" w:sz="4" w:space="0"/>
                    <w:right w:val="single" w:color="000000" w:sz="4" w:space="0"/>
                  </w:tcBorders>
                  <w:shd w:val="clear" w:color="auto" w:fill="auto"/>
                  <w:noWrap w:val="0"/>
                  <w:vAlign w:val="center"/>
                </w:tcPr>
                <w:p w14:paraId="07D2E97E">
                  <w:pPr>
                    <w:pStyle w:val="29"/>
                    <w:bidi w:val="0"/>
                    <w:rPr>
                      <w:rFonts w:hint="eastAsia"/>
                      <w:color w:val="auto"/>
                      <w:lang w:val="en-US" w:eastAsia="zh-CN"/>
                    </w:rPr>
                  </w:pP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2897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5E97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AF39D">
                  <w:pPr>
                    <w:pStyle w:val="29"/>
                    <w:bidi w:val="0"/>
                    <w:rPr>
                      <w:rFonts w:hint="default"/>
                      <w:color w:val="auto"/>
                      <w:lang w:val="en-US" w:eastAsia="zh-CN"/>
                    </w:rPr>
                  </w:pPr>
                  <w:r>
                    <w:rPr>
                      <w:rFonts w:hint="eastAsia"/>
                      <w:color w:val="auto"/>
                      <w:lang w:val="en-US" w:eastAsia="zh-CN"/>
                    </w:rPr>
                    <w:t>3</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330C7">
                  <w:pPr>
                    <w:pStyle w:val="29"/>
                    <w:bidi w:val="0"/>
                    <w:rPr>
                      <w:rFonts w:hint="eastAsia"/>
                      <w:color w:val="auto"/>
                      <w:lang w:val="en-US" w:eastAsia="zh-CN"/>
                    </w:rPr>
                  </w:pPr>
                  <w:r>
                    <w:rPr>
                      <w:rFonts w:hint="eastAsia"/>
                      <w:color w:val="auto"/>
                      <w:lang w:val="en-US" w:eastAsia="zh-CN"/>
                    </w:rPr>
                    <w:t>废硅藻土回收处置率：100%回收并妥善处置 填埋等）不直接排入下水道和环境中</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41519">
                  <w:pPr>
                    <w:pStyle w:val="29"/>
                    <w:bidi w:val="0"/>
                    <w:rPr>
                      <w:rFonts w:hint="default"/>
                      <w:color w:val="auto"/>
                      <w:lang w:val="en-US" w:eastAsia="zh-CN"/>
                    </w:rPr>
                  </w:pPr>
                  <w:r>
                    <w:rPr>
                      <w:rFonts w:hint="eastAsia"/>
                      <w:color w:val="auto"/>
                      <w:lang w:val="en-US" w:eastAsia="zh-CN"/>
                    </w:rPr>
                    <w:t>本项目过滤采用过滤器，不使用硅藻土，无废硅藻土产生。</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E9E2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6BEF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8A4AD">
                  <w:pPr>
                    <w:pStyle w:val="29"/>
                    <w:bidi w:val="0"/>
                    <w:rPr>
                      <w:rFonts w:hint="default"/>
                      <w:color w:val="auto"/>
                      <w:lang w:val="en-US" w:eastAsia="zh-CN"/>
                    </w:rPr>
                  </w:pPr>
                  <w:r>
                    <w:rPr>
                      <w:rFonts w:hint="eastAsia"/>
                      <w:color w:val="auto"/>
                      <w:lang w:val="en-US" w:eastAsia="zh-CN"/>
                    </w:rPr>
                    <w:t>4</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7C09E">
                  <w:pPr>
                    <w:pStyle w:val="29"/>
                    <w:bidi w:val="0"/>
                    <w:jc w:val="both"/>
                    <w:rPr>
                      <w:rFonts w:hint="eastAsia"/>
                      <w:color w:val="auto"/>
                      <w:lang w:val="en-US" w:eastAsia="zh-CN"/>
                    </w:rPr>
                  </w:pPr>
                  <w:r>
                    <w:rPr>
                      <w:rFonts w:hint="eastAsia"/>
                      <w:color w:val="auto"/>
                      <w:lang w:val="en-US" w:eastAsia="zh-CN"/>
                    </w:rPr>
                    <w:t>炉渣回收利用率：100%回收并妥善处置</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DF23A">
                  <w:pPr>
                    <w:pStyle w:val="29"/>
                    <w:bidi w:val="0"/>
                    <w:rPr>
                      <w:rFonts w:hint="default"/>
                      <w:color w:val="auto"/>
                      <w:lang w:val="en-US" w:eastAsia="zh-CN"/>
                    </w:rPr>
                  </w:pPr>
                  <w:r>
                    <w:rPr>
                      <w:rFonts w:hint="eastAsia"/>
                      <w:color w:val="auto"/>
                      <w:lang w:val="en-US" w:eastAsia="zh-CN"/>
                    </w:rPr>
                    <w:t>无炉渣产生。</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E932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r w14:paraId="2515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BEDB3">
                  <w:pPr>
                    <w:pStyle w:val="29"/>
                    <w:bidi w:val="0"/>
                    <w:rPr>
                      <w:rFonts w:hint="default"/>
                      <w:color w:val="auto"/>
                      <w:lang w:val="en-US" w:eastAsia="zh-CN"/>
                    </w:rPr>
                  </w:pPr>
                  <w:r>
                    <w:rPr>
                      <w:rFonts w:hint="eastAsia"/>
                      <w:color w:val="auto"/>
                      <w:lang w:val="en-US" w:eastAsia="zh-CN"/>
                    </w:rPr>
                    <w:t>5</w:t>
                  </w:r>
                </w:p>
              </w:tc>
              <w:tc>
                <w:tcPr>
                  <w:tcW w:w="217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E7C61">
                  <w:pPr>
                    <w:pStyle w:val="29"/>
                    <w:bidi w:val="0"/>
                    <w:jc w:val="both"/>
                    <w:rPr>
                      <w:rFonts w:hint="eastAsia"/>
                      <w:color w:val="auto"/>
                      <w:lang w:val="en-US" w:eastAsia="zh-CN"/>
                    </w:rPr>
                  </w:pPr>
                  <w:r>
                    <w:rPr>
                      <w:rFonts w:hint="eastAsia"/>
                      <w:color w:val="auto"/>
                      <w:lang w:val="en-US" w:eastAsia="zh-CN"/>
                    </w:rPr>
                    <w:t>二氧化碳（发酵产生）回收利用率：50%以上回收并利用</w:t>
                  </w:r>
                </w:p>
              </w:tc>
              <w:tc>
                <w:tcPr>
                  <w:tcW w:w="18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F8DFA">
                  <w:pPr>
                    <w:pStyle w:val="29"/>
                    <w:bidi w:val="0"/>
                    <w:rPr>
                      <w:rFonts w:hint="default"/>
                      <w:color w:val="auto"/>
                      <w:lang w:val="en-US" w:eastAsia="zh-CN"/>
                    </w:rPr>
                  </w:pPr>
                  <w:r>
                    <w:rPr>
                      <w:rFonts w:hint="eastAsia"/>
                      <w:color w:val="auto"/>
                      <w:lang w:val="en-US" w:eastAsia="zh-CN"/>
                    </w:rPr>
                    <w:t>项目采用食品级空钢瓶回收利用CO</w:t>
                  </w:r>
                  <w:r>
                    <w:rPr>
                      <w:rFonts w:hint="eastAsia"/>
                      <w:color w:val="auto"/>
                      <w:vertAlign w:val="subscript"/>
                      <w:lang w:val="en-US" w:eastAsia="zh-CN"/>
                    </w:rPr>
                    <w:t>2</w:t>
                  </w:r>
                  <w:r>
                    <w:rPr>
                      <w:rFonts w:hint="eastAsia"/>
                      <w:color w:val="auto"/>
                      <w:vertAlign w:val="baseline"/>
                      <w:lang w:val="en-US" w:eastAsia="zh-CN"/>
                    </w:rPr>
                    <w:t>，回收效率可达85%。</w:t>
                  </w:r>
                </w:p>
              </w:tc>
              <w:tc>
                <w:tcPr>
                  <w:tcW w:w="470"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5E56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符合</w:t>
                  </w:r>
                </w:p>
              </w:tc>
            </w:tr>
          </w:tbl>
          <w:p w14:paraId="3B6EC274">
            <w:pPr>
              <w:pStyle w:val="16"/>
              <w:rPr>
                <w:rFonts w:hint="default"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综上</w:t>
            </w:r>
            <w:r>
              <w:rPr>
                <w:rFonts w:hint="eastAsia" w:cs="Times New Roman"/>
                <w:b w:val="0"/>
                <w:bCs w:val="0"/>
                <w:color w:val="auto"/>
                <w:kern w:val="2"/>
                <w:sz w:val="24"/>
                <w:szCs w:val="24"/>
                <w:lang w:val="en-US" w:eastAsia="zh-CN" w:bidi="ar-SA"/>
              </w:rPr>
              <w:t>，本项目符合《清洁生产标准 啤酒制造业》（HJ/T 183-2006）中的要求。</w:t>
            </w:r>
          </w:p>
          <w:p w14:paraId="57F70A71">
            <w:pPr>
              <w:ind w:firstLine="482"/>
              <w:rPr>
                <w:rFonts w:hint="default"/>
                <w:b/>
                <w:bCs/>
                <w:color w:val="auto"/>
                <w:lang w:val="en-US" w:eastAsia="zh-CN"/>
              </w:rPr>
            </w:pPr>
            <w:r>
              <w:rPr>
                <w:rFonts w:hint="eastAsia"/>
                <w:b/>
                <w:bCs/>
                <w:color w:val="auto"/>
                <w:lang w:val="en-US" w:eastAsia="zh-CN"/>
              </w:rPr>
              <w:t>13、项目与周边环境协调性分析</w:t>
            </w:r>
          </w:p>
          <w:p w14:paraId="47885F99">
            <w:pPr>
              <w:ind w:firstLine="482"/>
              <w:rPr>
                <w:rFonts w:hint="default"/>
                <w:b w:val="0"/>
                <w:bCs w:val="0"/>
                <w:color w:val="auto"/>
                <w:lang w:val="en-US" w:eastAsia="zh-CN"/>
              </w:rPr>
            </w:pPr>
            <w:r>
              <w:rPr>
                <w:rFonts w:hint="eastAsia"/>
                <w:b w:val="0"/>
                <w:bCs w:val="0"/>
                <w:color w:val="auto"/>
                <w:lang w:val="en-US" w:eastAsia="zh-CN"/>
              </w:rPr>
              <w:t>（1）项目周边情况</w:t>
            </w:r>
          </w:p>
          <w:p w14:paraId="0F898BF0">
            <w:pPr>
              <w:ind w:firstLine="482"/>
              <w:rPr>
                <w:rFonts w:hint="eastAsia"/>
                <w:b w:val="0"/>
                <w:bCs w:val="0"/>
                <w:color w:val="auto"/>
                <w:lang w:val="en-US" w:eastAsia="zh-CN"/>
              </w:rPr>
            </w:pPr>
            <w:r>
              <w:rPr>
                <w:rFonts w:hint="eastAsia"/>
                <w:b w:val="0"/>
                <w:bCs w:val="0"/>
                <w:color w:val="auto"/>
                <w:lang w:val="en-US" w:eastAsia="zh-CN"/>
              </w:rPr>
              <w:t>项目位于玉溪市高新区九龙池片区工业园区内D4栋第一层，北侧23m为产业园职工生活区；西侧10m处为云南伊然轩食品有限公司，93m为噢伴食品（云南）有限公司；南侧20米为玉溪融建信息技术有限公司；东南侧60m为江太餐饮；西南侧90米为信华科技有限公司，200m为加多宝（云南）饮料有限公司。项目所在楼层的上层入驻企业为糕点制造类食品加工项目。</w:t>
            </w:r>
          </w:p>
          <w:p w14:paraId="0C88D0A8">
            <w:pPr>
              <w:ind w:firstLine="482"/>
              <w:rPr>
                <w:rFonts w:hint="eastAsia"/>
                <w:b w:val="0"/>
                <w:bCs w:val="0"/>
                <w:color w:val="auto"/>
                <w:lang w:val="en-US" w:eastAsia="zh-CN"/>
              </w:rPr>
            </w:pPr>
            <w:r>
              <w:rPr>
                <w:rFonts w:hint="eastAsia"/>
                <w:b w:val="0"/>
                <w:bCs w:val="0"/>
                <w:color w:val="auto"/>
                <w:lang w:val="en-US" w:eastAsia="zh-CN"/>
              </w:rPr>
              <w:t>（2）与周边企业相容性分析</w:t>
            </w:r>
          </w:p>
          <w:p w14:paraId="78901971">
            <w:pPr>
              <w:ind w:firstLine="482"/>
              <w:rPr>
                <w:rFonts w:hint="eastAsia"/>
                <w:b w:val="0"/>
                <w:bCs w:val="0"/>
                <w:color w:val="auto"/>
                <w:lang w:val="en-US" w:eastAsia="zh-CN"/>
              </w:rPr>
            </w:pPr>
            <w:r>
              <w:rPr>
                <w:rFonts w:hint="eastAsia"/>
                <w:b w:val="0"/>
                <w:bCs w:val="0"/>
                <w:color w:val="auto"/>
                <w:lang w:val="en-US" w:eastAsia="zh-CN"/>
              </w:rPr>
              <w:t>本项目属于啤酒加工类食品制造项目，与周边加多宝饮料、伊然轩食品、噢伴食品以及上层糕点企业同属食品饮料产业链范畴，产业方向高度契合，可共享园区冷链物流等公共配套资源，形成食品产业集聚效应，不存在产业冲突、原料竞争或交叉污染风险。项目生产车间的糖化、发酵等高噪声设备均采取基础减振、密闭厂房隔声措施，厂界噪声可稳定满足《工业企业厂界环境噪声排放标准》3类标准，不会通过楼板向上层传递，也不会对北侧职工生活区、周边企业造成噪声干扰。项目选址完全符合园区国土空间规划、分区管控要求，不触碰生态保护红线，污染物排放总量满足区域管控指标，与区域生态环境功能定位高度协调，所有入驻企业之间不存在环境制约因素，整体布局相容性良好。</w:t>
            </w:r>
          </w:p>
          <w:p w14:paraId="590E8B6A">
            <w:pPr>
              <w:ind w:firstLine="482"/>
              <w:rPr>
                <w:rFonts w:hint="eastAsia"/>
                <w:b w:val="0"/>
                <w:bCs w:val="0"/>
                <w:color w:val="auto"/>
                <w:lang w:val="en-US" w:eastAsia="zh-CN"/>
              </w:rPr>
            </w:pPr>
            <w:r>
              <w:rPr>
                <w:rFonts w:hint="eastAsia"/>
                <w:b w:val="0"/>
                <w:bCs w:val="0"/>
                <w:color w:val="auto"/>
                <w:lang w:val="en-US" w:eastAsia="zh-CN"/>
              </w:rPr>
              <w:t>综上，本项目与周边企业环境相容性较好，无环境污染影响，周边的玉溪融建信息技术有限公司、信华科技有限公司虽属不同行业类型，但与本项目均有厂房阻隔、生产运营过程中，污染物实现达标排放后，不会对本项目产生明显不利影响。</w:t>
            </w:r>
          </w:p>
          <w:p w14:paraId="22C5BC14">
            <w:pPr>
              <w:ind w:firstLine="482"/>
              <w:rPr>
                <w:rFonts w:hint="default"/>
                <w:b w:val="0"/>
                <w:bCs w:val="0"/>
                <w:color w:val="auto"/>
                <w:lang w:val="en-US" w:eastAsia="zh-CN"/>
              </w:rPr>
            </w:pPr>
            <w:r>
              <w:rPr>
                <w:rFonts w:hint="eastAsia"/>
                <w:b w:val="0"/>
                <w:bCs w:val="0"/>
                <w:color w:val="auto"/>
                <w:lang w:val="en-US" w:eastAsia="zh-CN"/>
              </w:rPr>
              <w:t>（3）与园区产业导向的符合性分析</w:t>
            </w:r>
          </w:p>
          <w:p w14:paraId="7B6737F0">
            <w:pPr>
              <w:ind w:firstLine="482"/>
              <w:rPr>
                <w:rFonts w:hint="eastAsia"/>
                <w:b w:val="0"/>
                <w:bCs w:val="0"/>
                <w:color w:val="auto"/>
                <w:lang w:val="en-US" w:eastAsia="zh-CN"/>
              </w:rPr>
            </w:pPr>
            <w:r>
              <w:rPr>
                <w:rFonts w:hint="eastAsia"/>
                <w:b w:val="0"/>
                <w:bCs w:val="0"/>
                <w:color w:val="auto"/>
                <w:lang w:val="en-US" w:eastAsia="zh-CN"/>
              </w:rPr>
              <w:t>本项目位于玉溪高新区九龙片区，即玉溪高新技术产业开发区核心区，根据《玉溪高新技术产业开发区总体规划修编（2021-2035年）》，核心区发展定位为健康数字产城融合示范区，依托疫苗产业园、玉溪政务云数据中心、华为云服务中心、电信天翼云、联通数据中心、融建云平台，重点发展数字经济、生物医药大健康、绿色食品、卷烟及配套设施。且本项目已取得与玉溪高新技术产业开发区的投资协议与证明，详见附件5、附件6，项目符合玉溪高新区产业导向。</w:t>
            </w:r>
          </w:p>
          <w:p w14:paraId="7D6B4E70">
            <w:pPr>
              <w:ind w:firstLine="482"/>
              <w:rPr>
                <w:rFonts w:hint="default"/>
                <w:b w:val="0"/>
                <w:bCs w:val="0"/>
                <w:color w:val="auto"/>
                <w:lang w:val="en-US" w:eastAsia="zh-CN"/>
              </w:rPr>
            </w:pPr>
            <w:r>
              <w:rPr>
                <w:rFonts w:hint="eastAsia"/>
                <w:b w:val="0"/>
                <w:bCs w:val="0"/>
                <w:color w:val="auto"/>
                <w:lang w:val="en-US" w:eastAsia="zh-CN"/>
              </w:rPr>
              <w:t>（4）与集中供热企业、印刷企业环境相容性分析</w:t>
            </w:r>
          </w:p>
          <w:p w14:paraId="50C75699">
            <w:pPr>
              <w:ind w:firstLine="482"/>
              <w:rPr>
                <w:rFonts w:hint="eastAsia"/>
                <w:b w:val="0"/>
                <w:bCs w:val="0"/>
                <w:color w:val="auto"/>
                <w:lang w:val="en-US" w:eastAsia="zh-CN"/>
              </w:rPr>
            </w:pPr>
            <w:r>
              <w:rPr>
                <w:rFonts w:hint="eastAsia"/>
                <w:b w:val="0"/>
                <w:bCs w:val="0"/>
                <w:color w:val="auto"/>
                <w:lang w:val="en-US" w:eastAsia="zh-CN"/>
              </w:rPr>
              <w:t>本项目属于食品制造业，选址位于玉溪国家高新技术产业开发区九龙片区，本次分析依据《中华人民共和国食品安全法》《食品安全国家标准 食品生产通用卫生规范》（GB 14881-2013）、玉溪高新区总体规划及供热规划、规划环评批复开展，重点针对周边排放大气污染物的典型污染源（集中供热企业、印刷企业），论证其与本项目食品生产卫生要求的符合性及环境相容性。</w:t>
            </w:r>
          </w:p>
          <w:p w14:paraId="2DC7B724">
            <w:pPr>
              <w:ind w:firstLine="482"/>
              <w:rPr>
                <w:rFonts w:hint="eastAsia"/>
                <w:b w:val="0"/>
                <w:bCs w:val="0"/>
                <w:color w:val="auto"/>
                <w:lang w:val="en-US" w:eastAsia="zh-CN"/>
              </w:rPr>
            </w:pPr>
            <w:r>
              <w:rPr>
                <w:rFonts w:hint="eastAsia"/>
                <w:b w:val="0"/>
                <w:bCs w:val="0"/>
                <w:color w:val="auto"/>
                <w:lang w:val="en-US" w:eastAsia="zh-CN"/>
              </w:rPr>
              <w:t>项目周边最近的1家印刷企业——云南省玉溪印刷有限责任公司，选址位于玉溪市高新区九龙片区V4地块，为国家级绿色工厂，已完成挥发性有机物（VOCs）深度治理，配套完善的污染处理设施，主营业务为包装印刷、商标印制，所有废气排放均满足地方VOCs排放控制要求。经地理信息测算，该印刷厂与本项目厂址直线距离约600米，远高于“排放尘毒作业场所需距离居民区25米以上”的通用管控标准，完全满足食品生产的距离防护要求。</w:t>
            </w:r>
          </w:p>
          <w:p w14:paraId="070B4A1F">
            <w:pPr>
              <w:rPr>
                <w:rFonts w:hint="eastAsia"/>
                <w:b w:val="0"/>
                <w:bCs w:val="0"/>
                <w:color w:val="auto"/>
                <w:lang w:val="en-US" w:eastAsia="zh-CN"/>
              </w:rPr>
            </w:pPr>
            <w:r>
              <w:rPr>
                <w:rFonts w:hint="eastAsia"/>
                <w:b w:val="0"/>
                <w:bCs w:val="0"/>
                <w:color w:val="auto"/>
                <w:lang w:val="en-US" w:eastAsia="zh-CN"/>
              </w:rPr>
              <w:t>结合园区集中供热分区规划及分散锅炉建设管控要求，本项目对自建供热方案合规性论证如下：玉溪高新区九龙片区已建成‌5万吨/年蒸汽集中供热项目‌，属于园区规划配套的合规集中供热基础设施，该供热项目环评批复卫生防护距离为300米，与本项目直线距离远大于该防护距离要求。</w:t>
            </w:r>
          </w:p>
          <w:p w14:paraId="2D749DDE">
            <w:pPr>
              <w:ind w:firstLine="482"/>
              <w:rPr>
                <w:rFonts w:hint="eastAsia"/>
                <w:b w:val="0"/>
                <w:bCs w:val="0"/>
                <w:color w:val="auto"/>
                <w:lang w:val="en-US" w:eastAsia="zh-CN"/>
              </w:rPr>
            </w:pPr>
            <w:r>
              <w:rPr>
                <w:rFonts w:hint="eastAsia"/>
                <w:b w:val="0"/>
                <w:bCs w:val="0"/>
                <w:color w:val="auto"/>
                <w:lang w:val="en-US" w:eastAsia="zh-CN"/>
              </w:rPr>
              <w:t>其余已公示、在建的集中供热项目情况如下：玉溪合原能源有限公司集中供热项目与本项目距离较远；园区南片区在建12万吨蒸汽集中供热项目：选址远离本项目厂址，不存在空间上的交叉影响。基于上述客观条件，本项目自建小型天然气供热锅炉，属于园区规划环评允许的、集中供热暂未覆盖区域的合规分散供热设施，采用清洁能源天然气作为燃料，配套完善的废气污染治理设施，污染物排放可稳定满足国家及地方排放标准要求，符合园区供热规划及污染减排管控导向，供热方案具备环境合理性。</w:t>
            </w:r>
          </w:p>
          <w:p w14:paraId="7525DDEF">
            <w:pPr>
              <w:ind w:firstLine="482"/>
              <w:rPr>
                <w:rFonts w:hint="eastAsia"/>
                <w:b w:val="0"/>
                <w:bCs w:val="0"/>
                <w:color w:val="auto"/>
                <w:lang w:val="en-US" w:eastAsia="zh-CN"/>
              </w:rPr>
            </w:pPr>
            <w:r>
              <w:rPr>
                <w:rFonts w:hint="eastAsia"/>
                <w:b w:val="0"/>
                <w:bCs w:val="0"/>
                <w:color w:val="auto"/>
                <w:lang w:val="en-US" w:eastAsia="zh-CN"/>
              </w:rPr>
              <w:t>现行规范未对食品生产企业与印刷、集中供热企业设定统一强制距离，仅要求不得毗邻扩散性污染源。结合管控标准与本项目实际情况：‌印刷企业‌：本项目与最近印刷企业距离为600米，远高于“排放尘毒作业场所需距离居民区25米以上”的通用管控标准，满足食品生产的距离防护要求；‌集中供热企业‌：本项目厂址位于所有已建、在建集中供热项目的批复卫生防护距离、大气环境防护距离之外，完全符合距离管控要求。</w:t>
            </w:r>
          </w:p>
          <w:p w14:paraId="52EBB607">
            <w:pPr>
              <w:rPr>
                <w:rFonts w:hint="eastAsia"/>
                <w:b w:val="0"/>
                <w:bCs w:val="0"/>
                <w:color w:val="auto"/>
                <w:lang w:val="en-US" w:eastAsia="zh-CN"/>
              </w:rPr>
            </w:pPr>
            <w:r>
              <w:rPr>
                <w:rFonts w:hint="eastAsia"/>
                <w:b w:val="0"/>
                <w:bCs w:val="0"/>
                <w:color w:val="auto"/>
                <w:lang w:val="en-US" w:eastAsia="zh-CN"/>
              </w:rPr>
              <w:t>从布局合理性来看，本项目选址位于区域常年主导风向上风向，周边污染源排放的大气污染物扩散不会对本项目生产区造成持续性累积污染，布局逻辑满足卫生防护要求。本项目为玉溪高新区规划明确准入的食品制造项目，园区规划环评已同意本片区发展食品制造业，本项目采用天然气作为清洁燃料，符合园区污染减排与能源结构规划要求，与园区功能布局相容。</w:t>
            </w:r>
          </w:p>
          <w:p w14:paraId="300F58C9">
            <w:pPr>
              <w:ind w:firstLine="482"/>
              <w:rPr>
                <w:rFonts w:hint="eastAsia"/>
                <w:b w:val="0"/>
                <w:bCs w:val="0"/>
                <w:color w:val="auto"/>
                <w:lang w:val="en-US" w:eastAsia="zh-CN"/>
              </w:rPr>
            </w:pPr>
            <w:r>
              <w:rPr>
                <w:rFonts w:hint="eastAsia"/>
                <w:b w:val="0"/>
                <w:bCs w:val="0"/>
                <w:color w:val="auto"/>
                <w:lang w:val="en-US" w:eastAsia="zh-CN"/>
              </w:rPr>
              <w:t>本项目采用自建燃气锅炉供应生产用热，项目与周边现有印刷企业、所有已建/在建集中供热企业的空间距离，均满足《食品安全国家标准 食品生产通用卫生规范》（GB 14881-2013）的卫生防护要求，污染源排放不会对本项目食品生产造成污染影响，不存在交叉污染风险，与周边环境布局相容，符合环境准入与食品生产卫生要求。</w:t>
            </w:r>
          </w:p>
          <w:p w14:paraId="384B0815">
            <w:pPr>
              <w:ind w:firstLine="482"/>
              <w:rPr>
                <w:b/>
                <w:bCs/>
                <w:color w:val="auto"/>
              </w:rPr>
            </w:pPr>
            <w:r>
              <w:rPr>
                <w:rFonts w:hint="eastAsia"/>
                <w:b/>
                <w:bCs/>
                <w:color w:val="auto"/>
                <w:lang w:val="en-US" w:eastAsia="zh-CN"/>
              </w:rPr>
              <w:t>13、</w:t>
            </w:r>
            <w:r>
              <w:rPr>
                <w:rFonts w:hint="eastAsia"/>
                <w:b/>
                <w:bCs/>
                <w:color w:val="auto"/>
              </w:rPr>
              <w:t>选址合理性分析</w:t>
            </w:r>
          </w:p>
          <w:p w14:paraId="36BD3141">
            <w:pPr>
              <w:ind w:firstLine="480"/>
              <w:rPr>
                <w:rFonts w:hint="eastAsia"/>
                <w:color w:val="auto"/>
              </w:rPr>
            </w:pPr>
            <w:r>
              <w:rPr>
                <w:rFonts w:hint="eastAsia"/>
                <w:color w:val="auto"/>
                <w:lang w:eastAsia="zh-CN"/>
              </w:rPr>
              <w:t>本项目位于玉溪市高新区九龙池片区工业园区内D4栋第一层</w:t>
            </w:r>
            <w:r>
              <w:rPr>
                <w:rFonts w:hint="eastAsia"/>
                <w:color w:val="auto"/>
              </w:rPr>
              <w:t>，项目用地</w:t>
            </w:r>
            <w:r>
              <w:rPr>
                <w:rFonts w:hint="eastAsia"/>
                <w:color w:val="auto"/>
                <w:lang w:val="en-US" w:eastAsia="zh-CN"/>
              </w:rPr>
              <w:t>1595.58m</w:t>
            </w:r>
            <w:r>
              <w:rPr>
                <w:rFonts w:hint="eastAsia"/>
                <w:color w:val="auto"/>
                <w:vertAlign w:val="superscript"/>
                <w:lang w:val="en-US" w:eastAsia="zh-CN"/>
              </w:rPr>
              <w:t>2</w:t>
            </w:r>
            <w:r>
              <w:rPr>
                <w:rFonts w:hint="eastAsia"/>
                <w:color w:val="auto"/>
                <w:lang w:eastAsia="zh-CN"/>
              </w:rPr>
              <w:t>。</w:t>
            </w:r>
            <w:r>
              <w:rPr>
                <w:rFonts w:hint="eastAsia"/>
                <w:color w:val="auto"/>
              </w:rPr>
              <w:t>根据现场勘</w:t>
            </w:r>
            <w:r>
              <w:rPr>
                <w:rFonts w:hint="eastAsia"/>
                <w:color w:val="auto"/>
                <w:lang w:eastAsia="zh-CN"/>
              </w:rPr>
              <w:t>，</w:t>
            </w:r>
            <w:r>
              <w:rPr>
                <w:rFonts w:hint="eastAsia"/>
                <w:color w:val="auto"/>
              </w:rPr>
              <w:t>项目周边范围内无已建成或规划建设的医院、学校等环境敏感建筑，不涉及饮用水水源保护区、自然保护区、风景名胜区、文物保护单位等法定环境敏感区域，区域内未发现受国家重点保护的珍稀动植物分布，选址整体处于环境非敏感区域，不存在重大生态环境制约因素。</w:t>
            </w:r>
          </w:p>
          <w:p w14:paraId="4BED6DD6">
            <w:pPr>
              <w:ind w:firstLine="480"/>
              <w:rPr>
                <w:rFonts w:hint="eastAsia"/>
                <w:color w:val="auto"/>
              </w:rPr>
            </w:pPr>
            <w:r>
              <w:rPr>
                <w:rFonts w:hint="eastAsia"/>
                <w:color w:val="auto"/>
              </w:rPr>
              <w:t>根据《</w:t>
            </w:r>
            <w:r>
              <w:rPr>
                <w:rFonts w:hint="eastAsia"/>
                <w:color w:val="auto"/>
                <w:lang w:val="en-US" w:eastAsia="zh-CN"/>
              </w:rPr>
              <w:t>玉溪高新技术产业开发区总体规划</w:t>
            </w:r>
            <w:r>
              <w:rPr>
                <w:rFonts w:hint="eastAsia"/>
                <w:color w:val="auto"/>
                <w:lang w:eastAsia="zh-CN"/>
              </w:rPr>
              <w:t>修编（</w:t>
            </w:r>
            <w:r>
              <w:rPr>
                <w:rFonts w:hint="eastAsia"/>
                <w:color w:val="auto"/>
                <w:lang w:val="en-US" w:eastAsia="zh-CN"/>
              </w:rPr>
              <w:t>2021-2035</w:t>
            </w:r>
            <w:r>
              <w:rPr>
                <w:rFonts w:hint="eastAsia"/>
                <w:color w:val="auto"/>
                <w:lang w:eastAsia="zh-CN"/>
              </w:rPr>
              <w:t>）</w:t>
            </w:r>
            <w:r>
              <w:rPr>
                <w:rFonts w:hint="eastAsia"/>
                <w:color w:val="auto"/>
              </w:rPr>
              <w:t>》，本项目用地属于</w:t>
            </w:r>
            <w:r>
              <w:rPr>
                <w:rFonts w:hint="eastAsia"/>
                <w:color w:val="auto"/>
                <w:lang w:eastAsia="zh-CN"/>
              </w:rPr>
              <w:t>玉溪市高新区九龙池片区工业园</w:t>
            </w:r>
            <w:r>
              <w:rPr>
                <w:rFonts w:hint="eastAsia"/>
                <w:color w:val="auto"/>
                <w:lang w:val="en-US" w:eastAsia="zh-CN"/>
              </w:rPr>
              <w:t>工业用地</w:t>
            </w:r>
            <w:r>
              <w:rPr>
                <w:rFonts w:hint="eastAsia"/>
                <w:color w:val="auto"/>
              </w:rPr>
              <w:t>。</w:t>
            </w:r>
            <w:r>
              <w:rPr>
                <w:rFonts w:hint="eastAsia"/>
                <w:color w:val="auto"/>
                <w:lang w:val="en-US" w:eastAsia="zh-CN"/>
              </w:rPr>
              <w:t>项目于2026年5月7日取得了玉溪高新技术产业开发区出具的产业导向符合证明（详见附件6）</w:t>
            </w:r>
            <w:r>
              <w:rPr>
                <w:rFonts w:hint="eastAsia" w:eastAsia="宋体"/>
                <w:color w:val="auto"/>
                <w:lang w:eastAsia="zh-CN"/>
              </w:rPr>
              <w:t>，同意项目选址</w:t>
            </w:r>
            <w:r>
              <w:rPr>
                <w:rFonts w:hint="eastAsia"/>
                <w:color w:val="auto"/>
              </w:rPr>
              <w:t>。项目于202</w:t>
            </w:r>
            <w:r>
              <w:rPr>
                <w:rFonts w:hint="eastAsia"/>
                <w:color w:val="auto"/>
                <w:lang w:val="en-US" w:eastAsia="zh-CN"/>
              </w:rPr>
              <w:t>5</w:t>
            </w:r>
            <w:r>
              <w:rPr>
                <w:rFonts w:hint="eastAsia"/>
                <w:color w:val="auto"/>
              </w:rPr>
              <w:t>年</w:t>
            </w:r>
            <w:r>
              <w:rPr>
                <w:rFonts w:hint="eastAsia"/>
                <w:color w:val="auto"/>
                <w:lang w:val="en-US" w:eastAsia="zh-CN"/>
              </w:rPr>
              <w:t>11</w:t>
            </w:r>
            <w:r>
              <w:rPr>
                <w:rFonts w:hint="eastAsia"/>
                <w:color w:val="auto"/>
              </w:rPr>
              <w:t>月</w:t>
            </w:r>
            <w:r>
              <w:rPr>
                <w:rFonts w:hint="eastAsia"/>
                <w:color w:val="auto"/>
                <w:lang w:val="en-US" w:eastAsia="zh-CN"/>
              </w:rPr>
              <w:t>12</w:t>
            </w:r>
            <w:r>
              <w:rPr>
                <w:rFonts w:hint="eastAsia"/>
                <w:color w:val="auto"/>
              </w:rPr>
              <w:t>日取得了玉溪</w:t>
            </w:r>
            <w:r>
              <w:rPr>
                <w:rFonts w:hint="eastAsia"/>
                <w:color w:val="auto"/>
                <w:lang w:val="en-US" w:eastAsia="zh-CN"/>
              </w:rPr>
              <w:t>高新技术产业开发区管理委员会</w:t>
            </w:r>
            <w:r>
              <w:rPr>
                <w:rFonts w:hint="eastAsia"/>
                <w:color w:val="auto"/>
              </w:rPr>
              <w:t>签发的投资项目备案证（玉</w:t>
            </w:r>
            <w:r>
              <w:rPr>
                <w:rFonts w:hint="eastAsia"/>
                <w:color w:val="auto"/>
                <w:lang w:val="en-US" w:eastAsia="zh-CN"/>
              </w:rPr>
              <w:t>高开委</w:t>
            </w:r>
            <w:r>
              <w:rPr>
                <w:rFonts w:hint="eastAsia"/>
                <w:color w:val="auto"/>
              </w:rPr>
              <w:t>发备案〔202</w:t>
            </w:r>
            <w:r>
              <w:rPr>
                <w:rFonts w:hint="eastAsia"/>
                <w:color w:val="auto"/>
                <w:lang w:val="en-US" w:eastAsia="zh-CN"/>
              </w:rPr>
              <w:t>5</w:t>
            </w:r>
            <w:r>
              <w:rPr>
                <w:rFonts w:hint="eastAsia"/>
                <w:color w:val="auto"/>
              </w:rPr>
              <w:t>〕</w:t>
            </w:r>
            <w:r>
              <w:rPr>
                <w:rFonts w:hint="eastAsia"/>
                <w:color w:val="auto"/>
                <w:lang w:val="en-US" w:eastAsia="zh-CN"/>
              </w:rPr>
              <w:t>41</w:t>
            </w:r>
            <w:r>
              <w:rPr>
                <w:rFonts w:hint="eastAsia"/>
                <w:color w:val="auto"/>
              </w:rPr>
              <w:t>号）（详见附件2）</w:t>
            </w:r>
            <w:r>
              <w:rPr>
                <w:rFonts w:hint="eastAsia"/>
                <w:color w:val="auto"/>
                <w:lang w:eastAsia="zh-CN"/>
              </w:rPr>
              <w:t>，项目符合国家产业政策</w:t>
            </w:r>
            <w:r>
              <w:rPr>
                <w:rFonts w:hint="eastAsia"/>
                <w:color w:val="auto"/>
              </w:rPr>
              <w:t>，本项目用地属于《玉溪市生态环境分区管控动态更新调整方案2023年》中红塔区产业园区重点管控单元</w:t>
            </w:r>
            <w:r>
              <w:rPr>
                <w:rFonts w:hint="eastAsia"/>
                <w:color w:val="auto"/>
                <w:lang w:eastAsia="zh-CN"/>
              </w:rPr>
              <w:t>，项目的建设满足玉溪市红塔区产业园区重点管控单元的要求</w:t>
            </w:r>
            <w:r>
              <w:rPr>
                <w:rFonts w:hint="eastAsia"/>
                <w:color w:val="auto"/>
              </w:rPr>
              <w:t>。</w:t>
            </w:r>
          </w:p>
          <w:p w14:paraId="69E18E8D">
            <w:pPr>
              <w:bidi w:val="0"/>
              <w:rPr>
                <w:rFonts w:hint="default"/>
                <w:color w:val="auto"/>
                <w:lang w:val="en-US" w:eastAsia="zh-CN"/>
              </w:rPr>
            </w:pPr>
            <w:r>
              <w:rPr>
                <w:rFonts w:hint="eastAsia"/>
                <w:color w:val="auto"/>
                <w:lang w:val="en-US" w:eastAsia="zh-CN"/>
              </w:rPr>
              <w:t>项目所在区域整体处于环境质量达标区，具备项目运营的环境承载空间。根据工程分析及各环境要素影响预判结果，在严格落实本次评价提出的各项污染防治措施前提下，项目运营期产生的废气、废水、噪声均可达标排放，各类固体废物可实现分类全量合规处置，环境风险处于可控可接受水平。正常生产工况下，项目排放的污染物不会对周边区域环境质量造成明显不利影响，不会降低区域现有环境功能等级</w:t>
            </w:r>
            <w:r>
              <w:rPr>
                <w:rFonts w:hint="default"/>
                <w:color w:val="auto"/>
                <w:lang w:val="en-US" w:eastAsia="zh-CN"/>
              </w:rPr>
              <w:t>。</w:t>
            </w:r>
          </w:p>
          <w:p w14:paraId="4F7929FE">
            <w:pPr>
              <w:keepNext w:val="0"/>
              <w:keepLines w:val="0"/>
              <w:suppressLineNumbers w:val="0"/>
              <w:spacing w:before="0" w:beforeAutospacing="0" w:after="0" w:afterAutospacing="0"/>
              <w:ind w:left="0" w:right="0" w:firstLine="480"/>
              <w:rPr>
                <w:rFonts w:hint="eastAsia"/>
                <w:color w:val="auto"/>
                <w:lang w:val="en-US" w:eastAsia="zh-CN"/>
              </w:rPr>
            </w:pPr>
            <w:r>
              <w:rPr>
                <w:rFonts w:hint="eastAsia"/>
                <w:color w:val="auto"/>
                <w:lang w:val="en-US" w:eastAsia="zh-CN"/>
              </w:rPr>
              <w:t>本项目选址为园区标准工业楼宇的第一层，该楼宇各楼层生产功能独立分区，项目所有生产工序均设置于封闭的独立生产车间内：生产设备配套基础减振、建筑隔声措施，可避免生产噪声向上层传递干扰其他楼层；项目废水通过独立布设的专用排污管道接入预处理设施，不与其他楼层排水形成交叉污染；生产过程无大量无组织废气排放，车间配套的废气收集处理系统可保证污染物定向排放，不会通过楼宇内部通风系统扩散至其他楼层。经论证，本项目与同楼宇其他楼层的生产活动无相互干扰影响，楼层布局具备环境相容性。</w:t>
            </w:r>
          </w:p>
          <w:p w14:paraId="22C44CE4">
            <w:pPr>
              <w:ind w:firstLine="482"/>
              <w:rPr>
                <w:rFonts w:hint="eastAsia"/>
                <w:color w:val="auto"/>
                <w:lang w:val="en-US" w:eastAsia="zh-CN"/>
              </w:rPr>
            </w:pPr>
            <w:r>
              <w:rPr>
                <w:rFonts w:hint="eastAsia"/>
                <w:color w:val="auto"/>
                <w:lang w:val="en-US" w:eastAsia="zh-CN"/>
              </w:rPr>
              <w:t>综合上述分析，本项目选址符合区域产业规划与生态环境管控要求，周边环境敏感度低，污染影响可控，与所在楼宇其他楼层无交叉环境干扰，从环境影响角度论证，项目选址具备合理性。</w:t>
            </w:r>
          </w:p>
          <w:p w14:paraId="6A31234B">
            <w:pPr>
              <w:ind w:firstLine="482"/>
              <w:rPr>
                <w:rFonts w:hint="eastAsia" w:eastAsia="宋体"/>
                <w:b/>
                <w:bCs/>
                <w:color w:val="auto"/>
                <w:lang w:eastAsia="zh-CN"/>
              </w:rPr>
            </w:pPr>
            <w:r>
              <w:rPr>
                <w:rFonts w:hint="eastAsia"/>
                <w:b/>
                <w:bCs/>
                <w:color w:val="auto"/>
                <w:lang w:val="en-US" w:eastAsia="zh-CN"/>
              </w:rPr>
              <w:t>14</w:t>
            </w:r>
            <w:r>
              <w:rPr>
                <w:rFonts w:hint="eastAsia" w:eastAsia="宋体"/>
                <w:b/>
                <w:bCs/>
                <w:color w:val="auto"/>
                <w:lang w:val="en-US" w:eastAsia="zh-CN"/>
              </w:rPr>
              <w:t>、</w:t>
            </w:r>
            <w:r>
              <w:rPr>
                <w:rFonts w:hint="eastAsia"/>
                <w:b/>
                <w:bCs/>
                <w:color w:val="auto"/>
              </w:rPr>
              <w:t>平面布置合理性分析</w:t>
            </w:r>
          </w:p>
          <w:p w14:paraId="5B276134">
            <w:pPr>
              <w:ind w:firstLine="480"/>
              <w:rPr>
                <w:rFonts w:hint="eastAsia"/>
                <w:color w:val="auto"/>
              </w:rPr>
            </w:pPr>
            <w:r>
              <w:rPr>
                <w:rFonts w:hint="eastAsia"/>
                <w:color w:val="auto"/>
              </w:rPr>
              <w:t>本项目结合现状场地条件、生产工艺特点、区域风向特征与环保、安全要求进行平面布置，总体布局符合相关规范要求，具体合理性分析如下：</w:t>
            </w:r>
          </w:p>
          <w:p w14:paraId="68F55803">
            <w:pPr>
              <w:ind w:firstLine="48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功能分区与工艺流程合理性</w:t>
            </w:r>
          </w:p>
          <w:p w14:paraId="0F8F1BFF">
            <w:pPr>
              <w:ind w:firstLine="480"/>
              <w:rPr>
                <w:rFonts w:hint="eastAsia"/>
                <w:color w:val="auto"/>
              </w:rPr>
            </w:pPr>
            <w:r>
              <w:rPr>
                <w:rFonts w:hint="eastAsia"/>
                <w:color w:val="auto"/>
              </w:rPr>
              <w:t>项目位于玉溪市高新区九龙池片区工业园区D4栋第一层，总用地面积1595.58m²，平面布置依托现有规整场地，功能分区清晰，工艺流程顺向排布：项目按功能划分为办公生活区、原料仓储预处理区、核心生产区、成品仓储区、环保处理区五大板块，实现了明确的动静分区，办公区与生产区相对隔离，可有效降低生产噪声、异味对办公环境的干扰，各功能区块衔接顺畅。</w:t>
            </w:r>
          </w:p>
          <w:p w14:paraId="02CD9BDA">
            <w:pPr>
              <w:ind w:firstLine="480"/>
              <w:rPr>
                <w:rFonts w:hint="eastAsia"/>
                <w:color w:val="auto"/>
              </w:rPr>
            </w:pPr>
            <w:r>
              <w:rPr>
                <w:rFonts w:hint="eastAsia"/>
                <w:color w:val="auto"/>
              </w:rPr>
              <w:t>物料运输遵循“原料入库→预处理→糖化发酵→杀菌灌装→成品仓储”的生产逻辑，从西北侧主出入口到东侧生产末端，运输路线顺直无往返交叉，既缩短了物料转运距离，提升生产效率，也降低了物料转运过程的污染扩散风险。环保处理设施（三级沉淀池、一体化污水处理设施、事故池）集中布置在项目东侧，便于生产废水统一收集输送，减少管网布设长度，方便日常运营维护，符合污染管控要求。</w:t>
            </w:r>
          </w:p>
          <w:p w14:paraId="48EF2C0F">
            <w:pPr>
              <w:ind w:firstLine="48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环境防护合理性</w:t>
            </w:r>
          </w:p>
          <w:p w14:paraId="4D2FC12B">
            <w:pPr>
              <w:ind w:firstLine="480"/>
              <w:rPr>
                <w:rFonts w:hint="eastAsia"/>
                <w:color w:val="auto"/>
              </w:rPr>
            </w:pPr>
            <w:r>
              <w:rPr>
                <w:rFonts w:hint="eastAsia"/>
                <w:color w:val="auto"/>
              </w:rPr>
              <w:t>项目所在区域主导风向为西南风，平面布置充分契合大气污染防护要求：办公生活区布置在厂区西南侧（区域上风向），生产区、污水处理设施等产污单元布置在厂区东北侧（区域下风向），生产过程产生的少量废气、异味对办公区环境影响较小，符合本项目食品生产的卫生防护要求。</w:t>
            </w:r>
          </w:p>
          <w:p w14:paraId="1F6D0C15">
            <w:pPr>
              <w:ind w:firstLine="480"/>
              <w:rPr>
                <w:rFonts w:hint="eastAsia"/>
                <w:color w:val="auto"/>
              </w:rPr>
            </w:pPr>
            <w:r>
              <w:rPr>
                <w:rFonts w:hint="eastAsia"/>
                <w:color w:val="auto"/>
              </w:rPr>
              <w:t>排水系统布置合理，项目场地四周均设置雨水收集沟，可实现场地雨水的统一收集排放，避免场地积水，满足场地排水设计要求。</w:t>
            </w:r>
          </w:p>
          <w:p w14:paraId="4893153D">
            <w:pPr>
              <w:ind w:firstLine="480"/>
              <w:rPr>
                <w:rFonts w:hint="eastAsia"/>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物流与土地利用合理性</w:t>
            </w:r>
          </w:p>
          <w:p w14:paraId="49C9BAA0">
            <w:pPr>
              <w:ind w:firstLine="480"/>
              <w:rPr>
                <w:rFonts w:hint="eastAsia"/>
                <w:color w:val="auto"/>
              </w:rPr>
            </w:pPr>
            <w:r>
              <w:rPr>
                <w:rFonts w:hint="eastAsia"/>
                <w:color w:val="auto"/>
              </w:rPr>
              <w:t>项目主出入口设置于场地西北角，直接对接园区进场道路，人员进厂可直接到达西侧办公区，物料运输从主出入口直达北侧原料库区，实现了人流、物流路径分流，无交叉干扰，进出便捷。项目充分利用现有规整厂房空间，所有建（构）筑物紧凑布置，在满足防火、卫生间距要求的前提下，符合工业园区节约集约用地的规划要求。</w:t>
            </w:r>
          </w:p>
          <w:p w14:paraId="183AB265">
            <w:pPr>
              <w:ind w:firstLine="480"/>
              <w:rPr>
                <w:rFonts w:hint="eastAsia"/>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消防安全合理性</w:t>
            </w:r>
          </w:p>
          <w:p w14:paraId="28606ED0">
            <w:pPr>
              <w:ind w:firstLine="480"/>
              <w:rPr>
                <w:rFonts w:hint="eastAsia"/>
                <w:color w:val="auto"/>
              </w:rPr>
            </w:pPr>
            <w:r>
              <w:rPr>
                <w:rFonts w:hint="eastAsia"/>
                <w:color w:val="auto"/>
              </w:rPr>
              <w:t>项目平面布置符合工业厂房消防设计相关规范要求：项目南侧设置贯通全场的消防通道，通道净宽、净高满足消防车通行与停靠作业要求；各功能分区均设置独立安全出口，相邻安全出口间距满足防火规范要求，紧急情况下人员可快速疏散，各区间通道宽度满足人员疏散与消防救援要求；锅炉房、污水处理设施等重点区域临近消防通道布置，便于应急救援作业开展。</w:t>
            </w:r>
          </w:p>
          <w:p w14:paraId="4182F2EC">
            <w:pPr>
              <w:ind w:firstLine="480"/>
              <w:rPr>
                <w:rFonts w:hint="eastAsia" w:ascii="Times New Roman" w:hAnsi="Times New Roman" w:eastAsia="宋体" w:cs="黑体"/>
                <w:color w:val="auto"/>
                <w:kern w:val="2"/>
                <w:sz w:val="24"/>
                <w:szCs w:val="24"/>
                <w:lang w:val="en-US" w:eastAsia="zh-CN" w:bidi="ar-SA"/>
              </w:rPr>
            </w:pPr>
            <w:r>
              <w:rPr>
                <w:rFonts w:hint="eastAsia"/>
                <w:color w:val="auto"/>
              </w:rPr>
              <w:t>综上所述，本项目总平面布置契合场地现状条件、生产工艺需求与区域环境特征，功能分区清晰、工艺流程顺向、环境防护到位、消防布局合规，从环境影响角度分析，项目平面布置合理。</w:t>
            </w:r>
          </w:p>
        </w:tc>
      </w:tr>
    </w:tbl>
    <w:p w14:paraId="18D17A95">
      <w:pPr>
        <w:ind w:firstLine="480"/>
        <w:rPr>
          <w:color w:val="auto"/>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8D2D51A">
      <w:pPr>
        <w:pStyle w:val="2"/>
        <w:numPr>
          <w:ilvl w:val="0"/>
          <w:numId w:val="2"/>
        </w:numPr>
        <w:rPr>
          <w:color w:val="auto"/>
        </w:rPr>
      </w:pPr>
      <w:bookmarkStart w:id="10" w:name="_Toc11809"/>
      <w:r>
        <w:rPr>
          <w:rFonts w:hint="eastAsia"/>
          <w:color w:val="auto"/>
        </w:rPr>
        <w:t>建设项目工程分析</w:t>
      </w:r>
      <w:bookmarkEnd w:id="10"/>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8072"/>
      </w:tblGrid>
      <w:tr w14:paraId="2C21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4" w:type="pct"/>
            <w:vAlign w:val="center"/>
          </w:tcPr>
          <w:p w14:paraId="1BA890A5">
            <w:pPr>
              <w:ind w:firstLine="0" w:firstLineChars="0"/>
              <w:jc w:val="center"/>
              <w:rPr>
                <w:color w:val="auto"/>
              </w:rPr>
            </w:pPr>
            <w:r>
              <w:rPr>
                <w:rFonts w:hint="eastAsia"/>
                <w:color w:val="auto"/>
              </w:rPr>
              <w:t>建设</w:t>
            </w:r>
          </w:p>
          <w:p w14:paraId="21933DC3">
            <w:pPr>
              <w:ind w:firstLine="0" w:firstLineChars="0"/>
              <w:jc w:val="center"/>
              <w:rPr>
                <w:color w:val="auto"/>
              </w:rPr>
            </w:pPr>
            <w:r>
              <w:rPr>
                <w:rFonts w:hint="eastAsia"/>
                <w:color w:val="auto"/>
              </w:rPr>
              <w:t>内容</w:t>
            </w:r>
          </w:p>
        </w:tc>
        <w:tc>
          <w:tcPr>
            <w:tcW w:w="4735" w:type="pct"/>
          </w:tcPr>
          <w:p w14:paraId="71227ACD">
            <w:pPr>
              <w:spacing w:line="240" w:lineRule="auto"/>
              <w:ind w:firstLine="0" w:firstLineChars="0"/>
              <w:rPr>
                <w:b/>
                <w:bCs/>
                <w:color w:val="auto"/>
              </w:rPr>
            </w:pPr>
            <w:r>
              <w:rPr>
                <w:rFonts w:hint="eastAsia"/>
                <w:b/>
                <w:bCs/>
                <w:color w:val="auto"/>
                <w:lang w:val="en-US" w:eastAsia="zh-CN"/>
              </w:rPr>
              <w:t>1、</w:t>
            </w:r>
            <w:r>
              <w:rPr>
                <w:rFonts w:hint="eastAsia"/>
                <w:b/>
                <w:bCs/>
                <w:color w:val="auto"/>
              </w:rPr>
              <w:t>工程内容</w:t>
            </w:r>
          </w:p>
          <w:p w14:paraId="705C9C3D">
            <w:pPr>
              <w:ind w:firstLine="480"/>
              <w:rPr>
                <w:rFonts w:hint="eastAsia"/>
                <w:color w:val="auto"/>
                <w:lang w:val="en-US" w:eastAsia="zh-CN"/>
              </w:rPr>
            </w:pPr>
            <w:r>
              <w:rPr>
                <w:rFonts w:hint="eastAsia" w:ascii="Times New Roman" w:hAnsi="Times New Roman" w:eastAsia="宋体" w:cs="Times New Roman"/>
                <w:color w:val="auto"/>
                <w:lang w:val="en-US" w:eastAsia="zh-CN"/>
              </w:rPr>
              <w:t>本项目</w:t>
            </w:r>
            <w:r>
              <w:rPr>
                <w:rFonts w:hint="eastAsia"/>
                <w:color w:val="auto"/>
                <w:lang w:val="en-US" w:eastAsia="zh-CN"/>
              </w:rPr>
              <w:t>主要建设内容为：</w:t>
            </w:r>
            <w:r>
              <w:rPr>
                <w:rFonts w:hint="eastAsia" w:cs="Times New Roman"/>
                <w:color w:val="auto"/>
                <w:lang w:val="en-US" w:eastAsia="zh-CN"/>
              </w:rPr>
              <w:t>租用玉溪高新区九龙工业园区标准化厂房1600m</w:t>
            </w:r>
            <w:r>
              <w:rPr>
                <w:rFonts w:hint="eastAsia" w:cs="Times New Roman"/>
                <w:color w:val="auto"/>
                <w:vertAlign w:val="superscript"/>
                <w:lang w:val="en-US" w:eastAsia="zh-CN"/>
              </w:rPr>
              <w:t>2</w:t>
            </w:r>
            <w:r>
              <w:rPr>
                <w:rFonts w:hint="eastAsia"/>
                <w:color w:val="auto"/>
                <w:lang w:val="en-US" w:eastAsia="zh-CN"/>
              </w:rPr>
              <w:t>，建设一条年产900吨桶装、瓶装啤酒、饮料、配制酒和发酵酒生产线以及配套辅助设施以及相应环保设施等。</w:t>
            </w:r>
          </w:p>
          <w:p w14:paraId="7558176A">
            <w:pPr>
              <w:ind w:firstLine="480"/>
              <w:rPr>
                <w:rFonts w:hint="eastAsia"/>
                <w:color w:val="auto"/>
                <w:lang w:val="en-US" w:eastAsia="zh-CN"/>
              </w:rPr>
            </w:pPr>
            <w:r>
              <w:rPr>
                <w:rFonts w:hint="eastAsia"/>
                <w:color w:val="auto"/>
                <w:lang w:val="en-US" w:eastAsia="zh-CN"/>
              </w:rPr>
              <w:t>本次评价将建设工程分为：主体工程、辅助工程、公用工程和环保工程四大部分。其详细内容见下表。</w:t>
            </w:r>
          </w:p>
          <w:p w14:paraId="2D36893D">
            <w:pPr>
              <w:pStyle w:val="30"/>
              <w:bidi w:val="0"/>
              <w:rPr>
                <w:rFonts w:hint="default"/>
                <w:color w:val="auto"/>
              </w:rPr>
            </w:pPr>
            <w:r>
              <w:rPr>
                <w:color w:val="auto"/>
              </w:rPr>
              <w:t>表2-1  项目主要建设内容</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452"/>
              <w:gridCol w:w="1630"/>
              <w:gridCol w:w="4676"/>
              <w:gridCol w:w="660"/>
            </w:tblGrid>
            <w:tr w14:paraId="472BC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Align w:val="center"/>
                </w:tcPr>
                <w:p w14:paraId="21B3ED08">
                  <w:pPr>
                    <w:pStyle w:val="29"/>
                    <w:bidi w:val="0"/>
                    <w:rPr>
                      <w:rFonts w:hint="default"/>
                      <w:color w:val="auto"/>
                    </w:rPr>
                  </w:pPr>
                  <w:r>
                    <w:rPr>
                      <w:color w:val="auto"/>
                    </w:rPr>
                    <w:t>工程内容</w:t>
                  </w:r>
                </w:p>
              </w:tc>
              <w:tc>
                <w:tcPr>
                  <w:tcW w:w="1327" w:type="pct"/>
                  <w:gridSpan w:val="2"/>
                  <w:vAlign w:val="center"/>
                </w:tcPr>
                <w:p w14:paraId="6CA1500E">
                  <w:pPr>
                    <w:pStyle w:val="29"/>
                    <w:bidi w:val="0"/>
                    <w:rPr>
                      <w:rFonts w:hint="default"/>
                      <w:color w:val="auto"/>
                    </w:rPr>
                  </w:pPr>
                  <w:r>
                    <w:rPr>
                      <w:color w:val="auto"/>
                    </w:rPr>
                    <w:t>名称</w:t>
                  </w:r>
                </w:p>
              </w:tc>
              <w:tc>
                <w:tcPr>
                  <w:tcW w:w="2981" w:type="pct"/>
                  <w:vAlign w:val="center"/>
                </w:tcPr>
                <w:p w14:paraId="23954467">
                  <w:pPr>
                    <w:pStyle w:val="29"/>
                    <w:bidi w:val="0"/>
                    <w:rPr>
                      <w:rFonts w:hint="default"/>
                      <w:color w:val="auto"/>
                    </w:rPr>
                  </w:pPr>
                  <w:r>
                    <w:rPr>
                      <w:color w:val="auto"/>
                    </w:rPr>
                    <w:t>主要建设内容及规模</w:t>
                  </w:r>
                </w:p>
              </w:tc>
              <w:tc>
                <w:tcPr>
                  <w:tcW w:w="420" w:type="pct"/>
                  <w:vAlign w:val="center"/>
                </w:tcPr>
                <w:p w14:paraId="337BCDAE">
                  <w:pPr>
                    <w:pStyle w:val="29"/>
                    <w:bidi w:val="0"/>
                    <w:rPr>
                      <w:rFonts w:hint="eastAsia" w:eastAsia="宋体"/>
                      <w:color w:val="auto"/>
                      <w:lang w:eastAsia="zh-CN"/>
                    </w:rPr>
                  </w:pPr>
                  <w:r>
                    <w:rPr>
                      <w:rFonts w:hint="eastAsia"/>
                      <w:color w:val="auto"/>
                      <w:lang w:eastAsia="zh-CN"/>
                    </w:rPr>
                    <w:t>备注</w:t>
                  </w:r>
                </w:p>
              </w:tc>
            </w:tr>
            <w:tr w14:paraId="63E57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restart"/>
                  <w:vAlign w:val="center"/>
                </w:tcPr>
                <w:p w14:paraId="0AE7DCB3">
                  <w:pPr>
                    <w:pStyle w:val="29"/>
                    <w:bidi w:val="0"/>
                    <w:rPr>
                      <w:rFonts w:hint="default"/>
                      <w:color w:val="auto"/>
                    </w:rPr>
                  </w:pPr>
                  <w:r>
                    <w:rPr>
                      <w:color w:val="auto"/>
                    </w:rPr>
                    <w:t>主体工程</w:t>
                  </w:r>
                </w:p>
              </w:tc>
              <w:tc>
                <w:tcPr>
                  <w:tcW w:w="1327" w:type="pct"/>
                  <w:gridSpan w:val="2"/>
                  <w:vAlign w:val="center"/>
                </w:tcPr>
                <w:p w14:paraId="3284F4C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粉碎间</w:t>
                  </w:r>
                </w:p>
              </w:tc>
              <w:tc>
                <w:tcPr>
                  <w:tcW w:w="2981" w:type="pct"/>
                  <w:vAlign w:val="center"/>
                </w:tcPr>
                <w:p w14:paraId="36BEEC2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1间，1层，砖混结构，全封闭，占地面积17.4m</w:t>
                  </w:r>
                  <w:r>
                    <w:rPr>
                      <w:rFonts w:hint="eastAsia"/>
                      <w:color w:val="auto"/>
                      <w:vertAlign w:val="superscript"/>
                      <w:lang w:val="en-US" w:eastAsia="zh-CN"/>
                    </w:rPr>
                    <w:t>2</w:t>
                  </w:r>
                  <w:r>
                    <w:rPr>
                      <w:rFonts w:hint="eastAsia"/>
                      <w:color w:val="auto"/>
                      <w:lang w:val="en-US" w:eastAsia="zh-CN"/>
                    </w:rPr>
                    <w:t>，用于破碎麦芽</w:t>
                  </w:r>
                  <w:r>
                    <w:rPr>
                      <w:rFonts w:hint="eastAsia"/>
                      <w:color w:val="auto"/>
                      <w:lang w:eastAsia="zh-CN"/>
                    </w:rPr>
                    <w:t>。</w:t>
                  </w:r>
                </w:p>
              </w:tc>
              <w:tc>
                <w:tcPr>
                  <w:tcW w:w="420" w:type="pct"/>
                  <w:shd w:val="clear" w:color="auto" w:fill="auto"/>
                  <w:vAlign w:val="center"/>
                </w:tcPr>
                <w:p w14:paraId="763F7F3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2EFB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03582EF4">
                  <w:pPr>
                    <w:pStyle w:val="29"/>
                    <w:bidi w:val="0"/>
                    <w:rPr>
                      <w:rFonts w:hint="default"/>
                      <w:color w:val="auto"/>
                    </w:rPr>
                  </w:pPr>
                </w:p>
              </w:tc>
              <w:tc>
                <w:tcPr>
                  <w:tcW w:w="1327" w:type="pct"/>
                  <w:gridSpan w:val="2"/>
                  <w:vAlign w:val="center"/>
                </w:tcPr>
                <w:p w14:paraId="7FDA52C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发酵、糖化车间</w:t>
                  </w:r>
                </w:p>
              </w:tc>
              <w:tc>
                <w:tcPr>
                  <w:tcW w:w="2981" w:type="pct"/>
                  <w:vAlign w:val="center"/>
                </w:tcPr>
                <w:p w14:paraId="26855B2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1间，1层，砖混结构，占地面积397.25m</w:t>
                  </w:r>
                  <w:r>
                    <w:rPr>
                      <w:rFonts w:hint="eastAsia"/>
                      <w:color w:val="auto"/>
                      <w:vertAlign w:val="superscript"/>
                      <w:lang w:val="en-US" w:eastAsia="zh-CN"/>
                    </w:rPr>
                    <w:t>2</w:t>
                  </w:r>
                  <w:r>
                    <w:rPr>
                      <w:rFonts w:hint="eastAsia"/>
                      <w:color w:val="auto"/>
                      <w:lang w:val="en-US" w:eastAsia="zh-CN"/>
                    </w:rPr>
                    <w:t>，用于产品发酵、糖化。</w:t>
                  </w:r>
                </w:p>
              </w:tc>
              <w:tc>
                <w:tcPr>
                  <w:tcW w:w="420" w:type="pct"/>
                  <w:shd w:val="clear" w:color="auto" w:fill="auto"/>
                  <w:vAlign w:val="center"/>
                </w:tcPr>
                <w:p w14:paraId="3C69BED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5924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35B8C16A">
                  <w:pPr>
                    <w:pStyle w:val="29"/>
                    <w:bidi w:val="0"/>
                    <w:rPr>
                      <w:rFonts w:hint="default"/>
                      <w:color w:val="auto"/>
                    </w:rPr>
                  </w:pPr>
                </w:p>
              </w:tc>
              <w:tc>
                <w:tcPr>
                  <w:tcW w:w="1327" w:type="pct"/>
                  <w:gridSpan w:val="2"/>
                  <w:vAlign w:val="center"/>
                </w:tcPr>
                <w:p w14:paraId="28625C2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杀菌、灌装车间</w:t>
                  </w:r>
                </w:p>
              </w:tc>
              <w:tc>
                <w:tcPr>
                  <w:tcW w:w="2981" w:type="pct"/>
                  <w:vAlign w:val="center"/>
                </w:tcPr>
                <w:p w14:paraId="15443B4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1间，1层，砖混结构，占地面积336.6m</w:t>
                  </w:r>
                  <w:r>
                    <w:rPr>
                      <w:rFonts w:hint="eastAsia"/>
                      <w:color w:val="auto"/>
                      <w:vertAlign w:val="superscript"/>
                      <w:lang w:val="en-US" w:eastAsia="zh-CN"/>
                    </w:rPr>
                    <w:t>2</w:t>
                  </w:r>
                  <w:r>
                    <w:rPr>
                      <w:rFonts w:hint="eastAsia"/>
                      <w:color w:val="auto"/>
                      <w:lang w:val="en-US" w:eastAsia="zh-CN"/>
                    </w:rPr>
                    <w:t>，用于产品杀菌、灌装。</w:t>
                  </w:r>
                </w:p>
              </w:tc>
              <w:tc>
                <w:tcPr>
                  <w:tcW w:w="420" w:type="pct"/>
                  <w:shd w:val="clear" w:color="auto" w:fill="auto"/>
                  <w:vAlign w:val="center"/>
                </w:tcPr>
                <w:p w14:paraId="5099053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r>
                    <w:rPr>
                      <w:rFonts w:hint="eastAsia"/>
                      <w:color w:val="auto"/>
                      <w:lang w:eastAsia="zh-CN"/>
                    </w:rPr>
                    <w:t>新建</w:t>
                  </w:r>
                </w:p>
              </w:tc>
            </w:tr>
            <w:tr w14:paraId="176E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restart"/>
                  <w:vAlign w:val="center"/>
                </w:tcPr>
                <w:p w14:paraId="2E810E7B">
                  <w:pPr>
                    <w:pStyle w:val="29"/>
                    <w:bidi w:val="0"/>
                    <w:rPr>
                      <w:rFonts w:hint="default"/>
                      <w:color w:val="auto"/>
                    </w:rPr>
                  </w:pPr>
                  <w:r>
                    <w:rPr>
                      <w:rFonts w:hint="default"/>
                      <w:color w:val="auto"/>
                    </w:rPr>
                    <w:t>储运工程</w:t>
                  </w:r>
                </w:p>
              </w:tc>
              <w:tc>
                <w:tcPr>
                  <w:tcW w:w="1327" w:type="pct"/>
                  <w:gridSpan w:val="2"/>
                  <w:vAlign w:val="center"/>
                </w:tcPr>
                <w:p w14:paraId="0AC28099">
                  <w:pPr>
                    <w:pStyle w:val="29"/>
                    <w:bidi w:val="0"/>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原料库</w:t>
                  </w:r>
                </w:p>
              </w:tc>
              <w:tc>
                <w:tcPr>
                  <w:tcW w:w="2981" w:type="pct"/>
                  <w:shd w:val="clear" w:color="auto" w:fill="auto"/>
                  <w:vAlign w:val="center"/>
                </w:tcPr>
                <w:p w14:paraId="23F68484">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lang w:val="en-US" w:eastAsia="zh-CN"/>
                    </w:rPr>
                    <w:t>1间，1层，砖混结构，</w:t>
                  </w:r>
                  <w:r>
                    <w:rPr>
                      <w:rFonts w:hint="eastAsia" w:ascii="Times New Roman" w:hAnsi="Times New Roman" w:eastAsia="宋体" w:cs="Times New Roman"/>
                      <w:color w:val="auto"/>
                      <w:lang w:val="en-US" w:eastAsia="zh-CN"/>
                    </w:rPr>
                    <w:t>占地面积约</w:t>
                  </w:r>
                  <w:r>
                    <w:rPr>
                      <w:rFonts w:hint="eastAsia"/>
                      <w:color w:val="auto"/>
                      <w:lang w:val="en-US" w:eastAsia="zh-CN"/>
                    </w:rPr>
                    <w:t>33.2m</w:t>
                  </w:r>
                  <w:r>
                    <w:rPr>
                      <w:rFonts w:hint="eastAsia"/>
                      <w:color w:val="auto"/>
                      <w:vertAlign w:val="superscript"/>
                      <w:lang w:val="en-US" w:eastAsia="zh-CN"/>
                    </w:rPr>
                    <w:t>2</w:t>
                  </w:r>
                  <w:r>
                    <w:rPr>
                      <w:rFonts w:hint="eastAsia"/>
                      <w:color w:val="auto"/>
                      <w:lang w:val="en-US" w:eastAsia="zh-CN"/>
                    </w:rPr>
                    <w:t>，用于存放麦芽、酵母、茶叶等生产原料。</w:t>
                  </w:r>
                </w:p>
              </w:tc>
              <w:tc>
                <w:tcPr>
                  <w:tcW w:w="420" w:type="pct"/>
                  <w:shd w:val="clear" w:color="auto" w:fill="auto"/>
                  <w:vAlign w:val="center"/>
                </w:tcPr>
                <w:p w14:paraId="15BCC98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667BE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766786CF">
                  <w:pPr>
                    <w:pStyle w:val="29"/>
                    <w:bidi w:val="0"/>
                    <w:rPr>
                      <w:rFonts w:hint="default"/>
                      <w:color w:val="auto"/>
                    </w:rPr>
                  </w:pPr>
                </w:p>
              </w:tc>
              <w:tc>
                <w:tcPr>
                  <w:tcW w:w="1327" w:type="pct"/>
                  <w:gridSpan w:val="2"/>
                  <w:vAlign w:val="center"/>
                </w:tcPr>
                <w:p w14:paraId="6119613D">
                  <w:pPr>
                    <w:pStyle w:val="29"/>
                    <w:bidi w:val="0"/>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包材库</w:t>
                  </w:r>
                </w:p>
              </w:tc>
              <w:tc>
                <w:tcPr>
                  <w:tcW w:w="2981" w:type="pct"/>
                  <w:shd w:val="clear" w:color="auto" w:fill="auto"/>
                  <w:vAlign w:val="center"/>
                </w:tcPr>
                <w:p w14:paraId="2E2B6C5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w:t>
                  </w:r>
                  <w:r>
                    <w:rPr>
                      <w:rFonts w:hint="eastAsia" w:ascii="Times New Roman" w:hAnsi="Times New Roman" w:eastAsia="宋体" w:cs="Times New Roman"/>
                      <w:color w:val="auto"/>
                      <w:lang w:val="en-US" w:eastAsia="zh-CN"/>
                    </w:rPr>
                    <w:t>占地面积约</w:t>
                  </w:r>
                  <w:r>
                    <w:rPr>
                      <w:rFonts w:hint="eastAsia"/>
                      <w:color w:val="auto"/>
                      <w:lang w:val="en-US" w:eastAsia="zh-CN"/>
                    </w:rPr>
                    <w:t>26.9m</w:t>
                  </w:r>
                  <w:r>
                    <w:rPr>
                      <w:rFonts w:hint="eastAsia"/>
                      <w:color w:val="auto"/>
                      <w:vertAlign w:val="superscript"/>
                      <w:lang w:val="en-US" w:eastAsia="zh-CN"/>
                    </w:rPr>
                    <w:t>2</w:t>
                  </w:r>
                  <w:r>
                    <w:rPr>
                      <w:rFonts w:hint="eastAsia"/>
                      <w:color w:val="auto"/>
                      <w:lang w:val="en-US" w:eastAsia="zh-CN"/>
                    </w:rPr>
                    <w:t>，用于存放包装材料。</w:t>
                  </w:r>
                </w:p>
              </w:tc>
              <w:tc>
                <w:tcPr>
                  <w:tcW w:w="420" w:type="pct"/>
                  <w:shd w:val="clear" w:color="auto" w:fill="auto"/>
                  <w:vAlign w:val="center"/>
                </w:tcPr>
                <w:p w14:paraId="080F24E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59F1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53FACE96">
                  <w:pPr>
                    <w:pStyle w:val="29"/>
                    <w:bidi w:val="0"/>
                    <w:rPr>
                      <w:rFonts w:hint="default"/>
                      <w:color w:val="auto"/>
                    </w:rPr>
                  </w:pPr>
                </w:p>
              </w:tc>
              <w:tc>
                <w:tcPr>
                  <w:tcW w:w="1327" w:type="pct"/>
                  <w:gridSpan w:val="2"/>
                  <w:vAlign w:val="center"/>
                </w:tcPr>
                <w:p w14:paraId="41DA59F5">
                  <w:pPr>
                    <w:pStyle w:val="29"/>
                    <w:bidi w:val="0"/>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成品冷库</w:t>
                  </w:r>
                </w:p>
              </w:tc>
              <w:tc>
                <w:tcPr>
                  <w:tcW w:w="2981" w:type="pct"/>
                  <w:shd w:val="clear" w:color="auto" w:fill="auto"/>
                  <w:vAlign w:val="center"/>
                </w:tcPr>
                <w:p w14:paraId="2C1E3FC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w:t>
                  </w:r>
                  <w:r>
                    <w:rPr>
                      <w:rFonts w:hint="eastAsia" w:ascii="Times New Roman" w:hAnsi="Times New Roman" w:eastAsia="宋体" w:cs="Times New Roman"/>
                      <w:color w:val="auto"/>
                      <w:lang w:val="en-US" w:eastAsia="zh-CN"/>
                    </w:rPr>
                    <w:t>占地面积约</w:t>
                  </w:r>
                  <w:r>
                    <w:rPr>
                      <w:rFonts w:hint="eastAsia"/>
                      <w:color w:val="auto"/>
                      <w:lang w:val="en-US" w:eastAsia="zh-CN"/>
                    </w:rPr>
                    <w:t>20m</w:t>
                  </w:r>
                  <w:r>
                    <w:rPr>
                      <w:rFonts w:hint="eastAsia"/>
                      <w:color w:val="auto"/>
                      <w:vertAlign w:val="superscript"/>
                      <w:lang w:val="en-US" w:eastAsia="zh-CN"/>
                    </w:rPr>
                    <w:t>2</w:t>
                  </w:r>
                  <w:r>
                    <w:rPr>
                      <w:rFonts w:hint="eastAsia"/>
                      <w:color w:val="auto"/>
                      <w:lang w:val="en-US" w:eastAsia="zh-CN"/>
                    </w:rPr>
                    <w:t>，用于存放生啤。</w:t>
                  </w:r>
                </w:p>
              </w:tc>
              <w:tc>
                <w:tcPr>
                  <w:tcW w:w="420" w:type="pct"/>
                  <w:shd w:val="clear" w:color="auto" w:fill="auto"/>
                  <w:vAlign w:val="center"/>
                </w:tcPr>
                <w:p w14:paraId="527A407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46B92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continue"/>
                  <w:vAlign w:val="center"/>
                </w:tcPr>
                <w:p w14:paraId="58E3F76C">
                  <w:pPr>
                    <w:pStyle w:val="29"/>
                    <w:bidi w:val="0"/>
                    <w:rPr>
                      <w:rFonts w:hint="default"/>
                      <w:color w:val="auto"/>
                    </w:rPr>
                  </w:pPr>
                </w:p>
              </w:tc>
              <w:tc>
                <w:tcPr>
                  <w:tcW w:w="1327" w:type="pct"/>
                  <w:gridSpan w:val="2"/>
                  <w:vAlign w:val="center"/>
                </w:tcPr>
                <w:p w14:paraId="085FF22B">
                  <w:pPr>
                    <w:pStyle w:val="29"/>
                    <w:bidi w:val="0"/>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成品仓库</w:t>
                  </w:r>
                </w:p>
              </w:tc>
              <w:tc>
                <w:tcPr>
                  <w:tcW w:w="2981" w:type="pct"/>
                  <w:shd w:val="clear" w:color="auto" w:fill="auto"/>
                  <w:vAlign w:val="center"/>
                </w:tcPr>
                <w:p w14:paraId="0D41DF9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w:t>
                  </w:r>
                  <w:r>
                    <w:rPr>
                      <w:rFonts w:hint="eastAsia" w:ascii="Times New Roman" w:hAnsi="Times New Roman" w:eastAsia="宋体" w:cs="Times New Roman"/>
                      <w:color w:val="auto"/>
                      <w:lang w:val="en-US" w:eastAsia="zh-CN"/>
                    </w:rPr>
                    <w:t>占地面积约</w:t>
                  </w:r>
                  <w:r>
                    <w:rPr>
                      <w:rFonts w:hint="eastAsia"/>
                      <w:color w:val="auto"/>
                      <w:lang w:val="en-US" w:eastAsia="zh-CN"/>
                    </w:rPr>
                    <w:t>98.6m</w:t>
                  </w:r>
                  <w:r>
                    <w:rPr>
                      <w:rFonts w:hint="eastAsia"/>
                      <w:color w:val="auto"/>
                      <w:vertAlign w:val="superscript"/>
                      <w:lang w:val="en-US" w:eastAsia="zh-CN"/>
                    </w:rPr>
                    <w:t>2</w:t>
                  </w:r>
                  <w:r>
                    <w:rPr>
                      <w:rFonts w:hint="eastAsia"/>
                      <w:color w:val="auto"/>
                      <w:lang w:val="en-US" w:eastAsia="zh-CN"/>
                    </w:rPr>
                    <w:t>，用于存放成品啤酒、饮料、配制酒和发酵酒。</w:t>
                  </w:r>
                </w:p>
              </w:tc>
              <w:tc>
                <w:tcPr>
                  <w:tcW w:w="420" w:type="pct"/>
                  <w:shd w:val="clear" w:color="auto" w:fill="auto"/>
                  <w:vAlign w:val="center"/>
                </w:tcPr>
                <w:p w14:paraId="19F1E16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25B4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4DD443F6">
                  <w:pPr>
                    <w:pStyle w:val="29"/>
                    <w:bidi w:val="0"/>
                    <w:rPr>
                      <w:rFonts w:hint="default"/>
                      <w:color w:val="auto"/>
                    </w:rPr>
                  </w:pPr>
                </w:p>
              </w:tc>
              <w:tc>
                <w:tcPr>
                  <w:tcW w:w="1327" w:type="pct"/>
                  <w:gridSpan w:val="2"/>
                  <w:vAlign w:val="center"/>
                </w:tcPr>
                <w:p w14:paraId="3ED38CD8">
                  <w:pPr>
                    <w:pStyle w:val="29"/>
                    <w:bidi w:val="0"/>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工具房</w:t>
                  </w:r>
                </w:p>
              </w:tc>
              <w:tc>
                <w:tcPr>
                  <w:tcW w:w="2981" w:type="pct"/>
                  <w:shd w:val="clear" w:color="auto" w:fill="auto"/>
                  <w:vAlign w:val="center"/>
                </w:tcPr>
                <w:p w14:paraId="17A1015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1间，1层，砖混结构，</w:t>
                  </w:r>
                  <w:r>
                    <w:rPr>
                      <w:rFonts w:hint="eastAsia" w:ascii="Times New Roman" w:hAnsi="Times New Roman" w:eastAsia="宋体" w:cs="Times New Roman"/>
                      <w:color w:val="auto"/>
                      <w:lang w:val="en-US" w:eastAsia="zh-CN"/>
                    </w:rPr>
                    <w:t>占地面积约</w:t>
                  </w:r>
                  <w:r>
                    <w:rPr>
                      <w:rFonts w:hint="eastAsia"/>
                      <w:color w:val="auto"/>
                      <w:lang w:val="en-US" w:eastAsia="zh-CN"/>
                    </w:rPr>
                    <w:t>22m</w:t>
                  </w:r>
                  <w:r>
                    <w:rPr>
                      <w:rFonts w:hint="eastAsia"/>
                      <w:color w:val="auto"/>
                      <w:vertAlign w:val="superscript"/>
                      <w:lang w:val="en-US" w:eastAsia="zh-CN"/>
                    </w:rPr>
                    <w:t>2</w:t>
                  </w:r>
                  <w:r>
                    <w:rPr>
                      <w:rFonts w:hint="eastAsia"/>
                      <w:color w:val="auto"/>
                      <w:lang w:val="en-US" w:eastAsia="zh-CN"/>
                    </w:rPr>
                    <w:t>，用于存放生产用具。</w:t>
                  </w:r>
                </w:p>
              </w:tc>
              <w:tc>
                <w:tcPr>
                  <w:tcW w:w="420" w:type="pct"/>
                  <w:shd w:val="clear" w:color="auto" w:fill="auto"/>
                  <w:vAlign w:val="center"/>
                </w:tcPr>
                <w:p w14:paraId="551E7267">
                  <w:pPr>
                    <w:pStyle w:val="29"/>
                    <w:bidi w:val="0"/>
                    <w:rPr>
                      <w:rFonts w:hint="eastAsia"/>
                      <w:color w:val="auto"/>
                      <w:lang w:val="en-US" w:eastAsia="zh-CN"/>
                    </w:rPr>
                  </w:pPr>
                  <w:r>
                    <w:rPr>
                      <w:rFonts w:hint="eastAsia"/>
                      <w:color w:val="auto"/>
                      <w:lang w:val="en-US" w:eastAsia="zh-CN"/>
                    </w:rPr>
                    <w:t>既有厂房改造</w:t>
                  </w:r>
                </w:p>
              </w:tc>
            </w:tr>
            <w:tr w14:paraId="49F7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6A7A7492">
                  <w:pPr>
                    <w:pStyle w:val="29"/>
                    <w:bidi w:val="0"/>
                    <w:rPr>
                      <w:rFonts w:hint="default"/>
                      <w:color w:val="auto"/>
                    </w:rPr>
                  </w:pPr>
                </w:p>
              </w:tc>
              <w:tc>
                <w:tcPr>
                  <w:tcW w:w="1327" w:type="pct"/>
                  <w:gridSpan w:val="2"/>
                  <w:vAlign w:val="center"/>
                </w:tcPr>
                <w:p w14:paraId="73ED2B29">
                  <w:pPr>
                    <w:pStyle w:val="29"/>
                    <w:bidi w:val="0"/>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危废暂存间</w:t>
                  </w:r>
                </w:p>
              </w:tc>
              <w:tc>
                <w:tcPr>
                  <w:tcW w:w="2981" w:type="pct"/>
                  <w:shd w:val="clear" w:color="auto" w:fill="auto"/>
                  <w:vAlign w:val="center"/>
                </w:tcPr>
                <w:p w14:paraId="28E7A27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1间，10m</w:t>
                  </w:r>
                  <w:r>
                    <w:rPr>
                      <w:rFonts w:hint="eastAsia"/>
                      <w:color w:val="auto"/>
                      <w:vertAlign w:val="superscript"/>
                      <w:lang w:val="en-US" w:eastAsia="zh-CN"/>
                    </w:rPr>
                    <w:t>2</w:t>
                  </w:r>
                  <w:r>
                    <w:rPr>
                      <w:rFonts w:hint="eastAsia"/>
                      <w:color w:val="auto"/>
                      <w:lang w:val="en-US" w:eastAsia="zh-CN"/>
                    </w:rPr>
                    <w:t>，用于暂存危险废物。</w:t>
                  </w:r>
                </w:p>
              </w:tc>
              <w:tc>
                <w:tcPr>
                  <w:tcW w:w="420" w:type="pct"/>
                  <w:shd w:val="clear" w:color="auto" w:fill="auto"/>
                  <w:vAlign w:val="center"/>
                </w:tcPr>
                <w:p w14:paraId="4A2B81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78839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restart"/>
                  <w:vAlign w:val="center"/>
                </w:tcPr>
                <w:p w14:paraId="7E0230A2">
                  <w:pPr>
                    <w:pStyle w:val="29"/>
                    <w:bidi w:val="0"/>
                    <w:ind w:firstLine="0" w:firstLineChars="0"/>
                    <w:rPr>
                      <w:color w:val="auto"/>
                    </w:rPr>
                  </w:pPr>
                  <w:r>
                    <w:rPr>
                      <w:color w:val="auto"/>
                    </w:rPr>
                    <w:t>辅助工程</w:t>
                  </w:r>
                </w:p>
              </w:tc>
              <w:tc>
                <w:tcPr>
                  <w:tcW w:w="1327" w:type="pct"/>
                  <w:gridSpan w:val="2"/>
                  <w:vAlign w:val="center"/>
                </w:tcPr>
                <w:p w14:paraId="7317478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卫生间</w:t>
                  </w:r>
                </w:p>
              </w:tc>
              <w:tc>
                <w:tcPr>
                  <w:tcW w:w="2981" w:type="pct"/>
                  <w:shd w:val="clear" w:color="auto" w:fill="auto"/>
                  <w:vAlign w:val="center"/>
                </w:tcPr>
                <w:p w14:paraId="683839BB">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lang w:val="en-US" w:eastAsia="zh-CN"/>
                    </w:rPr>
                    <w:t>1间，水冲厕，该水冲厕为租赁场地内已建成，占地面积9.5m</w:t>
                  </w:r>
                  <w:r>
                    <w:rPr>
                      <w:rFonts w:hint="eastAsia"/>
                      <w:color w:val="auto"/>
                      <w:vertAlign w:val="superscript"/>
                      <w:lang w:val="en-US" w:eastAsia="zh-CN"/>
                    </w:rPr>
                    <w:t>2</w:t>
                  </w:r>
                  <w:r>
                    <w:rPr>
                      <w:rFonts w:hint="eastAsia"/>
                      <w:color w:val="auto"/>
                      <w:vertAlign w:val="baseline"/>
                      <w:lang w:val="en-US" w:eastAsia="zh-CN"/>
                    </w:rPr>
                    <w:t>。</w:t>
                  </w:r>
                </w:p>
              </w:tc>
              <w:tc>
                <w:tcPr>
                  <w:tcW w:w="420" w:type="pct"/>
                  <w:vAlign w:val="center"/>
                </w:tcPr>
                <w:p w14:paraId="51F1067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依托园区现有</w:t>
                  </w:r>
                </w:p>
              </w:tc>
            </w:tr>
            <w:tr w14:paraId="690D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173CC647">
                  <w:pPr>
                    <w:pStyle w:val="29"/>
                    <w:bidi w:val="0"/>
                    <w:rPr>
                      <w:color w:val="auto"/>
                    </w:rPr>
                  </w:pPr>
                </w:p>
              </w:tc>
              <w:tc>
                <w:tcPr>
                  <w:tcW w:w="1327" w:type="pct"/>
                  <w:gridSpan w:val="2"/>
                  <w:vAlign w:val="center"/>
                </w:tcPr>
                <w:p w14:paraId="28E40EA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办公室</w:t>
                  </w:r>
                </w:p>
              </w:tc>
              <w:tc>
                <w:tcPr>
                  <w:tcW w:w="2981" w:type="pct"/>
                  <w:shd w:val="clear" w:color="auto" w:fill="auto"/>
                  <w:vAlign w:val="center"/>
                </w:tcPr>
                <w:p w14:paraId="06AF87D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1层，砖混结构，</w:t>
                  </w:r>
                  <w:r>
                    <w:rPr>
                      <w:rFonts w:hint="eastAsia" w:ascii="Times New Roman" w:hAnsi="Times New Roman" w:eastAsia="宋体" w:cs="Times New Roman"/>
                      <w:color w:val="auto"/>
                      <w:lang w:val="en-US" w:eastAsia="zh-CN"/>
                    </w:rPr>
                    <w:t>占地面积</w:t>
                  </w:r>
                  <w:r>
                    <w:rPr>
                      <w:rFonts w:hint="eastAsia"/>
                      <w:color w:val="auto"/>
                      <w:lang w:val="en-US" w:eastAsia="zh-CN"/>
                    </w:rPr>
                    <w:t>34m</w:t>
                  </w:r>
                  <w:r>
                    <w:rPr>
                      <w:rFonts w:hint="eastAsia"/>
                      <w:color w:val="auto"/>
                      <w:vertAlign w:val="superscript"/>
                      <w:lang w:val="en-US" w:eastAsia="zh-CN"/>
                    </w:rPr>
                    <w:t>2</w:t>
                  </w:r>
                  <w:r>
                    <w:rPr>
                      <w:rFonts w:hint="eastAsia"/>
                      <w:color w:val="auto"/>
                      <w:lang w:val="en-US" w:eastAsia="zh-CN"/>
                    </w:rPr>
                    <w:t>。</w:t>
                  </w:r>
                </w:p>
              </w:tc>
              <w:tc>
                <w:tcPr>
                  <w:tcW w:w="420" w:type="pct"/>
                  <w:vAlign w:val="center"/>
                </w:tcPr>
                <w:p w14:paraId="6B689A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7158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5EBE0BE0">
                  <w:pPr>
                    <w:pStyle w:val="29"/>
                    <w:bidi w:val="0"/>
                    <w:rPr>
                      <w:color w:val="auto"/>
                    </w:rPr>
                  </w:pPr>
                </w:p>
              </w:tc>
              <w:tc>
                <w:tcPr>
                  <w:tcW w:w="1327" w:type="pct"/>
                  <w:gridSpan w:val="2"/>
                  <w:vAlign w:val="center"/>
                </w:tcPr>
                <w:p w14:paraId="26AE1E5C">
                  <w:pPr>
                    <w:pStyle w:val="29"/>
                    <w:bidi w:val="0"/>
                    <w:ind w:firstLine="0" w:firstLineChars="0"/>
                    <w:rPr>
                      <w:rFonts w:hint="default"/>
                      <w:color w:val="auto"/>
                      <w:lang w:val="en-US" w:eastAsia="zh-CN"/>
                    </w:rPr>
                  </w:pPr>
                  <w:r>
                    <w:rPr>
                      <w:rFonts w:hint="eastAsia"/>
                      <w:color w:val="auto"/>
                      <w:lang w:val="en-US" w:eastAsia="zh-CN"/>
                    </w:rPr>
                    <w:t>换衣房</w:t>
                  </w:r>
                </w:p>
              </w:tc>
              <w:tc>
                <w:tcPr>
                  <w:tcW w:w="2981" w:type="pct"/>
                  <w:shd w:val="clear" w:color="auto" w:fill="auto"/>
                  <w:vAlign w:val="center"/>
                </w:tcPr>
                <w:p w14:paraId="218BD73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2间，砖混结构，</w:t>
                  </w:r>
                  <w:r>
                    <w:rPr>
                      <w:rFonts w:hint="eastAsia" w:ascii="Times New Roman" w:hAnsi="Times New Roman" w:eastAsia="宋体" w:cs="Times New Roman"/>
                      <w:color w:val="auto"/>
                      <w:lang w:val="en-US" w:eastAsia="zh-CN"/>
                    </w:rPr>
                    <w:t>占地面积</w:t>
                  </w:r>
                  <w:r>
                    <w:rPr>
                      <w:rFonts w:hint="eastAsia"/>
                      <w:color w:val="auto"/>
                      <w:lang w:val="en-US" w:eastAsia="zh-CN"/>
                    </w:rPr>
                    <w:t>7.3m</w:t>
                  </w:r>
                  <w:r>
                    <w:rPr>
                      <w:rFonts w:hint="eastAsia"/>
                      <w:color w:val="auto"/>
                      <w:vertAlign w:val="superscript"/>
                      <w:lang w:val="en-US" w:eastAsia="zh-CN"/>
                    </w:rPr>
                    <w:t>2</w:t>
                  </w:r>
                  <w:r>
                    <w:rPr>
                      <w:rFonts w:hint="eastAsia"/>
                      <w:color w:val="auto"/>
                      <w:vertAlign w:val="baseline"/>
                      <w:lang w:val="en-US" w:eastAsia="zh-CN"/>
                    </w:rPr>
                    <w:t>。</w:t>
                  </w:r>
                </w:p>
              </w:tc>
              <w:tc>
                <w:tcPr>
                  <w:tcW w:w="420" w:type="pct"/>
                  <w:shd w:val="clear" w:color="auto" w:fill="auto"/>
                  <w:vAlign w:val="center"/>
                </w:tcPr>
                <w:p w14:paraId="33AAB4E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71ED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09A4570C">
                  <w:pPr>
                    <w:pStyle w:val="29"/>
                    <w:bidi w:val="0"/>
                    <w:rPr>
                      <w:color w:val="auto"/>
                    </w:rPr>
                  </w:pPr>
                </w:p>
              </w:tc>
              <w:tc>
                <w:tcPr>
                  <w:tcW w:w="1327" w:type="pct"/>
                  <w:gridSpan w:val="2"/>
                  <w:vAlign w:val="center"/>
                </w:tcPr>
                <w:p w14:paraId="46EDFE5A">
                  <w:pPr>
                    <w:pStyle w:val="29"/>
                    <w:bidi w:val="0"/>
                    <w:ind w:firstLine="0" w:firstLineChars="0"/>
                    <w:rPr>
                      <w:rFonts w:hint="default"/>
                      <w:color w:val="auto"/>
                      <w:lang w:val="en-US" w:eastAsia="zh-CN"/>
                    </w:rPr>
                  </w:pPr>
                  <w:r>
                    <w:rPr>
                      <w:rFonts w:hint="eastAsia"/>
                      <w:color w:val="auto"/>
                      <w:lang w:val="en-US" w:eastAsia="zh-CN"/>
                    </w:rPr>
                    <w:t>检验室</w:t>
                  </w:r>
                </w:p>
              </w:tc>
              <w:tc>
                <w:tcPr>
                  <w:tcW w:w="2981" w:type="pct"/>
                  <w:shd w:val="clear" w:color="auto" w:fill="auto"/>
                  <w:vAlign w:val="center"/>
                </w:tcPr>
                <w:p w14:paraId="10ADDDC2">
                  <w:pPr>
                    <w:pStyle w:val="29"/>
                    <w:bidi w:val="0"/>
                    <w:ind w:firstLine="0" w:firstLineChars="0"/>
                    <w:rPr>
                      <w:rFonts w:hint="eastAsia" w:ascii="Times New Roman" w:hAnsi="Times New Roman" w:eastAsia="宋体" w:cs="Times New Roman"/>
                      <w:b w:val="0"/>
                      <w:color w:val="auto"/>
                      <w:kern w:val="2"/>
                      <w:sz w:val="21"/>
                      <w:szCs w:val="21"/>
                      <w:vertAlign w:val="baseline"/>
                      <w:lang w:val="en-US" w:eastAsia="zh-CN" w:bidi="ar-SA"/>
                    </w:rPr>
                  </w:pPr>
                  <w:r>
                    <w:rPr>
                      <w:rFonts w:hint="eastAsia"/>
                      <w:color w:val="auto"/>
                      <w:lang w:val="en-US" w:eastAsia="zh-CN"/>
                    </w:rPr>
                    <w:t>1间，砖混结构，</w:t>
                  </w:r>
                  <w:r>
                    <w:rPr>
                      <w:rFonts w:hint="eastAsia" w:ascii="Times New Roman" w:hAnsi="Times New Roman" w:eastAsia="宋体" w:cs="Times New Roman"/>
                      <w:color w:val="auto"/>
                      <w:lang w:val="en-US" w:eastAsia="zh-CN"/>
                    </w:rPr>
                    <w:t>占地</w:t>
                  </w:r>
                  <w:r>
                    <w:rPr>
                      <w:rFonts w:hint="eastAsia" w:cs="Times New Roman"/>
                      <w:color w:val="auto"/>
                      <w:lang w:val="en-US" w:eastAsia="zh-CN"/>
                    </w:rPr>
                    <w:t>面积</w:t>
                  </w:r>
                  <w:r>
                    <w:rPr>
                      <w:rFonts w:hint="eastAsia"/>
                      <w:color w:val="auto"/>
                      <w:lang w:val="en-US" w:eastAsia="zh-CN"/>
                    </w:rPr>
                    <w:t>57m</w:t>
                  </w:r>
                  <w:r>
                    <w:rPr>
                      <w:rFonts w:hint="eastAsia"/>
                      <w:color w:val="auto"/>
                      <w:vertAlign w:val="superscript"/>
                      <w:lang w:val="en-US" w:eastAsia="zh-CN"/>
                    </w:rPr>
                    <w:t>2</w:t>
                  </w:r>
                  <w:r>
                    <w:rPr>
                      <w:rFonts w:hint="eastAsia"/>
                      <w:color w:val="auto"/>
                      <w:vertAlign w:val="baseline"/>
                      <w:lang w:val="en-US" w:eastAsia="zh-CN"/>
                    </w:rPr>
                    <w:t>，用于产品检验，主要进行产品的理化检测和微生物检测，其中理化检测的主要指标有总酸、色度、二氧化碳含量、酒精度、麦汁浓度等，微生物检测主要为菌落总数、大肠菌群检测等。</w:t>
                  </w:r>
                </w:p>
              </w:tc>
              <w:tc>
                <w:tcPr>
                  <w:tcW w:w="420" w:type="pct"/>
                  <w:shd w:val="clear" w:color="auto" w:fill="auto"/>
                  <w:vAlign w:val="center"/>
                </w:tcPr>
                <w:p w14:paraId="16ECB9C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1483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6C0090A1">
                  <w:pPr>
                    <w:pStyle w:val="29"/>
                    <w:bidi w:val="0"/>
                    <w:rPr>
                      <w:color w:val="auto"/>
                    </w:rPr>
                  </w:pPr>
                </w:p>
              </w:tc>
              <w:tc>
                <w:tcPr>
                  <w:tcW w:w="1327" w:type="pct"/>
                  <w:gridSpan w:val="2"/>
                  <w:vAlign w:val="center"/>
                </w:tcPr>
                <w:p w14:paraId="7D449D57">
                  <w:pPr>
                    <w:pStyle w:val="29"/>
                    <w:bidi w:val="0"/>
                    <w:ind w:firstLine="0" w:firstLineChars="0"/>
                    <w:rPr>
                      <w:rFonts w:hint="default"/>
                      <w:color w:val="auto"/>
                      <w:lang w:val="en-US" w:eastAsia="zh-CN"/>
                    </w:rPr>
                  </w:pPr>
                  <w:r>
                    <w:rPr>
                      <w:rFonts w:hint="eastAsia"/>
                      <w:color w:val="auto"/>
                      <w:lang w:val="en-US" w:eastAsia="zh-CN"/>
                    </w:rPr>
                    <w:t>空压机房</w:t>
                  </w:r>
                </w:p>
              </w:tc>
              <w:tc>
                <w:tcPr>
                  <w:tcW w:w="2981" w:type="pct"/>
                  <w:shd w:val="clear" w:color="auto" w:fill="auto"/>
                  <w:vAlign w:val="center"/>
                </w:tcPr>
                <w:p w14:paraId="7FC9EEC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1间，砖混结构，</w:t>
                  </w:r>
                  <w:r>
                    <w:rPr>
                      <w:rFonts w:hint="eastAsia" w:ascii="Times New Roman" w:hAnsi="Times New Roman" w:eastAsia="宋体" w:cs="Times New Roman"/>
                      <w:color w:val="auto"/>
                      <w:lang w:val="en-US" w:eastAsia="zh-CN"/>
                    </w:rPr>
                    <w:t>占地面积</w:t>
                  </w:r>
                  <w:r>
                    <w:rPr>
                      <w:rFonts w:hint="eastAsia"/>
                      <w:color w:val="auto"/>
                      <w:lang w:val="en-US" w:eastAsia="zh-CN"/>
                    </w:rPr>
                    <w:t>7.3m</w:t>
                  </w:r>
                  <w:r>
                    <w:rPr>
                      <w:rFonts w:hint="eastAsia"/>
                      <w:color w:val="auto"/>
                      <w:vertAlign w:val="superscript"/>
                      <w:lang w:val="en-US" w:eastAsia="zh-CN"/>
                    </w:rPr>
                    <w:t>2</w:t>
                  </w:r>
                  <w:r>
                    <w:rPr>
                      <w:rFonts w:hint="eastAsia"/>
                      <w:color w:val="auto"/>
                      <w:lang w:val="en-US" w:eastAsia="zh-CN"/>
                    </w:rPr>
                    <w:t>，生产制备氮气。</w:t>
                  </w:r>
                </w:p>
              </w:tc>
              <w:tc>
                <w:tcPr>
                  <w:tcW w:w="420" w:type="pct"/>
                  <w:shd w:val="clear" w:color="auto" w:fill="auto"/>
                  <w:vAlign w:val="center"/>
                </w:tcPr>
                <w:p w14:paraId="40F1350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382C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189B8778">
                  <w:pPr>
                    <w:pStyle w:val="29"/>
                    <w:bidi w:val="0"/>
                    <w:rPr>
                      <w:color w:val="auto"/>
                    </w:rPr>
                  </w:pPr>
                </w:p>
              </w:tc>
              <w:tc>
                <w:tcPr>
                  <w:tcW w:w="1327" w:type="pct"/>
                  <w:gridSpan w:val="2"/>
                  <w:vAlign w:val="center"/>
                </w:tcPr>
                <w:p w14:paraId="47851FC9">
                  <w:pPr>
                    <w:pStyle w:val="29"/>
                    <w:bidi w:val="0"/>
                    <w:ind w:firstLine="0" w:firstLineChars="0"/>
                    <w:rPr>
                      <w:rFonts w:hint="default"/>
                      <w:color w:val="auto"/>
                      <w:lang w:val="en-US" w:eastAsia="zh-CN"/>
                    </w:rPr>
                  </w:pPr>
                  <w:r>
                    <w:rPr>
                      <w:rFonts w:hint="eastAsia"/>
                      <w:color w:val="auto"/>
                      <w:lang w:val="en-US" w:eastAsia="zh-CN"/>
                    </w:rPr>
                    <w:t>配电室</w:t>
                  </w:r>
                </w:p>
              </w:tc>
              <w:tc>
                <w:tcPr>
                  <w:tcW w:w="2981" w:type="pct"/>
                  <w:shd w:val="clear" w:color="auto" w:fill="auto"/>
                  <w:vAlign w:val="center"/>
                </w:tcPr>
                <w:p w14:paraId="7BF3DB8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1间，砖混结构，</w:t>
                  </w:r>
                  <w:r>
                    <w:rPr>
                      <w:rFonts w:hint="eastAsia" w:ascii="Times New Roman" w:hAnsi="Times New Roman" w:eastAsia="宋体" w:cs="Times New Roman"/>
                      <w:color w:val="auto"/>
                      <w:lang w:val="en-US" w:eastAsia="zh-CN"/>
                    </w:rPr>
                    <w:t>占地面积</w:t>
                  </w:r>
                  <w:r>
                    <w:rPr>
                      <w:rFonts w:hint="eastAsia"/>
                      <w:color w:val="auto"/>
                      <w:lang w:val="en-US" w:eastAsia="zh-CN"/>
                    </w:rPr>
                    <w:t>36.5m</w:t>
                  </w:r>
                  <w:r>
                    <w:rPr>
                      <w:rFonts w:hint="eastAsia"/>
                      <w:color w:val="auto"/>
                      <w:vertAlign w:val="superscript"/>
                      <w:lang w:val="en-US" w:eastAsia="zh-CN"/>
                    </w:rPr>
                    <w:t>2</w:t>
                  </w:r>
                  <w:r>
                    <w:rPr>
                      <w:rFonts w:hint="eastAsia"/>
                      <w:color w:val="auto"/>
                      <w:lang w:val="en-US" w:eastAsia="zh-CN"/>
                    </w:rPr>
                    <w:t>，为车间提供配电。</w:t>
                  </w:r>
                </w:p>
              </w:tc>
              <w:tc>
                <w:tcPr>
                  <w:tcW w:w="420" w:type="pct"/>
                  <w:shd w:val="clear" w:color="auto" w:fill="auto"/>
                  <w:vAlign w:val="center"/>
                </w:tcPr>
                <w:p w14:paraId="3256A62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既有厂房改造</w:t>
                  </w:r>
                </w:p>
              </w:tc>
            </w:tr>
            <w:tr w14:paraId="3B9C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restart"/>
                  <w:vAlign w:val="center"/>
                </w:tcPr>
                <w:p w14:paraId="19611B61">
                  <w:pPr>
                    <w:pStyle w:val="29"/>
                    <w:bidi w:val="0"/>
                    <w:rPr>
                      <w:rFonts w:hint="default"/>
                      <w:color w:val="auto"/>
                    </w:rPr>
                  </w:pPr>
                  <w:r>
                    <w:rPr>
                      <w:color w:val="auto"/>
                    </w:rPr>
                    <w:t>公用工程</w:t>
                  </w:r>
                </w:p>
              </w:tc>
              <w:tc>
                <w:tcPr>
                  <w:tcW w:w="1327" w:type="pct"/>
                  <w:gridSpan w:val="2"/>
                  <w:vAlign w:val="center"/>
                </w:tcPr>
                <w:p w14:paraId="657EE86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供水</w:t>
                  </w:r>
                </w:p>
              </w:tc>
              <w:tc>
                <w:tcPr>
                  <w:tcW w:w="2981" w:type="pct"/>
                  <w:shd w:val="clear" w:color="auto" w:fill="auto"/>
                  <w:vAlign w:val="center"/>
                </w:tcPr>
                <w:p w14:paraId="6F9078D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color w:val="auto"/>
                    </w:rPr>
                    <w:t>项目用水主要</w:t>
                  </w:r>
                  <w:r>
                    <w:rPr>
                      <w:rFonts w:hint="eastAsia"/>
                      <w:color w:val="auto"/>
                      <w:lang w:eastAsia="zh-CN"/>
                    </w:rPr>
                    <w:t>来自</w:t>
                  </w:r>
                  <w:r>
                    <w:rPr>
                      <w:rFonts w:hint="eastAsia"/>
                      <w:color w:val="auto"/>
                      <w:lang w:val="en-US" w:eastAsia="zh-CN"/>
                    </w:rPr>
                    <w:t>园区供水</w:t>
                  </w:r>
                  <w:r>
                    <w:rPr>
                      <w:rFonts w:hint="eastAsia"/>
                      <w:color w:val="auto"/>
                      <w:lang w:eastAsia="zh-CN"/>
                    </w:rPr>
                    <w:t>管网。</w:t>
                  </w:r>
                </w:p>
              </w:tc>
              <w:tc>
                <w:tcPr>
                  <w:tcW w:w="420" w:type="pct"/>
                  <w:shd w:val="clear" w:color="auto" w:fill="auto"/>
                  <w:vAlign w:val="center"/>
                </w:tcPr>
                <w:p w14:paraId="3F62586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r>
            <w:tr w14:paraId="180C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continue"/>
                  <w:vAlign w:val="center"/>
                </w:tcPr>
                <w:p w14:paraId="2F80C927">
                  <w:pPr>
                    <w:pStyle w:val="29"/>
                    <w:bidi w:val="0"/>
                    <w:rPr>
                      <w:rFonts w:hint="default"/>
                      <w:color w:val="auto"/>
                    </w:rPr>
                  </w:pPr>
                </w:p>
              </w:tc>
              <w:tc>
                <w:tcPr>
                  <w:tcW w:w="1327" w:type="pct"/>
                  <w:gridSpan w:val="2"/>
                  <w:vAlign w:val="center"/>
                </w:tcPr>
                <w:p w14:paraId="7517C3C1">
                  <w:pPr>
                    <w:pStyle w:val="29"/>
                    <w:bidi w:val="0"/>
                    <w:rPr>
                      <w:rFonts w:hint="default"/>
                      <w:color w:val="auto"/>
                    </w:rPr>
                  </w:pPr>
                  <w:r>
                    <w:rPr>
                      <w:rFonts w:hint="default"/>
                      <w:color w:val="auto"/>
                    </w:rPr>
                    <w:t>排水</w:t>
                  </w:r>
                </w:p>
              </w:tc>
              <w:tc>
                <w:tcPr>
                  <w:tcW w:w="2981" w:type="pct"/>
                  <w:shd w:val="clear" w:color="auto" w:fill="auto"/>
                  <w:vAlign w:val="center"/>
                </w:tcPr>
                <w:p w14:paraId="0125BB3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本项目严格落实雨污分流管控要求，厂区雨水系统与污水系统完全独立布设，无混接错接情况，洁净雨水经厂房周边园区雨水沟直接汇入市政雨水管网。生活污水经园区已建化粪池处理后排入园区污水管网经市政污水管网进入玉溪市第一、第三污水处理厂处理；生产废水经自建的三级沉淀池沉淀预处理后进入自建的一体化污水处理设施处理后排入园区污水管网经市政污水管网进入玉溪市第一、第三污水处理厂处理。</w:t>
                  </w:r>
                </w:p>
              </w:tc>
              <w:tc>
                <w:tcPr>
                  <w:tcW w:w="420" w:type="pct"/>
                  <w:shd w:val="clear" w:color="auto" w:fill="auto"/>
                  <w:vAlign w:val="center"/>
                </w:tcPr>
                <w:p w14:paraId="46AF5ED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依托园区现有管网</w:t>
                  </w:r>
                </w:p>
              </w:tc>
            </w:tr>
            <w:tr w14:paraId="241C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continue"/>
                  <w:vAlign w:val="center"/>
                </w:tcPr>
                <w:p w14:paraId="546B7DE8">
                  <w:pPr>
                    <w:pStyle w:val="29"/>
                    <w:bidi w:val="0"/>
                    <w:rPr>
                      <w:rFonts w:hint="default"/>
                      <w:color w:val="auto"/>
                    </w:rPr>
                  </w:pPr>
                </w:p>
              </w:tc>
              <w:tc>
                <w:tcPr>
                  <w:tcW w:w="1327" w:type="pct"/>
                  <w:gridSpan w:val="2"/>
                  <w:vAlign w:val="center"/>
                </w:tcPr>
                <w:p w14:paraId="4B90497A">
                  <w:pPr>
                    <w:pStyle w:val="29"/>
                    <w:bidi w:val="0"/>
                    <w:rPr>
                      <w:rFonts w:hint="eastAsia" w:eastAsia="宋体"/>
                      <w:color w:val="auto"/>
                      <w:lang w:val="en-US" w:eastAsia="zh-CN"/>
                    </w:rPr>
                  </w:pPr>
                  <w:r>
                    <w:rPr>
                      <w:rFonts w:hint="eastAsia"/>
                      <w:color w:val="auto"/>
                      <w:lang w:val="en-US" w:eastAsia="zh-CN"/>
                    </w:rPr>
                    <w:t>供气</w:t>
                  </w:r>
                </w:p>
              </w:tc>
              <w:tc>
                <w:tcPr>
                  <w:tcW w:w="2981" w:type="pct"/>
                  <w:shd w:val="clear" w:color="auto" w:fill="auto"/>
                  <w:vAlign w:val="center"/>
                </w:tcPr>
                <w:p w14:paraId="1B8E3325">
                  <w:pPr>
                    <w:pStyle w:val="29"/>
                    <w:bidi w:val="0"/>
                    <w:ind w:firstLine="0" w:firstLineChars="0"/>
                    <w:rPr>
                      <w:rFonts w:hint="default"/>
                      <w:color w:val="auto"/>
                      <w:lang w:val="en-US" w:eastAsia="zh-CN"/>
                    </w:rPr>
                  </w:pPr>
                  <w:r>
                    <w:rPr>
                      <w:rFonts w:hint="eastAsia"/>
                      <w:color w:val="auto"/>
                      <w:lang w:val="en-US" w:eastAsia="zh-CN"/>
                    </w:rPr>
                    <w:t>本项目天然气由云南省天然气销售有限公司供给使用。</w:t>
                  </w:r>
                </w:p>
              </w:tc>
              <w:tc>
                <w:tcPr>
                  <w:tcW w:w="420" w:type="pct"/>
                  <w:shd w:val="clear" w:color="auto" w:fill="auto"/>
                  <w:vAlign w:val="center"/>
                </w:tcPr>
                <w:p w14:paraId="3658CF27">
                  <w:pPr>
                    <w:pStyle w:val="29"/>
                    <w:bidi w:val="0"/>
                    <w:ind w:firstLine="0" w:firstLineChars="0"/>
                    <w:rPr>
                      <w:rFonts w:hint="default"/>
                      <w:color w:val="auto"/>
                      <w:lang w:val="en-US" w:eastAsia="zh-CN"/>
                    </w:rPr>
                  </w:pPr>
                  <w:r>
                    <w:rPr>
                      <w:rFonts w:hint="eastAsia"/>
                      <w:color w:val="auto"/>
                      <w:lang w:val="en-US" w:eastAsia="zh-CN"/>
                    </w:rPr>
                    <w:t>新建</w:t>
                  </w:r>
                </w:p>
              </w:tc>
            </w:tr>
            <w:tr w14:paraId="637A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continue"/>
                  <w:vAlign w:val="center"/>
                </w:tcPr>
                <w:p w14:paraId="3E6DD1BE">
                  <w:pPr>
                    <w:pStyle w:val="29"/>
                    <w:bidi w:val="0"/>
                    <w:rPr>
                      <w:rFonts w:hint="default"/>
                      <w:color w:val="auto"/>
                    </w:rPr>
                  </w:pPr>
                </w:p>
              </w:tc>
              <w:tc>
                <w:tcPr>
                  <w:tcW w:w="1327" w:type="pct"/>
                  <w:gridSpan w:val="2"/>
                  <w:vAlign w:val="center"/>
                </w:tcPr>
                <w:p w14:paraId="2358ABC0">
                  <w:pPr>
                    <w:pStyle w:val="29"/>
                    <w:bidi w:val="0"/>
                    <w:rPr>
                      <w:rFonts w:hint="eastAsia" w:eastAsia="宋体"/>
                      <w:color w:val="auto"/>
                      <w:lang w:val="en-US" w:eastAsia="zh-CN"/>
                    </w:rPr>
                  </w:pPr>
                  <w:r>
                    <w:rPr>
                      <w:rFonts w:hint="eastAsia"/>
                      <w:color w:val="auto"/>
                      <w:lang w:val="en-US" w:eastAsia="zh-CN"/>
                    </w:rPr>
                    <w:t>供热</w:t>
                  </w:r>
                </w:p>
              </w:tc>
              <w:tc>
                <w:tcPr>
                  <w:tcW w:w="2981" w:type="pct"/>
                  <w:shd w:val="clear" w:color="auto" w:fill="auto"/>
                  <w:vAlign w:val="center"/>
                </w:tcPr>
                <w:p w14:paraId="29A0F633">
                  <w:pPr>
                    <w:pStyle w:val="29"/>
                    <w:bidi w:val="0"/>
                    <w:ind w:firstLine="0" w:firstLineChars="0"/>
                    <w:rPr>
                      <w:rFonts w:hint="default"/>
                      <w:color w:val="auto"/>
                      <w:lang w:val="en-US" w:eastAsia="zh-CN"/>
                    </w:rPr>
                  </w:pPr>
                  <w:r>
                    <w:rPr>
                      <w:rFonts w:hint="eastAsia"/>
                      <w:color w:val="auto"/>
                      <w:lang w:val="en-US" w:eastAsia="zh-CN"/>
                    </w:rPr>
                    <w:t>项目设置2台0.5t/h的天然气锅炉（一备一用）。</w:t>
                  </w:r>
                </w:p>
              </w:tc>
              <w:tc>
                <w:tcPr>
                  <w:tcW w:w="420" w:type="pct"/>
                  <w:shd w:val="clear" w:color="auto" w:fill="auto"/>
                  <w:vAlign w:val="center"/>
                </w:tcPr>
                <w:p w14:paraId="31DD0804">
                  <w:pPr>
                    <w:pStyle w:val="29"/>
                    <w:bidi w:val="0"/>
                    <w:ind w:firstLine="0" w:firstLineChars="0"/>
                    <w:rPr>
                      <w:rFonts w:hint="default"/>
                      <w:color w:val="auto"/>
                      <w:lang w:val="en-US" w:eastAsia="zh-CN"/>
                    </w:rPr>
                  </w:pPr>
                  <w:r>
                    <w:rPr>
                      <w:rFonts w:hint="eastAsia"/>
                      <w:color w:val="auto"/>
                      <w:lang w:val="en-US" w:eastAsia="zh-CN"/>
                    </w:rPr>
                    <w:t>新建</w:t>
                  </w:r>
                </w:p>
              </w:tc>
            </w:tr>
            <w:tr w14:paraId="13EAC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continue"/>
                  <w:vAlign w:val="center"/>
                </w:tcPr>
                <w:p w14:paraId="23720E73">
                  <w:pPr>
                    <w:pStyle w:val="29"/>
                    <w:bidi w:val="0"/>
                    <w:rPr>
                      <w:rFonts w:hint="default"/>
                      <w:color w:val="auto"/>
                    </w:rPr>
                  </w:pPr>
                </w:p>
              </w:tc>
              <w:tc>
                <w:tcPr>
                  <w:tcW w:w="1327" w:type="pct"/>
                  <w:gridSpan w:val="2"/>
                  <w:vAlign w:val="center"/>
                </w:tcPr>
                <w:p w14:paraId="0DD32D0B">
                  <w:pPr>
                    <w:pStyle w:val="29"/>
                    <w:bidi w:val="0"/>
                    <w:rPr>
                      <w:rFonts w:hint="eastAsia" w:eastAsia="宋体"/>
                      <w:color w:val="auto"/>
                      <w:lang w:val="en-US" w:eastAsia="zh-CN"/>
                    </w:rPr>
                  </w:pPr>
                  <w:r>
                    <w:rPr>
                      <w:rFonts w:hint="eastAsia"/>
                      <w:color w:val="auto"/>
                      <w:lang w:val="en-US" w:eastAsia="zh-CN"/>
                    </w:rPr>
                    <w:t>制冷</w:t>
                  </w:r>
                </w:p>
              </w:tc>
              <w:tc>
                <w:tcPr>
                  <w:tcW w:w="2981" w:type="pct"/>
                  <w:shd w:val="clear" w:color="auto" w:fill="auto"/>
                  <w:vAlign w:val="center"/>
                </w:tcPr>
                <w:p w14:paraId="2180CBF2">
                  <w:pPr>
                    <w:pStyle w:val="29"/>
                    <w:bidi w:val="0"/>
                    <w:ind w:firstLine="0" w:firstLineChars="0"/>
                    <w:rPr>
                      <w:rFonts w:hint="default"/>
                      <w:color w:val="auto"/>
                      <w:lang w:val="en-US" w:eastAsia="zh-CN"/>
                    </w:rPr>
                  </w:pPr>
                  <w:r>
                    <w:rPr>
                      <w:rFonts w:hint="eastAsia"/>
                      <w:color w:val="auto"/>
                      <w:lang w:val="en-US" w:eastAsia="zh-CN"/>
                    </w:rPr>
                    <w:t>本项目设置3台螺杆式R22制冷机组（2用1备），单台机组制冷剂初始充注量为400kg，系统总初始充注量为1200kg。结合啤酒厂糖化、发酵全流程连续制冷的运行特点，设备动密封自然损耗、年度检修残余排放、工况波动补加的全年制冷剂总使用量为3t，该用量符合啤酒行业大型螺杆制冷机组的常规损耗水平。项目同步设置2个冷媒罐，以乙醇和水的混合物作为载冷剂，配套密闭循环管路，无敞口排放环节。当前项目R22制冷剂的使用处于国家HCFCs淘汰政策的合规过渡期内，不属于明令禁止的违规使用场景。后续在国家正式全面禁止R22制冷剂使用前，项目将完成3台制冷机组的适配改造，仅通过更换适配酯类冷冻油、调整节流元件参数即可完成升级，无需更换核心机组，将现有R22制冷剂全部替换为R407C、R134a等低ODP（臭氧消耗潜能值）环保型替代制冷剂，替代制冷剂的制冷效率与现有工况完全匹配，可完全满足后续环保管控要求。</w:t>
                  </w:r>
                </w:p>
              </w:tc>
              <w:tc>
                <w:tcPr>
                  <w:tcW w:w="420" w:type="pct"/>
                  <w:shd w:val="clear" w:color="auto" w:fill="auto"/>
                  <w:vAlign w:val="center"/>
                </w:tcPr>
                <w:p w14:paraId="75216A36">
                  <w:pPr>
                    <w:pStyle w:val="29"/>
                    <w:bidi w:val="0"/>
                    <w:ind w:firstLine="0" w:firstLineChars="0"/>
                    <w:rPr>
                      <w:rFonts w:hint="default"/>
                      <w:color w:val="auto"/>
                      <w:lang w:val="en-US" w:eastAsia="zh-CN"/>
                    </w:rPr>
                  </w:pPr>
                  <w:r>
                    <w:rPr>
                      <w:rFonts w:hint="eastAsia"/>
                      <w:color w:val="auto"/>
                      <w:lang w:val="en-US" w:eastAsia="zh-CN"/>
                    </w:rPr>
                    <w:t>新建</w:t>
                  </w:r>
                </w:p>
              </w:tc>
            </w:tr>
            <w:tr w14:paraId="0204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0209D3B5">
                  <w:pPr>
                    <w:pStyle w:val="29"/>
                    <w:bidi w:val="0"/>
                    <w:rPr>
                      <w:rFonts w:hint="default"/>
                      <w:color w:val="auto"/>
                    </w:rPr>
                  </w:pPr>
                </w:p>
              </w:tc>
              <w:tc>
                <w:tcPr>
                  <w:tcW w:w="1327" w:type="pct"/>
                  <w:gridSpan w:val="2"/>
                  <w:vAlign w:val="center"/>
                </w:tcPr>
                <w:p w14:paraId="00817E64">
                  <w:pPr>
                    <w:pStyle w:val="29"/>
                    <w:bidi w:val="0"/>
                    <w:rPr>
                      <w:rFonts w:hint="default"/>
                      <w:color w:val="auto"/>
                    </w:rPr>
                  </w:pPr>
                  <w:r>
                    <w:rPr>
                      <w:rFonts w:hint="default"/>
                      <w:color w:val="auto"/>
                    </w:rPr>
                    <w:t>供电</w:t>
                  </w:r>
                </w:p>
              </w:tc>
              <w:tc>
                <w:tcPr>
                  <w:tcW w:w="2981" w:type="pct"/>
                  <w:shd w:val="clear" w:color="auto" w:fill="auto"/>
                  <w:vAlign w:val="center"/>
                </w:tcPr>
                <w:p w14:paraId="6A78554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来自园区供电</w:t>
                  </w:r>
                </w:p>
              </w:tc>
              <w:tc>
                <w:tcPr>
                  <w:tcW w:w="420" w:type="pct"/>
                  <w:shd w:val="clear" w:color="auto" w:fill="auto"/>
                  <w:vAlign w:val="center"/>
                </w:tcPr>
                <w:p w14:paraId="52DBF43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依托园区现有</w:t>
                  </w:r>
                </w:p>
              </w:tc>
            </w:tr>
            <w:tr w14:paraId="6A192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 w:type="pct"/>
                  <w:vMerge w:val="restart"/>
                  <w:vAlign w:val="center"/>
                </w:tcPr>
                <w:p w14:paraId="271F36F5">
                  <w:pPr>
                    <w:pStyle w:val="29"/>
                    <w:bidi w:val="0"/>
                    <w:rPr>
                      <w:rFonts w:hint="default"/>
                      <w:color w:val="auto"/>
                    </w:rPr>
                  </w:pPr>
                  <w:r>
                    <w:rPr>
                      <w:color w:val="auto"/>
                    </w:rPr>
                    <w:t>环保工程</w:t>
                  </w:r>
                </w:p>
              </w:tc>
              <w:tc>
                <w:tcPr>
                  <w:tcW w:w="288" w:type="pct"/>
                  <w:vMerge w:val="restart"/>
                  <w:vAlign w:val="center"/>
                </w:tcPr>
                <w:p w14:paraId="06CA4002">
                  <w:pPr>
                    <w:pStyle w:val="29"/>
                    <w:bidi w:val="0"/>
                    <w:rPr>
                      <w:rFonts w:hint="default"/>
                      <w:color w:val="auto"/>
                    </w:rPr>
                  </w:pPr>
                  <w:r>
                    <w:rPr>
                      <w:color w:val="auto"/>
                    </w:rPr>
                    <w:t>废气</w:t>
                  </w:r>
                </w:p>
              </w:tc>
              <w:tc>
                <w:tcPr>
                  <w:tcW w:w="1039" w:type="pct"/>
                  <w:shd w:val="clear" w:color="auto" w:fill="auto"/>
                  <w:vAlign w:val="center"/>
                </w:tcPr>
                <w:p w14:paraId="1FD2DCC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锅炉废气</w:t>
                  </w:r>
                </w:p>
              </w:tc>
              <w:tc>
                <w:tcPr>
                  <w:tcW w:w="2981" w:type="pct"/>
                  <w:shd w:val="clear" w:color="auto" w:fill="auto"/>
                  <w:vAlign w:val="center"/>
                </w:tcPr>
                <w:p w14:paraId="09B58FE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锅炉燃烧废气通过采用低氮燃烧技术脱氮后经锅炉上密封管道进行收集，收集效率为100%，收集后的废气经引风机（风量为5800m</w:t>
                  </w:r>
                  <w:r>
                    <w:rPr>
                      <w:rFonts w:hint="eastAsia"/>
                      <w:color w:val="auto"/>
                      <w:vertAlign w:val="superscript"/>
                      <w:lang w:val="en-US" w:eastAsia="zh-CN"/>
                    </w:rPr>
                    <w:t>3</w:t>
                  </w:r>
                  <w:r>
                    <w:rPr>
                      <w:rFonts w:hint="eastAsia"/>
                      <w:color w:val="auto"/>
                      <w:lang w:val="en-US" w:eastAsia="zh-CN"/>
                    </w:rPr>
                    <w:t>/h）通过一根高18m的排气筒（DA001）排放。</w:t>
                  </w:r>
                </w:p>
              </w:tc>
              <w:tc>
                <w:tcPr>
                  <w:tcW w:w="420" w:type="pct"/>
                  <w:vMerge w:val="restart"/>
                  <w:vAlign w:val="center"/>
                </w:tcPr>
                <w:p w14:paraId="7DEA0851">
                  <w:pPr>
                    <w:pStyle w:val="29"/>
                    <w:bidi w:val="0"/>
                    <w:rPr>
                      <w:rFonts w:hint="eastAsia" w:ascii="Times New Roman" w:hAnsi="Times New Roman" w:eastAsia="宋体"/>
                      <w:color w:val="auto"/>
                      <w:lang w:val="en-US" w:eastAsia="zh-CN"/>
                    </w:rPr>
                  </w:pPr>
                  <w:r>
                    <w:rPr>
                      <w:rFonts w:hint="eastAsia"/>
                      <w:color w:val="auto"/>
                      <w:lang w:val="en-US" w:eastAsia="zh-CN"/>
                    </w:rPr>
                    <w:t>环评要求</w:t>
                  </w:r>
                </w:p>
              </w:tc>
            </w:tr>
            <w:tr w14:paraId="06C36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666C1EF5">
                  <w:pPr>
                    <w:pStyle w:val="29"/>
                    <w:bidi w:val="0"/>
                    <w:rPr>
                      <w:rFonts w:hint="default"/>
                      <w:color w:val="auto"/>
                    </w:rPr>
                  </w:pPr>
                </w:p>
              </w:tc>
              <w:tc>
                <w:tcPr>
                  <w:tcW w:w="288" w:type="pct"/>
                  <w:vMerge w:val="continue"/>
                  <w:vAlign w:val="center"/>
                </w:tcPr>
                <w:p w14:paraId="0F2D14CF">
                  <w:pPr>
                    <w:pStyle w:val="29"/>
                    <w:bidi w:val="0"/>
                    <w:rPr>
                      <w:rFonts w:hint="default"/>
                      <w:color w:val="auto"/>
                    </w:rPr>
                  </w:pPr>
                </w:p>
              </w:tc>
              <w:tc>
                <w:tcPr>
                  <w:tcW w:w="1039" w:type="pct"/>
                  <w:shd w:val="clear" w:color="auto" w:fill="auto"/>
                  <w:vAlign w:val="center"/>
                </w:tcPr>
                <w:p w14:paraId="5674B509">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破碎粉尘</w:t>
                  </w:r>
                </w:p>
              </w:tc>
              <w:tc>
                <w:tcPr>
                  <w:tcW w:w="2981" w:type="pct"/>
                  <w:shd w:val="clear" w:color="auto" w:fill="auto"/>
                  <w:vAlign w:val="center"/>
                </w:tcPr>
                <w:p w14:paraId="4D08A3E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破碎粉尘经集气罩收集后通过引风机（风量为3000m</w:t>
                  </w:r>
                  <w:r>
                    <w:rPr>
                      <w:rFonts w:hint="eastAsia"/>
                      <w:color w:val="auto"/>
                      <w:vertAlign w:val="superscript"/>
                      <w:lang w:val="en-US" w:eastAsia="zh-CN"/>
                    </w:rPr>
                    <w:t>3</w:t>
                  </w:r>
                  <w:r>
                    <w:rPr>
                      <w:rFonts w:hint="eastAsia"/>
                      <w:color w:val="auto"/>
                      <w:lang w:val="en-US" w:eastAsia="zh-CN"/>
                    </w:rPr>
                    <w:t>/h）引入布袋除尘器处理后（除尘效率99%）通过一根高20m的排气筒（DA002）排放</w:t>
                  </w:r>
                  <w:r>
                    <w:rPr>
                      <w:rFonts w:hint="eastAsia"/>
                      <w:color w:val="auto"/>
                      <w:lang w:eastAsia="zh-CN"/>
                    </w:rPr>
                    <w:t>。</w:t>
                  </w:r>
                </w:p>
              </w:tc>
              <w:tc>
                <w:tcPr>
                  <w:tcW w:w="420" w:type="pct"/>
                  <w:vMerge w:val="continue"/>
                  <w:vAlign w:val="center"/>
                </w:tcPr>
                <w:p w14:paraId="2798B668">
                  <w:pPr>
                    <w:pStyle w:val="29"/>
                    <w:bidi w:val="0"/>
                    <w:rPr>
                      <w:rFonts w:hint="eastAsia"/>
                      <w:color w:val="auto"/>
                      <w:highlight w:val="none"/>
                      <w:lang w:eastAsia="zh-CN"/>
                    </w:rPr>
                  </w:pPr>
                </w:p>
              </w:tc>
            </w:tr>
            <w:tr w14:paraId="04A5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5007763C">
                  <w:pPr>
                    <w:pStyle w:val="29"/>
                    <w:bidi w:val="0"/>
                    <w:rPr>
                      <w:rFonts w:hint="default"/>
                      <w:color w:val="auto"/>
                    </w:rPr>
                  </w:pPr>
                </w:p>
              </w:tc>
              <w:tc>
                <w:tcPr>
                  <w:tcW w:w="288" w:type="pct"/>
                  <w:vMerge w:val="continue"/>
                  <w:vAlign w:val="center"/>
                </w:tcPr>
                <w:p w14:paraId="5E4D9131">
                  <w:pPr>
                    <w:pStyle w:val="29"/>
                    <w:bidi w:val="0"/>
                    <w:rPr>
                      <w:rFonts w:hint="default"/>
                      <w:color w:val="auto"/>
                    </w:rPr>
                  </w:pPr>
                </w:p>
              </w:tc>
              <w:tc>
                <w:tcPr>
                  <w:tcW w:w="1039" w:type="pct"/>
                  <w:shd w:val="clear" w:color="auto" w:fill="auto"/>
                  <w:vAlign w:val="center"/>
                </w:tcPr>
                <w:p w14:paraId="016752A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发酵废气</w:t>
                  </w:r>
                </w:p>
              </w:tc>
              <w:tc>
                <w:tcPr>
                  <w:tcW w:w="2981" w:type="pct"/>
                  <w:shd w:val="clear" w:color="auto" w:fill="auto"/>
                  <w:vAlign w:val="center"/>
                </w:tcPr>
                <w:p w14:paraId="646C227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发酵过程会伴随异味产生，发酵罐为密闭罐，车间门窗全部封闭，一般情况发酵异味不会扩散到环境中，仅当发酵罐泄压阀开启时会有少量异味释放到车间。</w:t>
                  </w:r>
                </w:p>
              </w:tc>
              <w:tc>
                <w:tcPr>
                  <w:tcW w:w="420" w:type="pct"/>
                  <w:vMerge w:val="continue"/>
                  <w:vAlign w:val="center"/>
                </w:tcPr>
                <w:p w14:paraId="45979C1D">
                  <w:pPr>
                    <w:pStyle w:val="29"/>
                    <w:bidi w:val="0"/>
                    <w:rPr>
                      <w:rFonts w:hint="default"/>
                      <w:color w:val="auto"/>
                    </w:rPr>
                  </w:pPr>
                </w:p>
              </w:tc>
            </w:tr>
            <w:tr w14:paraId="3425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7E9D3C0C">
                  <w:pPr>
                    <w:pStyle w:val="29"/>
                    <w:bidi w:val="0"/>
                    <w:rPr>
                      <w:rFonts w:hint="default"/>
                      <w:color w:val="auto"/>
                    </w:rPr>
                  </w:pPr>
                </w:p>
              </w:tc>
              <w:tc>
                <w:tcPr>
                  <w:tcW w:w="288" w:type="pct"/>
                  <w:vMerge w:val="continue"/>
                  <w:vAlign w:val="center"/>
                </w:tcPr>
                <w:p w14:paraId="7C6DCC65">
                  <w:pPr>
                    <w:pStyle w:val="29"/>
                    <w:bidi w:val="0"/>
                    <w:rPr>
                      <w:rFonts w:hint="default"/>
                      <w:color w:val="auto"/>
                    </w:rPr>
                  </w:pPr>
                </w:p>
              </w:tc>
              <w:tc>
                <w:tcPr>
                  <w:tcW w:w="1039" w:type="pct"/>
                  <w:shd w:val="clear" w:color="auto" w:fill="auto"/>
                  <w:vAlign w:val="center"/>
                </w:tcPr>
                <w:p w14:paraId="273F53E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rPr>
                    <w:t>固废暂存废气</w:t>
                  </w:r>
                </w:p>
              </w:tc>
              <w:tc>
                <w:tcPr>
                  <w:tcW w:w="2981" w:type="pct"/>
                  <w:shd w:val="clear" w:color="auto" w:fill="auto"/>
                  <w:vAlign w:val="center"/>
                </w:tcPr>
                <w:p w14:paraId="3E1166E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废麦糟、沉淀渣、酒花糟、废酵母暂存时会产生少量异味，废麦糟、沉淀渣、酒花糟、废酵母收集后密封暂存，及时外售清运，做到日产日清，清运过程喷洒生物除臭剂，对环境空气影响较小。</w:t>
                  </w:r>
                </w:p>
              </w:tc>
              <w:tc>
                <w:tcPr>
                  <w:tcW w:w="420" w:type="pct"/>
                  <w:vAlign w:val="center"/>
                </w:tcPr>
                <w:p w14:paraId="5A8C98DF">
                  <w:pPr>
                    <w:pStyle w:val="29"/>
                    <w:bidi w:val="0"/>
                    <w:rPr>
                      <w:color w:val="auto"/>
                    </w:rPr>
                  </w:pPr>
                  <w:r>
                    <w:rPr>
                      <w:rFonts w:hint="eastAsia"/>
                      <w:color w:val="auto"/>
                      <w:lang w:val="en-US" w:eastAsia="zh-CN"/>
                    </w:rPr>
                    <w:t>环评要求</w:t>
                  </w:r>
                </w:p>
              </w:tc>
            </w:tr>
            <w:tr w14:paraId="6E1A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3C7106C5">
                  <w:pPr>
                    <w:pStyle w:val="29"/>
                    <w:bidi w:val="0"/>
                    <w:rPr>
                      <w:rFonts w:hint="default"/>
                      <w:color w:val="auto"/>
                    </w:rPr>
                  </w:pPr>
                </w:p>
              </w:tc>
              <w:tc>
                <w:tcPr>
                  <w:tcW w:w="288" w:type="pct"/>
                  <w:vMerge w:val="continue"/>
                  <w:vAlign w:val="center"/>
                </w:tcPr>
                <w:p w14:paraId="2F35BB88">
                  <w:pPr>
                    <w:pStyle w:val="29"/>
                    <w:bidi w:val="0"/>
                    <w:rPr>
                      <w:rFonts w:hint="default"/>
                      <w:color w:val="auto"/>
                    </w:rPr>
                  </w:pPr>
                </w:p>
              </w:tc>
              <w:tc>
                <w:tcPr>
                  <w:tcW w:w="1039" w:type="pct"/>
                  <w:shd w:val="clear" w:color="auto" w:fill="auto"/>
                  <w:vAlign w:val="center"/>
                </w:tcPr>
                <w:p w14:paraId="07B1FE6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rPr>
                    <w:t>污水处理恶臭</w:t>
                  </w:r>
                </w:p>
              </w:tc>
              <w:tc>
                <w:tcPr>
                  <w:tcW w:w="2981" w:type="pct"/>
                  <w:shd w:val="clear" w:color="auto" w:fill="auto"/>
                  <w:vAlign w:val="center"/>
                </w:tcPr>
                <w:p w14:paraId="4A82AFD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加强对污水处理站的维护保养，定期喷洒除臭剂</w:t>
                  </w:r>
                  <w:r>
                    <w:rPr>
                      <w:rFonts w:hint="eastAsia"/>
                      <w:color w:val="auto"/>
                      <w:lang w:eastAsia="zh-CN"/>
                    </w:rPr>
                    <w:t>。</w:t>
                  </w:r>
                </w:p>
              </w:tc>
              <w:tc>
                <w:tcPr>
                  <w:tcW w:w="420" w:type="pct"/>
                  <w:shd w:val="clear" w:color="auto" w:fill="auto"/>
                  <w:vAlign w:val="center"/>
                </w:tcPr>
                <w:p w14:paraId="0EB5A9F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环评要求</w:t>
                  </w:r>
                </w:p>
              </w:tc>
            </w:tr>
            <w:tr w14:paraId="2B016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709B1CAB">
                  <w:pPr>
                    <w:pStyle w:val="29"/>
                    <w:bidi w:val="0"/>
                    <w:rPr>
                      <w:rFonts w:hint="default"/>
                      <w:color w:val="auto"/>
                    </w:rPr>
                  </w:pPr>
                </w:p>
              </w:tc>
              <w:tc>
                <w:tcPr>
                  <w:tcW w:w="288" w:type="pct"/>
                  <w:vMerge w:val="continue"/>
                  <w:vAlign w:val="center"/>
                </w:tcPr>
                <w:p w14:paraId="42CF0692">
                  <w:pPr>
                    <w:pStyle w:val="29"/>
                    <w:bidi w:val="0"/>
                    <w:rPr>
                      <w:rFonts w:hint="default"/>
                      <w:color w:val="auto"/>
                    </w:rPr>
                  </w:pPr>
                </w:p>
              </w:tc>
              <w:tc>
                <w:tcPr>
                  <w:tcW w:w="1039" w:type="pct"/>
                  <w:shd w:val="clear" w:color="auto" w:fill="auto"/>
                  <w:vAlign w:val="center"/>
                </w:tcPr>
                <w:p w14:paraId="756871B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rPr>
                    <w:t>车辆运输扬尘</w:t>
                  </w:r>
                </w:p>
              </w:tc>
              <w:tc>
                <w:tcPr>
                  <w:tcW w:w="2981" w:type="pct"/>
                  <w:shd w:val="clear" w:color="auto" w:fill="auto"/>
                  <w:vAlign w:val="center"/>
                </w:tcPr>
                <w:p w14:paraId="16078EE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厂区道路硬化、路面遗撒及时清扫，运输车辆进行遮盖并采用洒水车进行降尘。</w:t>
                  </w:r>
                </w:p>
              </w:tc>
              <w:tc>
                <w:tcPr>
                  <w:tcW w:w="420" w:type="pct"/>
                  <w:shd w:val="clear" w:color="auto" w:fill="auto"/>
                  <w:vAlign w:val="center"/>
                </w:tcPr>
                <w:p w14:paraId="54A05AE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环评要求</w:t>
                  </w:r>
                </w:p>
              </w:tc>
            </w:tr>
            <w:tr w14:paraId="789B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27A8A241">
                  <w:pPr>
                    <w:pStyle w:val="29"/>
                    <w:bidi w:val="0"/>
                    <w:rPr>
                      <w:rFonts w:hint="default"/>
                      <w:color w:val="auto"/>
                    </w:rPr>
                  </w:pPr>
                </w:p>
              </w:tc>
              <w:tc>
                <w:tcPr>
                  <w:tcW w:w="288" w:type="pct"/>
                  <w:vMerge w:val="continue"/>
                  <w:vAlign w:val="center"/>
                </w:tcPr>
                <w:p w14:paraId="3C920AFD">
                  <w:pPr>
                    <w:pStyle w:val="29"/>
                    <w:bidi w:val="0"/>
                    <w:rPr>
                      <w:rFonts w:hint="default"/>
                      <w:color w:val="auto"/>
                    </w:rPr>
                  </w:pPr>
                </w:p>
              </w:tc>
              <w:tc>
                <w:tcPr>
                  <w:tcW w:w="1039" w:type="pct"/>
                  <w:shd w:val="clear" w:color="auto" w:fill="auto"/>
                  <w:vAlign w:val="center"/>
                </w:tcPr>
                <w:p w14:paraId="486AC76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未捕集粉尘</w:t>
                  </w:r>
                </w:p>
              </w:tc>
              <w:tc>
                <w:tcPr>
                  <w:tcW w:w="2981" w:type="pct"/>
                  <w:vMerge w:val="restart"/>
                  <w:shd w:val="clear" w:color="auto" w:fill="auto"/>
                  <w:vAlign w:val="center"/>
                </w:tcPr>
                <w:p w14:paraId="6A5021AC">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车</w:t>
                  </w:r>
                  <w:r>
                    <w:rPr>
                      <w:rFonts w:hint="default"/>
                      <w:color w:val="auto"/>
                      <w:lang w:val="en-US" w:eastAsia="zh-CN"/>
                    </w:rPr>
                    <w:t>间</w:t>
                  </w:r>
                  <w:r>
                    <w:rPr>
                      <w:rFonts w:hint="eastAsia"/>
                      <w:color w:val="auto"/>
                      <w:lang w:val="en-US" w:eastAsia="zh-CN"/>
                    </w:rPr>
                    <w:t>全封闭，</w:t>
                  </w:r>
                  <w:r>
                    <w:rPr>
                      <w:rFonts w:hint="default"/>
                      <w:color w:val="auto"/>
                      <w:lang w:val="en-US" w:eastAsia="zh-CN"/>
                    </w:rPr>
                    <w:t>自然沉降</w:t>
                  </w:r>
                  <w:r>
                    <w:rPr>
                      <w:rFonts w:hint="eastAsia"/>
                      <w:color w:val="auto"/>
                      <w:lang w:val="en-US" w:eastAsia="zh-CN"/>
                    </w:rPr>
                    <w:t>、扩散。</w:t>
                  </w:r>
                </w:p>
              </w:tc>
              <w:tc>
                <w:tcPr>
                  <w:tcW w:w="420" w:type="pct"/>
                  <w:vMerge w:val="restart"/>
                  <w:shd w:val="clear" w:color="auto" w:fill="auto"/>
                  <w:vAlign w:val="center"/>
                </w:tcPr>
                <w:p w14:paraId="4027C0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环评要求</w:t>
                  </w:r>
                </w:p>
              </w:tc>
            </w:tr>
            <w:tr w14:paraId="4BFAB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61129D5D">
                  <w:pPr>
                    <w:pStyle w:val="29"/>
                    <w:bidi w:val="0"/>
                    <w:rPr>
                      <w:rFonts w:hint="default"/>
                      <w:color w:val="auto"/>
                    </w:rPr>
                  </w:pPr>
                </w:p>
              </w:tc>
              <w:tc>
                <w:tcPr>
                  <w:tcW w:w="288" w:type="pct"/>
                  <w:vMerge w:val="continue"/>
                  <w:vAlign w:val="center"/>
                </w:tcPr>
                <w:p w14:paraId="7CFE3146">
                  <w:pPr>
                    <w:pStyle w:val="29"/>
                    <w:bidi w:val="0"/>
                    <w:rPr>
                      <w:rFonts w:hint="default"/>
                      <w:color w:val="auto"/>
                    </w:rPr>
                  </w:pPr>
                </w:p>
              </w:tc>
              <w:tc>
                <w:tcPr>
                  <w:tcW w:w="1039" w:type="pct"/>
                  <w:shd w:val="clear" w:color="auto" w:fill="auto"/>
                  <w:vAlign w:val="center"/>
                </w:tcPr>
                <w:p w14:paraId="279A9BB3">
                  <w:pPr>
                    <w:pStyle w:val="29"/>
                    <w:ind w:firstLine="0" w:firstLineChars="0"/>
                    <w:rPr>
                      <w:rFonts w:hint="default"/>
                      <w:color w:val="auto"/>
                      <w:lang w:val="en-US" w:eastAsia="zh-CN"/>
                    </w:rPr>
                  </w:pPr>
                  <w:r>
                    <w:rPr>
                      <w:rFonts w:hint="eastAsia"/>
                      <w:color w:val="auto"/>
                      <w:lang w:val="en-US" w:eastAsia="zh-CN"/>
                    </w:rPr>
                    <w:t>制冷废气</w:t>
                  </w:r>
                </w:p>
              </w:tc>
              <w:tc>
                <w:tcPr>
                  <w:tcW w:w="2981" w:type="pct"/>
                  <w:vMerge w:val="continue"/>
                  <w:shd w:val="clear" w:color="auto" w:fill="auto"/>
                  <w:vAlign w:val="center"/>
                </w:tcPr>
                <w:p w14:paraId="760E74FF">
                  <w:pPr>
                    <w:pStyle w:val="29"/>
                    <w:bidi w:val="0"/>
                    <w:ind w:firstLine="0" w:firstLineChars="0"/>
                    <w:rPr>
                      <w:rFonts w:hint="default"/>
                      <w:color w:val="auto"/>
                      <w:lang w:val="en-US" w:eastAsia="zh-CN"/>
                    </w:rPr>
                  </w:pPr>
                </w:p>
              </w:tc>
              <w:tc>
                <w:tcPr>
                  <w:tcW w:w="420" w:type="pct"/>
                  <w:vMerge w:val="continue"/>
                  <w:shd w:val="clear" w:color="auto" w:fill="auto"/>
                  <w:vAlign w:val="center"/>
                </w:tcPr>
                <w:p w14:paraId="591598AF">
                  <w:pPr>
                    <w:pStyle w:val="29"/>
                    <w:bidi w:val="0"/>
                    <w:ind w:firstLine="0" w:firstLineChars="0"/>
                    <w:rPr>
                      <w:rFonts w:hint="eastAsia"/>
                      <w:color w:val="auto"/>
                      <w:lang w:val="en-US" w:eastAsia="zh-CN"/>
                    </w:rPr>
                  </w:pPr>
                </w:p>
              </w:tc>
            </w:tr>
            <w:tr w14:paraId="70CF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70" w:type="pct"/>
                  <w:vMerge w:val="continue"/>
                  <w:vAlign w:val="center"/>
                </w:tcPr>
                <w:p w14:paraId="5F554AA6">
                  <w:pPr>
                    <w:pStyle w:val="29"/>
                    <w:bidi w:val="0"/>
                    <w:rPr>
                      <w:rFonts w:hint="default"/>
                      <w:color w:val="auto"/>
                    </w:rPr>
                  </w:pPr>
                </w:p>
              </w:tc>
              <w:tc>
                <w:tcPr>
                  <w:tcW w:w="288" w:type="pct"/>
                  <w:vMerge w:val="restart"/>
                  <w:vAlign w:val="center"/>
                </w:tcPr>
                <w:p w14:paraId="19611E4C">
                  <w:pPr>
                    <w:pStyle w:val="29"/>
                    <w:bidi w:val="0"/>
                    <w:rPr>
                      <w:rFonts w:hint="eastAsia" w:eastAsia="宋体"/>
                      <w:color w:val="auto"/>
                      <w:lang w:eastAsia="zh-CN"/>
                    </w:rPr>
                  </w:pPr>
                  <w:r>
                    <w:rPr>
                      <w:rFonts w:hint="eastAsia"/>
                      <w:color w:val="auto"/>
                      <w:lang w:eastAsia="zh-CN"/>
                    </w:rPr>
                    <w:t>废水</w:t>
                  </w:r>
                </w:p>
              </w:tc>
              <w:tc>
                <w:tcPr>
                  <w:tcW w:w="1039" w:type="pct"/>
                  <w:shd w:val="clear" w:color="auto" w:fill="auto"/>
                  <w:vAlign w:val="center"/>
                </w:tcPr>
                <w:p w14:paraId="13DEC06B">
                  <w:pPr>
                    <w:pStyle w:val="29"/>
                    <w:bidi w:val="0"/>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eastAsia"/>
                      <w:color w:val="auto"/>
                      <w:highlight w:val="none"/>
                      <w:lang w:val="en-US" w:eastAsia="zh-CN"/>
                    </w:rPr>
                    <w:t>生活污水</w:t>
                  </w:r>
                </w:p>
              </w:tc>
              <w:tc>
                <w:tcPr>
                  <w:tcW w:w="2981" w:type="pct"/>
                  <w:shd w:val="clear" w:color="auto" w:fill="auto"/>
                  <w:vAlign w:val="center"/>
                </w:tcPr>
                <w:p w14:paraId="38522DB6">
                  <w:pPr>
                    <w:pStyle w:val="29"/>
                    <w:bidi w:val="0"/>
                    <w:ind w:firstLine="0" w:firstLineChars="0"/>
                    <w:rPr>
                      <w:rFonts w:hint="default" w:ascii="Times New Roman" w:hAnsi="Times New Roman" w:eastAsia="宋体" w:cs="Times New Roman"/>
                      <w:b w:val="0"/>
                      <w:color w:val="auto"/>
                      <w:kern w:val="2"/>
                      <w:sz w:val="21"/>
                      <w:szCs w:val="21"/>
                      <w:highlight w:val="none"/>
                      <w:lang w:val="en-US" w:eastAsia="zh-CN" w:bidi="ar-SA"/>
                    </w:rPr>
                  </w:pPr>
                  <w:r>
                    <w:rPr>
                      <w:color w:val="auto"/>
                      <w:highlight w:val="none"/>
                    </w:rPr>
                    <w:t>化粪池</w:t>
                  </w:r>
                  <w:r>
                    <w:rPr>
                      <w:rFonts w:hint="eastAsia"/>
                      <w:color w:val="auto"/>
                      <w:highlight w:val="none"/>
                      <w:lang w:val="en-US" w:eastAsia="zh-CN"/>
                    </w:rPr>
                    <w:t>1</w:t>
                  </w:r>
                  <w:r>
                    <w:rPr>
                      <w:color w:val="auto"/>
                      <w:highlight w:val="none"/>
                    </w:rPr>
                    <w:t>个，</w:t>
                  </w:r>
                  <w:r>
                    <w:rPr>
                      <w:rFonts w:hint="eastAsia"/>
                      <w:color w:val="auto"/>
                      <w:highlight w:val="none"/>
                      <w:lang w:val="en-US" w:eastAsia="zh-CN"/>
                    </w:rPr>
                    <w:t>1个30</w:t>
                  </w:r>
                  <w:r>
                    <w:rPr>
                      <w:color w:val="auto"/>
                      <w:highlight w:val="none"/>
                    </w:rPr>
                    <w:t>m</w:t>
                  </w:r>
                  <w:r>
                    <w:rPr>
                      <w:color w:val="auto"/>
                      <w:highlight w:val="none"/>
                      <w:vertAlign w:val="superscript"/>
                    </w:rPr>
                    <w:t>3</w:t>
                  </w:r>
                  <w:r>
                    <w:rPr>
                      <w:rFonts w:hint="eastAsia"/>
                      <w:color w:val="auto"/>
                      <w:highlight w:val="none"/>
                      <w:vertAlign w:val="baseline"/>
                      <w:lang w:eastAsia="zh-CN"/>
                    </w:rPr>
                    <w:t>。</w:t>
                  </w:r>
                </w:p>
              </w:tc>
              <w:tc>
                <w:tcPr>
                  <w:tcW w:w="420" w:type="pct"/>
                  <w:shd w:val="clear" w:color="auto" w:fill="auto"/>
                  <w:vAlign w:val="center"/>
                </w:tcPr>
                <w:p w14:paraId="321187E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依托园区现有</w:t>
                  </w:r>
                </w:p>
              </w:tc>
            </w:tr>
            <w:tr w14:paraId="7A98A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70" w:type="pct"/>
                  <w:vMerge w:val="continue"/>
                  <w:vAlign w:val="center"/>
                </w:tcPr>
                <w:p w14:paraId="6FA5E2CF">
                  <w:pPr>
                    <w:pStyle w:val="29"/>
                    <w:bidi w:val="0"/>
                    <w:rPr>
                      <w:rFonts w:hint="default"/>
                      <w:color w:val="auto"/>
                    </w:rPr>
                  </w:pPr>
                </w:p>
              </w:tc>
              <w:tc>
                <w:tcPr>
                  <w:tcW w:w="288" w:type="pct"/>
                  <w:vMerge w:val="continue"/>
                  <w:vAlign w:val="center"/>
                </w:tcPr>
                <w:p w14:paraId="106D4510">
                  <w:pPr>
                    <w:pStyle w:val="29"/>
                    <w:bidi w:val="0"/>
                    <w:rPr>
                      <w:rFonts w:hint="eastAsia"/>
                      <w:color w:val="auto"/>
                      <w:lang w:eastAsia="zh-CN"/>
                    </w:rPr>
                  </w:pPr>
                </w:p>
              </w:tc>
              <w:tc>
                <w:tcPr>
                  <w:tcW w:w="1039" w:type="pct"/>
                  <w:shd w:val="clear" w:color="auto" w:fill="auto"/>
                  <w:vAlign w:val="center"/>
                </w:tcPr>
                <w:p w14:paraId="1791A52D">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生产废水</w:t>
                  </w:r>
                </w:p>
              </w:tc>
              <w:tc>
                <w:tcPr>
                  <w:tcW w:w="2981" w:type="pct"/>
                  <w:shd w:val="clear" w:color="auto" w:fill="auto"/>
                  <w:vAlign w:val="center"/>
                </w:tcPr>
                <w:p w14:paraId="5264077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目前厂区已建3个沉淀池3m</w:t>
                  </w:r>
                  <w:r>
                    <w:rPr>
                      <w:rFonts w:hint="eastAsia" w:cs="Times New Roman"/>
                      <w:b w:val="0"/>
                      <w:color w:val="auto"/>
                      <w:kern w:val="2"/>
                      <w:sz w:val="21"/>
                      <w:szCs w:val="21"/>
                      <w:vertAlign w:val="superscript"/>
                      <w:lang w:val="en-US" w:eastAsia="zh-CN" w:bidi="ar-SA"/>
                    </w:rPr>
                    <w:t>3</w:t>
                  </w:r>
                  <w:r>
                    <w:rPr>
                      <w:rFonts w:hint="eastAsia" w:cs="Times New Roman"/>
                      <w:b w:val="0"/>
                      <w:color w:val="auto"/>
                      <w:kern w:val="2"/>
                      <w:sz w:val="21"/>
                      <w:szCs w:val="21"/>
                      <w:lang w:val="en-US" w:eastAsia="zh-CN" w:bidi="ar-SA"/>
                    </w:rPr>
                    <w:t>，为满足需求需扩容至9.51m</w:t>
                  </w:r>
                  <w:r>
                    <w:rPr>
                      <w:rFonts w:hint="eastAsia" w:cs="Times New Roman"/>
                      <w:b w:val="0"/>
                      <w:color w:val="auto"/>
                      <w:kern w:val="2"/>
                      <w:sz w:val="21"/>
                      <w:szCs w:val="21"/>
                      <w:vertAlign w:val="superscript"/>
                      <w:lang w:val="en-US" w:eastAsia="zh-CN" w:bidi="ar-SA"/>
                    </w:rPr>
                    <w:t>3</w:t>
                  </w:r>
                  <w:r>
                    <w:rPr>
                      <w:rFonts w:hint="eastAsia" w:cs="Times New Roman"/>
                      <w:b w:val="0"/>
                      <w:color w:val="auto"/>
                      <w:kern w:val="2"/>
                      <w:sz w:val="21"/>
                      <w:szCs w:val="21"/>
                      <w:lang w:val="en-US" w:eastAsia="zh-CN" w:bidi="ar-SA"/>
                    </w:rPr>
                    <w:t>，一体化污水处理设施（15m</w:t>
                  </w:r>
                  <w:r>
                    <w:rPr>
                      <w:rFonts w:hint="eastAsia" w:cs="Times New Roman"/>
                      <w:b w:val="0"/>
                      <w:color w:val="auto"/>
                      <w:kern w:val="2"/>
                      <w:sz w:val="21"/>
                      <w:szCs w:val="21"/>
                      <w:vertAlign w:val="superscript"/>
                      <w:lang w:val="en-US" w:eastAsia="zh-CN" w:bidi="ar-SA"/>
                    </w:rPr>
                    <w:t>3</w:t>
                  </w:r>
                  <w:r>
                    <w:rPr>
                      <w:rFonts w:hint="eastAsia" w:cs="Times New Roman"/>
                      <w:b w:val="0"/>
                      <w:color w:val="auto"/>
                      <w:kern w:val="2"/>
                      <w:sz w:val="21"/>
                      <w:szCs w:val="21"/>
                      <w:lang w:val="en-US" w:eastAsia="zh-CN" w:bidi="ar-SA"/>
                    </w:rPr>
                    <w:t>/d），1个事故池15m</w:t>
                  </w:r>
                  <w:r>
                    <w:rPr>
                      <w:rFonts w:hint="eastAsia" w:cs="Times New Roman"/>
                      <w:b w:val="0"/>
                      <w:color w:val="auto"/>
                      <w:kern w:val="2"/>
                      <w:sz w:val="21"/>
                      <w:szCs w:val="21"/>
                      <w:vertAlign w:val="superscript"/>
                      <w:lang w:val="en-US" w:eastAsia="zh-CN" w:bidi="ar-SA"/>
                    </w:rPr>
                    <w:t>3</w:t>
                  </w:r>
                  <w:r>
                    <w:rPr>
                      <w:rFonts w:hint="eastAsia" w:cs="Times New Roman"/>
                      <w:b w:val="0"/>
                      <w:color w:val="auto"/>
                      <w:kern w:val="2"/>
                      <w:sz w:val="21"/>
                      <w:szCs w:val="21"/>
                      <w:lang w:val="en-US" w:eastAsia="zh-CN" w:bidi="ar-SA"/>
                    </w:rPr>
                    <w:t>。</w:t>
                  </w:r>
                </w:p>
              </w:tc>
              <w:tc>
                <w:tcPr>
                  <w:tcW w:w="420" w:type="pct"/>
                  <w:vAlign w:val="center"/>
                </w:tcPr>
                <w:p w14:paraId="5B726AD2">
                  <w:pPr>
                    <w:pStyle w:val="29"/>
                    <w:bidi w:val="0"/>
                    <w:rPr>
                      <w:rFonts w:hint="eastAsia"/>
                      <w:color w:val="auto"/>
                      <w:highlight w:val="none"/>
                      <w:lang w:eastAsia="zh-CN"/>
                    </w:rPr>
                  </w:pPr>
                  <w:r>
                    <w:rPr>
                      <w:rFonts w:hint="eastAsia"/>
                      <w:color w:val="auto"/>
                      <w:highlight w:val="none"/>
                      <w:lang w:eastAsia="zh-CN"/>
                    </w:rPr>
                    <w:t>环评要求</w:t>
                  </w:r>
                </w:p>
              </w:tc>
            </w:tr>
            <w:tr w14:paraId="7407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7EB50BE8">
                  <w:pPr>
                    <w:pStyle w:val="29"/>
                    <w:bidi w:val="0"/>
                    <w:rPr>
                      <w:rFonts w:hint="default"/>
                      <w:color w:val="auto"/>
                    </w:rPr>
                  </w:pPr>
                </w:p>
              </w:tc>
              <w:tc>
                <w:tcPr>
                  <w:tcW w:w="288" w:type="pct"/>
                  <w:shd w:val="clear" w:color="auto" w:fill="auto"/>
                  <w:vAlign w:val="center"/>
                </w:tcPr>
                <w:p w14:paraId="44279E5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噪声</w:t>
                  </w:r>
                </w:p>
              </w:tc>
              <w:tc>
                <w:tcPr>
                  <w:tcW w:w="1039" w:type="pct"/>
                  <w:shd w:val="clear" w:color="auto" w:fill="auto"/>
                  <w:vAlign w:val="center"/>
                </w:tcPr>
                <w:p w14:paraId="4CF01F7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生产设备</w:t>
                  </w:r>
                </w:p>
              </w:tc>
              <w:tc>
                <w:tcPr>
                  <w:tcW w:w="2981" w:type="pct"/>
                  <w:shd w:val="clear" w:color="auto" w:fill="auto"/>
                  <w:vAlign w:val="center"/>
                </w:tcPr>
                <w:p w14:paraId="48FB8CF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夜间22点到早上6点禁止生产；对高噪声、高振动设备底部设置减震基础进行降噪</w:t>
                  </w:r>
                  <w:r>
                    <w:rPr>
                      <w:rFonts w:hint="default"/>
                      <w:color w:val="auto"/>
                    </w:rPr>
                    <w:t>距离衰减</w:t>
                  </w:r>
                  <w:r>
                    <w:rPr>
                      <w:rFonts w:hint="eastAsia"/>
                      <w:color w:val="auto"/>
                      <w:lang w:eastAsia="zh-CN"/>
                    </w:rPr>
                    <w:t>。</w:t>
                  </w:r>
                </w:p>
              </w:tc>
              <w:tc>
                <w:tcPr>
                  <w:tcW w:w="420" w:type="pct"/>
                  <w:shd w:val="clear" w:color="auto" w:fill="auto"/>
                  <w:vAlign w:val="center"/>
                </w:tcPr>
                <w:p w14:paraId="05183CF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环评要求</w:t>
                  </w:r>
                </w:p>
              </w:tc>
            </w:tr>
            <w:tr w14:paraId="5C01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4DE368FA">
                  <w:pPr>
                    <w:pStyle w:val="29"/>
                    <w:bidi w:val="0"/>
                    <w:rPr>
                      <w:rFonts w:hint="default"/>
                      <w:color w:val="auto"/>
                    </w:rPr>
                  </w:pPr>
                </w:p>
              </w:tc>
              <w:tc>
                <w:tcPr>
                  <w:tcW w:w="288" w:type="pct"/>
                  <w:vMerge w:val="restart"/>
                  <w:vAlign w:val="center"/>
                </w:tcPr>
                <w:p w14:paraId="74F2FFFE">
                  <w:pPr>
                    <w:pStyle w:val="29"/>
                    <w:bidi w:val="0"/>
                    <w:rPr>
                      <w:rFonts w:hint="default"/>
                      <w:color w:val="auto"/>
                    </w:rPr>
                  </w:pPr>
                  <w:r>
                    <w:rPr>
                      <w:color w:val="auto"/>
                    </w:rPr>
                    <w:t>固废</w:t>
                  </w:r>
                </w:p>
              </w:tc>
              <w:tc>
                <w:tcPr>
                  <w:tcW w:w="1039" w:type="pct"/>
                  <w:shd w:val="clear" w:color="auto" w:fill="auto"/>
                  <w:vAlign w:val="center"/>
                </w:tcPr>
                <w:p w14:paraId="1D37932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生活垃圾</w:t>
                  </w:r>
                </w:p>
              </w:tc>
              <w:tc>
                <w:tcPr>
                  <w:tcW w:w="2981" w:type="pct"/>
                  <w:shd w:val="clear" w:color="auto" w:fill="auto"/>
                  <w:vAlign w:val="center"/>
                </w:tcPr>
                <w:p w14:paraId="367F1C53">
                  <w:pPr>
                    <w:pStyle w:val="29"/>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设置</w:t>
                  </w:r>
                  <w:r>
                    <w:rPr>
                      <w:rFonts w:hint="eastAsia"/>
                      <w:color w:val="auto"/>
                      <w:lang w:val="en-US" w:eastAsia="zh-CN"/>
                    </w:rPr>
                    <w:t>1个生活垃圾桶，收集后</w:t>
                  </w:r>
                  <w:r>
                    <w:rPr>
                      <w:rFonts w:hint="default"/>
                      <w:color w:val="auto"/>
                    </w:rPr>
                    <w:t>由当地环卫部门统一处置</w:t>
                  </w:r>
                  <w:r>
                    <w:rPr>
                      <w:rFonts w:hint="eastAsia"/>
                      <w:color w:val="auto"/>
                      <w:lang w:eastAsia="zh-CN"/>
                    </w:rPr>
                    <w:t>。</w:t>
                  </w:r>
                </w:p>
              </w:tc>
              <w:tc>
                <w:tcPr>
                  <w:tcW w:w="420" w:type="pct"/>
                  <w:vAlign w:val="center"/>
                </w:tcPr>
                <w:p w14:paraId="0313D3BE">
                  <w:pPr>
                    <w:pStyle w:val="29"/>
                    <w:bidi w:val="0"/>
                    <w:rPr>
                      <w:color w:val="auto"/>
                    </w:rPr>
                  </w:pPr>
                  <w:r>
                    <w:rPr>
                      <w:rFonts w:hint="eastAsia"/>
                      <w:color w:val="auto"/>
                      <w:lang w:val="en-US" w:eastAsia="zh-CN"/>
                    </w:rPr>
                    <w:t>环评要求</w:t>
                  </w:r>
                </w:p>
              </w:tc>
            </w:tr>
            <w:tr w14:paraId="3687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20CC0755">
                  <w:pPr>
                    <w:pStyle w:val="29"/>
                    <w:bidi w:val="0"/>
                    <w:rPr>
                      <w:rFonts w:hint="default"/>
                      <w:color w:val="auto"/>
                    </w:rPr>
                  </w:pPr>
                </w:p>
              </w:tc>
              <w:tc>
                <w:tcPr>
                  <w:tcW w:w="288" w:type="pct"/>
                  <w:vMerge w:val="continue"/>
                  <w:vAlign w:val="center"/>
                </w:tcPr>
                <w:p w14:paraId="510F41ED">
                  <w:pPr>
                    <w:pStyle w:val="29"/>
                    <w:bidi w:val="0"/>
                    <w:rPr>
                      <w:rFonts w:hint="default"/>
                      <w:color w:val="auto"/>
                    </w:rPr>
                  </w:pPr>
                </w:p>
              </w:tc>
              <w:tc>
                <w:tcPr>
                  <w:tcW w:w="1039" w:type="pct"/>
                  <w:shd w:val="clear" w:color="auto" w:fill="auto"/>
                  <w:vAlign w:val="center"/>
                </w:tcPr>
                <w:p w14:paraId="7FBEF7F1">
                  <w:pPr>
                    <w:pStyle w:val="29"/>
                    <w:bidi w:val="0"/>
                    <w:rPr>
                      <w:rFonts w:hint="eastAsia"/>
                      <w:color w:val="auto"/>
                      <w:lang w:val="en-US" w:eastAsia="zh-CN"/>
                    </w:rPr>
                  </w:pPr>
                  <w:r>
                    <w:rPr>
                      <w:rFonts w:hint="default"/>
                      <w:color w:val="auto"/>
                      <w:lang w:val="en-US" w:eastAsia="zh-CN"/>
                    </w:rPr>
                    <w:t>麦糟</w:t>
                  </w:r>
                </w:p>
              </w:tc>
              <w:tc>
                <w:tcPr>
                  <w:tcW w:w="2981" w:type="pct"/>
                  <w:vMerge w:val="restart"/>
                  <w:shd w:val="clear" w:color="auto" w:fill="auto"/>
                  <w:vAlign w:val="center"/>
                </w:tcPr>
                <w:p w14:paraId="1424488C">
                  <w:pPr>
                    <w:pStyle w:val="29"/>
                    <w:bidi w:val="0"/>
                    <w:rPr>
                      <w:rFonts w:hint="eastAsia" w:ascii="Times New Roman" w:hAnsi="Times New Roman" w:eastAsia="宋体" w:cs="黑体"/>
                      <w:b w:val="0"/>
                      <w:color w:val="auto"/>
                      <w:kern w:val="2"/>
                      <w:szCs w:val="24"/>
                      <w:lang w:val="en-US" w:eastAsia="zh-CN" w:bidi="ar-SA"/>
                    </w:rPr>
                  </w:pPr>
                  <w:r>
                    <w:rPr>
                      <w:rFonts w:hint="eastAsia"/>
                      <w:color w:val="auto"/>
                      <w:lang w:val="en-US" w:eastAsia="zh-CN"/>
                    </w:rPr>
                    <w:t>进入密闭设计的麦槽罐贮存后定向外售至已取得饲料生产合法资质的饲料加工企业，或具备规模化养殖资质、配套合规饲料加工车间的养殖场，作为饲料生产原料实现全量资源化利用，不交由无资质散户零散收购处置，即产即清。</w:t>
                  </w:r>
                </w:p>
              </w:tc>
              <w:tc>
                <w:tcPr>
                  <w:tcW w:w="420" w:type="pct"/>
                  <w:vMerge w:val="restart"/>
                  <w:shd w:val="clear" w:color="auto" w:fill="auto"/>
                  <w:vAlign w:val="center"/>
                </w:tcPr>
                <w:p w14:paraId="1311E4C4">
                  <w:pPr>
                    <w:pStyle w:val="29"/>
                    <w:bidi w:val="0"/>
                    <w:ind w:firstLine="0" w:firstLineChars="0"/>
                    <w:rPr>
                      <w:rFonts w:hint="eastAsia"/>
                      <w:color w:val="auto"/>
                      <w:lang w:eastAsia="zh-CN"/>
                    </w:rPr>
                  </w:pPr>
                  <w:r>
                    <w:rPr>
                      <w:rFonts w:hint="eastAsia"/>
                      <w:color w:val="auto"/>
                      <w:lang w:val="en-US" w:eastAsia="zh-CN"/>
                    </w:rPr>
                    <w:t>环评要求</w:t>
                  </w:r>
                </w:p>
              </w:tc>
            </w:tr>
            <w:tr w14:paraId="21E8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6CCDFFAF">
                  <w:pPr>
                    <w:pStyle w:val="29"/>
                    <w:bidi w:val="0"/>
                    <w:rPr>
                      <w:rFonts w:hint="default"/>
                      <w:color w:val="auto"/>
                    </w:rPr>
                  </w:pPr>
                </w:p>
              </w:tc>
              <w:tc>
                <w:tcPr>
                  <w:tcW w:w="288" w:type="pct"/>
                  <w:vMerge w:val="continue"/>
                  <w:vAlign w:val="center"/>
                </w:tcPr>
                <w:p w14:paraId="39A2B62F">
                  <w:pPr>
                    <w:pStyle w:val="29"/>
                    <w:bidi w:val="0"/>
                    <w:rPr>
                      <w:rFonts w:hint="default"/>
                      <w:color w:val="auto"/>
                    </w:rPr>
                  </w:pPr>
                </w:p>
              </w:tc>
              <w:tc>
                <w:tcPr>
                  <w:tcW w:w="1039" w:type="pct"/>
                  <w:shd w:val="clear" w:color="auto" w:fill="auto"/>
                  <w:vAlign w:val="center"/>
                </w:tcPr>
                <w:p w14:paraId="689AF5BD">
                  <w:pPr>
                    <w:pStyle w:val="29"/>
                    <w:bidi w:val="0"/>
                    <w:rPr>
                      <w:rFonts w:hint="default"/>
                      <w:color w:val="auto"/>
                      <w:lang w:val="en-US" w:eastAsia="zh-CN"/>
                    </w:rPr>
                  </w:pPr>
                  <w:r>
                    <w:rPr>
                      <w:rFonts w:hint="eastAsia"/>
                      <w:color w:val="auto"/>
                      <w:lang w:val="en-US" w:eastAsia="zh-CN"/>
                    </w:rPr>
                    <w:t>沉淀渣</w:t>
                  </w:r>
                </w:p>
              </w:tc>
              <w:tc>
                <w:tcPr>
                  <w:tcW w:w="2981" w:type="pct"/>
                  <w:vMerge w:val="continue"/>
                  <w:shd w:val="clear" w:color="auto" w:fill="auto"/>
                  <w:vAlign w:val="center"/>
                </w:tcPr>
                <w:p w14:paraId="0563FD26">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p>
              </w:tc>
              <w:tc>
                <w:tcPr>
                  <w:tcW w:w="420" w:type="pct"/>
                  <w:vMerge w:val="continue"/>
                  <w:shd w:val="clear" w:color="auto" w:fill="auto"/>
                  <w:vAlign w:val="center"/>
                </w:tcPr>
                <w:p w14:paraId="290FF121">
                  <w:pPr>
                    <w:pStyle w:val="29"/>
                    <w:bidi w:val="0"/>
                    <w:ind w:firstLine="0" w:firstLineChars="0"/>
                    <w:rPr>
                      <w:rFonts w:hint="eastAsia"/>
                      <w:color w:val="auto"/>
                      <w:lang w:val="en-US" w:eastAsia="zh-CN"/>
                    </w:rPr>
                  </w:pPr>
                </w:p>
              </w:tc>
            </w:tr>
            <w:tr w14:paraId="0327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6B5D8832">
                  <w:pPr>
                    <w:pStyle w:val="29"/>
                    <w:bidi w:val="0"/>
                    <w:rPr>
                      <w:rFonts w:hint="default"/>
                      <w:color w:val="auto"/>
                    </w:rPr>
                  </w:pPr>
                </w:p>
              </w:tc>
              <w:tc>
                <w:tcPr>
                  <w:tcW w:w="288" w:type="pct"/>
                  <w:vMerge w:val="continue"/>
                  <w:vAlign w:val="center"/>
                </w:tcPr>
                <w:p w14:paraId="00AEC6E7">
                  <w:pPr>
                    <w:pStyle w:val="29"/>
                    <w:bidi w:val="0"/>
                    <w:rPr>
                      <w:rFonts w:hint="default"/>
                      <w:color w:val="auto"/>
                    </w:rPr>
                  </w:pPr>
                </w:p>
              </w:tc>
              <w:tc>
                <w:tcPr>
                  <w:tcW w:w="1039" w:type="pct"/>
                  <w:shd w:val="clear" w:color="auto" w:fill="auto"/>
                  <w:vAlign w:val="center"/>
                </w:tcPr>
                <w:p w14:paraId="55C3BEB7">
                  <w:pPr>
                    <w:pStyle w:val="29"/>
                    <w:bidi w:val="0"/>
                    <w:rPr>
                      <w:rFonts w:hint="eastAsia"/>
                      <w:color w:val="auto"/>
                      <w:lang w:val="en-US" w:eastAsia="zh-CN"/>
                    </w:rPr>
                  </w:pPr>
                  <w:r>
                    <w:rPr>
                      <w:rFonts w:hint="default"/>
                      <w:color w:val="auto"/>
                      <w:lang w:val="en-US" w:eastAsia="zh-CN"/>
                    </w:rPr>
                    <w:t>酒花槽</w:t>
                  </w:r>
                </w:p>
              </w:tc>
              <w:tc>
                <w:tcPr>
                  <w:tcW w:w="2981" w:type="pct"/>
                  <w:vMerge w:val="continue"/>
                  <w:shd w:val="clear" w:color="auto" w:fill="auto"/>
                  <w:vAlign w:val="center"/>
                </w:tcPr>
                <w:p w14:paraId="616D0DFA">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p>
              </w:tc>
              <w:tc>
                <w:tcPr>
                  <w:tcW w:w="420" w:type="pct"/>
                  <w:vMerge w:val="continue"/>
                  <w:vAlign w:val="center"/>
                </w:tcPr>
                <w:p w14:paraId="601F92BB">
                  <w:pPr>
                    <w:pStyle w:val="29"/>
                    <w:bidi w:val="0"/>
                    <w:rPr>
                      <w:rFonts w:hint="eastAsia"/>
                      <w:color w:val="auto"/>
                    </w:rPr>
                  </w:pPr>
                </w:p>
              </w:tc>
            </w:tr>
            <w:tr w14:paraId="2828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5E010B38">
                  <w:pPr>
                    <w:pStyle w:val="29"/>
                    <w:bidi w:val="0"/>
                    <w:rPr>
                      <w:rFonts w:hint="default"/>
                      <w:color w:val="auto"/>
                    </w:rPr>
                  </w:pPr>
                </w:p>
              </w:tc>
              <w:tc>
                <w:tcPr>
                  <w:tcW w:w="288" w:type="pct"/>
                  <w:vMerge w:val="continue"/>
                  <w:vAlign w:val="center"/>
                </w:tcPr>
                <w:p w14:paraId="07340FAE">
                  <w:pPr>
                    <w:pStyle w:val="29"/>
                    <w:bidi w:val="0"/>
                    <w:rPr>
                      <w:rFonts w:hint="default"/>
                      <w:color w:val="auto"/>
                    </w:rPr>
                  </w:pPr>
                </w:p>
              </w:tc>
              <w:tc>
                <w:tcPr>
                  <w:tcW w:w="1039" w:type="pct"/>
                  <w:shd w:val="clear" w:color="auto" w:fill="auto"/>
                  <w:vAlign w:val="center"/>
                </w:tcPr>
                <w:p w14:paraId="1178872A">
                  <w:pPr>
                    <w:pStyle w:val="29"/>
                    <w:bidi w:val="0"/>
                    <w:rPr>
                      <w:rFonts w:hint="eastAsia"/>
                      <w:color w:val="auto"/>
                      <w:lang w:val="en-US" w:eastAsia="zh-CN"/>
                    </w:rPr>
                  </w:pPr>
                  <w:r>
                    <w:rPr>
                      <w:rFonts w:hint="default"/>
                      <w:color w:val="auto"/>
                      <w:lang w:val="en-US" w:eastAsia="zh-CN"/>
                    </w:rPr>
                    <w:t>废酵母</w:t>
                  </w:r>
                </w:p>
              </w:tc>
              <w:tc>
                <w:tcPr>
                  <w:tcW w:w="2981" w:type="pct"/>
                  <w:vMerge w:val="continue"/>
                  <w:shd w:val="clear" w:color="auto" w:fill="auto"/>
                  <w:vAlign w:val="center"/>
                </w:tcPr>
                <w:p w14:paraId="1331E548">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p>
              </w:tc>
              <w:tc>
                <w:tcPr>
                  <w:tcW w:w="420" w:type="pct"/>
                  <w:vMerge w:val="continue"/>
                  <w:vAlign w:val="center"/>
                </w:tcPr>
                <w:p w14:paraId="4001FD56">
                  <w:pPr>
                    <w:pStyle w:val="29"/>
                    <w:bidi w:val="0"/>
                    <w:rPr>
                      <w:rFonts w:hint="eastAsia"/>
                      <w:color w:val="auto"/>
                      <w:lang w:eastAsia="zh-CN"/>
                    </w:rPr>
                  </w:pPr>
                </w:p>
              </w:tc>
            </w:tr>
            <w:tr w14:paraId="5F259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32AD6536">
                  <w:pPr>
                    <w:pStyle w:val="29"/>
                    <w:bidi w:val="0"/>
                    <w:rPr>
                      <w:rFonts w:hint="default"/>
                      <w:color w:val="auto"/>
                    </w:rPr>
                  </w:pPr>
                </w:p>
              </w:tc>
              <w:tc>
                <w:tcPr>
                  <w:tcW w:w="288" w:type="pct"/>
                  <w:vMerge w:val="continue"/>
                  <w:vAlign w:val="center"/>
                </w:tcPr>
                <w:p w14:paraId="497F69A1">
                  <w:pPr>
                    <w:pStyle w:val="29"/>
                    <w:bidi w:val="0"/>
                    <w:rPr>
                      <w:rFonts w:hint="default"/>
                      <w:color w:val="auto"/>
                    </w:rPr>
                  </w:pPr>
                </w:p>
              </w:tc>
              <w:tc>
                <w:tcPr>
                  <w:tcW w:w="1039" w:type="pct"/>
                  <w:shd w:val="clear" w:color="auto" w:fill="auto"/>
                  <w:vAlign w:val="center"/>
                </w:tcPr>
                <w:p w14:paraId="26AB61F6">
                  <w:pPr>
                    <w:pStyle w:val="29"/>
                    <w:bidi w:val="0"/>
                    <w:rPr>
                      <w:rFonts w:hint="eastAsia"/>
                      <w:color w:val="auto"/>
                      <w:lang w:val="en-US" w:eastAsia="zh-CN"/>
                    </w:rPr>
                  </w:pPr>
                  <w:r>
                    <w:rPr>
                      <w:rFonts w:hint="eastAsia"/>
                      <w:color w:val="auto"/>
                      <w:lang w:val="en-US" w:eastAsia="zh-CN"/>
                    </w:rPr>
                    <w:t>除尘灰</w:t>
                  </w:r>
                </w:p>
              </w:tc>
              <w:tc>
                <w:tcPr>
                  <w:tcW w:w="2981" w:type="pct"/>
                  <w:shd w:val="clear" w:color="auto" w:fill="auto"/>
                  <w:vAlign w:val="center"/>
                </w:tcPr>
                <w:p w14:paraId="40A7C57F">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r>
                    <w:rPr>
                      <w:rFonts w:hint="eastAsia" w:cs="Times New Roman"/>
                      <w:b w:val="0"/>
                      <w:color w:val="auto"/>
                      <w:kern w:val="2"/>
                      <w:sz w:val="21"/>
                      <w:szCs w:val="21"/>
                      <w:lang w:val="en-US" w:eastAsia="zh-CN" w:bidi="ar-SA"/>
                    </w:rPr>
                    <w:t>统一收集后外售</w:t>
                  </w:r>
                  <w:r>
                    <w:rPr>
                      <w:rFonts w:hint="eastAsia" w:ascii="Times New Roman" w:hAnsi="Times New Roman" w:eastAsia="宋体" w:cs="Times New Roman"/>
                      <w:b w:val="0"/>
                      <w:color w:val="auto"/>
                      <w:kern w:val="2"/>
                      <w:sz w:val="21"/>
                      <w:szCs w:val="21"/>
                      <w:lang w:val="en-US" w:eastAsia="zh-CN" w:bidi="ar-SA"/>
                    </w:rPr>
                    <w:t>。</w:t>
                  </w:r>
                </w:p>
              </w:tc>
              <w:tc>
                <w:tcPr>
                  <w:tcW w:w="420" w:type="pct"/>
                  <w:shd w:val="clear" w:color="auto" w:fill="auto"/>
                  <w:vAlign w:val="center"/>
                </w:tcPr>
                <w:p w14:paraId="5E156ED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环评要求</w:t>
                  </w:r>
                </w:p>
              </w:tc>
            </w:tr>
            <w:tr w14:paraId="7BD0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0EFDA029">
                  <w:pPr>
                    <w:pStyle w:val="29"/>
                    <w:bidi w:val="0"/>
                    <w:rPr>
                      <w:rFonts w:hint="default"/>
                      <w:color w:val="auto"/>
                    </w:rPr>
                  </w:pPr>
                </w:p>
              </w:tc>
              <w:tc>
                <w:tcPr>
                  <w:tcW w:w="288" w:type="pct"/>
                  <w:vMerge w:val="continue"/>
                  <w:vAlign w:val="center"/>
                </w:tcPr>
                <w:p w14:paraId="7D2C15DD">
                  <w:pPr>
                    <w:pStyle w:val="29"/>
                    <w:bidi w:val="0"/>
                    <w:rPr>
                      <w:rFonts w:hint="default"/>
                      <w:color w:val="auto"/>
                    </w:rPr>
                  </w:pPr>
                </w:p>
              </w:tc>
              <w:tc>
                <w:tcPr>
                  <w:tcW w:w="1039" w:type="pct"/>
                  <w:shd w:val="clear" w:color="auto" w:fill="auto"/>
                  <w:vAlign w:val="center"/>
                </w:tcPr>
                <w:p w14:paraId="1B580DAA">
                  <w:pPr>
                    <w:pStyle w:val="29"/>
                    <w:bidi w:val="0"/>
                    <w:rPr>
                      <w:rFonts w:hint="eastAsia"/>
                      <w:color w:val="auto"/>
                      <w:lang w:val="en-US" w:eastAsia="zh-CN"/>
                    </w:rPr>
                  </w:pPr>
                  <w:r>
                    <w:rPr>
                      <w:rFonts w:hint="default"/>
                      <w:color w:val="auto"/>
                      <w:lang w:val="en-US" w:eastAsia="zh-CN"/>
                    </w:rPr>
                    <w:t>废弃包装物</w:t>
                  </w:r>
                </w:p>
              </w:tc>
              <w:tc>
                <w:tcPr>
                  <w:tcW w:w="2981" w:type="pct"/>
                  <w:shd w:val="clear" w:color="auto" w:fill="auto"/>
                  <w:vAlign w:val="center"/>
                </w:tcPr>
                <w:p w14:paraId="658DC41F">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r>
                    <w:rPr>
                      <w:rFonts w:hint="eastAsia" w:cs="Times New Roman"/>
                      <w:b w:val="0"/>
                      <w:color w:val="auto"/>
                      <w:kern w:val="2"/>
                      <w:sz w:val="21"/>
                      <w:szCs w:val="21"/>
                      <w:lang w:val="en-US" w:eastAsia="zh-CN" w:bidi="ar-SA"/>
                    </w:rPr>
                    <w:t>收集后由环卫部门统一处置。</w:t>
                  </w:r>
                </w:p>
              </w:tc>
              <w:tc>
                <w:tcPr>
                  <w:tcW w:w="420" w:type="pct"/>
                  <w:shd w:val="clear" w:color="auto" w:fill="auto"/>
                  <w:vAlign w:val="center"/>
                </w:tcPr>
                <w:p w14:paraId="69885C5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环评要求</w:t>
                  </w:r>
                </w:p>
              </w:tc>
            </w:tr>
            <w:tr w14:paraId="6DB1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7AC3DFCF">
                  <w:pPr>
                    <w:pStyle w:val="29"/>
                    <w:bidi w:val="0"/>
                    <w:rPr>
                      <w:rFonts w:hint="default"/>
                      <w:color w:val="auto"/>
                    </w:rPr>
                  </w:pPr>
                </w:p>
              </w:tc>
              <w:tc>
                <w:tcPr>
                  <w:tcW w:w="288" w:type="pct"/>
                  <w:vMerge w:val="continue"/>
                  <w:vAlign w:val="center"/>
                </w:tcPr>
                <w:p w14:paraId="21C99273">
                  <w:pPr>
                    <w:pStyle w:val="29"/>
                    <w:bidi w:val="0"/>
                    <w:rPr>
                      <w:rFonts w:hint="default"/>
                      <w:color w:val="auto"/>
                    </w:rPr>
                  </w:pPr>
                </w:p>
              </w:tc>
              <w:tc>
                <w:tcPr>
                  <w:tcW w:w="1039" w:type="pct"/>
                  <w:shd w:val="clear" w:color="auto" w:fill="auto"/>
                  <w:vAlign w:val="center"/>
                </w:tcPr>
                <w:p w14:paraId="5A0FE372">
                  <w:pPr>
                    <w:pStyle w:val="29"/>
                    <w:bidi w:val="0"/>
                    <w:rPr>
                      <w:rFonts w:hint="eastAsia"/>
                      <w:color w:val="auto"/>
                      <w:lang w:val="en-US" w:eastAsia="zh-CN"/>
                    </w:rPr>
                  </w:pPr>
                  <w:r>
                    <w:rPr>
                      <w:rFonts w:hint="default"/>
                      <w:color w:val="auto"/>
                      <w:lang w:val="en-US" w:eastAsia="zh-CN"/>
                    </w:rPr>
                    <w:t>化粪池污泥</w:t>
                  </w:r>
                </w:p>
              </w:tc>
              <w:tc>
                <w:tcPr>
                  <w:tcW w:w="2981" w:type="pct"/>
                  <w:vMerge w:val="restart"/>
                  <w:shd w:val="clear" w:color="auto" w:fill="auto"/>
                  <w:vAlign w:val="center"/>
                </w:tcPr>
                <w:p w14:paraId="4A35DBCC">
                  <w:pPr>
                    <w:pStyle w:val="29"/>
                    <w:bidi w:val="0"/>
                    <w:ind w:firstLine="0" w:firstLineChars="0"/>
                    <w:jc w:val="center"/>
                    <w:rPr>
                      <w:rFonts w:hint="eastAsia"/>
                      <w:color w:val="auto"/>
                      <w:lang w:val="en-US" w:eastAsia="zh-CN"/>
                    </w:rPr>
                  </w:pPr>
                  <w:r>
                    <w:rPr>
                      <w:rFonts w:hint="eastAsia" w:cs="黑体"/>
                      <w:b w:val="0"/>
                      <w:color w:val="auto"/>
                      <w:kern w:val="2"/>
                      <w:sz w:val="21"/>
                      <w:szCs w:val="24"/>
                      <w:lang w:val="en-US" w:eastAsia="zh-CN" w:bidi="ar-SA"/>
                    </w:rPr>
                    <w:t>定期委托环卫部门清掏处理。</w:t>
                  </w:r>
                </w:p>
              </w:tc>
              <w:tc>
                <w:tcPr>
                  <w:tcW w:w="420" w:type="pct"/>
                  <w:vMerge w:val="restart"/>
                  <w:vAlign w:val="center"/>
                </w:tcPr>
                <w:p w14:paraId="4495F1ED">
                  <w:pPr>
                    <w:pStyle w:val="29"/>
                    <w:bidi w:val="0"/>
                    <w:rPr>
                      <w:rFonts w:hint="eastAsia"/>
                      <w:color w:val="auto"/>
                      <w:lang w:val="en-US" w:eastAsia="zh-CN"/>
                    </w:rPr>
                  </w:pPr>
                  <w:r>
                    <w:rPr>
                      <w:rFonts w:hint="eastAsia"/>
                      <w:color w:val="auto"/>
                      <w:lang w:val="en-US" w:eastAsia="zh-CN"/>
                    </w:rPr>
                    <w:t>环评要求</w:t>
                  </w:r>
                </w:p>
              </w:tc>
            </w:tr>
            <w:tr w14:paraId="50AB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46EE972F">
                  <w:pPr>
                    <w:pStyle w:val="29"/>
                    <w:bidi w:val="0"/>
                    <w:rPr>
                      <w:rFonts w:hint="default"/>
                      <w:color w:val="auto"/>
                    </w:rPr>
                  </w:pPr>
                </w:p>
              </w:tc>
              <w:tc>
                <w:tcPr>
                  <w:tcW w:w="288" w:type="pct"/>
                  <w:vMerge w:val="continue"/>
                  <w:vAlign w:val="center"/>
                </w:tcPr>
                <w:p w14:paraId="41D294DD">
                  <w:pPr>
                    <w:pStyle w:val="29"/>
                    <w:bidi w:val="0"/>
                    <w:rPr>
                      <w:rFonts w:hint="default"/>
                      <w:color w:val="auto"/>
                    </w:rPr>
                  </w:pPr>
                </w:p>
              </w:tc>
              <w:tc>
                <w:tcPr>
                  <w:tcW w:w="1039" w:type="pct"/>
                  <w:shd w:val="clear" w:color="auto" w:fill="auto"/>
                  <w:vAlign w:val="center"/>
                </w:tcPr>
                <w:p w14:paraId="5A0C4DCE">
                  <w:pPr>
                    <w:pStyle w:val="29"/>
                    <w:bidi w:val="0"/>
                    <w:rPr>
                      <w:rFonts w:hint="eastAsia"/>
                      <w:color w:val="auto"/>
                      <w:lang w:val="en-US" w:eastAsia="zh-CN"/>
                    </w:rPr>
                  </w:pPr>
                  <w:r>
                    <w:rPr>
                      <w:rFonts w:hint="default"/>
                      <w:color w:val="auto"/>
                      <w:lang w:val="en-US" w:eastAsia="zh-CN"/>
                    </w:rPr>
                    <w:t>污水处理站污泥</w:t>
                  </w:r>
                </w:p>
              </w:tc>
              <w:tc>
                <w:tcPr>
                  <w:tcW w:w="2981" w:type="pct"/>
                  <w:vMerge w:val="continue"/>
                  <w:shd w:val="clear" w:color="auto" w:fill="auto"/>
                  <w:vAlign w:val="center"/>
                </w:tcPr>
                <w:p w14:paraId="5D716E5E">
                  <w:pPr>
                    <w:pStyle w:val="29"/>
                    <w:bidi w:val="0"/>
                    <w:ind w:firstLine="0" w:firstLineChars="0"/>
                    <w:jc w:val="center"/>
                    <w:rPr>
                      <w:rFonts w:hint="eastAsia"/>
                      <w:color w:val="auto"/>
                      <w:lang w:val="en-US" w:eastAsia="zh-CN"/>
                    </w:rPr>
                  </w:pPr>
                </w:p>
              </w:tc>
              <w:tc>
                <w:tcPr>
                  <w:tcW w:w="420" w:type="pct"/>
                  <w:vMerge w:val="continue"/>
                  <w:vAlign w:val="center"/>
                </w:tcPr>
                <w:p w14:paraId="464F174C">
                  <w:pPr>
                    <w:pStyle w:val="29"/>
                    <w:bidi w:val="0"/>
                    <w:rPr>
                      <w:rFonts w:hint="eastAsia"/>
                      <w:color w:val="auto"/>
                      <w:lang w:val="en-US" w:eastAsia="zh-CN"/>
                    </w:rPr>
                  </w:pPr>
                </w:p>
              </w:tc>
            </w:tr>
            <w:tr w14:paraId="03EE6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29F3C9DE">
                  <w:pPr>
                    <w:pStyle w:val="29"/>
                    <w:bidi w:val="0"/>
                    <w:rPr>
                      <w:rFonts w:hint="default"/>
                      <w:color w:val="auto"/>
                    </w:rPr>
                  </w:pPr>
                </w:p>
              </w:tc>
              <w:tc>
                <w:tcPr>
                  <w:tcW w:w="288" w:type="pct"/>
                  <w:vMerge w:val="continue"/>
                  <w:vAlign w:val="center"/>
                </w:tcPr>
                <w:p w14:paraId="5D6A2C2D">
                  <w:pPr>
                    <w:pStyle w:val="29"/>
                    <w:bidi w:val="0"/>
                    <w:rPr>
                      <w:rFonts w:hint="default"/>
                      <w:color w:val="auto"/>
                    </w:rPr>
                  </w:pPr>
                </w:p>
              </w:tc>
              <w:tc>
                <w:tcPr>
                  <w:tcW w:w="1039" w:type="pct"/>
                  <w:shd w:val="clear" w:color="auto" w:fill="auto"/>
                  <w:vAlign w:val="center"/>
                </w:tcPr>
                <w:p w14:paraId="19D228D9">
                  <w:pPr>
                    <w:pStyle w:val="29"/>
                    <w:bidi w:val="0"/>
                    <w:rPr>
                      <w:rFonts w:hint="eastAsia"/>
                      <w:color w:val="auto"/>
                      <w:lang w:val="en-US" w:eastAsia="zh-CN"/>
                    </w:rPr>
                  </w:pPr>
                  <w:r>
                    <w:rPr>
                      <w:rFonts w:hint="eastAsia"/>
                      <w:color w:val="auto"/>
                      <w:lang w:val="en-US" w:eastAsia="zh-CN"/>
                    </w:rPr>
                    <w:t>废布袋</w:t>
                  </w:r>
                </w:p>
              </w:tc>
              <w:tc>
                <w:tcPr>
                  <w:tcW w:w="2981" w:type="pct"/>
                  <w:shd w:val="clear" w:color="auto" w:fill="auto"/>
                  <w:vAlign w:val="center"/>
                </w:tcPr>
                <w:p w14:paraId="7CCB5FA6">
                  <w:pPr>
                    <w:pStyle w:val="29"/>
                    <w:bidi w:val="0"/>
                    <w:ind w:firstLine="0" w:firstLineChars="0"/>
                    <w:jc w:val="center"/>
                    <w:rPr>
                      <w:rFonts w:hint="eastAsia"/>
                      <w:color w:val="auto"/>
                      <w:lang w:val="en-US" w:eastAsia="zh-CN"/>
                    </w:rPr>
                  </w:pPr>
                  <w:r>
                    <w:rPr>
                      <w:rFonts w:hint="eastAsia"/>
                      <w:color w:val="auto"/>
                      <w:lang w:val="en-US" w:eastAsia="zh-CN"/>
                    </w:rPr>
                    <w:t>收集后由环卫部门统一处置。</w:t>
                  </w:r>
                </w:p>
              </w:tc>
              <w:tc>
                <w:tcPr>
                  <w:tcW w:w="420" w:type="pct"/>
                  <w:vAlign w:val="center"/>
                </w:tcPr>
                <w:p w14:paraId="68E64ACC">
                  <w:pPr>
                    <w:pStyle w:val="29"/>
                    <w:bidi w:val="0"/>
                    <w:rPr>
                      <w:rFonts w:hint="eastAsia"/>
                      <w:color w:val="auto"/>
                      <w:lang w:val="en-US" w:eastAsia="zh-CN"/>
                    </w:rPr>
                  </w:pPr>
                  <w:r>
                    <w:rPr>
                      <w:rFonts w:hint="eastAsia"/>
                      <w:color w:val="auto"/>
                      <w:lang w:val="en-US" w:eastAsia="zh-CN"/>
                    </w:rPr>
                    <w:t>环评要求</w:t>
                  </w:r>
                </w:p>
              </w:tc>
            </w:tr>
            <w:tr w14:paraId="45858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5236E022">
                  <w:pPr>
                    <w:pStyle w:val="29"/>
                    <w:bidi w:val="0"/>
                    <w:rPr>
                      <w:rFonts w:hint="default"/>
                      <w:color w:val="auto"/>
                    </w:rPr>
                  </w:pPr>
                </w:p>
              </w:tc>
              <w:tc>
                <w:tcPr>
                  <w:tcW w:w="288" w:type="pct"/>
                  <w:vMerge w:val="continue"/>
                  <w:vAlign w:val="center"/>
                </w:tcPr>
                <w:p w14:paraId="3F83B88B">
                  <w:pPr>
                    <w:pStyle w:val="29"/>
                    <w:bidi w:val="0"/>
                    <w:rPr>
                      <w:rFonts w:hint="default"/>
                      <w:color w:val="auto"/>
                    </w:rPr>
                  </w:pPr>
                </w:p>
              </w:tc>
              <w:tc>
                <w:tcPr>
                  <w:tcW w:w="1039" w:type="pct"/>
                  <w:shd w:val="clear" w:color="auto" w:fill="auto"/>
                  <w:vAlign w:val="center"/>
                </w:tcPr>
                <w:p w14:paraId="40991360">
                  <w:pPr>
                    <w:pStyle w:val="29"/>
                    <w:bidi w:val="0"/>
                    <w:rPr>
                      <w:rFonts w:hint="eastAsia"/>
                      <w:color w:val="auto"/>
                      <w:lang w:val="en-US" w:eastAsia="zh-CN"/>
                    </w:rPr>
                  </w:pPr>
                  <w:r>
                    <w:rPr>
                      <w:rFonts w:hint="default"/>
                      <w:color w:val="auto"/>
                      <w:lang w:val="en-US" w:eastAsia="zh-CN"/>
                    </w:rPr>
                    <w:t>废滤芯</w:t>
                  </w:r>
                </w:p>
              </w:tc>
              <w:tc>
                <w:tcPr>
                  <w:tcW w:w="2981" w:type="pct"/>
                  <w:vMerge w:val="restart"/>
                  <w:shd w:val="clear" w:color="auto" w:fill="auto"/>
                  <w:vAlign w:val="center"/>
                </w:tcPr>
                <w:p w14:paraId="1E9100BB">
                  <w:pPr>
                    <w:pStyle w:val="29"/>
                    <w:bidi w:val="0"/>
                    <w:ind w:firstLine="0" w:firstLineChars="0"/>
                    <w:rPr>
                      <w:rFonts w:hint="eastAsia"/>
                      <w:color w:val="auto"/>
                      <w:lang w:val="en-US" w:eastAsia="zh-CN"/>
                    </w:rPr>
                  </w:pPr>
                  <w:r>
                    <w:rPr>
                      <w:rFonts w:hint="eastAsia"/>
                      <w:color w:val="auto"/>
                      <w:lang w:val="en-US" w:eastAsia="zh-CN"/>
                    </w:rPr>
                    <w:t>设备厂家更换回收处理。</w:t>
                  </w:r>
                </w:p>
              </w:tc>
              <w:tc>
                <w:tcPr>
                  <w:tcW w:w="420" w:type="pct"/>
                  <w:vMerge w:val="restart"/>
                  <w:shd w:val="clear" w:color="auto" w:fill="auto"/>
                  <w:vAlign w:val="center"/>
                </w:tcPr>
                <w:p w14:paraId="605C0B5B">
                  <w:pPr>
                    <w:pStyle w:val="29"/>
                    <w:bidi w:val="0"/>
                    <w:ind w:firstLine="0" w:firstLineChars="0"/>
                    <w:rPr>
                      <w:rFonts w:hint="eastAsia"/>
                      <w:color w:val="auto"/>
                      <w:lang w:val="en-US" w:eastAsia="zh-CN"/>
                    </w:rPr>
                  </w:pPr>
                  <w:r>
                    <w:rPr>
                      <w:rFonts w:hint="eastAsia"/>
                      <w:color w:val="auto"/>
                      <w:lang w:val="en-US" w:eastAsia="zh-CN"/>
                    </w:rPr>
                    <w:t>环评要求</w:t>
                  </w:r>
                </w:p>
              </w:tc>
            </w:tr>
            <w:tr w14:paraId="63E87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12804455">
                  <w:pPr>
                    <w:pStyle w:val="29"/>
                    <w:bidi w:val="0"/>
                    <w:rPr>
                      <w:rFonts w:hint="default"/>
                      <w:color w:val="auto"/>
                    </w:rPr>
                  </w:pPr>
                </w:p>
              </w:tc>
              <w:tc>
                <w:tcPr>
                  <w:tcW w:w="288" w:type="pct"/>
                  <w:vMerge w:val="continue"/>
                  <w:vAlign w:val="center"/>
                </w:tcPr>
                <w:p w14:paraId="35E42B24">
                  <w:pPr>
                    <w:pStyle w:val="29"/>
                    <w:bidi w:val="0"/>
                    <w:rPr>
                      <w:rFonts w:hint="default"/>
                      <w:color w:val="auto"/>
                    </w:rPr>
                  </w:pPr>
                </w:p>
              </w:tc>
              <w:tc>
                <w:tcPr>
                  <w:tcW w:w="1039" w:type="pct"/>
                  <w:shd w:val="clear" w:color="auto" w:fill="auto"/>
                  <w:vAlign w:val="center"/>
                </w:tcPr>
                <w:p w14:paraId="5E9C465B">
                  <w:pPr>
                    <w:pStyle w:val="29"/>
                    <w:bidi w:val="0"/>
                    <w:rPr>
                      <w:rFonts w:hint="eastAsia"/>
                      <w:color w:val="auto"/>
                      <w:lang w:val="en-US" w:eastAsia="zh-CN"/>
                    </w:rPr>
                  </w:pPr>
                  <w:r>
                    <w:rPr>
                      <w:rFonts w:hint="default"/>
                      <w:color w:val="auto"/>
                      <w:lang w:val="en-US" w:eastAsia="zh-CN"/>
                    </w:rPr>
                    <w:t>废石英砂</w:t>
                  </w:r>
                </w:p>
              </w:tc>
              <w:tc>
                <w:tcPr>
                  <w:tcW w:w="2981" w:type="pct"/>
                  <w:vMerge w:val="continue"/>
                  <w:shd w:val="clear" w:color="auto" w:fill="auto"/>
                  <w:vAlign w:val="center"/>
                </w:tcPr>
                <w:p w14:paraId="728888D4">
                  <w:pPr>
                    <w:pStyle w:val="29"/>
                    <w:bidi w:val="0"/>
                    <w:ind w:firstLine="0" w:firstLineChars="0"/>
                    <w:jc w:val="center"/>
                    <w:rPr>
                      <w:rFonts w:hint="eastAsia"/>
                      <w:color w:val="auto"/>
                      <w:lang w:val="en-US" w:eastAsia="zh-CN"/>
                    </w:rPr>
                  </w:pPr>
                </w:p>
              </w:tc>
              <w:tc>
                <w:tcPr>
                  <w:tcW w:w="420" w:type="pct"/>
                  <w:vMerge w:val="continue"/>
                  <w:vAlign w:val="center"/>
                </w:tcPr>
                <w:p w14:paraId="306B53B9">
                  <w:pPr>
                    <w:pStyle w:val="29"/>
                    <w:bidi w:val="0"/>
                    <w:rPr>
                      <w:rFonts w:hint="eastAsia"/>
                      <w:color w:val="auto"/>
                      <w:lang w:val="en-US" w:eastAsia="zh-CN"/>
                    </w:rPr>
                  </w:pPr>
                </w:p>
              </w:tc>
            </w:tr>
            <w:tr w14:paraId="04C0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7DBBDB5C">
                  <w:pPr>
                    <w:pStyle w:val="29"/>
                    <w:bidi w:val="0"/>
                    <w:rPr>
                      <w:rFonts w:hint="default"/>
                      <w:color w:val="auto"/>
                    </w:rPr>
                  </w:pPr>
                </w:p>
              </w:tc>
              <w:tc>
                <w:tcPr>
                  <w:tcW w:w="288" w:type="pct"/>
                  <w:vMerge w:val="continue"/>
                  <w:vAlign w:val="center"/>
                </w:tcPr>
                <w:p w14:paraId="03B3DACB">
                  <w:pPr>
                    <w:pStyle w:val="29"/>
                    <w:bidi w:val="0"/>
                    <w:rPr>
                      <w:rFonts w:hint="default"/>
                      <w:color w:val="auto"/>
                    </w:rPr>
                  </w:pPr>
                </w:p>
              </w:tc>
              <w:tc>
                <w:tcPr>
                  <w:tcW w:w="1039" w:type="pct"/>
                  <w:shd w:val="clear" w:color="auto" w:fill="auto"/>
                  <w:vAlign w:val="center"/>
                </w:tcPr>
                <w:p w14:paraId="408C2362">
                  <w:pPr>
                    <w:pStyle w:val="29"/>
                    <w:bidi w:val="0"/>
                    <w:rPr>
                      <w:rFonts w:hint="eastAsia"/>
                      <w:color w:val="auto"/>
                      <w:lang w:val="en-US" w:eastAsia="zh-CN"/>
                    </w:rPr>
                  </w:pPr>
                  <w:r>
                    <w:rPr>
                      <w:rFonts w:hint="default"/>
                      <w:color w:val="auto"/>
                      <w:lang w:val="en-US" w:eastAsia="zh-CN"/>
                    </w:rPr>
                    <w:t>废RO膜</w:t>
                  </w:r>
                </w:p>
              </w:tc>
              <w:tc>
                <w:tcPr>
                  <w:tcW w:w="2981" w:type="pct"/>
                  <w:vMerge w:val="continue"/>
                  <w:shd w:val="clear" w:color="auto" w:fill="auto"/>
                  <w:vAlign w:val="center"/>
                </w:tcPr>
                <w:p w14:paraId="077FEC18">
                  <w:pPr>
                    <w:pStyle w:val="29"/>
                    <w:bidi w:val="0"/>
                    <w:ind w:firstLine="0" w:firstLineChars="0"/>
                    <w:jc w:val="center"/>
                    <w:rPr>
                      <w:rFonts w:hint="eastAsia"/>
                      <w:color w:val="auto"/>
                      <w:lang w:val="en-US" w:eastAsia="zh-CN"/>
                    </w:rPr>
                  </w:pPr>
                </w:p>
              </w:tc>
              <w:tc>
                <w:tcPr>
                  <w:tcW w:w="420" w:type="pct"/>
                  <w:vMerge w:val="continue"/>
                  <w:shd w:val="clear" w:color="auto" w:fill="auto"/>
                  <w:vAlign w:val="center"/>
                </w:tcPr>
                <w:p w14:paraId="7ACFDA4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r>
            <w:tr w14:paraId="2D5B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00B3E97E">
                  <w:pPr>
                    <w:pStyle w:val="29"/>
                    <w:bidi w:val="0"/>
                    <w:rPr>
                      <w:rFonts w:hint="default"/>
                      <w:color w:val="auto"/>
                    </w:rPr>
                  </w:pPr>
                </w:p>
              </w:tc>
              <w:tc>
                <w:tcPr>
                  <w:tcW w:w="288" w:type="pct"/>
                  <w:vMerge w:val="continue"/>
                  <w:vAlign w:val="center"/>
                </w:tcPr>
                <w:p w14:paraId="356D49B9">
                  <w:pPr>
                    <w:pStyle w:val="29"/>
                    <w:bidi w:val="0"/>
                    <w:rPr>
                      <w:rFonts w:hint="default"/>
                      <w:color w:val="auto"/>
                    </w:rPr>
                  </w:pPr>
                </w:p>
              </w:tc>
              <w:tc>
                <w:tcPr>
                  <w:tcW w:w="1039" w:type="pct"/>
                  <w:shd w:val="clear" w:color="auto" w:fill="auto"/>
                  <w:vAlign w:val="center"/>
                </w:tcPr>
                <w:p w14:paraId="3481A17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废</w:t>
                  </w:r>
                  <w:r>
                    <w:rPr>
                      <w:rFonts w:hint="eastAsia"/>
                      <w:color w:val="auto"/>
                      <w:lang w:eastAsia="zh-CN"/>
                    </w:rPr>
                    <w:t>机</w:t>
                  </w:r>
                  <w:r>
                    <w:rPr>
                      <w:color w:val="auto"/>
                    </w:rPr>
                    <w:t>油</w:t>
                  </w:r>
                  <w:r>
                    <w:rPr>
                      <w:rFonts w:hint="eastAsia"/>
                      <w:color w:val="auto"/>
                      <w:lang w:eastAsia="zh-CN"/>
                    </w:rPr>
                    <w:t>、</w:t>
                  </w:r>
                  <w:r>
                    <w:rPr>
                      <w:color w:val="auto"/>
                    </w:rPr>
                    <w:t>废油桶</w:t>
                  </w:r>
                  <w:r>
                    <w:rPr>
                      <w:rFonts w:hint="eastAsia"/>
                      <w:color w:val="auto"/>
                      <w:lang w:eastAsia="zh-CN"/>
                    </w:rPr>
                    <w:t>、</w:t>
                  </w:r>
                  <w:r>
                    <w:rPr>
                      <w:rFonts w:hint="eastAsia"/>
                      <w:color w:val="auto"/>
                      <w:lang w:val="en-US" w:eastAsia="zh-CN"/>
                    </w:rPr>
                    <w:t>酸碱废液</w:t>
                  </w:r>
                </w:p>
              </w:tc>
              <w:tc>
                <w:tcPr>
                  <w:tcW w:w="2981" w:type="pct"/>
                  <w:shd w:val="clear" w:color="auto" w:fill="auto"/>
                  <w:vAlign w:val="center"/>
                </w:tcPr>
                <w:p w14:paraId="25CED783">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1间危废暂存间，</w:t>
                  </w:r>
                  <w:r>
                    <w:rPr>
                      <w:rFonts w:hint="default"/>
                      <w:color w:val="auto"/>
                      <w:lang w:val="en-US" w:eastAsia="zh-CN"/>
                    </w:rPr>
                    <w:t>面积约</w:t>
                  </w:r>
                  <w:r>
                    <w:rPr>
                      <w:rFonts w:hint="eastAsia"/>
                      <w:color w:val="auto"/>
                      <w:lang w:val="en-US" w:eastAsia="zh-CN"/>
                    </w:rPr>
                    <w:t>10</w:t>
                  </w:r>
                  <w:r>
                    <w:rPr>
                      <w:rFonts w:hint="default"/>
                      <w:color w:val="auto"/>
                      <w:lang w:val="en-US" w:eastAsia="zh-CN"/>
                    </w:rPr>
                    <w:t>m</w:t>
                  </w:r>
                  <w:r>
                    <w:rPr>
                      <w:rFonts w:hint="default"/>
                      <w:color w:val="auto"/>
                      <w:vertAlign w:val="superscript"/>
                      <w:lang w:val="en-US" w:eastAsia="zh-CN"/>
                    </w:rPr>
                    <w:t>2</w:t>
                  </w:r>
                  <w:r>
                    <w:rPr>
                      <w:rFonts w:hint="default"/>
                      <w:color w:val="auto"/>
                      <w:lang w:val="en-US" w:eastAsia="zh-CN"/>
                    </w:rPr>
                    <w:t>，地面重点防渗，</w:t>
                  </w:r>
                  <w:r>
                    <w:rPr>
                      <w:rFonts w:hint="eastAsia"/>
                      <w:color w:val="auto"/>
                      <w:lang w:val="en-US" w:eastAsia="zh-CN"/>
                    </w:rPr>
                    <w:t>分类标识、分区存放，定期</w:t>
                  </w:r>
                  <w:r>
                    <w:rPr>
                      <w:rFonts w:hint="default"/>
                      <w:color w:val="auto"/>
                      <w:lang w:val="en-US" w:eastAsia="zh-CN"/>
                    </w:rPr>
                    <w:t>委托</w:t>
                  </w:r>
                  <w:r>
                    <w:rPr>
                      <w:rFonts w:hint="eastAsia"/>
                      <w:color w:val="auto"/>
                      <w:lang w:eastAsia="zh-CN"/>
                    </w:rPr>
                    <w:t>有资质的公司</w:t>
                  </w:r>
                  <w:r>
                    <w:rPr>
                      <w:color w:val="auto"/>
                    </w:rPr>
                    <w:t>处置</w:t>
                  </w:r>
                  <w:r>
                    <w:rPr>
                      <w:rFonts w:hint="default"/>
                      <w:color w:val="auto"/>
                      <w:lang w:val="en-US" w:eastAsia="zh-CN"/>
                    </w:rPr>
                    <w:t>。</w:t>
                  </w:r>
                </w:p>
              </w:tc>
              <w:tc>
                <w:tcPr>
                  <w:tcW w:w="420" w:type="pct"/>
                  <w:vAlign w:val="center"/>
                </w:tcPr>
                <w:p w14:paraId="17FA72F6">
                  <w:pPr>
                    <w:pStyle w:val="29"/>
                    <w:bidi w:val="0"/>
                    <w:rPr>
                      <w:rFonts w:hint="eastAsia"/>
                      <w:color w:val="auto"/>
                      <w:lang w:eastAsia="zh-CN"/>
                    </w:rPr>
                  </w:pPr>
                  <w:r>
                    <w:rPr>
                      <w:rFonts w:hint="eastAsia"/>
                      <w:color w:val="auto"/>
                      <w:lang w:val="en-US" w:eastAsia="zh-CN"/>
                    </w:rPr>
                    <w:t>环评要求</w:t>
                  </w:r>
                </w:p>
              </w:tc>
            </w:tr>
            <w:tr w14:paraId="1597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 w:type="pct"/>
                  <w:vMerge w:val="continue"/>
                  <w:vAlign w:val="center"/>
                </w:tcPr>
                <w:p w14:paraId="27FE458A">
                  <w:pPr>
                    <w:pStyle w:val="29"/>
                    <w:bidi w:val="0"/>
                    <w:rPr>
                      <w:rFonts w:hint="default"/>
                      <w:color w:val="auto"/>
                    </w:rPr>
                  </w:pPr>
                </w:p>
              </w:tc>
              <w:tc>
                <w:tcPr>
                  <w:tcW w:w="1327" w:type="pct"/>
                  <w:gridSpan w:val="2"/>
                  <w:vAlign w:val="center"/>
                </w:tcPr>
                <w:p w14:paraId="107A87A3">
                  <w:pPr>
                    <w:pStyle w:val="29"/>
                    <w:bidi w:val="0"/>
                    <w:rPr>
                      <w:rFonts w:hint="default"/>
                      <w:color w:val="auto"/>
                      <w:lang w:val="en-US" w:eastAsia="zh-CN"/>
                    </w:rPr>
                  </w:pPr>
                  <w:r>
                    <w:rPr>
                      <w:rFonts w:hint="eastAsia"/>
                      <w:color w:val="auto"/>
                      <w:lang w:val="en-US" w:eastAsia="zh-CN"/>
                    </w:rPr>
                    <w:t>地下水、土壤、风险</w:t>
                  </w:r>
                </w:p>
              </w:tc>
              <w:tc>
                <w:tcPr>
                  <w:tcW w:w="2981" w:type="pct"/>
                  <w:vAlign w:val="center"/>
                </w:tcPr>
                <w:p w14:paraId="5F055C14">
                  <w:pPr>
                    <w:pStyle w:val="29"/>
                    <w:jc w:val="left"/>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重点防渗区：危废暂存间按照《危险废物贮存污染控制标准》（GB18597-2023）中基础必须防渗，防渗层为至少1m厚</w:t>
                  </w:r>
                  <w:r>
                    <w:rPr>
                      <w:rFonts w:hint="eastAsia" w:cs="Times New Roman"/>
                      <w:color w:val="auto"/>
                      <w:lang w:val="en-US" w:eastAsia="zh-CN"/>
                    </w:rPr>
                    <w:t>黏土</w:t>
                  </w:r>
                  <w:r>
                    <w:rPr>
                      <w:rFonts w:hint="eastAsia" w:ascii="Times New Roman" w:hAnsi="Times New Roman" w:eastAsia="宋体" w:cs="Times New Roman"/>
                      <w:color w:val="auto"/>
                      <w:lang w:val="en-US" w:eastAsia="zh-CN"/>
                    </w:rPr>
                    <w:t>层(渗透系数≤10</w:t>
                  </w:r>
                  <w:r>
                    <w:rPr>
                      <w:rFonts w:hint="eastAsia" w:ascii="Times New Roman" w:hAnsi="Times New Roman" w:eastAsia="宋体" w:cs="Times New Roman"/>
                      <w:color w:val="auto"/>
                      <w:vertAlign w:val="superscript"/>
                      <w:lang w:val="en-US" w:eastAsia="zh-CN"/>
                    </w:rPr>
                    <w:t>-7</w:t>
                  </w:r>
                  <w:r>
                    <w:rPr>
                      <w:rFonts w:hint="eastAsia" w:ascii="Times New Roman" w:hAnsi="Times New Roman" w:eastAsia="宋体" w:cs="Times New Roman"/>
                      <w:color w:val="auto"/>
                      <w:lang w:val="en-US" w:eastAsia="zh-CN"/>
                    </w:rPr>
                    <w:t>cm/s)，或2mm厚高密度聚乙烯，或至少2mm厚的其它人工材料，渗透系数≤10</w:t>
                  </w:r>
                  <w:r>
                    <w:rPr>
                      <w:rFonts w:hint="eastAsia" w:ascii="Times New Roman" w:hAnsi="Times New Roman" w:eastAsia="宋体" w:cs="Times New Roman"/>
                      <w:color w:val="auto"/>
                      <w:vertAlign w:val="superscript"/>
                      <w:lang w:val="en-US" w:eastAsia="zh-CN"/>
                    </w:rPr>
                    <w:t>-10</w:t>
                  </w:r>
                  <w:r>
                    <w:rPr>
                      <w:rFonts w:hint="eastAsia" w:ascii="Times New Roman" w:hAnsi="Times New Roman" w:eastAsia="宋体" w:cs="Times New Roman"/>
                      <w:color w:val="auto"/>
                      <w:lang w:val="en-US" w:eastAsia="zh-CN"/>
                    </w:rPr>
                    <w:t>cm/s进行防渗；</w:t>
                  </w:r>
                </w:p>
                <w:p w14:paraId="563575DF">
                  <w:pPr>
                    <w:pStyle w:val="29"/>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一般防渗区：</w:t>
                  </w:r>
                  <w:r>
                    <w:rPr>
                      <w:rFonts w:hint="eastAsia" w:cs="Times New Roman"/>
                      <w:color w:val="auto"/>
                      <w:lang w:val="en-US" w:eastAsia="zh-CN"/>
                    </w:rPr>
                    <w:t>沉淀池、化粪池、一体化污水处理设备、事故池</w:t>
                  </w:r>
                  <w:r>
                    <w:rPr>
                      <w:rFonts w:hint="eastAsia" w:ascii="Times New Roman" w:hAnsi="Times New Roman" w:eastAsia="宋体" w:cs="Times New Roman"/>
                      <w:color w:val="auto"/>
                      <w:lang w:val="en-US" w:eastAsia="zh-CN"/>
                    </w:rPr>
                    <w:t>满足</w:t>
                  </w:r>
                  <w:r>
                    <w:rPr>
                      <w:rFonts w:hint="default" w:ascii="Times New Roman" w:hAnsi="Times New Roman" w:eastAsia="宋体" w:cs="Times New Roman"/>
                      <w:color w:val="auto"/>
                      <w:lang w:val="en-US" w:eastAsia="zh-CN"/>
                    </w:rPr>
                    <w:t>等效黏土防渗层厚度Mb≥1.5m，渗透系数K≤1.0×10</w:t>
                  </w:r>
                  <w:r>
                    <w:rPr>
                      <w:rFonts w:hint="default" w:ascii="Times New Roman" w:hAnsi="Times New Roman" w:eastAsia="宋体" w:cs="Times New Roman"/>
                      <w:color w:val="auto"/>
                      <w:vertAlign w:val="superscript"/>
                      <w:lang w:val="en-US" w:eastAsia="zh-CN"/>
                    </w:rPr>
                    <w:t>-7</w:t>
                  </w:r>
                  <w:r>
                    <w:rPr>
                      <w:rFonts w:hint="default" w:ascii="Times New Roman" w:hAnsi="Times New Roman" w:eastAsia="宋体" w:cs="Times New Roman"/>
                      <w:color w:val="auto"/>
                      <w:lang w:val="en-US" w:eastAsia="zh-CN"/>
                    </w:rPr>
                    <w:t>cm/s</w:t>
                  </w:r>
                  <w:r>
                    <w:rPr>
                      <w:rFonts w:hint="eastAsia" w:ascii="Times New Roman" w:hAnsi="Times New Roman" w:eastAsia="宋体" w:cs="Times New Roman"/>
                      <w:color w:val="auto"/>
                      <w:lang w:val="en-US" w:eastAsia="zh-CN"/>
                    </w:rPr>
                    <w:t>；</w:t>
                  </w:r>
                </w:p>
                <w:p w14:paraId="498A4F4A">
                  <w:pPr>
                    <w:pStyle w:val="29"/>
                    <w:bidi w:val="0"/>
                    <w:jc w:val="both"/>
                    <w:rPr>
                      <w:rFonts w:hint="eastAsia"/>
                      <w:color w:val="auto"/>
                      <w:lang w:eastAsia="zh-CN"/>
                    </w:rPr>
                  </w:pPr>
                  <w:r>
                    <w:rPr>
                      <w:rFonts w:hint="eastAsia" w:ascii="Times New Roman" w:hAnsi="Times New Roman" w:eastAsia="宋体" w:cs="Times New Roman"/>
                      <w:color w:val="auto"/>
                      <w:lang w:val="en-US" w:eastAsia="zh-CN"/>
                    </w:rPr>
                    <w:t>简单防渗区：</w:t>
                  </w:r>
                  <w:r>
                    <w:rPr>
                      <w:rFonts w:hint="eastAsia"/>
                      <w:color w:val="auto"/>
                      <w:lang w:val="en-US" w:eastAsia="zh-CN"/>
                    </w:rPr>
                    <w:t>办公区、生产车间、厂内道路</w:t>
                  </w:r>
                  <w:r>
                    <w:rPr>
                      <w:rFonts w:hint="eastAsia" w:ascii="Times New Roman" w:hAnsi="Times New Roman" w:eastAsia="宋体" w:cs="Times New Roman"/>
                      <w:color w:val="auto"/>
                      <w:lang w:val="en-US" w:eastAsia="zh-CN"/>
                    </w:rPr>
                    <w:t>防渗技术要求为地面硬化。</w:t>
                  </w:r>
                </w:p>
              </w:tc>
              <w:tc>
                <w:tcPr>
                  <w:tcW w:w="420" w:type="pct"/>
                  <w:vAlign w:val="center"/>
                </w:tcPr>
                <w:p w14:paraId="5742800D">
                  <w:pPr>
                    <w:pStyle w:val="29"/>
                    <w:bidi w:val="0"/>
                    <w:rPr>
                      <w:rFonts w:hint="eastAsia"/>
                      <w:color w:val="auto"/>
                      <w:lang w:eastAsia="zh-CN"/>
                    </w:rPr>
                  </w:pPr>
                  <w:r>
                    <w:rPr>
                      <w:rFonts w:hint="eastAsia"/>
                      <w:color w:val="auto"/>
                      <w:lang w:val="en-US" w:eastAsia="zh-CN"/>
                    </w:rPr>
                    <w:t>环评要求</w:t>
                  </w:r>
                </w:p>
              </w:tc>
            </w:tr>
          </w:tbl>
          <w:p w14:paraId="637C7B37">
            <w:pPr>
              <w:ind w:left="0" w:leftChars="0" w:firstLine="0" w:firstLineChars="0"/>
              <w:rPr>
                <w:rFonts w:hint="default"/>
                <w:b/>
                <w:bCs/>
                <w:color w:val="auto"/>
              </w:rPr>
            </w:pPr>
            <w:r>
              <w:rPr>
                <w:rFonts w:hint="eastAsia"/>
                <w:b/>
                <w:bCs/>
                <w:color w:val="auto"/>
                <w:lang w:val="en-US" w:eastAsia="zh-CN"/>
              </w:rPr>
              <w:t>2、</w:t>
            </w:r>
            <w:r>
              <w:rPr>
                <w:b/>
                <w:bCs/>
                <w:color w:val="auto"/>
              </w:rPr>
              <w:t>产品方案及规模</w:t>
            </w:r>
          </w:p>
          <w:p w14:paraId="7B48644E">
            <w:pPr>
              <w:ind w:firstLine="560"/>
              <w:rPr>
                <w:rFonts w:hint="eastAsia"/>
                <w:color w:val="auto"/>
              </w:rPr>
            </w:pPr>
            <w:r>
              <w:rPr>
                <w:rFonts w:hint="eastAsia"/>
                <w:color w:val="auto"/>
              </w:rPr>
              <w:t>本项目主要产品</w:t>
            </w:r>
            <w:r>
              <w:rPr>
                <w:rFonts w:hint="eastAsia"/>
                <w:color w:val="auto"/>
                <w:lang w:eastAsia="zh-CN"/>
              </w:rPr>
              <w:t>方案</w:t>
            </w:r>
            <w:r>
              <w:rPr>
                <w:rFonts w:hint="eastAsia"/>
                <w:color w:val="auto"/>
              </w:rPr>
              <w:t>如下：</w:t>
            </w:r>
          </w:p>
          <w:p w14:paraId="5CC84039">
            <w:pPr>
              <w:pStyle w:val="30"/>
              <w:rPr>
                <w:rFonts w:hint="eastAsia" w:eastAsia="宋体"/>
                <w:color w:val="auto"/>
                <w:lang w:eastAsia="zh-CN"/>
              </w:rPr>
            </w:pPr>
            <w:r>
              <w:rPr>
                <w:color w:val="auto"/>
              </w:rPr>
              <w:t>表2-2  本项目产品方案</w:t>
            </w:r>
            <w:r>
              <w:rPr>
                <w:rFonts w:hint="eastAsia" w:eastAsia="宋体"/>
                <w:color w:val="auto"/>
                <w:lang w:eastAsia="zh-CN"/>
              </w:rPr>
              <w:t>及规模</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270"/>
              <w:gridCol w:w="825"/>
              <w:gridCol w:w="1680"/>
              <w:gridCol w:w="1228"/>
              <w:gridCol w:w="940"/>
              <w:gridCol w:w="1126"/>
            </w:tblGrid>
            <w:tr w14:paraId="66364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vAlign w:val="center"/>
                </w:tcPr>
                <w:p w14:paraId="15106F57">
                  <w:pPr>
                    <w:pStyle w:val="29"/>
                    <w:bidi w:val="0"/>
                    <w:ind w:firstLine="0" w:firstLineChars="0"/>
                    <w:rPr>
                      <w:rFonts w:hint="default" w:eastAsia="宋体"/>
                      <w:color w:val="auto"/>
                      <w:lang w:val="en-US" w:eastAsia="zh-CN"/>
                    </w:rPr>
                  </w:pPr>
                  <w:r>
                    <w:rPr>
                      <w:rFonts w:hint="eastAsia"/>
                      <w:color w:val="auto"/>
                      <w:lang w:val="en-US" w:eastAsia="zh-CN"/>
                    </w:rPr>
                    <w:t>产品名称</w:t>
                  </w:r>
                </w:p>
              </w:tc>
              <w:tc>
                <w:tcPr>
                  <w:tcW w:w="809" w:type="pct"/>
                  <w:shd w:val="clear" w:color="auto" w:fill="auto"/>
                  <w:vAlign w:val="center"/>
                </w:tcPr>
                <w:p w14:paraId="5261813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分类</w:t>
                  </w:r>
                </w:p>
              </w:tc>
              <w:tc>
                <w:tcPr>
                  <w:tcW w:w="525" w:type="pct"/>
                  <w:vAlign w:val="center"/>
                </w:tcPr>
                <w:p w14:paraId="44A08EBC">
                  <w:pPr>
                    <w:pStyle w:val="29"/>
                    <w:bidi w:val="0"/>
                    <w:ind w:firstLine="0" w:firstLineChars="0"/>
                    <w:rPr>
                      <w:rFonts w:hint="default" w:eastAsia="宋体"/>
                      <w:color w:val="auto"/>
                      <w:lang w:val="en-US" w:eastAsia="zh-CN"/>
                    </w:rPr>
                  </w:pPr>
                  <w:r>
                    <w:rPr>
                      <w:rFonts w:hint="eastAsia"/>
                      <w:color w:val="auto"/>
                      <w:lang w:val="en-US" w:eastAsia="zh-CN"/>
                    </w:rPr>
                    <w:t>年产量t/a</w:t>
                  </w:r>
                </w:p>
              </w:tc>
              <w:tc>
                <w:tcPr>
                  <w:tcW w:w="1071" w:type="pct"/>
                  <w:vAlign w:val="center"/>
                </w:tcPr>
                <w:p w14:paraId="078365C2">
                  <w:pPr>
                    <w:pStyle w:val="29"/>
                    <w:bidi w:val="0"/>
                    <w:ind w:firstLine="0" w:firstLineChars="0"/>
                    <w:rPr>
                      <w:rFonts w:hint="default" w:eastAsia="宋体"/>
                      <w:color w:val="auto"/>
                      <w:lang w:val="en-US" w:eastAsia="zh-CN"/>
                    </w:rPr>
                  </w:pPr>
                  <w:r>
                    <w:rPr>
                      <w:rFonts w:hint="eastAsia"/>
                      <w:color w:val="auto"/>
                      <w:lang w:val="en-US" w:eastAsia="zh-CN"/>
                    </w:rPr>
                    <w:t>包装规格</w:t>
                  </w:r>
                </w:p>
              </w:tc>
              <w:tc>
                <w:tcPr>
                  <w:tcW w:w="782" w:type="pct"/>
                  <w:vAlign w:val="center"/>
                </w:tcPr>
                <w:p w14:paraId="2B6D1650">
                  <w:pPr>
                    <w:pStyle w:val="29"/>
                    <w:bidi w:val="0"/>
                    <w:ind w:firstLine="0" w:firstLineChars="0"/>
                    <w:rPr>
                      <w:rFonts w:hint="default" w:eastAsia="宋体"/>
                      <w:color w:val="auto"/>
                      <w:lang w:val="en-US" w:eastAsia="zh-CN"/>
                    </w:rPr>
                  </w:pPr>
                  <w:r>
                    <w:rPr>
                      <w:rFonts w:hint="eastAsia"/>
                      <w:color w:val="auto"/>
                      <w:lang w:val="en-US" w:eastAsia="zh-CN"/>
                    </w:rPr>
                    <w:t>暂存位置</w:t>
                  </w:r>
                </w:p>
              </w:tc>
              <w:tc>
                <w:tcPr>
                  <w:tcW w:w="599" w:type="pct"/>
                  <w:vAlign w:val="center"/>
                </w:tcPr>
                <w:p w14:paraId="50707377">
                  <w:pPr>
                    <w:pStyle w:val="29"/>
                    <w:bidi w:val="0"/>
                    <w:ind w:firstLine="0" w:firstLineChars="0"/>
                    <w:rPr>
                      <w:rFonts w:hint="eastAsia" w:eastAsia="宋体"/>
                      <w:color w:val="auto"/>
                      <w:lang w:val="en-US" w:eastAsia="zh-CN"/>
                    </w:rPr>
                  </w:pPr>
                  <w:r>
                    <w:rPr>
                      <w:rFonts w:hint="eastAsia"/>
                      <w:color w:val="auto"/>
                      <w:lang w:val="en-US" w:eastAsia="zh-CN"/>
                    </w:rPr>
                    <w:t>储存条件</w:t>
                  </w:r>
                </w:p>
              </w:tc>
              <w:tc>
                <w:tcPr>
                  <w:tcW w:w="717" w:type="pct"/>
                  <w:vAlign w:val="center"/>
                </w:tcPr>
                <w:p w14:paraId="04E67606">
                  <w:pPr>
                    <w:pStyle w:val="29"/>
                    <w:bidi w:val="0"/>
                    <w:ind w:firstLine="0" w:firstLineChars="0"/>
                    <w:rPr>
                      <w:rFonts w:hint="eastAsia" w:eastAsia="宋体"/>
                      <w:color w:val="auto"/>
                      <w:lang w:val="en-US" w:eastAsia="zh-CN"/>
                    </w:rPr>
                  </w:pPr>
                  <w:r>
                    <w:rPr>
                      <w:rFonts w:hint="eastAsia"/>
                      <w:color w:val="auto"/>
                      <w:lang w:val="en-US" w:eastAsia="zh-CN"/>
                    </w:rPr>
                    <w:t>备注</w:t>
                  </w:r>
                </w:p>
              </w:tc>
            </w:tr>
            <w:tr w14:paraId="0717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vMerge w:val="restart"/>
                  <w:vAlign w:val="center"/>
                </w:tcPr>
                <w:p w14:paraId="1811D6F2">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饮料</w:t>
                  </w:r>
                </w:p>
              </w:tc>
              <w:tc>
                <w:tcPr>
                  <w:tcW w:w="809" w:type="pct"/>
                  <w:shd w:val="clear" w:color="auto" w:fill="auto"/>
                  <w:vAlign w:val="center"/>
                </w:tcPr>
                <w:p w14:paraId="1D6E7D62">
                  <w:pPr>
                    <w:pStyle w:val="29"/>
                    <w:bidi w:val="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果汁</w:t>
                  </w:r>
                </w:p>
              </w:tc>
              <w:tc>
                <w:tcPr>
                  <w:tcW w:w="525" w:type="pct"/>
                  <w:vMerge w:val="restart"/>
                  <w:vAlign w:val="center"/>
                </w:tcPr>
                <w:p w14:paraId="3F1D10E2">
                  <w:pPr>
                    <w:pStyle w:val="29"/>
                    <w:bidi w:val="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100</w:t>
                  </w:r>
                </w:p>
              </w:tc>
              <w:tc>
                <w:tcPr>
                  <w:tcW w:w="1071" w:type="pct"/>
                  <w:vMerge w:val="restart"/>
                  <w:vAlign w:val="center"/>
                </w:tcPr>
                <w:p w14:paraId="44132ECA">
                  <w:pPr>
                    <w:pStyle w:val="29"/>
                    <w:bidi w:val="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500ml易拉罐装</w:t>
                  </w:r>
                </w:p>
              </w:tc>
              <w:tc>
                <w:tcPr>
                  <w:tcW w:w="782" w:type="pct"/>
                  <w:vMerge w:val="restart"/>
                  <w:vAlign w:val="center"/>
                </w:tcPr>
                <w:p w14:paraId="7D6B0D75">
                  <w:pPr>
                    <w:pStyle w:val="29"/>
                    <w:bidi w:val="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成品仓库</w:t>
                  </w:r>
                </w:p>
              </w:tc>
              <w:tc>
                <w:tcPr>
                  <w:tcW w:w="599" w:type="pct"/>
                  <w:vMerge w:val="restart"/>
                  <w:vAlign w:val="center"/>
                </w:tcPr>
                <w:p w14:paraId="617A5579">
                  <w:pPr>
                    <w:pStyle w:val="29"/>
                    <w:bidi w:val="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常温</w:t>
                  </w:r>
                </w:p>
              </w:tc>
              <w:tc>
                <w:tcPr>
                  <w:tcW w:w="717" w:type="pct"/>
                  <w:vMerge w:val="restart"/>
                  <w:vAlign w:val="center"/>
                </w:tcPr>
                <w:p w14:paraId="5F1B7199">
                  <w:pPr>
                    <w:pStyle w:val="29"/>
                    <w:bidi w:val="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外售至全国范围</w:t>
                  </w:r>
                </w:p>
              </w:tc>
            </w:tr>
            <w:tr w14:paraId="14DB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vMerge w:val="continue"/>
                  <w:vAlign w:val="center"/>
                </w:tcPr>
                <w:p w14:paraId="70C88243">
                  <w:pPr>
                    <w:pStyle w:val="29"/>
                    <w:bidi w:val="0"/>
                    <w:rPr>
                      <w:rFonts w:hint="eastAsia" w:cs="Times New Roman"/>
                      <w:color w:val="auto"/>
                      <w:lang w:val="en-US" w:eastAsia="zh-CN"/>
                    </w:rPr>
                  </w:pPr>
                </w:p>
              </w:tc>
              <w:tc>
                <w:tcPr>
                  <w:tcW w:w="809" w:type="pct"/>
                  <w:shd w:val="clear" w:color="auto" w:fill="auto"/>
                  <w:vAlign w:val="center"/>
                </w:tcPr>
                <w:p w14:paraId="460D3F5E">
                  <w:pPr>
                    <w:pStyle w:val="29"/>
                    <w:bidi w:val="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碳酸饮料</w:t>
                  </w:r>
                </w:p>
              </w:tc>
              <w:tc>
                <w:tcPr>
                  <w:tcW w:w="525" w:type="pct"/>
                  <w:vMerge w:val="continue"/>
                  <w:vAlign w:val="center"/>
                </w:tcPr>
                <w:p w14:paraId="5C85A713">
                  <w:pPr>
                    <w:pStyle w:val="29"/>
                    <w:bidi w:val="0"/>
                    <w:rPr>
                      <w:rFonts w:hint="default" w:ascii="Times New Roman" w:hAnsi="Times New Roman" w:eastAsia="宋体" w:cs="Times New Roman"/>
                      <w:b w:val="0"/>
                      <w:color w:val="auto"/>
                      <w:kern w:val="2"/>
                      <w:sz w:val="21"/>
                      <w:szCs w:val="21"/>
                      <w:lang w:val="en-US" w:eastAsia="zh-CN" w:bidi="ar-SA"/>
                    </w:rPr>
                  </w:pPr>
                </w:p>
              </w:tc>
              <w:tc>
                <w:tcPr>
                  <w:tcW w:w="1071" w:type="pct"/>
                  <w:vMerge w:val="continue"/>
                  <w:vAlign w:val="center"/>
                </w:tcPr>
                <w:p w14:paraId="44475E05">
                  <w:pPr>
                    <w:pStyle w:val="29"/>
                    <w:bidi w:val="0"/>
                    <w:rPr>
                      <w:rFonts w:hint="default" w:ascii="Times New Roman" w:hAnsi="Times New Roman" w:eastAsia="宋体" w:cs="Times New Roman"/>
                      <w:b w:val="0"/>
                      <w:color w:val="auto"/>
                      <w:kern w:val="2"/>
                      <w:sz w:val="21"/>
                      <w:szCs w:val="21"/>
                      <w:lang w:val="en-US" w:eastAsia="zh-CN" w:bidi="ar-SA"/>
                    </w:rPr>
                  </w:pPr>
                </w:p>
              </w:tc>
              <w:tc>
                <w:tcPr>
                  <w:tcW w:w="782" w:type="pct"/>
                  <w:vMerge w:val="continue"/>
                  <w:vAlign w:val="center"/>
                </w:tcPr>
                <w:p w14:paraId="4CEF2062">
                  <w:pPr>
                    <w:pStyle w:val="29"/>
                    <w:bidi w:val="0"/>
                    <w:rPr>
                      <w:rFonts w:hint="default" w:ascii="Times New Roman" w:hAnsi="Times New Roman" w:eastAsia="宋体" w:cs="Times New Roman"/>
                      <w:b w:val="0"/>
                      <w:color w:val="auto"/>
                      <w:kern w:val="2"/>
                      <w:sz w:val="21"/>
                      <w:szCs w:val="21"/>
                      <w:lang w:val="en-US" w:eastAsia="zh-CN" w:bidi="ar-SA"/>
                    </w:rPr>
                  </w:pPr>
                </w:p>
              </w:tc>
              <w:tc>
                <w:tcPr>
                  <w:tcW w:w="599" w:type="pct"/>
                  <w:vMerge w:val="continue"/>
                  <w:vAlign w:val="center"/>
                </w:tcPr>
                <w:p w14:paraId="39BD65A0">
                  <w:pPr>
                    <w:pStyle w:val="29"/>
                    <w:bidi w:val="0"/>
                    <w:rPr>
                      <w:rFonts w:hint="default" w:ascii="Times New Roman" w:hAnsi="Times New Roman" w:eastAsia="宋体" w:cs="Times New Roman"/>
                      <w:b w:val="0"/>
                      <w:color w:val="auto"/>
                      <w:kern w:val="2"/>
                      <w:sz w:val="21"/>
                      <w:szCs w:val="21"/>
                      <w:lang w:val="en-US" w:eastAsia="zh-CN" w:bidi="ar-SA"/>
                    </w:rPr>
                  </w:pPr>
                </w:p>
              </w:tc>
              <w:tc>
                <w:tcPr>
                  <w:tcW w:w="717" w:type="pct"/>
                  <w:vMerge w:val="continue"/>
                  <w:vAlign w:val="center"/>
                </w:tcPr>
                <w:p w14:paraId="344B87B3">
                  <w:pPr>
                    <w:pStyle w:val="29"/>
                    <w:bidi w:val="0"/>
                    <w:rPr>
                      <w:rFonts w:hint="default" w:ascii="Times New Roman" w:hAnsi="Times New Roman" w:eastAsia="宋体" w:cs="Times New Roman"/>
                      <w:b w:val="0"/>
                      <w:color w:val="auto"/>
                      <w:kern w:val="2"/>
                      <w:sz w:val="21"/>
                      <w:szCs w:val="21"/>
                      <w:lang w:val="en-US" w:eastAsia="zh-CN" w:bidi="ar-SA"/>
                    </w:rPr>
                  </w:pPr>
                </w:p>
              </w:tc>
            </w:tr>
            <w:tr w14:paraId="6F3D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vAlign w:val="center"/>
                </w:tcPr>
                <w:p w14:paraId="58098520">
                  <w:pPr>
                    <w:pStyle w:val="29"/>
                    <w:bidi w:val="0"/>
                    <w:rPr>
                      <w:rFonts w:hint="default" w:cs="Times New Roman"/>
                      <w:color w:val="auto"/>
                      <w:lang w:val="en-US" w:eastAsia="zh-CN"/>
                    </w:rPr>
                  </w:pPr>
                  <w:r>
                    <w:rPr>
                      <w:rFonts w:hint="eastAsia" w:cs="Times New Roman"/>
                      <w:color w:val="auto"/>
                      <w:lang w:val="en-US" w:eastAsia="zh-CN"/>
                    </w:rPr>
                    <w:t>配制酒</w:t>
                  </w:r>
                </w:p>
              </w:tc>
              <w:tc>
                <w:tcPr>
                  <w:tcW w:w="809" w:type="pct"/>
                  <w:shd w:val="clear" w:color="auto" w:fill="auto"/>
                  <w:vAlign w:val="center"/>
                </w:tcPr>
                <w:p w14:paraId="77BB77C3">
                  <w:pPr>
                    <w:pStyle w:val="29"/>
                    <w:bidi w:val="0"/>
                    <w:rPr>
                      <w:rFonts w:hint="default" w:cs="Times New Roman"/>
                      <w:color w:val="auto"/>
                      <w:lang w:val="en-US" w:eastAsia="zh-CN"/>
                    </w:rPr>
                  </w:pPr>
                  <w:r>
                    <w:rPr>
                      <w:rFonts w:hint="eastAsia" w:cs="Times New Roman"/>
                      <w:color w:val="auto"/>
                      <w:lang w:val="en-US" w:eastAsia="zh-CN"/>
                    </w:rPr>
                    <w:t>/</w:t>
                  </w:r>
                </w:p>
              </w:tc>
              <w:tc>
                <w:tcPr>
                  <w:tcW w:w="525" w:type="pct"/>
                  <w:vAlign w:val="center"/>
                </w:tcPr>
                <w:p w14:paraId="5FFBF480">
                  <w:pPr>
                    <w:pStyle w:val="29"/>
                    <w:bidi w:val="0"/>
                    <w:rPr>
                      <w:rFonts w:hint="default" w:cs="Times New Roman"/>
                      <w:color w:val="auto"/>
                      <w:lang w:val="en-US" w:eastAsia="zh-CN"/>
                    </w:rPr>
                  </w:pPr>
                  <w:r>
                    <w:rPr>
                      <w:rFonts w:hint="eastAsia" w:cs="Times New Roman"/>
                      <w:color w:val="auto"/>
                      <w:lang w:val="en-US" w:eastAsia="zh-CN"/>
                    </w:rPr>
                    <w:t>100</w:t>
                  </w:r>
                </w:p>
              </w:tc>
              <w:tc>
                <w:tcPr>
                  <w:tcW w:w="1071" w:type="pct"/>
                  <w:vAlign w:val="center"/>
                </w:tcPr>
                <w:p w14:paraId="10105839">
                  <w:pPr>
                    <w:pStyle w:val="29"/>
                    <w:bidi w:val="0"/>
                    <w:rPr>
                      <w:rFonts w:hint="default" w:cs="Times New Roman"/>
                      <w:color w:val="auto"/>
                      <w:lang w:val="en-US" w:eastAsia="zh-CN"/>
                    </w:rPr>
                  </w:pPr>
                  <w:r>
                    <w:rPr>
                      <w:rFonts w:hint="eastAsia" w:cs="Times New Roman"/>
                      <w:color w:val="auto"/>
                      <w:lang w:val="en-US" w:eastAsia="zh-CN"/>
                    </w:rPr>
                    <w:t>500ml易拉罐/玻璃瓶装</w:t>
                  </w:r>
                </w:p>
              </w:tc>
              <w:tc>
                <w:tcPr>
                  <w:tcW w:w="782" w:type="pct"/>
                  <w:vAlign w:val="center"/>
                </w:tcPr>
                <w:p w14:paraId="1E960493">
                  <w:pPr>
                    <w:pStyle w:val="29"/>
                    <w:bidi w:val="0"/>
                    <w:rPr>
                      <w:rFonts w:hint="eastAsia" w:cs="Times New Roman"/>
                      <w:color w:val="auto"/>
                      <w:lang w:val="en-US" w:eastAsia="zh-CN"/>
                    </w:rPr>
                  </w:pPr>
                  <w:r>
                    <w:rPr>
                      <w:rFonts w:hint="eastAsia" w:cs="Times New Roman"/>
                      <w:color w:val="auto"/>
                      <w:lang w:val="en-US" w:eastAsia="zh-CN"/>
                    </w:rPr>
                    <w:t>成品仓库</w:t>
                  </w:r>
                </w:p>
              </w:tc>
              <w:tc>
                <w:tcPr>
                  <w:tcW w:w="599" w:type="pct"/>
                  <w:vAlign w:val="center"/>
                </w:tcPr>
                <w:p w14:paraId="51205A90">
                  <w:pPr>
                    <w:pStyle w:val="29"/>
                    <w:bidi w:val="0"/>
                    <w:rPr>
                      <w:rFonts w:hint="eastAsia" w:cs="Times New Roman"/>
                      <w:color w:val="auto"/>
                      <w:lang w:val="en-US" w:eastAsia="zh-CN"/>
                    </w:rPr>
                  </w:pPr>
                  <w:r>
                    <w:rPr>
                      <w:rFonts w:hint="eastAsia" w:cs="Times New Roman"/>
                      <w:color w:val="auto"/>
                      <w:lang w:val="en-US" w:eastAsia="zh-CN"/>
                    </w:rPr>
                    <w:t>常温</w:t>
                  </w:r>
                </w:p>
              </w:tc>
              <w:tc>
                <w:tcPr>
                  <w:tcW w:w="717" w:type="pct"/>
                  <w:vMerge w:val="continue"/>
                  <w:vAlign w:val="center"/>
                </w:tcPr>
                <w:p w14:paraId="31877E84">
                  <w:pPr>
                    <w:pStyle w:val="29"/>
                    <w:bidi w:val="0"/>
                    <w:rPr>
                      <w:rFonts w:hint="eastAsia" w:cs="Times New Roman"/>
                      <w:color w:val="auto"/>
                      <w:lang w:val="en-US" w:eastAsia="zh-CN"/>
                    </w:rPr>
                  </w:pPr>
                </w:p>
              </w:tc>
            </w:tr>
            <w:tr w14:paraId="560F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493" w:type="pct"/>
                  <w:vMerge w:val="restart"/>
                  <w:vAlign w:val="center"/>
                </w:tcPr>
                <w:p w14:paraId="7EE961C7">
                  <w:pPr>
                    <w:pStyle w:val="29"/>
                    <w:bidi w:val="0"/>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发酵酒</w:t>
                  </w:r>
                </w:p>
              </w:tc>
              <w:tc>
                <w:tcPr>
                  <w:tcW w:w="809" w:type="pct"/>
                  <w:shd w:val="clear" w:color="auto" w:fill="auto"/>
                  <w:vAlign w:val="center"/>
                </w:tcPr>
                <w:p w14:paraId="7E43AD8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茶饮料</w:t>
                  </w:r>
                </w:p>
              </w:tc>
              <w:tc>
                <w:tcPr>
                  <w:tcW w:w="525" w:type="pct"/>
                  <w:vMerge w:val="restart"/>
                  <w:vAlign w:val="center"/>
                </w:tcPr>
                <w:p w14:paraId="1E1140C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200</w:t>
                  </w:r>
                </w:p>
              </w:tc>
              <w:tc>
                <w:tcPr>
                  <w:tcW w:w="1071" w:type="pct"/>
                  <w:vMerge w:val="restart"/>
                  <w:vAlign w:val="center"/>
                </w:tcPr>
                <w:p w14:paraId="77B4498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500ml易拉罐装</w:t>
                  </w:r>
                </w:p>
              </w:tc>
              <w:tc>
                <w:tcPr>
                  <w:tcW w:w="782" w:type="pct"/>
                  <w:vMerge w:val="restart"/>
                  <w:vAlign w:val="center"/>
                </w:tcPr>
                <w:p w14:paraId="05CEA8F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成品仓库</w:t>
                  </w:r>
                </w:p>
              </w:tc>
              <w:tc>
                <w:tcPr>
                  <w:tcW w:w="599" w:type="pct"/>
                  <w:vMerge w:val="restart"/>
                  <w:vAlign w:val="center"/>
                </w:tcPr>
                <w:p w14:paraId="0B026C07">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常温</w:t>
                  </w:r>
                </w:p>
              </w:tc>
              <w:tc>
                <w:tcPr>
                  <w:tcW w:w="717" w:type="pct"/>
                  <w:vMerge w:val="continue"/>
                  <w:vAlign w:val="center"/>
                </w:tcPr>
                <w:p w14:paraId="04FD62E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r>
            <w:tr w14:paraId="45AB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493" w:type="pct"/>
                  <w:vMerge w:val="continue"/>
                  <w:vAlign w:val="center"/>
                </w:tcPr>
                <w:p w14:paraId="0BB34B17">
                  <w:pPr>
                    <w:pStyle w:val="29"/>
                    <w:bidi w:val="0"/>
                    <w:ind w:firstLine="0" w:firstLineChars="0"/>
                    <w:rPr>
                      <w:color w:val="auto"/>
                    </w:rPr>
                  </w:pPr>
                </w:p>
              </w:tc>
              <w:tc>
                <w:tcPr>
                  <w:tcW w:w="809" w:type="pct"/>
                  <w:shd w:val="clear" w:color="auto" w:fill="auto"/>
                  <w:vAlign w:val="center"/>
                </w:tcPr>
                <w:p w14:paraId="3999D01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水果发酵酒</w:t>
                  </w:r>
                </w:p>
              </w:tc>
              <w:tc>
                <w:tcPr>
                  <w:tcW w:w="525" w:type="pct"/>
                  <w:vMerge w:val="continue"/>
                  <w:vAlign w:val="center"/>
                </w:tcPr>
                <w:p w14:paraId="6055EFF1">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1071" w:type="pct"/>
                  <w:vMerge w:val="continue"/>
                  <w:vAlign w:val="center"/>
                </w:tcPr>
                <w:p w14:paraId="32AE7EA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782" w:type="pct"/>
                  <w:vMerge w:val="continue"/>
                  <w:vAlign w:val="center"/>
                </w:tcPr>
                <w:p w14:paraId="3A59100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599" w:type="pct"/>
                  <w:vMerge w:val="continue"/>
                  <w:vAlign w:val="center"/>
                </w:tcPr>
                <w:p w14:paraId="278C285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717" w:type="pct"/>
                  <w:vMerge w:val="continue"/>
                  <w:vAlign w:val="center"/>
                </w:tcPr>
                <w:p w14:paraId="15E9A417">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r>
            <w:tr w14:paraId="7F27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493" w:type="pct"/>
                  <w:vMerge w:val="restart"/>
                  <w:vAlign w:val="center"/>
                </w:tcPr>
                <w:p w14:paraId="3A1EC656">
                  <w:pPr>
                    <w:pStyle w:val="29"/>
                    <w:bidi w:val="0"/>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啤酒</w:t>
                  </w:r>
                </w:p>
              </w:tc>
              <w:tc>
                <w:tcPr>
                  <w:tcW w:w="809" w:type="pct"/>
                  <w:shd w:val="clear" w:color="auto" w:fill="auto"/>
                  <w:vAlign w:val="center"/>
                </w:tcPr>
                <w:p w14:paraId="68BB7474">
                  <w:pPr>
                    <w:pStyle w:val="29"/>
                    <w:bidi w:val="0"/>
                    <w:ind w:firstLine="0" w:firstLineChars="0"/>
                    <w:rPr>
                      <w:rFonts w:hint="default" w:cs="Times New Roman"/>
                      <w:color w:val="auto"/>
                      <w:lang w:val="en-US" w:eastAsia="zh-CN"/>
                    </w:rPr>
                  </w:pPr>
                  <w:r>
                    <w:rPr>
                      <w:rFonts w:hint="eastAsia" w:cs="Times New Roman"/>
                      <w:color w:val="auto"/>
                      <w:lang w:val="en-US" w:eastAsia="zh-CN"/>
                    </w:rPr>
                    <w:t>鲜啤</w:t>
                  </w:r>
                </w:p>
              </w:tc>
              <w:tc>
                <w:tcPr>
                  <w:tcW w:w="525" w:type="pct"/>
                  <w:vAlign w:val="center"/>
                </w:tcPr>
                <w:p w14:paraId="0CD082E6">
                  <w:pPr>
                    <w:pStyle w:val="29"/>
                    <w:bidi w:val="0"/>
                    <w:ind w:firstLine="0" w:firstLineChars="0"/>
                    <w:rPr>
                      <w:rFonts w:hint="default" w:cs="Times New Roman"/>
                      <w:color w:val="auto"/>
                      <w:lang w:val="en-US" w:eastAsia="zh-CN"/>
                    </w:rPr>
                  </w:pPr>
                  <w:r>
                    <w:rPr>
                      <w:rFonts w:hint="eastAsia" w:cs="Times New Roman"/>
                      <w:color w:val="auto"/>
                      <w:lang w:val="en-US" w:eastAsia="zh-CN"/>
                    </w:rPr>
                    <w:t>400</w:t>
                  </w:r>
                </w:p>
              </w:tc>
              <w:tc>
                <w:tcPr>
                  <w:tcW w:w="1071" w:type="pct"/>
                  <w:vAlign w:val="center"/>
                </w:tcPr>
                <w:p w14:paraId="79597553">
                  <w:pPr>
                    <w:pStyle w:val="29"/>
                    <w:bidi w:val="0"/>
                    <w:ind w:firstLine="0" w:firstLineChars="0"/>
                    <w:rPr>
                      <w:rFonts w:hint="default" w:cs="Times New Roman"/>
                      <w:color w:val="auto"/>
                      <w:lang w:val="en-US" w:eastAsia="zh-CN"/>
                    </w:rPr>
                  </w:pPr>
                  <w:r>
                    <w:rPr>
                      <w:rFonts w:hint="default" w:cs="Times New Roman"/>
                      <w:color w:val="auto"/>
                      <w:lang w:val="en-US" w:eastAsia="zh-CN"/>
                    </w:rPr>
                    <w:t>500ml易拉罐装</w:t>
                  </w:r>
                </w:p>
              </w:tc>
              <w:tc>
                <w:tcPr>
                  <w:tcW w:w="782" w:type="pct"/>
                  <w:vAlign w:val="center"/>
                </w:tcPr>
                <w:p w14:paraId="65948980">
                  <w:pPr>
                    <w:pStyle w:val="29"/>
                    <w:bidi w:val="0"/>
                    <w:ind w:firstLine="0" w:firstLineChars="0"/>
                    <w:rPr>
                      <w:rFonts w:hint="default" w:cs="Times New Roman"/>
                      <w:color w:val="auto"/>
                      <w:lang w:val="en-US" w:eastAsia="zh-CN"/>
                    </w:rPr>
                  </w:pPr>
                  <w:r>
                    <w:rPr>
                      <w:rFonts w:hint="eastAsia" w:cs="Times New Roman"/>
                      <w:color w:val="auto"/>
                      <w:lang w:val="en-US" w:eastAsia="zh-CN"/>
                    </w:rPr>
                    <w:t>成品冷库</w:t>
                  </w:r>
                </w:p>
              </w:tc>
              <w:tc>
                <w:tcPr>
                  <w:tcW w:w="599" w:type="pct"/>
                  <w:vAlign w:val="center"/>
                </w:tcPr>
                <w:p w14:paraId="6A8A6B05">
                  <w:pPr>
                    <w:pStyle w:val="29"/>
                    <w:bidi w:val="0"/>
                    <w:ind w:firstLine="0" w:firstLineChars="0"/>
                    <w:rPr>
                      <w:rFonts w:hint="default" w:cs="Times New Roman"/>
                      <w:color w:val="auto"/>
                      <w:lang w:val="en-US" w:eastAsia="zh-CN"/>
                    </w:rPr>
                  </w:pPr>
                  <w:r>
                    <w:rPr>
                      <w:rFonts w:hint="eastAsia" w:cs="Times New Roman"/>
                      <w:color w:val="auto"/>
                      <w:lang w:val="en-US" w:eastAsia="zh-CN"/>
                    </w:rPr>
                    <w:t>0-4℃</w:t>
                  </w:r>
                </w:p>
              </w:tc>
              <w:tc>
                <w:tcPr>
                  <w:tcW w:w="717" w:type="pct"/>
                  <w:vMerge w:val="continue"/>
                  <w:vAlign w:val="center"/>
                </w:tcPr>
                <w:p w14:paraId="180A8F9A">
                  <w:pPr>
                    <w:pStyle w:val="29"/>
                    <w:bidi w:val="0"/>
                    <w:ind w:firstLine="0" w:firstLineChars="0"/>
                    <w:rPr>
                      <w:rFonts w:hint="default" w:cs="Times New Roman"/>
                      <w:color w:val="auto"/>
                      <w:lang w:val="en-US" w:eastAsia="zh-CN"/>
                    </w:rPr>
                  </w:pPr>
                </w:p>
              </w:tc>
            </w:tr>
            <w:tr w14:paraId="7667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493" w:type="pct"/>
                  <w:vMerge w:val="continue"/>
                  <w:vAlign w:val="center"/>
                </w:tcPr>
                <w:p w14:paraId="7CAA98DB">
                  <w:pPr>
                    <w:pStyle w:val="29"/>
                    <w:bidi w:val="0"/>
                    <w:ind w:firstLine="0" w:firstLineChars="0"/>
                    <w:rPr>
                      <w:rFonts w:hint="eastAsia" w:cs="Times New Roman"/>
                      <w:color w:val="auto"/>
                      <w:lang w:val="en-US" w:eastAsia="zh-CN"/>
                    </w:rPr>
                  </w:pPr>
                </w:p>
              </w:tc>
              <w:tc>
                <w:tcPr>
                  <w:tcW w:w="809" w:type="pct"/>
                  <w:shd w:val="clear" w:color="auto" w:fill="auto"/>
                  <w:vAlign w:val="center"/>
                </w:tcPr>
                <w:p w14:paraId="57FAD29D">
                  <w:pPr>
                    <w:pStyle w:val="29"/>
                    <w:bidi w:val="0"/>
                    <w:ind w:firstLine="0" w:firstLineChars="0"/>
                    <w:rPr>
                      <w:rFonts w:hint="default" w:cs="Times New Roman"/>
                      <w:color w:val="auto"/>
                      <w:lang w:val="en-US" w:eastAsia="zh-CN"/>
                    </w:rPr>
                  </w:pPr>
                  <w:r>
                    <w:rPr>
                      <w:rFonts w:hint="eastAsia" w:cs="Times New Roman"/>
                      <w:color w:val="auto"/>
                      <w:lang w:val="en-US" w:eastAsia="zh-CN"/>
                    </w:rPr>
                    <w:t>熟啤</w:t>
                  </w:r>
                </w:p>
              </w:tc>
              <w:tc>
                <w:tcPr>
                  <w:tcW w:w="525" w:type="pct"/>
                  <w:vAlign w:val="center"/>
                </w:tcPr>
                <w:p w14:paraId="566FC37C">
                  <w:pPr>
                    <w:pStyle w:val="29"/>
                    <w:bidi w:val="0"/>
                    <w:ind w:firstLine="0" w:firstLineChars="0"/>
                    <w:rPr>
                      <w:rFonts w:hint="default" w:cs="Times New Roman"/>
                      <w:color w:val="auto"/>
                      <w:lang w:val="en-US" w:eastAsia="zh-CN"/>
                    </w:rPr>
                  </w:pPr>
                  <w:r>
                    <w:rPr>
                      <w:rFonts w:hint="eastAsia" w:cs="Times New Roman"/>
                      <w:color w:val="auto"/>
                      <w:lang w:val="en-US" w:eastAsia="zh-CN"/>
                    </w:rPr>
                    <w:t>100</w:t>
                  </w:r>
                </w:p>
              </w:tc>
              <w:tc>
                <w:tcPr>
                  <w:tcW w:w="1071" w:type="pct"/>
                  <w:vAlign w:val="center"/>
                </w:tcPr>
                <w:p w14:paraId="0CEDE3E1">
                  <w:pPr>
                    <w:pStyle w:val="29"/>
                    <w:bidi w:val="0"/>
                    <w:ind w:firstLine="0" w:firstLineChars="0"/>
                    <w:rPr>
                      <w:rFonts w:hint="default" w:cs="Times New Roman"/>
                      <w:color w:val="auto"/>
                      <w:lang w:val="en-US" w:eastAsia="zh-CN"/>
                    </w:rPr>
                  </w:pPr>
                  <w:r>
                    <w:rPr>
                      <w:rFonts w:hint="default" w:cs="Times New Roman"/>
                      <w:color w:val="auto"/>
                      <w:lang w:val="en-US" w:eastAsia="zh-CN"/>
                    </w:rPr>
                    <w:t>500ml易拉罐装</w:t>
                  </w:r>
                  <w:r>
                    <w:rPr>
                      <w:rFonts w:hint="eastAsia" w:cs="Times New Roman"/>
                      <w:color w:val="auto"/>
                      <w:lang w:val="en-US" w:eastAsia="zh-CN"/>
                    </w:rPr>
                    <w:t>、20L桶装</w:t>
                  </w:r>
                </w:p>
              </w:tc>
              <w:tc>
                <w:tcPr>
                  <w:tcW w:w="782" w:type="pct"/>
                  <w:vAlign w:val="center"/>
                </w:tcPr>
                <w:p w14:paraId="603E5D4F">
                  <w:pPr>
                    <w:pStyle w:val="29"/>
                    <w:bidi w:val="0"/>
                    <w:ind w:firstLine="0" w:firstLineChars="0"/>
                    <w:rPr>
                      <w:rFonts w:hint="default" w:cs="Times New Roman"/>
                      <w:color w:val="auto"/>
                      <w:lang w:val="en-US" w:eastAsia="zh-CN"/>
                    </w:rPr>
                  </w:pPr>
                  <w:r>
                    <w:rPr>
                      <w:rFonts w:hint="default" w:cs="Times New Roman"/>
                      <w:color w:val="auto"/>
                      <w:lang w:val="en-US" w:eastAsia="zh-CN"/>
                    </w:rPr>
                    <w:t>成品仓库</w:t>
                  </w:r>
                </w:p>
              </w:tc>
              <w:tc>
                <w:tcPr>
                  <w:tcW w:w="599" w:type="pct"/>
                  <w:vAlign w:val="center"/>
                </w:tcPr>
                <w:p w14:paraId="2B1DE1FB">
                  <w:pPr>
                    <w:pStyle w:val="29"/>
                    <w:bidi w:val="0"/>
                    <w:ind w:firstLine="0" w:firstLineChars="0"/>
                    <w:rPr>
                      <w:rFonts w:hint="default" w:cs="Times New Roman"/>
                      <w:color w:val="auto"/>
                      <w:lang w:val="en-US" w:eastAsia="zh-CN"/>
                    </w:rPr>
                  </w:pPr>
                  <w:r>
                    <w:rPr>
                      <w:rFonts w:hint="default" w:cs="Times New Roman"/>
                      <w:color w:val="auto"/>
                      <w:lang w:val="en-US" w:eastAsia="zh-CN"/>
                    </w:rPr>
                    <w:t>常温</w:t>
                  </w:r>
                </w:p>
              </w:tc>
              <w:tc>
                <w:tcPr>
                  <w:tcW w:w="717" w:type="pct"/>
                  <w:vMerge w:val="continue"/>
                  <w:vAlign w:val="center"/>
                </w:tcPr>
                <w:p w14:paraId="693EE652">
                  <w:pPr>
                    <w:pStyle w:val="29"/>
                    <w:bidi w:val="0"/>
                    <w:ind w:firstLine="0" w:firstLineChars="0"/>
                    <w:rPr>
                      <w:rFonts w:hint="default" w:cs="Times New Roman"/>
                      <w:color w:val="auto"/>
                      <w:lang w:val="en-US" w:eastAsia="zh-CN"/>
                    </w:rPr>
                  </w:pPr>
                </w:p>
              </w:tc>
            </w:tr>
          </w:tbl>
          <w:p w14:paraId="5669DC86">
            <w:pPr>
              <w:bidi w:val="0"/>
              <w:rPr>
                <w:rFonts w:hint="default"/>
                <w:color w:val="auto"/>
                <w:lang w:val="en-US" w:eastAsia="zh-CN"/>
              </w:rPr>
            </w:pPr>
            <w:r>
              <w:rPr>
                <w:rFonts w:hint="eastAsia"/>
                <w:color w:val="auto"/>
                <w:lang w:val="en-US" w:eastAsia="zh-CN"/>
              </w:rPr>
              <w:t>本项目产生的啤酒有淡色和深色，啤酒质量执行《啤酒》（GB4927-2008）中的国家标准，结合本项目原料配比、发酵工艺及产品特性进行适应性增补与细化，确保质量管控体系同时满足国家标准规范与生产实际需求。标准如下：</w:t>
            </w:r>
          </w:p>
          <w:p w14:paraId="3778B0AD">
            <w:pPr>
              <w:pStyle w:val="30"/>
              <w:rPr>
                <w:rFonts w:hint="eastAsia"/>
                <w:color w:val="auto"/>
                <w:highlight w:val="none"/>
                <w:lang w:val="en-US" w:eastAsia="zh-CN"/>
              </w:rPr>
            </w:pPr>
            <w:r>
              <w:rPr>
                <w:rFonts w:hint="eastAsia"/>
                <w:color w:val="auto"/>
                <w:highlight w:val="none"/>
                <w:lang w:val="en-US" w:eastAsia="zh-CN"/>
              </w:rPr>
              <w:t>表2-3 淡色啤酒感官及理化指标</w:t>
            </w:r>
          </w:p>
          <w:tbl>
            <w:tblPr>
              <w:tblStyle w:val="24"/>
              <w:tblW w:w="78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250"/>
              <w:gridCol w:w="404"/>
              <w:gridCol w:w="1789"/>
              <w:gridCol w:w="210"/>
              <w:gridCol w:w="1872"/>
              <w:gridCol w:w="2092"/>
              <w:gridCol w:w="26"/>
            </w:tblGrid>
            <w:tr w14:paraId="7EFC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3892" w:type="dxa"/>
                  <w:gridSpan w:val="5"/>
                  <w:vAlign w:val="center"/>
                </w:tcPr>
                <w:p w14:paraId="56EA8050">
                  <w:pPr>
                    <w:pStyle w:val="29"/>
                    <w:bidi w:val="0"/>
                    <w:ind w:firstLine="0" w:firstLineChars="0"/>
                    <w:rPr>
                      <w:rFonts w:hint="default"/>
                      <w:color w:val="auto"/>
                      <w:lang w:val="en-US" w:eastAsia="zh-CN"/>
                    </w:rPr>
                  </w:pPr>
                  <w:r>
                    <w:rPr>
                      <w:rFonts w:hint="eastAsia"/>
                      <w:color w:val="auto"/>
                      <w:lang w:val="en-US" w:eastAsia="zh-CN"/>
                    </w:rPr>
                    <w:t>项目</w:t>
                  </w:r>
                </w:p>
              </w:tc>
              <w:tc>
                <w:tcPr>
                  <w:tcW w:w="1872" w:type="dxa"/>
                  <w:vAlign w:val="center"/>
                </w:tcPr>
                <w:p w14:paraId="4754ABA7">
                  <w:pPr>
                    <w:pStyle w:val="29"/>
                    <w:bidi w:val="0"/>
                    <w:ind w:firstLine="0" w:firstLineChars="0"/>
                    <w:rPr>
                      <w:rFonts w:hint="default"/>
                      <w:color w:val="auto"/>
                      <w:lang w:val="en-US" w:eastAsia="zh-CN"/>
                    </w:rPr>
                  </w:pPr>
                  <w:r>
                    <w:rPr>
                      <w:rFonts w:hint="eastAsia"/>
                      <w:color w:val="auto"/>
                      <w:lang w:val="en-US" w:eastAsia="zh-CN"/>
                    </w:rPr>
                    <w:t>优级</w:t>
                  </w:r>
                </w:p>
              </w:tc>
              <w:tc>
                <w:tcPr>
                  <w:tcW w:w="2092" w:type="dxa"/>
                  <w:vAlign w:val="center"/>
                </w:tcPr>
                <w:p w14:paraId="6669374A">
                  <w:pPr>
                    <w:pStyle w:val="29"/>
                    <w:bidi w:val="0"/>
                    <w:ind w:firstLine="0" w:firstLineChars="0"/>
                    <w:rPr>
                      <w:rFonts w:hint="default"/>
                      <w:color w:val="auto"/>
                      <w:lang w:val="en-US" w:eastAsia="zh-CN"/>
                    </w:rPr>
                  </w:pPr>
                  <w:r>
                    <w:rPr>
                      <w:rFonts w:hint="eastAsia"/>
                      <w:color w:val="auto"/>
                      <w:lang w:val="en-US" w:eastAsia="zh-CN"/>
                    </w:rPr>
                    <w:t>一级</w:t>
                  </w:r>
                </w:p>
              </w:tc>
            </w:tr>
            <w:tr w14:paraId="122F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1239" w:type="dxa"/>
                  <w:vMerge w:val="restart"/>
                  <w:vAlign w:val="center"/>
                </w:tcPr>
                <w:p w14:paraId="53905C04">
                  <w:pPr>
                    <w:pStyle w:val="29"/>
                    <w:bidi w:val="0"/>
                    <w:ind w:firstLine="0" w:firstLineChars="0"/>
                    <w:rPr>
                      <w:rFonts w:hint="default"/>
                      <w:color w:val="auto"/>
                      <w:lang w:val="en-US" w:eastAsia="zh-CN"/>
                    </w:rPr>
                  </w:pPr>
                  <w:r>
                    <w:rPr>
                      <w:rFonts w:hint="eastAsia"/>
                      <w:color w:val="auto"/>
                      <w:lang w:val="en-US" w:eastAsia="zh-CN"/>
                    </w:rPr>
                    <w:t>外观</w:t>
                  </w:r>
                  <w:r>
                    <w:rPr>
                      <w:rFonts w:hint="eastAsia"/>
                      <w:color w:val="auto"/>
                      <w:vertAlign w:val="superscript"/>
                      <w:lang w:val="en-US" w:eastAsia="zh-CN"/>
                    </w:rPr>
                    <w:t>a</w:t>
                  </w:r>
                </w:p>
              </w:tc>
              <w:tc>
                <w:tcPr>
                  <w:tcW w:w="2653" w:type="dxa"/>
                  <w:gridSpan w:val="4"/>
                  <w:vAlign w:val="center"/>
                </w:tcPr>
                <w:p w14:paraId="1AC3AA8E">
                  <w:pPr>
                    <w:pStyle w:val="29"/>
                    <w:bidi w:val="0"/>
                    <w:ind w:firstLine="0" w:firstLineChars="0"/>
                    <w:rPr>
                      <w:rFonts w:hint="default"/>
                      <w:color w:val="auto"/>
                      <w:lang w:val="en-US" w:eastAsia="zh-CN"/>
                    </w:rPr>
                  </w:pPr>
                  <w:r>
                    <w:rPr>
                      <w:rFonts w:hint="eastAsia"/>
                      <w:color w:val="auto"/>
                      <w:lang w:val="en-US" w:eastAsia="zh-CN"/>
                    </w:rPr>
                    <w:t>透明度</w:t>
                  </w:r>
                </w:p>
              </w:tc>
              <w:tc>
                <w:tcPr>
                  <w:tcW w:w="3964" w:type="dxa"/>
                  <w:gridSpan w:val="2"/>
                  <w:vAlign w:val="center"/>
                </w:tcPr>
                <w:p w14:paraId="287542BE">
                  <w:pPr>
                    <w:pStyle w:val="29"/>
                    <w:bidi w:val="0"/>
                    <w:ind w:firstLine="0" w:firstLineChars="0"/>
                    <w:rPr>
                      <w:rFonts w:hint="default"/>
                      <w:color w:val="auto"/>
                      <w:lang w:val="en-US" w:eastAsia="zh-CN"/>
                    </w:rPr>
                  </w:pPr>
                  <w:r>
                    <w:rPr>
                      <w:rFonts w:hint="eastAsia"/>
                      <w:color w:val="auto"/>
                      <w:lang w:val="en-US" w:eastAsia="zh-CN"/>
                    </w:rPr>
                    <w:t>清亮，允许有肉眼可见的微细悬浮物和沉淀物（非外来异物）</w:t>
                  </w:r>
                </w:p>
              </w:tc>
            </w:tr>
            <w:tr w14:paraId="1715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1239" w:type="dxa"/>
                  <w:vMerge w:val="continue"/>
                  <w:vAlign w:val="center"/>
                </w:tcPr>
                <w:p w14:paraId="0BC4E7F9">
                  <w:pPr>
                    <w:pStyle w:val="29"/>
                    <w:bidi w:val="0"/>
                    <w:ind w:firstLine="0" w:firstLineChars="0"/>
                    <w:rPr>
                      <w:rFonts w:hint="default"/>
                      <w:color w:val="auto"/>
                      <w:lang w:val="en-US" w:eastAsia="zh-CN"/>
                    </w:rPr>
                  </w:pPr>
                </w:p>
              </w:tc>
              <w:tc>
                <w:tcPr>
                  <w:tcW w:w="2653" w:type="dxa"/>
                  <w:gridSpan w:val="4"/>
                  <w:vAlign w:val="center"/>
                </w:tcPr>
                <w:p w14:paraId="26D13362">
                  <w:pPr>
                    <w:pStyle w:val="29"/>
                    <w:bidi w:val="0"/>
                    <w:ind w:firstLine="0" w:firstLineChars="0"/>
                    <w:rPr>
                      <w:rFonts w:hint="default"/>
                      <w:color w:val="auto"/>
                      <w:lang w:val="en-US" w:eastAsia="zh-CN"/>
                    </w:rPr>
                  </w:pPr>
                  <w:r>
                    <w:rPr>
                      <w:rFonts w:hint="eastAsia"/>
                      <w:color w:val="auto"/>
                      <w:lang w:val="en-US" w:eastAsia="zh-CN"/>
                    </w:rPr>
                    <w:t>浊度/EBC   ≤</w:t>
                  </w:r>
                </w:p>
              </w:tc>
              <w:tc>
                <w:tcPr>
                  <w:tcW w:w="1872" w:type="dxa"/>
                  <w:vAlign w:val="center"/>
                </w:tcPr>
                <w:p w14:paraId="583E0DEE">
                  <w:pPr>
                    <w:pStyle w:val="29"/>
                    <w:bidi w:val="0"/>
                    <w:ind w:firstLine="0" w:firstLineChars="0"/>
                    <w:rPr>
                      <w:rFonts w:hint="default"/>
                      <w:color w:val="auto"/>
                      <w:lang w:val="en-US" w:eastAsia="zh-CN"/>
                    </w:rPr>
                  </w:pPr>
                  <w:r>
                    <w:rPr>
                      <w:rFonts w:hint="eastAsia"/>
                      <w:color w:val="auto"/>
                      <w:lang w:val="en-US" w:eastAsia="zh-CN"/>
                    </w:rPr>
                    <w:t>0.9</w:t>
                  </w:r>
                </w:p>
              </w:tc>
              <w:tc>
                <w:tcPr>
                  <w:tcW w:w="2092" w:type="dxa"/>
                  <w:vAlign w:val="center"/>
                </w:tcPr>
                <w:p w14:paraId="724FCE03">
                  <w:pPr>
                    <w:pStyle w:val="29"/>
                    <w:bidi w:val="0"/>
                    <w:ind w:firstLine="0" w:firstLineChars="0"/>
                    <w:rPr>
                      <w:rFonts w:hint="default"/>
                      <w:color w:val="auto"/>
                      <w:lang w:val="en-US" w:eastAsia="zh-CN"/>
                    </w:rPr>
                  </w:pPr>
                  <w:r>
                    <w:rPr>
                      <w:rFonts w:hint="eastAsia"/>
                      <w:color w:val="auto"/>
                      <w:lang w:val="en-US" w:eastAsia="zh-CN"/>
                    </w:rPr>
                    <w:t>1.2</w:t>
                  </w:r>
                </w:p>
              </w:tc>
            </w:tr>
            <w:tr w14:paraId="56C5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1239" w:type="dxa"/>
                  <w:vMerge w:val="restart"/>
                  <w:vAlign w:val="center"/>
                </w:tcPr>
                <w:p w14:paraId="57A9A95E">
                  <w:pPr>
                    <w:pStyle w:val="29"/>
                    <w:bidi w:val="0"/>
                    <w:ind w:firstLine="0" w:firstLineChars="0"/>
                    <w:rPr>
                      <w:rFonts w:hint="default"/>
                      <w:color w:val="auto"/>
                      <w:lang w:val="en-US" w:eastAsia="zh-CN"/>
                    </w:rPr>
                  </w:pPr>
                  <w:r>
                    <w:rPr>
                      <w:rFonts w:hint="eastAsia"/>
                      <w:color w:val="auto"/>
                      <w:lang w:val="en-US" w:eastAsia="zh-CN"/>
                    </w:rPr>
                    <w:t>泡沫</w:t>
                  </w:r>
                </w:p>
              </w:tc>
              <w:tc>
                <w:tcPr>
                  <w:tcW w:w="2653" w:type="dxa"/>
                  <w:gridSpan w:val="4"/>
                  <w:vAlign w:val="center"/>
                </w:tcPr>
                <w:p w14:paraId="7EE5CB53">
                  <w:pPr>
                    <w:pStyle w:val="29"/>
                    <w:bidi w:val="0"/>
                    <w:ind w:firstLine="0" w:firstLineChars="0"/>
                    <w:rPr>
                      <w:rFonts w:hint="default"/>
                      <w:color w:val="auto"/>
                      <w:lang w:val="en-US" w:eastAsia="zh-CN"/>
                    </w:rPr>
                  </w:pPr>
                  <w:r>
                    <w:rPr>
                      <w:rFonts w:hint="eastAsia"/>
                      <w:color w:val="auto"/>
                      <w:lang w:val="en-US" w:eastAsia="zh-CN"/>
                    </w:rPr>
                    <w:t>形态</w:t>
                  </w:r>
                </w:p>
              </w:tc>
              <w:tc>
                <w:tcPr>
                  <w:tcW w:w="1872" w:type="dxa"/>
                  <w:vAlign w:val="center"/>
                </w:tcPr>
                <w:p w14:paraId="04AD260C">
                  <w:pPr>
                    <w:pStyle w:val="29"/>
                    <w:bidi w:val="0"/>
                    <w:ind w:firstLine="0" w:firstLineChars="0"/>
                    <w:rPr>
                      <w:rFonts w:hint="default"/>
                      <w:color w:val="auto"/>
                      <w:lang w:val="en-US" w:eastAsia="zh-CN"/>
                    </w:rPr>
                  </w:pPr>
                  <w:r>
                    <w:rPr>
                      <w:rFonts w:hint="eastAsia"/>
                      <w:color w:val="auto"/>
                      <w:lang w:val="en-US" w:eastAsia="zh-CN"/>
                    </w:rPr>
                    <w:t>泡沫洁白细腻，持久挂怀</w:t>
                  </w:r>
                </w:p>
              </w:tc>
              <w:tc>
                <w:tcPr>
                  <w:tcW w:w="2092" w:type="dxa"/>
                  <w:vAlign w:val="center"/>
                </w:tcPr>
                <w:p w14:paraId="7A9AB636">
                  <w:pPr>
                    <w:pStyle w:val="29"/>
                    <w:bidi w:val="0"/>
                    <w:ind w:firstLine="0" w:firstLineChars="0"/>
                    <w:rPr>
                      <w:rFonts w:hint="default"/>
                      <w:color w:val="auto"/>
                      <w:lang w:val="en-US" w:eastAsia="zh-CN"/>
                    </w:rPr>
                  </w:pPr>
                  <w:r>
                    <w:rPr>
                      <w:rFonts w:hint="default"/>
                      <w:color w:val="auto"/>
                      <w:lang w:val="en-US" w:eastAsia="zh-CN"/>
                    </w:rPr>
                    <w:t>泡沫</w:t>
                  </w:r>
                  <w:r>
                    <w:rPr>
                      <w:rFonts w:hint="eastAsia"/>
                      <w:color w:val="auto"/>
                      <w:lang w:val="en-US" w:eastAsia="zh-CN"/>
                    </w:rPr>
                    <w:t>较</w:t>
                  </w:r>
                  <w:r>
                    <w:rPr>
                      <w:rFonts w:hint="default"/>
                      <w:color w:val="auto"/>
                      <w:lang w:val="en-US" w:eastAsia="zh-CN"/>
                    </w:rPr>
                    <w:t>洁白细腻，</w:t>
                  </w:r>
                  <w:r>
                    <w:rPr>
                      <w:rFonts w:hint="eastAsia"/>
                      <w:color w:val="auto"/>
                      <w:lang w:val="en-US" w:eastAsia="zh-CN"/>
                    </w:rPr>
                    <w:t>较</w:t>
                  </w:r>
                  <w:r>
                    <w:rPr>
                      <w:rFonts w:hint="default"/>
                      <w:color w:val="auto"/>
                      <w:lang w:val="en-US" w:eastAsia="zh-CN"/>
                    </w:rPr>
                    <w:t>持久挂怀</w:t>
                  </w:r>
                </w:p>
              </w:tc>
            </w:tr>
            <w:tr w14:paraId="5825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1239" w:type="dxa"/>
                  <w:vMerge w:val="continue"/>
                  <w:vAlign w:val="center"/>
                </w:tcPr>
                <w:p w14:paraId="31CA3E13">
                  <w:pPr>
                    <w:pStyle w:val="29"/>
                    <w:bidi w:val="0"/>
                    <w:ind w:firstLine="0" w:firstLineChars="0"/>
                    <w:rPr>
                      <w:rFonts w:hint="eastAsia"/>
                      <w:color w:val="auto"/>
                      <w:lang w:val="en-US" w:eastAsia="zh-CN"/>
                    </w:rPr>
                  </w:pPr>
                </w:p>
              </w:tc>
              <w:tc>
                <w:tcPr>
                  <w:tcW w:w="654" w:type="dxa"/>
                  <w:gridSpan w:val="2"/>
                  <w:vMerge w:val="restart"/>
                  <w:vAlign w:val="center"/>
                </w:tcPr>
                <w:p w14:paraId="5A2EB96B">
                  <w:pPr>
                    <w:pStyle w:val="29"/>
                    <w:bidi w:val="0"/>
                    <w:ind w:firstLine="0" w:firstLineChars="0"/>
                    <w:rPr>
                      <w:rFonts w:hint="eastAsia"/>
                      <w:color w:val="auto"/>
                      <w:vertAlign w:val="baseline"/>
                      <w:lang w:val="en-US" w:eastAsia="zh-CN"/>
                    </w:rPr>
                  </w:pPr>
                  <w:r>
                    <w:rPr>
                      <w:rFonts w:hint="eastAsia"/>
                      <w:color w:val="auto"/>
                      <w:lang w:val="en-US" w:eastAsia="zh-CN"/>
                    </w:rPr>
                    <w:t>泡持性</w:t>
                  </w:r>
                  <w:r>
                    <w:rPr>
                      <w:rFonts w:hint="eastAsia"/>
                      <w:color w:val="auto"/>
                      <w:vertAlign w:val="superscript"/>
                      <w:lang w:val="en-US" w:eastAsia="zh-CN"/>
                    </w:rPr>
                    <w:t>b</w:t>
                  </w:r>
                  <w:r>
                    <w:rPr>
                      <w:rFonts w:hint="eastAsia"/>
                      <w:color w:val="auto"/>
                      <w:vertAlign w:val="baseline"/>
                      <w:lang w:val="en-US" w:eastAsia="zh-CN"/>
                    </w:rPr>
                    <w:t>/s</w:t>
                  </w:r>
                </w:p>
                <w:p w14:paraId="6DDF6C39">
                  <w:pPr>
                    <w:pStyle w:val="29"/>
                    <w:bidi w:val="0"/>
                    <w:ind w:firstLine="0" w:firstLineChars="0"/>
                    <w:rPr>
                      <w:rFonts w:hint="default"/>
                      <w:color w:val="auto"/>
                      <w:vertAlign w:val="baseline"/>
                      <w:lang w:val="en-US" w:eastAsia="zh-CN"/>
                    </w:rPr>
                  </w:pPr>
                  <w:r>
                    <w:rPr>
                      <w:rFonts w:hint="eastAsia"/>
                      <w:color w:val="auto"/>
                      <w:vertAlign w:val="baseline"/>
                      <w:lang w:val="en-US" w:eastAsia="zh-CN"/>
                    </w:rPr>
                    <w:t>≥</w:t>
                  </w:r>
                </w:p>
              </w:tc>
              <w:tc>
                <w:tcPr>
                  <w:tcW w:w="1999" w:type="dxa"/>
                  <w:gridSpan w:val="2"/>
                  <w:vAlign w:val="center"/>
                </w:tcPr>
                <w:p w14:paraId="1AA5603C">
                  <w:pPr>
                    <w:pStyle w:val="29"/>
                    <w:bidi w:val="0"/>
                    <w:ind w:firstLine="0" w:firstLineChars="0"/>
                    <w:rPr>
                      <w:rFonts w:hint="default"/>
                      <w:color w:val="auto"/>
                      <w:lang w:val="en-US" w:eastAsia="zh-CN"/>
                    </w:rPr>
                  </w:pPr>
                  <w:r>
                    <w:rPr>
                      <w:rFonts w:hint="eastAsia"/>
                      <w:color w:val="auto"/>
                      <w:lang w:val="en-US" w:eastAsia="zh-CN"/>
                    </w:rPr>
                    <w:t>瓶装</w:t>
                  </w:r>
                </w:p>
              </w:tc>
              <w:tc>
                <w:tcPr>
                  <w:tcW w:w="1872" w:type="dxa"/>
                  <w:vAlign w:val="center"/>
                </w:tcPr>
                <w:p w14:paraId="737126AD">
                  <w:pPr>
                    <w:pStyle w:val="29"/>
                    <w:bidi w:val="0"/>
                    <w:ind w:firstLine="0" w:firstLineChars="0"/>
                    <w:rPr>
                      <w:rFonts w:hint="default"/>
                      <w:color w:val="auto"/>
                      <w:lang w:val="en-US" w:eastAsia="zh-CN"/>
                    </w:rPr>
                  </w:pPr>
                  <w:r>
                    <w:rPr>
                      <w:rFonts w:hint="eastAsia"/>
                      <w:color w:val="auto"/>
                      <w:lang w:val="en-US" w:eastAsia="zh-CN"/>
                    </w:rPr>
                    <w:t>180</w:t>
                  </w:r>
                </w:p>
              </w:tc>
              <w:tc>
                <w:tcPr>
                  <w:tcW w:w="2092" w:type="dxa"/>
                  <w:vAlign w:val="center"/>
                </w:tcPr>
                <w:p w14:paraId="361EFD43">
                  <w:pPr>
                    <w:pStyle w:val="29"/>
                    <w:bidi w:val="0"/>
                    <w:ind w:firstLine="0" w:firstLineChars="0"/>
                    <w:rPr>
                      <w:rFonts w:hint="default"/>
                      <w:color w:val="auto"/>
                      <w:lang w:val="en-US" w:eastAsia="zh-CN"/>
                    </w:rPr>
                  </w:pPr>
                  <w:r>
                    <w:rPr>
                      <w:rFonts w:hint="eastAsia"/>
                      <w:color w:val="auto"/>
                      <w:lang w:val="en-US" w:eastAsia="zh-CN"/>
                    </w:rPr>
                    <w:t>130</w:t>
                  </w:r>
                </w:p>
              </w:tc>
            </w:tr>
            <w:tr w14:paraId="4E8F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1239" w:type="dxa"/>
                  <w:vMerge w:val="continue"/>
                  <w:vAlign w:val="center"/>
                </w:tcPr>
                <w:p w14:paraId="5E05C7C3">
                  <w:pPr>
                    <w:pStyle w:val="29"/>
                    <w:bidi w:val="0"/>
                    <w:ind w:firstLine="0" w:firstLineChars="0"/>
                    <w:rPr>
                      <w:rFonts w:hint="default"/>
                      <w:color w:val="auto"/>
                      <w:lang w:val="en-US" w:eastAsia="zh-CN"/>
                    </w:rPr>
                  </w:pPr>
                </w:p>
              </w:tc>
              <w:tc>
                <w:tcPr>
                  <w:tcW w:w="654" w:type="dxa"/>
                  <w:gridSpan w:val="2"/>
                  <w:vMerge w:val="continue"/>
                  <w:vAlign w:val="center"/>
                </w:tcPr>
                <w:p w14:paraId="0BCF4416">
                  <w:pPr>
                    <w:pStyle w:val="29"/>
                    <w:bidi w:val="0"/>
                    <w:ind w:firstLine="0" w:firstLineChars="0"/>
                    <w:rPr>
                      <w:rFonts w:hint="default"/>
                      <w:color w:val="auto"/>
                      <w:lang w:val="en-US" w:eastAsia="zh-CN"/>
                    </w:rPr>
                  </w:pPr>
                </w:p>
              </w:tc>
              <w:tc>
                <w:tcPr>
                  <w:tcW w:w="1999" w:type="dxa"/>
                  <w:gridSpan w:val="2"/>
                  <w:vAlign w:val="center"/>
                </w:tcPr>
                <w:p w14:paraId="724CB9D3">
                  <w:pPr>
                    <w:pStyle w:val="29"/>
                    <w:bidi w:val="0"/>
                    <w:ind w:firstLine="0" w:firstLineChars="0"/>
                    <w:rPr>
                      <w:rFonts w:hint="default"/>
                      <w:color w:val="auto"/>
                      <w:lang w:val="en-US" w:eastAsia="zh-CN"/>
                    </w:rPr>
                  </w:pPr>
                  <w:r>
                    <w:rPr>
                      <w:rFonts w:hint="eastAsia"/>
                      <w:color w:val="auto"/>
                      <w:lang w:val="en-US" w:eastAsia="zh-CN"/>
                    </w:rPr>
                    <w:t>听装</w:t>
                  </w:r>
                </w:p>
              </w:tc>
              <w:tc>
                <w:tcPr>
                  <w:tcW w:w="1872" w:type="dxa"/>
                  <w:vAlign w:val="center"/>
                </w:tcPr>
                <w:p w14:paraId="65AEA6BA">
                  <w:pPr>
                    <w:pStyle w:val="29"/>
                    <w:bidi w:val="0"/>
                    <w:ind w:firstLine="0" w:firstLineChars="0"/>
                    <w:rPr>
                      <w:rFonts w:hint="default"/>
                      <w:color w:val="auto"/>
                      <w:lang w:val="en-US" w:eastAsia="zh-CN"/>
                    </w:rPr>
                  </w:pPr>
                  <w:r>
                    <w:rPr>
                      <w:rFonts w:hint="eastAsia"/>
                      <w:color w:val="auto"/>
                      <w:lang w:val="en-US" w:eastAsia="zh-CN"/>
                    </w:rPr>
                    <w:t>150</w:t>
                  </w:r>
                </w:p>
              </w:tc>
              <w:tc>
                <w:tcPr>
                  <w:tcW w:w="2092" w:type="dxa"/>
                  <w:vAlign w:val="center"/>
                </w:tcPr>
                <w:p w14:paraId="0E43DD3E">
                  <w:pPr>
                    <w:pStyle w:val="29"/>
                    <w:bidi w:val="0"/>
                    <w:ind w:firstLine="0" w:firstLineChars="0"/>
                    <w:rPr>
                      <w:rFonts w:hint="default"/>
                      <w:color w:val="auto"/>
                      <w:lang w:val="en-US" w:eastAsia="zh-CN"/>
                    </w:rPr>
                  </w:pPr>
                  <w:r>
                    <w:rPr>
                      <w:rFonts w:hint="eastAsia"/>
                      <w:color w:val="auto"/>
                      <w:lang w:val="en-US" w:eastAsia="zh-CN"/>
                    </w:rPr>
                    <w:t>110</w:t>
                  </w:r>
                </w:p>
              </w:tc>
            </w:tr>
            <w:tr w14:paraId="6FA2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jc w:val="center"/>
              </w:trPr>
              <w:tc>
                <w:tcPr>
                  <w:tcW w:w="3892" w:type="dxa"/>
                  <w:gridSpan w:val="5"/>
                  <w:vAlign w:val="center"/>
                </w:tcPr>
                <w:p w14:paraId="09716DB9">
                  <w:pPr>
                    <w:pStyle w:val="29"/>
                    <w:bidi w:val="0"/>
                    <w:ind w:firstLine="0" w:firstLineChars="0"/>
                    <w:rPr>
                      <w:rFonts w:hint="default"/>
                      <w:color w:val="auto"/>
                      <w:lang w:val="en-US" w:eastAsia="zh-CN"/>
                    </w:rPr>
                  </w:pPr>
                  <w:r>
                    <w:rPr>
                      <w:rFonts w:hint="eastAsia"/>
                      <w:color w:val="auto"/>
                      <w:lang w:val="en-US" w:eastAsia="zh-CN"/>
                    </w:rPr>
                    <w:t>香气和口味</w:t>
                  </w:r>
                </w:p>
              </w:tc>
              <w:tc>
                <w:tcPr>
                  <w:tcW w:w="1872" w:type="dxa"/>
                  <w:vAlign w:val="center"/>
                </w:tcPr>
                <w:p w14:paraId="696FC993">
                  <w:pPr>
                    <w:pStyle w:val="29"/>
                    <w:bidi w:val="0"/>
                    <w:ind w:firstLine="0" w:firstLineChars="0"/>
                    <w:rPr>
                      <w:rFonts w:hint="default"/>
                      <w:color w:val="auto"/>
                      <w:lang w:val="en-US" w:eastAsia="zh-CN"/>
                    </w:rPr>
                  </w:pPr>
                  <w:r>
                    <w:rPr>
                      <w:rFonts w:hint="eastAsia"/>
                      <w:color w:val="auto"/>
                      <w:lang w:val="en-US" w:eastAsia="zh-CN"/>
                    </w:rPr>
                    <w:t>有明显的酒花香气，口味纯正，爽口，酒体协调，柔和，无异香</w:t>
                  </w:r>
                </w:p>
              </w:tc>
              <w:tc>
                <w:tcPr>
                  <w:tcW w:w="2092" w:type="dxa"/>
                  <w:vAlign w:val="center"/>
                </w:tcPr>
                <w:p w14:paraId="7EB7E121">
                  <w:pPr>
                    <w:pStyle w:val="29"/>
                    <w:bidi w:val="0"/>
                    <w:ind w:firstLine="0" w:firstLineChars="0"/>
                    <w:rPr>
                      <w:rFonts w:hint="default"/>
                      <w:color w:val="auto"/>
                      <w:lang w:val="en-US" w:eastAsia="zh-CN"/>
                    </w:rPr>
                  </w:pPr>
                  <w:r>
                    <w:rPr>
                      <w:rFonts w:hint="default"/>
                      <w:color w:val="auto"/>
                      <w:lang w:val="en-US" w:eastAsia="zh-CN"/>
                    </w:rPr>
                    <w:t>有</w:t>
                  </w:r>
                  <w:r>
                    <w:rPr>
                      <w:rFonts w:hint="eastAsia"/>
                      <w:color w:val="auto"/>
                      <w:lang w:val="en-US" w:eastAsia="zh-CN"/>
                    </w:rPr>
                    <w:t>较</w:t>
                  </w:r>
                  <w:r>
                    <w:rPr>
                      <w:rFonts w:hint="default"/>
                      <w:color w:val="auto"/>
                      <w:lang w:val="en-US" w:eastAsia="zh-CN"/>
                    </w:rPr>
                    <w:t>明显的酒花香气，口味纯正，</w:t>
                  </w:r>
                  <w:r>
                    <w:rPr>
                      <w:rFonts w:hint="eastAsia"/>
                      <w:color w:val="auto"/>
                      <w:lang w:val="en-US" w:eastAsia="zh-CN"/>
                    </w:rPr>
                    <w:t>较</w:t>
                  </w:r>
                  <w:r>
                    <w:rPr>
                      <w:rFonts w:hint="default"/>
                      <w:color w:val="auto"/>
                      <w:lang w:val="en-US" w:eastAsia="zh-CN"/>
                    </w:rPr>
                    <w:t>爽口，酒体协调，柔和，无异香</w:t>
                  </w:r>
                </w:p>
              </w:tc>
            </w:tr>
            <w:tr w14:paraId="3618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614" w:hRule="atLeast"/>
                <w:jc w:val="center"/>
              </w:trPr>
              <w:tc>
                <w:tcPr>
                  <w:tcW w:w="7856" w:type="dxa"/>
                  <w:gridSpan w:val="7"/>
                  <w:vAlign w:val="center"/>
                </w:tcPr>
                <w:p w14:paraId="53B68A79">
                  <w:pPr>
                    <w:pStyle w:val="29"/>
                    <w:bidi w:val="0"/>
                    <w:ind w:firstLine="0" w:firstLineChars="0"/>
                    <w:jc w:val="left"/>
                    <w:rPr>
                      <w:rFonts w:hint="eastAsia"/>
                      <w:color w:val="auto"/>
                      <w:lang w:val="en-US" w:eastAsia="zh-CN"/>
                    </w:rPr>
                  </w:pPr>
                  <w:r>
                    <w:rPr>
                      <w:rFonts w:hint="eastAsia"/>
                      <w:color w:val="auto"/>
                      <w:lang w:val="en-US" w:eastAsia="zh-CN"/>
                    </w:rPr>
                    <w:t>a对非瓶装的“鲜啤酒”无要求。</w:t>
                  </w:r>
                </w:p>
                <w:p w14:paraId="35B48C07">
                  <w:pPr>
                    <w:pStyle w:val="29"/>
                    <w:bidi w:val="0"/>
                    <w:ind w:firstLine="0" w:firstLineChars="0"/>
                    <w:jc w:val="left"/>
                    <w:rPr>
                      <w:rFonts w:hint="default"/>
                      <w:color w:val="auto"/>
                      <w:lang w:val="en-US" w:eastAsia="zh-CN"/>
                    </w:rPr>
                  </w:pPr>
                  <w:r>
                    <w:rPr>
                      <w:rFonts w:hint="eastAsia"/>
                      <w:color w:val="auto"/>
                      <w:lang w:val="en-US" w:eastAsia="zh-CN"/>
                    </w:rPr>
                    <w:t>b对桶装（鲜、生、熟）啤酒无要求</w:t>
                  </w:r>
                </w:p>
              </w:tc>
            </w:tr>
            <w:tr w14:paraId="4D76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7856" w:type="dxa"/>
                  <w:gridSpan w:val="7"/>
                  <w:vAlign w:val="center"/>
                </w:tcPr>
                <w:p w14:paraId="5927B9EA">
                  <w:pPr>
                    <w:pStyle w:val="29"/>
                    <w:bidi w:val="0"/>
                    <w:ind w:firstLine="0" w:firstLineChars="0"/>
                    <w:jc w:val="center"/>
                    <w:rPr>
                      <w:rFonts w:hint="default"/>
                      <w:color w:val="auto"/>
                      <w:lang w:val="en-US" w:eastAsia="zh-CN"/>
                    </w:rPr>
                  </w:pPr>
                  <w:r>
                    <w:rPr>
                      <w:rFonts w:hint="eastAsia"/>
                      <w:b/>
                      <w:bCs/>
                      <w:color w:val="auto"/>
                      <w:lang w:val="en-US" w:eastAsia="zh-CN"/>
                    </w:rPr>
                    <w:t>理化要求</w:t>
                  </w:r>
                </w:p>
              </w:tc>
            </w:tr>
            <w:tr w14:paraId="4121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4"/>
                  <w:vAlign w:val="center"/>
                </w:tcPr>
                <w:p w14:paraId="5237DCF8">
                  <w:pPr>
                    <w:pStyle w:val="29"/>
                    <w:bidi w:val="0"/>
                    <w:ind w:firstLine="0" w:firstLineChars="0"/>
                    <w:jc w:val="center"/>
                    <w:rPr>
                      <w:rFonts w:hint="default"/>
                      <w:color w:val="auto"/>
                      <w:lang w:val="en-US" w:eastAsia="zh-CN"/>
                    </w:rPr>
                  </w:pPr>
                  <w:r>
                    <w:rPr>
                      <w:rFonts w:hint="eastAsia"/>
                      <w:color w:val="auto"/>
                      <w:lang w:val="en-US" w:eastAsia="zh-CN"/>
                    </w:rPr>
                    <w:t>项目</w:t>
                  </w:r>
                </w:p>
              </w:tc>
              <w:tc>
                <w:tcPr>
                  <w:tcW w:w="2082" w:type="dxa"/>
                  <w:gridSpan w:val="2"/>
                  <w:vAlign w:val="center"/>
                </w:tcPr>
                <w:p w14:paraId="2C3BB63D">
                  <w:pPr>
                    <w:pStyle w:val="29"/>
                    <w:bidi w:val="0"/>
                    <w:ind w:firstLine="0" w:firstLineChars="0"/>
                    <w:jc w:val="center"/>
                    <w:rPr>
                      <w:rFonts w:hint="default"/>
                      <w:color w:val="auto"/>
                      <w:lang w:val="en-US" w:eastAsia="zh-CN"/>
                    </w:rPr>
                  </w:pPr>
                  <w:r>
                    <w:rPr>
                      <w:rFonts w:hint="eastAsia"/>
                      <w:color w:val="auto"/>
                      <w:lang w:val="en-US" w:eastAsia="zh-CN"/>
                    </w:rPr>
                    <w:t>优级</w:t>
                  </w:r>
                </w:p>
              </w:tc>
              <w:tc>
                <w:tcPr>
                  <w:tcW w:w="2118" w:type="dxa"/>
                  <w:gridSpan w:val="2"/>
                  <w:vAlign w:val="center"/>
                </w:tcPr>
                <w:p w14:paraId="73B18988">
                  <w:pPr>
                    <w:pStyle w:val="29"/>
                    <w:bidi w:val="0"/>
                    <w:ind w:firstLine="0" w:firstLineChars="0"/>
                    <w:jc w:val="center"/>
                    <w:rPr>
                      <w:rFonts w:hint="default"/>
                      <w:color w:val="auto"/>
                      <w:lang w:val="en-US" w:eastAsia="zh-CN"/>
                    </w:rPr>
                  </w:pPr>
                  <w:r>
                    <w:rPr>
                      <w:rFonts w:hint="eastAsia"/>
                      <w:color w:val="auto"/>
                      <w:lang w:val="en-US" w:eastAsia="zh-CN"/>
                    </w:rPr>
                    <w:t>一级</w:t>
                  </w:r>
                </w:p>
              </w:tc>
            </w:tr>
            <w:tr w14:paraId="07AA4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restart"/>
                  <w:vAlign w:val="center"/>
                </w:tcPr>
                <w:p w14:paraId="71D5C444">
                  <w:pPr>
                    <w:pStyle w:val="29"/>
                    <w:bidi w:val="0"/>
                    <w:ind w:firstLine="0" w:firstLineChars="0"/>
                    <w:jc w:val="center"/>
                    <w:rPr>
                      <w:rFonts w:hint="eastAsia"/>
                      <w:color w:val="auto"/>
                      <w:lang w:val="en-US" w:eastAsia="zh-CN"/>
                    </w:rPr>
                  </w:pPr>
                  <w:r>
                    <w:rPr>
                      <w:rFonts w:hint="eastAsia"/>
                      <w:color w:val="auto"/>
                      <w:lang w:val="en-US" w:eastAsia="zh-CN"/>
                    </w:rPr>
                    <w:t>酒精度</w:t>
                  </w:r>
                  <w:r>
                    <w:rPr>
                      <w:rFonts w:hint="eastAsia"/>
                      <w:color w:val="auto"/>
                      <w:vertAlign w:val="superscript"/>
                      <w:lang w:val="en-US" w:eastAsia="zh-CN"/>
                    </w:rPr>
                    <w:t>a</w:t>
                  </w:r>
                  <w:r>
                    <w:rPr>
                      <w:rFonts w:hint="eastAsia"/>
                      <w:color w:val="auto"/>
                      <w:lang w:val="en-US" w:eastAsia="zh-CN"/>
                    </w:rPr>
                    <w:t>/（%vol）</w:t>
                  </w:r>
                </w:p>
                <w:p w14:paraId="0410B743">
                  <w:pPr>
                    <w:pStyle w:val="29"/>
                    <w:bidi w:val="0"/>
                    <w:ind w:firstLine="0" w:firstLineChars="0"/>
                    <w:jc w:val="center"/>
                    <w:rPr>
                      <w:rFonts w:hint="default"/>
                      <w:color w:val="auto"/>
                      <w:lang w:val="en-US" w:eastAsia="zh-CN"/>
                    </w:rPr>
                  </w:pPr>
                  <w:r>
                    <w:rPr>
                      <w:rFonts w:hint="eastAsia"/>
                      <w:color w:val="auto"/>
                      <w:lang w:val="en-US" w:eastAsia="zh-CN"/>
                    </w:rPr>
                    <w:t>≥</w:t>
                  </w:r>
                </w:p>
              </w:tc>
              <w:tc>
                <w:tcPr>
                  <w:tcW w:w="2193" w:type="dxa"/>
                  <w:gridSpan w:val="2"/>
                  <w:vAlign w:val="center"/>
                </w:tcPr>
                <w:p w14:paraId="2923CBFE">
                  <w:pPr>
                    <w:pStyle w:val="29"/>
                    <w:bidi w:val="0"/>
                    <w:ind w:firstLine="0" w:firstLineChars="0"/>
                    <w:jc w:val="center"/>
                    <w:rPr>
                      <w:rFonts w:hint="default"/>
                      <w:color w:val="auto"/>
                      <w:lang w:val="en-US" w:eastAsia="zh-CN"/>
                    </w:rPr>
                  </w:pPr>
                  <w:r>
                    <w:rPr>
                      <w:rFonts w:hint="eastAsia"/>
                      <w:color w:val="auto"/>
                      <w:lang w:val="en-US" w:eastAsia="zh-CN"/>
                    </w:rPr>
                    <w:t>大于等于14.1°P</w:t>
                  </w:r>
                </w:p>
              </w:tc>
              <w:tc>
                <w:tcPr>
                  <w:tcW w:w="4174" w:type="dxa"/>
                  <w:gridSpan w:val="3"/>
                  <w:vAlign w:val="center"/>
                </w:tcPr>
                <w:p w14:paraId="7500898B">
                  <w:pPr>
                    <w:pStyle w:val="29"/>
                    <w:bidi w:val="0"/>
                    <w:ind w:firstLine="0" w:firstLineChars="0"/>
                    <w:jc w:val="center"/>
                    <w:rPr>
                      <w:rFonts w:hint="default"/>
                      <w:color w:val="auto"/>
                      <w:lang w:val="en-US" w:eastAsia="zh-CN"/>
                    </w:rPr>
                  </w:pPr>
                  <w:r>
                    <w:rPr>
                      <w:rFonts w:hint="eastAsia"/>
                      <w:color w:val="auto"/>
                      <w:lang w:val="en-US" w:eastAsia="zh-CN"/>
                    </w:rPr>
                    <w:t>5.2</w:t>
                  </w:r>
                </w:p>
              </w:tc>
            </w:tr>
            <w:tr w14:paraId="0CCE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6BD2AB59">
                  <w:pPr>
                    <w:pStyle w:val="29"/>
                    <w:bidi w:val="0"/>
                    <w:ind w:firstLine="0" w:firstLineChars="0"/>
                    <w:jc w:val="center"/>
                    <w:rPr>
                      <w:rFonts w:hint="eastAsia"/>
                      <w:color w:val="auto"/>
                      <w:lang w:val="en-US" w:eastAsia="zh-CN"/>
                    </w:rPr>
                  </w:pPr>
                </w:p>
              </w:tc>
              <w:tc>
                <w:tcPr>
                  <w:tcW w:w="2193" w:type="dxa"/>
                  <w:gridSpan w:val="2"/>
                  <w:vAlign w:val="center"/>
                </w:tcPr>
                <w:p w14:paraId="08D2A910">
                  <w:pPr>
                    <w:pStyle w:val="29"/>
                    <w:bidi w:val="0"/>
                    <w:ind w:firstLine="0" w:firstLineChars="0"/>
                    <w:jc w:val="center"/>
                    <w:rPr>
                      <w:rFonts w:hint="default"/>
                      <w:color w:val="auto"/>
                      <w:lang w:val="en-US" w:eastAsia="zh-CN"/>
                    </w:rPr>
                  </w:pPr>
                  <w:r>
                    <w:rPr>
                      <w:rFonts w:hint="eastAsia"/>
                      <w:color w:val="auto"/>
                      <w:lang w:val="en-US" w:eastAsia="zh-CN"/>
                    </w:rPr>
                    <w:t>12.1°P~14.0°P</w:t>
                  </w:r>
                </w:p>
              </w:tc>
              <w:tc>
                <w:tcPr>
                  <w:tcW w:w="4174" w:type="dxa"/>
                  <w:gridSpan w:val="3"/>
                  <w:vAlign w:val="center"/>
                </w:tcPr>
                <w:p w14:paraId="285CCD74">
                  <w:pPr>
                    <w:pStyle w:val="29"/>
                    <w:bidi w:val="0"/>
                    <w:ind w:firstLine="0" w:firstLineChars="0"/>
                    <w:jc w:val="center"/>
                    <w:rPr>
                      <w:rFonts w:hint="default"/>
                      <w:color w:val="auto"/>
                      <w:lang w:val="en-US" w:eastAsia="zh-CN"/>
                    </w:rPr>
                  </w:pPr>
                  <w:r>
                    <w:rPr>
                      <w:rFonts w:hint="eastAsia"/>
                      <w:color w:val="auto"/>
                      <w:lang w:val="en-US" w:eastAsia="zh-CN"/>
                    </w:rPr>
                    <w:t>4.5</w:t>
                  </w:r>
                </w:p>
              </w:tc>
            </w:tr>
            <w:tr w14:paraId="0317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50B62E14">
                  <w:pPr>
                    <w:pStyle w:val="29"/>
                    <w:bidi w:val="0"/>
                    <w:ind w:firstLine="0" w:firstLineChars="0"/>
                    <w:jc w:val="center"/>
                    <w:rPr>
                      <w:rFonts w:hint="eastAsia"/>
                      <w:color w:val="auto"/>
                      <w:lang w:val="en-US" w:eastAsia="zh-CN"/>
                    </w:rPr>
                  </w:pPr>
                </w:p>
              </w:tc>
              <w:tc>
                <w:tcPr>
                  <w:tcW w:w="2193" w:type="dxa"/>
                  <w:gridSpan w:val="2"/>
                  <w:vAlign w:val="center"/>
                </w:tcPr>
                <w:p w14:paraId="1C35D78A">
                  <w:pPr>
                    <w:pStyle w:val="29"/>
                    <w:bidi w:val="0"/>
                    <w:ind w:firstLine="0" w:firstLineChars="0"/>
                    <w:jc w:val="center"/>
                    <w:rPr>
                      <w:rFonts w:hint="eastAsia"/>
                      <w:color w:val="auto"/>
                      <w:lang w:val="en-US" w:eastAsia="zh-CN"/>
                    </w:rPr>
                  </w:pPr>
                  <w:r>
                    <w:rPr>
                      <w:rFonts w:hint="eastAsia"/>
                      <w:color w:val="auto"/>
                      <w:lang w:val="en-US" w:eastAsia="zh-CN"/>
                    </w:rPr>
                    <w:t>11.1°P~12.0°P</w:t>
                  </w:r>
                </w:p>
              </w:tc>
              <w:tc>
                <w:tcPr>
                  <w:tcW w:w="4174" w:type="dxa"/>
                  <w:gridSpan w:val="3"/>
                  <w:vAlign w:val="center"/>
                </w:tcPr>
                <w:p w14:paraId="7ACE8EFF">
                  <w:pPr>
                    <w:pStyle w:val="29"/>
                    <w:bidi w:val="0"/>
                    <w:ind w:firstLine="0" w:firstLineChars="0"/>
                    <w:jc w:val="center"/>
                    <w:rPr>
                      <w:rFonts w:hint="default"/>
                      <w:color w:val="auto"/>
                      <w:lang w:val="en-US" w:eastAsia="zh-CN"/>
                    </w:rPr>
                  </w:pPr>
                  <w:r>
                    <w:rPr>
                      <w:rFonts w:hint="eastAsia"/>
                      <w:color w:val="auto"/>
                      <w:lang w:val="en-US" w:eastAsia="zh-CN"/>
                    </w:rPr>
                    <w:t>4.1</w:t>
                  </w:r>
                </w:p>
              </w:tc>
            </w:tr>
            <w:tr w14:paraId="2F45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3C857D25">
                  <w:pPr>
                    <w:pStyle w:val="29"/>
                    <w:bidi w:val="0"/>
                    <w:ind w:firstLine="0" w:firstLineChars="0"/>
                    <w:jc w:val="center"/>
                    <w:rPr>
                      <w:rFonts w:hint="eastAsia"/>
                      <w:color w:val="auto"/>
                      <w:lang w:val="en-US" w:eastAsia="zh-CN"/>
                    </w:rPr>
                  </w:pPr>
                </w:p>
              </w:tc>
              <w:tc>
                <w:tcPr>
                  <w:tcW w:w="2193" w:type="dxa"/>
                  <w:gridSpan w:val="2"/>
                  <w:vAlign w:val="center"/>
                </w:tcPr>
                <w:p w14:paraId="5EB4CB61">
                  <w:pPr>
                    <w:pStyle w:val="29"/>
                    <w:bidi w:val="0"/>
                    <w:ind w:firstLine="0" w:firstLineChars="0"/>
                    <w:jc w:val="center"/>
                    <w:rPr>
                      <w:rFonts w:hint="eastAsia"/>
                      <w:color w:val="auto"/>
                      <w:lang w:val="en-US" w:eastAsia="zh-CN"/>
                    </w:rPr>
                  </w:pPr>
                  <w:r>
                    <w:rPr>
                      <w:rFonts w:hint="eastAsia"/>
                      <w:color w:val="auto"/>
                      <w:lang w:val="en-US" w:eastAsia="zh-CN"/>
                    </w:rPr>
                    <w:t>10.1°P~11.0°P</w:t>
                  </w:r>
                </w:p>
              </w:tc>
              <w:tc>
                <w:tcPr>
                  <w:tcW w:w="4174" w:type="dxa"/>
                  <w:gridSpan w:val="3"/>
                  <w:vAlign w:val="center"/>
                </w:tcPr>
                <w:p w14:paraId="2E94A2D6">
                  <w:pPr>
                    <w:pStyle w:val="29"/>
                    <w:bidi w:val="0"/>
                    <w:ind w:firstLine="0" w:firstLineChars="0"/>
                    <w:jc w:val="center"/>
                    <w:rPr>
                      <w:rFonts w:hint="default"/>
                      <w:color w:val="auto"/>
                      <w:lang w:val="en-US" w:eastAsia="zh-CN"/>
                    </w:rPr>
                  </w:pPr>
                  <w:r>
                    <w:rPr>
                      <w:rFonts w:hint="eastAsia"/>
                      <w:color w:val="auto"/>
                      <w:lang w:val="en-US" w:eastAsia="zh-CN"/>
                    </w:rPr>
                    <w:t>3.7</w:t>
                  </w:r>
                </w:p>
              </w:tc>
            </w:tr>
            <w:tr w14:paraId="53DF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1D561EF4">
                  <w:pPr>
                    <w:pStyle w:val="29"/>
                    <w:bidi w:val="0"/>
                    <w:ind w:firstLine="0" w:firstLineChars="0"/>
                    <w:jc w:val="center"/>
                    <w:rPr>
                      <w:rFonts w:hint="eastAsia"/>
                      <w:color w:val="auto"/>
                      <w:lang w:val="en-US" w:eastAsia="zh-CN"/>
                    </w:rPr>
                  </w:pPr>
                </w:p>
              </w:tc>
              <w:tc>
                <w:tcPr>
                  <w:tcW w:w="2193" w:type="dxa"/>
                  <w:gridSpan w:val="2"/>
                  <w:vAlign w:val="center"/>
                </w:tcPr>
                <w:p w14:paraId="73806CEB">
                  <w:pPr>
                    <w:pStyle w:val="29"/>
                    <w:bidi w:val="0"/>
                    <w:ind w:firstLine="0" w:firstLineChars="0"/>
                    <w:jc w:val="center"/>
                    <w:rPr>
                      <w:rFonts w:hint="eastAsia"/>
                      <w:color w:val="auto"/>
                      <w:lang w:val="en-US" w:eastAsia="zh-CN"/>
                    </w:rPr>
                  </w:pPr>
                  <w:r>
                    <w:rPr>
                      <w:rFonts w:hint="eastAsia"/>
                      <w:color w:val="auto"/>
                      <w:lang w:val="en-US" w:eastAsia="zh-CN"/>
                    </w:rPr>
                    <w:t>8.1°P~10.0°P</w:t>
                  </w:r>
                </w:p>
              </w:tc>
              <w:tc>
                <w:tcPr>
                  <w:tcW w:w="4174" w:type="dxa"/>
                  <w:gridSpan w:val="3"/>
                  <w:vAlign w:val="center"/>
                </w:tcPr>
                <w:p w14:paraId="6D2E2318">
                  <w:pPr>
                    <w:pStyle w:val="29"/>
                    <w:bidi w:val="0"/>
                    <w:ind w:firstLine="0" w:firstLineChars="0"/>
                    <w:jc w:val="center"/>
                    <w:rPr>
                      <w:rFonts w:hint="default"/>
                      <w:color w:val="auto"/>
                      <w:lang w:val="en-US" w:eastAsia="zh-CN"/>
                    </w:rPr>
                  </w:pPr>
                  <w:r>
                    <w:rPr>
                      <w:rFonts w:hint="eastAsia"/>
                      <w:color w:val="auto"/>
                      <w:lang w:val="en-US" w:eastAsia="zh-CN"/>
                    </w:rPr>
                    <w:t>3.3</w:t>
                  </w:r>
                </w:p>
              </w:tc>
            </w:tr>
            <w:tr w14:paraId="792B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220846E1">
                  <w:pPr>
                    <w:pStyle w:val="29"/>
                    <w:bidi w:val="0"/>
                    <w:ind w:firstLine="0" w:firstLineChars="0"/>
                    <w:jc w:val="center"/>
                    <w:rPr>
                      <w:rFonts w:hint="eastAsia"/>
                      <w:color w:val="auto"/>
                      <w:lang w:val="en-US" w:eastAsia="zh-CN"/>
                    </w:rPr>
                  </w:pPr>
                </w:p>
              </w:tc>
              <w:tc>
                <w:tcPr>
                  <w:tcW w:w="2193" w:type="dxa"/>
                  <w:gridSpan w:val="2"/>
                  <w:vAlign w:val="center"/>
                </w:tcPr>
                <w:p w14:paraId="532531DB">
                  <w:pPr>
                    <w:pStyle w:val="29"/>
                    <w:bidi w:val="0"/>
                    <w:ind w:firstLine="0" w:firstLineChars="0"/>
                    <w:jc w:val="center"/>
                    <w:rPr>
                      <w:rFonts w:hint="default"/>
                      <w:color w:val="auto"/>
                      <w:lang w:val="en-US" w:eastAsia="zh-CN"/>
                    </w:rPr>
                  </w:pPr>
                  <w:r>
                    <w:rPr>
                      <w:rFonts w:hint="eastAsia"/>
                      <w:color w:val="auto"/>
                      <w:lang w:val="en-US" w:eastAsia="zh-CN"/>
                    </w:rPr>
                    <w:t>小于等于8.0°P</w:t>
                  </w:r>
                </w:p>
              </w:tc>
              <w:tc>
                <w:tcPr>
                  <w:tcW w:w="4174" w:type="dxa"/>
                  <w:gridSpan w:val="3"/>
                  <w:vAlign w:val="center"/>
                </w:tcPr>
                <w:p w14:paraId="191D8313">
                  <w:pPr>
                    <w:pStyle w:val="29"/>
                    <w:bidi w:val="0"/>
                    <w:ind w:firstLine="0" w:firstLineChars="0"/>
                    <w:jc w:val="center"/>
                    <w:rPr>
                      <w:rFonts w:hint="default"/>
                      <w:color w:val="auto"/>
                      <w:lang w:val="en-US" w:eastAsia="zh-CN"/>
                    </w:rPr>
                  </w:pPr>
                  <w:r>
                    <w:rPr>
                      <w:rFonts w:hint="eastAsia"/>
                      <w:color w:val="auto"/>
                      <w:lang w:val="en-US" w:eastAsia="zh-CN"/>
                    </w:rPr>
                    <w:t>2.5</w:t>
                  </w:r>
                </w:p>
              </w:tc>
            </w:tr>
            <w:tr w14:paraId="0143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3682" w:type="dxa"/>
                  <w:gridSpan w:val="4"/>
                  <w:vAlign w:val="center"/>
                </w:tcPr>
                <w:p w14:paraId="38965CC0">
                  <w:pPr>
                    <w:pStyle w:val="29"/>
                    <w:bidi w:val="0"/>
                    <w:ind w:firstLine="0" w:firstLineChars="0"/>
                    <w:jc w:val="center"/>
                    <w:rPr>
                      <w:rFonts w:hint="default"/>
                      <w:color w:val="auto"/>
                      <w:lang w:val="en-US" w:eastAsia="zh-CN"/>
                    </w:rPr>
                  </w:pPr>
                  <w:r>
                    <w:rPr>
                      <w:rFonts w:hint="eastAsia"/>
                      <w:color w:val="auto"/>
                      <w:lang w:val="en-US" w:eastAsia="zh-CN"/>
                    </w:rPr>
                    <w:t>原麦汁浓度</w:t>
                  </w:r>
                  <w:r>
                    <w:rPr>
                      <w:rFonts w:hint="eastAsia"/>
                      <w:color w:val="auto"/>
                      <w:vertAlign w:val="superscript"/>
                      <w:lang w:val="en-US" w:eastAsia="zh-CN"/>
                    </w:rPr>
                    <w:t>b</w:t>
                  </w:r>
                  <w:r>
                    <w:rPr>
                      <w:rFonts w:hint="eastAsia"/>
                      <w:color w:val="auto"/>
                      <w:lang w:val="en-US" w:eastAsia="zh-CN"/>
                    </w:rPr>
                    <w:t>/°P</w:t>
                  </w:r>
                </w:p>
              </w:tc>
              <w:tc>
                <w:tcPr>
                  <w:tcW w:w="4174" w:type="dxa"/>
                  <w:gridSpan w:val="3"/>
                  <w:vAlign w:val="center"/>
                </w:tcPr>
                <w:p w14:paraId="2842582B">
                  <w:pPr>
                    <w:pStyle w:val="29"/>
                    <w:bidi w:val="0"/>
                    <w:ind w:firstLine="0" w:firstLineChars="0"/>
                    <w:jc w:val="center"/>
                    <w:rPr>
                      <w:rFonts w:hint="default"/>
                      <w:color w:val="auto"/>
                      <w:lang w:val="en-US" w:eastAsia="zh-CN"/>
                    </w:rPr>
                  </w:pPr>
                  <w:r>
                    <w:rPr>
                      <w:rFonts w:hint="eastAsia"/>
                      <w:color w:val="auto"/>
                      <w:lang w:val="en-US" w:eastAsia="zh-CN"/>
                    </w:rPr>
                    <w:t>X</w:t>
                  </w:r>
                </w:p>
              </w:tc>
            </w:tr>
            <w:tr w14:paraId="37B1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restart"/>
                  <w:vAlign w:val="center"/>
                </w:tcPr>
                <w:p w14:paraId="77F560B7">
                  <w:pPr>
                    <w:pStyle w:val="29"/>
                    <w:bidi w:val="0"/>
                    <w:ind w:firstLine="0" w:firstLineChars="0"/>
                    <w:jc w:val="center"/>
                    <w:rPr>
                      <w:rFonts w:hint="eastAsia"/>
                      <w:color w:val="auto"/>
                      <w:lang w:val="en-US" w:eastAsia="zh-CN"/>
                    </w:rPr>
                  </w:pPr>
                  <w:r>
                    <w:rPr>
                      <w:rFonts w:hint="eastAsia"/>
                      <w:color w:val="auto"/>
                      <w:lang w:val="en-US" w:eastAsia="zh-CN"/>
                    </w:rPr>
                    <w:t>总酸/（mL/100mL）</w:t>
                  </w:r>
                </w:p>
                <w:p w14:paraId="36150EBC">
                  <w:pPr>
                    <w:pStyle w:val="29"/>
                    <w:bidi w:val="0"/>
                    <w:ind w:firstLine="0" w:firstLineChars="0"/>
                    <w:jc w:val="center"/>
                    <w:rPr>
                      <w:rFonts w:hint="default"/>
                      <w:color w:val="auto"/>
                      <w:lang w:val="en-US" w:eastAsia="zh-CN"/>
                    </w:rPr>
                  </w:pPr>
                  <w:r>
                    <w:rPr>
                      <w:rFonts w:hint="eastAsia"/>
                      <w:color w:val="auto"/>
                      <w:lang w:val="en-US" w:eastAsia="zh-CN"/>
                    </w:rPr>
                    <w:t>≤</w:t>
                  </w:r>
                </w:p>
              </w:tc>
              <w:tc>
                <w:tcPr>
                  <w:tcW w:w="2193" w:type="dxa"/>
                  <w:gridSpan w:val="2"/>
                  <w:vAlign w:val="center"/>
                </w:tcPr>
                <w:p w14:paraId="44B2E1F7">
                  <w:pPr>
                    <w:pStyle w:val="29"/>
                    <w:bidi w:val="0"/>
                    <w:ind w:firstLine="0" w:firstLineChars="0"/>
                    <w:jc w:val="center"/>
                    <w:rPr>
                      <w:rFonts w:hint="eastAsia"/>
                      <w:color w:val="auto"/>
                      <w:lang w:val="en-US" w:eastAsia="zh-CN"/>
                    </w:rPr>
                  </w:pPr>
                  <w:r>
                    <w:rPr>
                      <w:rFonts w:hint="eastAsia"/>
                      <w:color w:val="auto"/>
                      <w:lang w:val="en-US" w:eastAsia="zh-CN"/>
                    </w:rPr>
                    <w:t>大于等于14.1°P</w:t>
                  </w:r>
                </w:p>
              </w:tc>
              <w:tc>
                <w:tcPr>
                  <w:tcW w:w="4174" w:type="dxa"/>
                  <w:gridSpan w:val="3"/>
                  <w:vAlign w:val="center"/>
                </w:tcPr>
                <w:p w14:paraId="0ACD57D6">
                  <w:pPr>
                    <w:pStyle w:val="29"/>
                    <w:bidi w:val="0"/>
                    <w:ind w:firstLine="0" w:firstLineChars="0"/>
                    <w:jc w:val="center"/>
                    <w:rPr>
                      <w:rFonts w:hint="default"/>
                      <w:color w:val="auto"/>
                      <w:lang w:val="en-US" w:eastAsia="zh-CN"/>
                    </w:rPr>
                  </w:pPr>
                  <w:r>
                    <w:rPr>
                      <w:rFonts w:hint="eastAsia"/>
                      <w:color w:val="auto"/>
                      <w:lang w:val="en-US" w:eastAsia="zh-CN"/>
                    </w:rPr>
                    <w:t>3.0</w:t>
                  </w:r>
                </w:p>
              </w:tc>
            </w:tr>
            <w:tr w14:paraId="6BEC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31179F11">
                  <w:pPr>
                    <w:pStyle w:val="29"/>
                    <w:bidi w:val="0"/>
                    <w:ind w:firstLine="0" w:firstLineChars="0"/>
                    <w:jc w:val="center"/>
                    <w:rPr>
                      <w:rFonts w:hint="eastAsia"/>
                      <w:color w:val="auto"/>
                      <w:lang w:val="en-US" w:eastAsia="zh-CN"/>
                    </w:rPr>
                  </w:pPr>
                </w:p>
              </w:tc>
              <w:tc>
                <w:tcPr>
                  <w:tcW w:w="2193" w:type="dxa"/>
                  <w:gridSpan w:val="2"/>
                  <w:vAlign w:val="center"/>
                </w:tcPr>
                <w:p w14:paraId="41DDB3CD">
                  <w:pPr>
                    <w:pStyle w:val="29"/>
                    <w:bidi w:val="0"/>
                    <w:ind w:firstLine="0" w:firstLineChars="0"/>
                    <w:jc w:val="center"/>
                    <w:rPr>
                      <w:rFonts w:hint="eastAsia"/>
                      <w:color w:val="auto"/>
                      <w:lang w:val="en-US" w:eastAsia="zh-CN"/>
                    </w:rPr>
                  </w:pPr>
                  <w:r>
                    <w:rPr>
                      <w:rFonts w:hint="eastAsia"/>
                      <w:color w:val="auto"/>
                      <w:lang w:val="en-US" w:eastAsia="zh-CN"/>
                    </w:rPr>
                    <w:t>10.1°P~14.0°P</w:t>
                  </w:r>
                </w:p>
              </w:tc>
              <w:tc>
                <w:tcPr>
                  <w:tcW w:w="4174" w:type="dxa"/>
                  <w:gridSpan w:val="3"/>
                  <w:vAlign w:val="center"/>
                </w:tcPr>
                <w:p w14:paraId="6215D7AE">
                  <w:pPr>
                    <w:pStyle w:val="29"/>
                    <w:bidi w:val="0"/>
                    <w:ind w:firstLine="0" w:firstLineChars="0"/>
                    <w:jc w:val="center"/>
                    <w:rPr>
                      <w:rFonts w:hint="default"/>
                      <w:color w:val="auto"/>
                      <w:lang w:val="en-US" w:eastAsia="zh-CN"/>
                    </w:rPr>
                  </w:pPr>
                  <w:r>
                    <w:rPr>
                      <w:rFonts w:hint="eastAsia"/>
                      <w:color w:val="auto"/>
                      <w:lang w:val="en-US" w:eastAsia="zh-CN"/>
                    </w:rPr>
                    <w:t>2.6</w:t>
                  </w:r>
                </w:p>
              </w:tc>
            </w:tr>
            <w:tr w14:paraId="15EA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1489" w:type="dxa"/>
                  <w:gridSpan w:val="2"/>
                  <w:vMerge w:val="continue"/>
                  <w:vAlign w:val="center"/>
                </w:tcPr>
                <w:p w14:paraId="38C562D1">
                  <w:pPr>
                    <w:pStyle w:val="29"/>
                    <w:bidi w:val="0"/>
                    <w:ind w:firstLine="0" w:firstLineChars="0"/>
                    <w:jc w:val="center"/>
                    <w:rPr>
                      <w:rFonts w:hint="eastAsia"/>
                      <w:color w:val="auto"/>
                      <w:lang w:val="en-US" w:eastAsia="zh-CN"/>
                    </w:rPr>
                  </w:pPr>
                </w:p>
              </w:tc>
              <w:tc>
                <w:tcPr>
                  <w:tcW w:w="2193" w:type="dxa"/>
                  <w:gridSpan w:val="2"/>
                  <w:vAlign w:val="center"/>
                </w:tcPr>
                <w:p w14:paraId="30752B43">
                  <w:pPr>
                    <w:pStyle w:val="29"/>
                    <w:bidi w:val="0"/>
                    <w:ind w:firstLine="0" w:firstLineChars="0"/>
                    <w:jc w:val="center"/>
                    <w:rPr>
                      <w:rFonts w:hint="eastAsia"/>
                      <w:color w:val="auto"/>
                      <w:lang w:val="en-US" w:eastAsia="zh-CN"/>
                    </w:rPr>
                  </w:pPr>
                  <w:r>
                    <w:rPr>
                      <w:rFonts w:hint="eastAsia"/>
                      <w:color w:val="auto"/>
                      <w:lang w:val="en-US" w:eastAsia="zh-CN"/>
                    </w:rPr>
                    <w:t>小于等于10.0°P</w:t>
                  </w:r>
                </w:p>
              </w:tc>
              <w:tc>
                <w:tcPr>
                  <w:tcW w:w="4174" w:type="dxa"/>
                  <w:gridSpan w:val="3"/>
                  <w:vAlign w:val="center"/>
                </w:tcPr>
                <w:p w14:paraId="37275091">
                  <w:pPr>
                    <w:pStyle w:val="29"/>
                    <w:bidi w:val="0"/>
                    <w:ind w:firstLine="0" w:firstLineChars="0"/>
                    <w:jc w:val="center"/>
                    <w:rPr>
                      <w:rFonts w:hint="default"/>
                      <w:color w:val="auto"/>
                      <w:lang w:val="en-US" w:eastAsia="zh-CN"/>
                    </w:rPr>
                  </w:pPr>
                  <w:r>
                    <w:rPr>
                      <w:rFonts w:hint="eastAsia"/>
                      <w:color w:val="auto"/>
                      <w:lang w:val="en-US" w:eastAsia="zh-CN"/>
                    </w:rPr>
                    <w:t>2.2</w:t>
                  </w:r>
                </w:p>
              </w:tc>
            </w:tr>
            <w:tr w14:paraId="06DA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3682" w:type="dxa"/>
                  <w:gridSpan w:val="4"/>
                  <w:vAlign w:val="center"/>
                </w:tcPr>
                <w:p w14:paraId="7258335D">
                  <w:pPr>
                    <w:pStyle w:val="29"/>
                    <w:bidi w:val="0"/>
                    <w:ind w:firstLine="0" w:firstLineChars="0"/>
                    <w:jc w:val="center"/>
                    <w:rPr>
                      <w:rFonts w:hint="default"/>
                      <w:color w:val="auto"/>
                      <w:lang w:val="en-US" w:eastAsia="zh-CN"/>
                    </w:rPr>
                  </w:pPr>
                  <w:r>
                    <w:rPr>
                      <w:rFonts w:hint="eastAsia"/>
                      <w:color w:val="auto"/>
                      <w:lang w:val="en-US" w:eastAsia="zh-CN"/>
                    </w:rPr>
                    <w:t>二氧化碳</w:t>
                  </w:r>
                  <w:r>
                    <w:rPr>
                      <w:rFonts w:hint="eastAsia"/>
                      <w:color w:val="auto"/>
                      <w:vertAlign w:val="superscript"/>
                      <w:lang w:val="en-US" w:eastAsia="zh-CN"/>
                    </w:rPr>
                    <w:t>c</w:t>
                  </w:r>
                  <w:r>
                    <w:rPr>
                      <w:rFonts w:hint="eastAsia"/>
                      <w:color w:val="auto"/>
                      <w:lang w:val="en-US" w:eastAsia="zh-CN"/>
                    </w:rPr>
                    <w:t>/%（质量分数）</w:t>
                  </w:r>
                </w:p>
              </w:tc>
              <w:tc>
                <w:tcPr>
                  <w:tcW w:w="4174" w:type="dxa"/>
                  <w:gridSpan w:val="3"/>
                  <w:vAlign w:val="center"/>
                </w:tcPr>
                <w:p w14:paraId="0E6BCDA4">
                  <w:pPr>
                    <w:pStyle w:val="29"/>
                    <w:bidi w:val="0"/>
                    <w:ind w:firstLine="0" w:firstLineChars="0"/>
                    <w:jc w:val="center"/>
                    <w:rPr>
                      <w:rFonts w:hint="default"/>
                      <w:color w:val="auto"/>
                      <w:lang w:val="en-US" w:eastAsia="zh-CN"/>
                    </w:rPr>
                  </w:pPr>
                  <w:r>
                    <w:rPr>
                      <w:rFonts w:hint="eastAsia"/>
                      <w:color w:val="auto"/>
                      <w:lang w:val="en-US" w:eastAsia="zh-CN"/>
                    </w:rPr>
                    <w:t>0.35~0.65</w:t>
                  </w:r>
                </w:p>
              </w:tc>
            </w:tr>
            <w:tr w14:paraId="4369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4"/>
                  <w:vAlign w:val="center"/>
                </w:tcPr>
                <w:p w14:paraId="7C7A092A">
                  <w:pPr>
                    <w:pStyle w:val="29"/>
                    <w:bidi w:val="0"/>
                    <w:ind w:firstLine="0" w:firstLineChars="0"/>
                    <w:jc w:val="center"/>
                    <w:rPr>
                      <w:rFonts w:hint="default"/>
                      <w:color w:val="auto"/>
                      <w:lang w:val="en-US" w:eastAsia="zh-CN"/>
                    </w:rPr>
                  </w:pPr>
                  <w:r>
                    <w:rPr>
                      <w:rFonts w:hint="eastAsia"/>
                      <w:color w:val="auto"/>
                      <w:lang w:val="en-US" w:eastAsia="zh-CN"/>
                    </w:rPr>
                    <w:t>双乙酰/（mg/L）  ≤</w:t>
                  </w:r>
                </w:p>
              </w:tc>
              <w:tc>
                <w:tcPr>
                  <w:tcW w:w="2082" w:type="dxa"/>
                  <w:gridSpan w:val="2"/>
                  <w:vAlign w:val="center"/>
                </w:tcPr>
                <w:p w14:paraId="4637447B">
                  <w:pPr>
                    <w:pStyle w:val="29"/>
                    <w:bidi w:val="0"/>
                    <w:ind w:firstLine="0" w:firstLineChars="0"/>
                    <w:jc w:val="center"/>
                    <w:rPr>
                      <w:rFonts w:hint="default"/>
                      <w:color w:val="auto"/>
                      <w:lang w:val="en-US" w:eastAsia="zh-CN"/>
                    </w:rPr>
                  </w:pPr>
                  <w:r>
                    <w:rPr>
                      <w:rFonts w:hint="eastAsia"/>
                      <w:color w:val="auto"/>
                      <w:lang w:val="en-US" w:eastAsia="zh-CN"/>
                    </w:rPr>
                    <w:t>0.10</w:t>
                  </w:r>
                </w:p>
              </w:tc>
              <w:tc>
                <w:tcPr>
                  <w:tcW w:w="2118" w:type="dxa"/>
                  <w:gridSpan w:val="2"/>
                  <w:vAlign w:val="center"/>
                </w:tcPr>
                <w:p w14:paraId="13AAC9D9">
                  <w:pPr>
                    <w:pStyle w:val="29"/>
                    <w:bidi w:val="0"/>
                    <w:ind w:firstLine="0" w:firstLineChars="0"/>
                    <w:jc w:val="center"/>
                    <w:rPr>
                      <w:rFonts w:hint="default"/>
                      <w:color w:val="auto"/>
                      <w:lang w:val="en-US" w:eastAsia="zh-CN"/>
                    </w:rPr>
                  </w:pPr>
                  <w:r>
                    <w:rPr>
                      <w:rFonts w:hint="eastAsia"/>
                      <w:color w:val="auto"/>
                      <w:lang w:val="en-US" w:eastAsia="zh-CN"/>
                    </w:rPr>
                    <w:t>0.15</w:t>
                  </w:r>
                </w:p>
              </w:tc>
            </w:tr>
            <w:tr w14:paraId="3C1B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302" w:hRule="atLeast"/>
                <w:jc w:val="center"/>
              </w:trPr>
              <w:tc>
                <w:tcPr>
                  <w:tcW w:w="3682" w:type="dxa"/>
                  <w:gridSpan w:val="4"/>
                  <w:vAlign w:val="center"/>
                </w:tcPr>
                <w:p w14:paraId="569810BA">
                  <w:pPr>
                    <w:pStyle w:val="29"/>
                    <w:bidi w:val="0"/>
                    <w:ind w:firstLine="0" w:firstLineChars="0"/>
                    <w:jc w:val="center"/>
                    <w:rPr>
                      <w:rFonts w:hint="default"/>
                      <w:color w:val="auto"/>
                      <w:lang w:val="en-US" w:eastAsia="zh-CN"/>
                    </w:rPr>
                  </w:pPr>
                  <w:r>
                    <w:rPr>
                      <w:rFonts w:hint="eastAsia"/>
                      <w:color w:val="auto"/>
                      <w:lang w:val="en-US" w:eastAsia="zh-CN"/>
                    </w:rPr>
                    <w:t>蔗糖转化酶活性</w:t>
                  </w:r>
                  <w:r>
                    <w:rPr>
                      <w:rFonts w:hint="eastAsia"/>
                      <w:color w:val="auto"/>
                      <w:vertAlign w:val="superscript"/>
                      <w:lang w:val="en-US" w:eastAsia="zh-CN"/>
                    </w:rPr>
                    <w:t>d</w:t>
                  </w:r>
                </w:p>
              </w:tc>
              <w:tc>
                <w:tcPr>
                  <w:tcW w:w="4174" w:type="dxa"/>
                  <w:gridSpan w:val="3"/>
                  <w:vAlign w:val="center"/>
                </w:tcPr>
                <w:p w14:paraId="7AFDEFDE">
                  <w:pPr>
                    <w:pStyle w:val="29"/>
                    <w:bidi w:val="0"/>
                    <w:ind w:firstLine="0" w:firstLineChars="0"/>
                    <w:jc w:val="center"/>
                    <w:rPr>
                      <w:rFonts w:hint="default"/>
                      <w:color w:val="auto"/>
                      <w:lang w:val="en-US" w:eastAsia="zh-CN"/>
                    </w:rPr>
                  </w:pPr>
                  <w:r>
                    <w:rPr>
                      <w:rFonts w:hint="eastAsia"/>
                      <w:color w:val="auto"/>
                      <w:lang w:val="en-US" w:eastAsia="zh-CN"/>
                    </w:rPr>
                    <w:t>呈阳性</w:t>
                  </w:r>
                </w:p>
              </w:tc>
            </w:tr>
            <w:tr w14:paraId="6688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 w:type="dxa"/>
                <w:trHeight w:val="614" w:hRule="atLeast"/>
                <w:jc w:val="center"/>
              </w:trPr>
              <w:tc>
                <w:tcPr>
                  <w:tcW w:w="7856" w:type="dxa"/>
                  <w:gridSpan w:val="7"/>
                  <w:vAlign w:val="center"/>
                </w:tcPr>
                <w:p w14:paraId="73934FC5">
                  <w:pPr>
                    <w:pStyle w:val="29"/>
                    <w:bidi w:val="0"/>
                    <w:ind w:firstLine="0" w:firstLineChars="0"/>
                    <w:jc w:val="left"/>
                    <w:rPr>
                      <w:rFonts w:hint="default"/>
                      <w:color w:val="auto"/>
                      <w:vertAlign w:val="baseline"/>
                      <w:lang w:val="en-US" w:eastAsia="zh-CN"/>
                    </w:rPr>
                  </w:pPr>
                  <w:r>
                    <w:rPr>
                      <w:rFonts w:hint="eastAsia"/>
                      <w:color w:val="auto"/>
                      <w:vertAlign w:val="superscript"/>
                      <w:lang w:val="en-US" w:eastAsia="zh-CN"/>
                    </w:rPr>
                    <w:t>a</w:t>
                  </w:r>
                  <w:r>
                    <w:rPr>
                      <w:rFonts w:hint="eastAsia"/>
                      <w:color w:val="auto"/>
                      <w:vertAlign w:val="baseline"/>
                      <w:lang w:val="en-US" w:eastAsia="zh-CN"/>
                    </w:rPr>
                    <w:t>不包括低醇啤酒、无醇啤酒。</w:t>
                  </w:r>
                </w:p>
                <w:p w14:paraId="214807E6">
                  <w:pPr>
                    <w:pStyle w:val="29"/>
                    <w:bidi w:val="0"/>
                    <w:ind w:firstLine="0" w:firstLineChars="0"/>
                    <w:jc w:val="left"/>
                    <w:rPr>
                      <w:rFonts w:hint="eastAsia"/>
                      <w:color w:val="auto"/>
                      <w:vertAlign w:val="baseline"/>
                      <w:lang w:val="en-US" w:eastAsia="zh-CN"/>
                    </w:rPr>
                  </w:pPr>
                  <w:r>
                    <w:rPr>
                      <w:rFonts w:hint="eastAsia"/>
                      <w:color w:val="auto"/>
                      <w:vertAlign w:val="superscript"/>
                      <w:lang w:val="en-US" w:eastAsia="zh-CN"/>
                    </w:rPr>
                    <w:t>b</w:t>
                  </w:r>
                  <w:r>
                    <w:rPr>
                      <w:rFonts w:hint="eastAsia"/>
                      <w:color w:val="auto"/>
                      <w:vertAlign w:val="baseline"/>
                      <w:lang w:val="en-US" w:eastAsia="zh-CN"/>
                    </w:rPr>
                    <w:t>“X”为标签上标注的原麦汁浓度，≥10.0°P允许负偏差为“-0.3”、&lt;10.0°P允许负偏差为“-0.2”。</w:t>
                  </w:r>
                </w:p>
                <w:p w14:paraId="02376A29">
                  <w:pPr>
                    <w:pStyle w:val="29"/>
                    <w:bidi w:val="0"/>
                    <w:ind w:firstLine="0" w:firstLineChars="0"/>
                    <w:jc w:val="left"/>
                    <w:rPr>
                      <w:rFonts w:hint="eastAsia"/>
                      <w:color w:val="auto"/>
                      <w:vertAlign w:val="baseline"/>
                      <w:lang w:val="en-US" w:eastAsia="zh-CN"/>
                    </w:rPr>
                  </w:pPr>
                  <w:r>
                    <w:rPr>
                      <w:rFonts w:hint="eastAsia"/>
                      <w:color w:val="auto"/>
                      <w:vertAlign w:val="superscript"/>
                      <w:lang w:val="en-US" w:eastAsia="zh-CN"/>
                    </w:rPr>
                    <w:t>c</w:t>
                  </w:r>
                  <w:r>
                    <w:rPr>
                      <w:rFonts w:hint="eastAsia"/>
                      <w:color w:val="auto"/>
                      <w:vertAlign w:val="baseline"/>
                      <w:lang w:val="en-US" w:eastAsia="zh-CN"/>
                    </w:rPr>
                    <w:t>桶装（鲜、生、熟）啤酒二氧化碳不得小于0.25%（质量分数）。</w:t>
                  </w:r>
                </w:p>
                <w:p w14:paraId="48963280">
                  <w:pPr>
                    <w:pStyle w:val="29"/>
                    <w:bidi w:val="0"/>
                    <w:ind w:firstLine="0" w:firstLineChars="0"/>
                    <w:jc w:val="left"/>
                    <w:rPr>
                      <w:rFonts w:hint="eastAsia"/>
                      <w:color w:val="auto"/>
                      <w:lang w:val="en-US" w:eastAsia="zh-CN"/>
                    </w:rPr>
                  </w:pPr>
                  <w:r>
                    <w:rPr>
                      <w:rFonts w:hint="eastAsia"/>
                      <w:color w:val="auto"/>
                      <w:vertAlign w:val="superscript"/>
                      <w:lang w:val="en-US" w:eastAsia="zh-CN"/>
                    </w:rPr>
                    <w:t>d</w:t>
                  </w:r>
                  <w:r>
                    <w:rPr>
                      <w:rFonts w:hint="eastAsia"/>
                      <w:color w:val="auto"/>
                      <w:lang w:val="en-US" w:eastAsia="zh-CN"/>
                    </w:rPr>
                    <w:t>仅对“生啤酒”和“鲜啤酒”有要求。</w:t>
                  </w:r>
                </w:p>
              </w:tc>
            </w:tr>
          </w:tbl>
          <w:p w14:paraId="14636585">
            <w:pPr>
              <w:pStyle w:val="30"/>
              <w:rPr>
                <w:rFonts w:hint="default"/>
                <w:color w:val="auto"/>
                <w:highlight w:val="none"/>
                <w:lang w:val="en-US" w:eastAsia="zh-CN"/>
              </w:rPr>
            </w:pPr>
            <w:r>
              <w:rPr>
                <w:rFonts w:hint="default"/>
                <w:color w:val="auto"/>
                <w:highlight w:val="none"/>
                <w:lang w:val="en-US" w:eastAsia="zh-CN"/>
              </w:rPr>
              <w:t>表2-</w:t>
            </w:r>
            <w:r>
              <w:rPr>
                <w:rFonts w:hint="eastAsia"/>
                <w:color w:val="auto"/>
                <w:highlight w:val="none"/>
                <w:lang w:val="en-US" w:eastAsia="zh-CN"/>
              </w:rPr>
              <w:t>4</w:t>
            </w:r>
            <w:r>
              <w:rPr>
                <w:rFonts w:hint="default"/>
                <w:color w:val="auto"/>
                <w:highlight w:val="none"/>
                <w:lang w:val="en-US" w:eastAsia="zh-CN"/>
              </w:rPr>
              <w:t xml:space="preserve"> </w:t>
            </w:r>
            <w:r>
              <w:rPr>
                <w:rFonts w:hint="eastAsia"/>
                <w:color w:val="auto"/>
                <w:highlight w:val="none"/>
                <w:lang w:val="en-US" w:eastAsia="zh-CN"/>
              </w:rPr>
              <w:t>浓色、黑</w:t>
            </w:r>
            <w:r>
              <w:rPr>
                <w:rFonts w:hint="default"/>
                <w:color w:val="auto"/>
                <w:highlight w:val="none"/>
                <w:lang w:val="en-US" w:eastAsia="zh-CN"/>
              </w:rPr>
              <w:t>色啤酒感官及理化指标</w:t>
            </w:r>
          </w:p>
          <w:tbl>
            <w:tblPr>
              <w:tblStyle w:val="24"/>
              <w:tblW w:w="7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9"/>
              <w:gridCol w:w="1009"/>
              <w:gridCol w:w="1184"/>
              <w:gridCol w:w="2082"/>
              <w:gridCol w:w="18"/>
              <w:gridCol w:w="2074"/>
            </w:tblGrid>
            <w:tr w14:paraId="1778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2" w:type="dxa"/>
                  <w:gridSpan w:val="3"/>
                  <w:vAlign w:val="center"/>
                </w:tcPr>
                <w:p w14:paraId="734144D3">
                  <w:pPr>
                    <w:pStyle w:val="29"/>
                    <w:bidi w:val="0"/>
                    <w:ind w:firstLine="0" w:firstLineChars="0"/>
                    <w:rPr>
                      <w:rFonts w:hint="default"/>
                      <w:color w:val="auto"/>
                      <w:lang w:val="en-US" w:eastAsia="zh-CN"/>
                    </w:rPr>
                  </w:pPr>
                  <w:r>
                    <w:rPr>
                      <w:rFonts w:hint="default"/>
                      <w:color w:val="auto"/>
                      <w:lang w:val="en-US" w:eastAsia="zh-CN"/>
                    </w:rPr>
                    <w:t>项目</w:t>
                  </w:r>
                </w:p>
              </w:tc>
              <w:tc>
                <w:tcPr>
                  <w:tcW w:w="2082" w:type="dxa"/>
                  <w:vAlign w:val="center"/>
                </w:tcPr>
                <w:p w14:paraId="5F0D744B">
                  <w:pPr>
                    <w:pStyle w:val="29"/>
                    <w:bidi w:val="0"/>
                    <w:ind w:firstLine="0" w:firstLineChars="0"/>
                    <w:rPr>
                      <w:rFonts w:hint="default"/>
                      <w:color w:val="auto"/>
                      <w:lang w:val="en-US" w:eastAsia="zh-CN"/>
                    </w:rPr>
                  </w:pPr>
                  <w:r>
                    <w:rPr>
                      <w:rFonts w:hint="default"/>
                      <w:color w:val="auto"/>
                      <w:lang w:val="en-US" w:eastAsia="zh-CN"/>
                    </w:rPr>
                    <w:t>优级</w:t>
                  </w:r>
                </w:p>
              </w:tc>
              <w:tc>
                <w:tcPr>
                  <w:tcW w:w="2092" w:type="dxa"/>
                  <w:gridSpan w:val="2"/>
                  <w:vAlign w:val="center"/>
                </w:tcPr>
                <w:p w14:paraId="32345F60">
                  <w:pPr>
                    <w:pStyle w:val="29"/>
                    <w:bidi w:val="0"/>
                    <w:ind w:firstLine="0" w:firstLineChars="0"/>
                    <w:rPr>
                      <w:rFonts w:hint="default"/>
                      <w:color w:val="auto"/>
                      <w:lang w:val="en-US" w:eastAsia="zh-CN"/>
                    </w:rPr>
                  </w:pPr>
                  <w:r>
                    <w:rPr>
                      <w:rFonts w:hint="default"/>
                      <w:color w:val="auto"/>
                      <w:lang w:val="en-US" w:eastAsia="zh-CN"/>
                    </w:rPr>
                    <w:t>一级</w:t>
                  </w:r>
                </w:p>
              </w:tc>
            </w:tr>
            <w:tr w14:paraId="78E2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vMerge w:val="restart"/>
                  <w:vAlign w:val="center"/>
                </w:tcPr>
                <w:p w14:paraId="0226BD90">
                  <w:pPr>
                    <w:pStyle w:val="29"/>
                    <w:bidi w:val="0"/>
                    <w:ind w:firstLine="0" w:firstLineChars="0"/>
                    <w:rPr>
                      <w:rFonts w:hint="default"/>
                      <w:color w:val="auto"/>
                      <w:lang w:val="en-US" w:eastAsia="zh-CN"/>
                    </w:rPr>
                  </w:pPr>
                  <w:r>
                    <w:rPr>
                      <w:rFonts w:hint="default"/>
                      <w:color w:val="auto"/>
                      <w:lang w:val="en-US" w:eastAsia="zh-CN"/>
                    </w:rPr>
                    <w:t>外观</w:t>
                  </w:r>
                  <w:r>
                    <w:rPr>
                      <w:rFonts w:hint="default"/>
                      <w:color w:val="auto"/>
                      <w:vertAlign w:val="superscript"/>
                      <w:lang w:val="en-US" w:eastAsia="zh-CN"/>
                    </w:rPr>
                    <w:t>a</w:t>
                  </w:r>
                </w:p>
              </w:tc>
              <w:tc>
                <w:tcPr>
                  <w:tcW w:w="2193" w:type="dxa"/>
                  <w:gridSpan w:val="2"/>
                  <w:vAlign w:val="center"/>
                </w:tcPr>
                <w:p w14:paraId="5996C6F4">
                  <w:pPr>
                    <w:pStyle w:val="29"/>
                    <w:bidi w:val="0"/>
                    <w:ind w:firstLine="0" w:firstLineChars="0"/>
                    <w:rPr>
                      <w:rFonts w:hint="default"/>
                      <w:color w:val="auto"/>
                      <w:lang w:val="en-US" w:eastAsia="zh-CN"/>
                    </w:rPr>
                  </w:pPr>
                  <w:r>
                    <w:rPr>
                      <w:rFonts w:hint="default"/>
                      <w:color w:val="auto"/>
                      <w:lang w:val="en-US" w:eastAsia="zh-CN"/>
                    </w:rPr>
                    <w:t>透明度</w:t>
                  </w:r>
                </w:p>
              </w:tc>
              <w:tc>
                <w:tcPr>
                  <w:tcW w:w="4174" w:type="dxa"/>
                  <w:gridSpan w:val="3"/>
                  <w:vAlign w:val="center"/>
                </w:tcPr>
                <w:p w14:paraId="0AE13E21">
                  <w:pPr>
                    <w:pStyle w:val="29"/>
                    <w:bidi w:val="0"/>
                    <w:ind w:firstLine="0" w:firstLineChars="0"/>
                    <w:rPr>
                      <w:rFonts w:hint="default"/>
                      <w:color w:val="auto"/>
                      <w:lang w:val="en-US" w:eastAsia="zh-CN"/>
                    </w:rPr>
                  </w:pPr>
                  <w:r>
                    <w:rPr>
                      <w:rFonts w:hint="eastAsia"/>
                      <w:color w:val="auto"/>
                      <w:lang w:val="en-US" w:eastAsia="zh-CN"/>
                    </w:rPr>
                    <w:t>酒体有光泽</w:t>
                  </w:r>
                  <w:r>
                    <w:rPr>
                      <w:rFonts w:hint="default"/>
                      <w:color w:val="auto"/>
                      <w:lang w:val="en-US" w:eastAsia="zh-CN"/>
                    </w:rPr>
                    <w:t>，允许有肉眼可见的微细悬浮物和沉淀物（非外来异物）</w:t>
                  </w:r>
                </w:p>
              </w:tc>
            </w:tr>
            <w:tr w14:paraId="17C8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vMerge w:val="continue"/>
                  <w:vAlign w:val="center"/>
                </w:tcPr>
                <w:p w14:paraId="5A6887EC">
                  <w:pPr>
                    <w:pStyle w:val="29"/>
                    <w:bidi w:val="0"/>
                    <w:ind w:firstLine="0" w:firstLineChars="0"/>
                    <w:rPr>
                      <w:rFonts w:hint="default"/>
                      <w:color w:val="auto"/>
                      <w:lang w:val="en-US" w:eastAsia="zh-CN"/>
                    </w:rPr>
                  </w:pPr>
                </w:p>
              </w:tc>
              <w:tc>
                <w:tcPr>
                  <w:tcW w:w="2193" w:type="dxa"/>
                  <w:gridSpan w:val="2"/>
                  <w:vAlign w:val="center"/>
                </w:tcPr>
                <w:p w14:paraId="77DA8136">
                  <w:pPr>
                    <w:pStyle w:val="29"/>
                    <w:bidi w:val="0"/>
                    <w:ind w:firstLine="0" w:firstLineChars="0"/>
                    <w:rPr>
                      <w:rFonts w:hint="default"/>
                      <w:color w:val="auto"/>
                      <w:lang w:val="en-US" w:eastAsia="zh-CN"/>
                    </w:rPr>
                  </w:pPr>
                  <w:r>
                    <w:rPr>
                      <w:rFonts w:hint="default"/>
                      <w:color w:val="auto"/>
                      <w:lang w:val="en-US" w:eastAsia="zh-CN"/>
                    </w:rPr>
                    <w:t xml:space="preserve">浊度/EBC   </w:t>
                  </w:r>
                  <w:r>
                    <w:rPr>
                      <w:rFonts w:hint="eastAsia"/>
                      <w:color w:val="auto"/>
                      <w:lang w:val="en-US" w:eastAsia="zh-CN"/>
                    </w:rPr>
                    <w:t>≤</w:t>
                  </w:r>
                </w:p>
              </w:tc>
              <w:tc>
                <w:tcPr>
                  <w:tcW w:w="2082" w:type="dxa"/>
                  <w:vAlign w:val="center"/>
                </w:tcPr>
                <w:p w14:paraId="167F9391">
                  <w:pPr>
                    <w:pStyle w:val="29"/>
                    <w:bidi w:val="0"/>
                    <w:ind w:firstLine="0" w:firstLineChars="0"/>
                    <w:rPr>
                      <w:rFonts w:hint="default"/>
                      <w:color w:val="auto"/>
                      <w:lang w:val="en-US" w:eastAsia="zh-CN"/>
                    </w:rPr>
                  </w:pPr>
                  <w:r>
                    <w:rPr>
                      <w:rFonts w:hint="default"/>
                      <w:color w:val="auto"/>
                      <w:lang w:val="en-US" w:eastAsia="zh-CN"/>
                    </w:rPr>
                    <w:t>0.9</w:t>
                  </w:r>
                </w:p>
              </w:tc>
              <w:tc>
                <w:tcPr>
                  <w:tcW w:w="2092" w:type="dxa"/>
                  <w:gridSpan w:val="2"/>
                  <w:vAlign w:val="center"/>
                </w:tcPr>
                <w:p w14:paraId="72E54512">
                  <w:pPr>
                    <w:pStyle w:val="29"/>
                    <w:bidi w:val="0"/>
                    <w:ind w:firstLine="0" w:firstLineChars="0"/>
                    <w:rPr>
                      <w:rFonts w:hint="default"/>
                      <w:color w:val="auto"/>
                      <w:lang w:val="en-US" w:eastAsia="zh-CN"/>
                    </w:rPr>
                  </w:pPr>
                  <w:r>
                    <w:rPr>
                      <w:rFonts w:hint="default"/>
                      <w:color w:val="auto"/>
                      <w:lang w:val="en-US" w:eastAsia="zh-CN"/>
                    </w:rPr>
                    <w:t>1.2</w:t>
                  </w:r>
                </w:p>
              </w:tc>
            </w:tr>
            <w:tr w14:paraId="2A4B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vMerge w:val="restart"/>
                  <w:vAlign w:val="center"/>
                </w:tcPr>
                <w:p w14:paraId="7D08BA10">
                  <w:pPr>
                    <w:pStyle w:val="29"/>
                    <w:bidi w:val="0"/>
                    <w:ind w:firstLine="0" w:firstLineChars="0"/>
                    <w:rPr>
                      <w:rFonts w:hint="default"/>
                      <w:color w:val="auto"/>
                      <w:lang w:val="en-US" w:eastAsia="zh-CN"/>
                    </w:rPr>
                  </w:pPr>
                  <w:r>
                    <w:rPr>
                      <w:rFonts w:hint="default"/>
                      <w:color w:val="auto"/>
                      <w:lang w:val="en-US" w:eastAsia="zh-CN"/>
                    </w:rPr>
                    <w:t>泡沫</w:t>
                  </w:r>
                </w:p>
              </w:tc>
              <w:tc>
                <w:tcPr>
                  <w:tcW w:w="2193" w:type="dxa"/>
                  <w:gridSpan w:val="2"/>
                  <w:vAlign w:val="center"/>
                </w:tcPr>
                <w:p w14:paraId="67162006">
                  <w:pPr>
                    <w:pStyle w:val="29"/>
                    <w:bidi w:val="0"/>
                    <w:ind w:firstLine="0" w:firstLineChars="0"/>
                    <w:rPr>
                      <w:rFonts w:hint="default"/>
                      <w:color w:val="auto"/>
                      <w:lang w:val="en-US" w:eastAsia="zh-CN"/>
                    </w:rPr>
                  </w:pPr>
                  <w:r>
                    <w:rPr>
                      <w:rFonts w:hint="default"/>
                      <w:color w:val="auto"/>
                      <w:lang w:val="en-US" w:eastAsia="zh-CN"/>
                    </w:rPr>
                    <w:t>形态</w:t>
                  </w:r>
                </w:p>
              </w:tc>
              <w:tc>
                <w:tcPr>
                  <w:tcW w:w="2082" w:type="dxa"/>
                  <w:vAlign w:val="center"/>
                </w:tcPr>
                <w:p w14:paraId="07EC3586">
                  <w:pPr>
                    <w:pStyle w:val="29"/>
                    <w:bidi w:val="0"/>
                    <w:ind w:firstLine="0" w:firstLineChars="0"/>
                    <w:rPr>
                      <w:rFonts w:hint="default"/>
                      <w:color w:val="auto"/>
                      <w:lang w:val="en-US" w:eastAsia="zh-CN"/>
                    </w:rPr>
                  </w:pPr>
                  <w:r>
                    <w:rPr>
                      <w:rFonts w:hint="default"/>
                      <w:color w:val="auto"/>
                      <w:lang w:val="en-US" w:eastAsia="zh-CN"/>
                    </w:rPr>
                    <w:t>泡沫细腻，挂怀</w:t>
                  </w:r>
                </w:p>
              </w:tc>
              <w:tc>
                <w:tcPr>
                  <w:tcW w:w="2092" w:type="dxa"/>
                  <w:gridSpan w:val="2"/>
                  <w:vAlign w:val="center"/>
                </w:tcPr>
                <w:p w14:paraId="1730C5EE">
                  <w:pPr>
                    <w:pStyle w:val="29"/>
                    <w:bidi w:val="0"/>
                    <w:ind w:firstLine="0" w:firstLineChars="0"/>
                    <w:rPr>
                      <w:rFonts w:hint="default"/>
                      <w:color w:val="auto"/>
                      <w:lang w:val="en-US" w:eastAsia="zh-CN"/>
                    </w:rPr>
                  </w:pPr>
                  <w:r>
                    <w:rPr>
                      <w:rFonts w:hint="default"/>
                      <w:color w:val="auto"/>
                      <w:lang w:val="en-US" w:eastAsia="zh-CN"/>
                    </w:rPr>
                    <w:t>泡沫较细腻挂怀</w:t>
                  </w:r>
                </w:p>
              </w:tc>
            </w:tr>
            <w:tr w14:paraId="61D3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vMerge w:val="continue"/>
                  <w:vAlign w:val="center"/>
                </w:tcPr>
                <w:p w14:paraId="1B39ED43">
                  <w:pPr>
                    <w:pStyle w:val="29"/>
                    <w:bidi w:val="0"/>
                    <w:ind w:firstLine="0" w:firstLineChars="0"/>
                    <w:rPr>
                      <w:rFonts w:hint="default"/>
                      <w:color w:val="auto"/>
                      <w:lang w:val="en-US" w:eastAsia="zh-CN"/>
                    </w:rPr>
                  </w:pPr>
                </w:p>
              </w:tc>
              <w:tc>
                <w:tcPr>
                  <w:tcW w:w="1009" w:type="dxa"/>
                  <w:vMerge w:val="restart"/>
                  <w:vAlign w:val="center"/>
                </w:tcPr>
                <w:p w14:paraId="23FA1837">
                  <w:pPr>
                    <w:pStyle w:val="29"/>
                    <w:bidi w:val="0"/>
                    <w:ind w:firstLine="0" w:firstLineChars="0"/>
                    <w:rPr>
                      <w:rFonts w:hint="default"/>
                      <w:color w:val="auto"/>
                      <w:lang w:val="en-US" w:eastAsia="zh-CN"/>
                    </w:rPr>
                  </w:pPr>
                  <w:r>
                    <w:rPr>
                      <w:rFonts w:hint="default"/>
                      <w:color w:val="auto"/>
                      <w:lang w:val="en-US" w:eastAsia="zh-CN"/>
                    </w:rPr>
                    <w:t>泡持性</w:t>
                  </w:r>
                  <w:r>
                    <w:rPr>
                      <w:rFonts w:hint="default"/>
                      <w:color w:val="auto"/>
                      <w:vertAlign w:val="superscript"/>
                      <w:lang w:val="en-US" w:eastAsia="zh-CN"/>
                    </w:rPr>
                    <w:t>b</w:t>
                  </w:r>
                  <w:r>
                    <w:rPr>
                      <w:rFonts w:hint="default"/>
                      <w:color w:val="auto"/>
                      <w:lang w:val="en-US" w:eastAsia="zh-CN"/>
                    </w:rPr>
                    <w:t>/s</w:t>
                  </w:r>
                </w:p>
                <w:p w14:paraId="1CEA30B6">
                  <w:pPr>
                    <w:pStyle w:val="29"/>
                    <w:bidi w:val="0"/>
                    <w:ind w:firstLine="0" w:firstLineChars="0"/>
                    <w:rPr>
                      <w:rFonts w:hint="default"/>
                      <w:color w:val="auto"/>
                      <w:lang w:val="en-US" w:eastAsia="zh-CN"/>
                    </w:rPr>
                  </w:pPr>
                  <w:r>
                    <w:rPr>
                      <w:rFonts w:hint="eastAsia"/>
                      <w:color w:val="auto"/>
                      <w:lang w:val="en-US" w:eastAsia="zh-CN"/>
                    </w:rPr>
                    <w:t>≥</w:t>
                  </w:r>
                </w:p>
              </w:tc>
              <w:tc>
                <w:tcPr>
                  <w:tcW w:w="1184" w:type="dxa"/>
                  <w:vAlign w:val="center"/>
                </w:tcPr>
                <w:p w14:paraId="3C8D306B">
                  <w:pPr>
                    <w:pStyle w:val="29"/>
                    <w:bidi w:val="0"/>
                    <w:ind w:firstLine="0" w:firstLineChars="0"/>
                    <w:rPr>
                      <w:rFonts w:hint="default"/>
                      <w:color w:val="auto"/>
                      <w:lang w:val="en-US" w:eastAsia="zh-CN"/>
                    </w:rPr>
                  </w:pPr>
                  <w:r>
                    <w:rPr>
                      <w:rFonts w:hint="default"/>
                      <w:color w:val="auto"/>
                      <w:lang w:val="en-US" w:eastAsia="zh-CN"/>
                    </w:rPr>
                    <w:t>瓶装</w:t>
                  </w:r>
                </w:p>
              </w:tc>
              <w:tc>
                <w:tcPr>
                  <w:tcW w:w="2082" w:type="dxa"/>
                  <w:vAlign w:val="center"/>
                </w:tcPr>
                <w:p w14:paraId="61AFF341">
                  <w:pPr>
                    <w:pStyle w:val="29"/>
                    <w:bidi w:val="0"/>
                    <w:ind w:firstLine="0" w:firstLineChars="0"/>
                    <w:rPr>
                      <w:rFonts w:hint="default"/>
                      <w:color w:val="auto"/>
                      <w:lang w:val="en-US" w:eastAsia="zh-CN"/>
                    </w:rPr>
                  </w:pPr>
                  <w:r>
                    <w:rPr>
                      <w:rFonts w:hint="default"/>
                      <w:color w:val="auto"/>
                      <w:lang w:val="en-US" w:eastAsia="zh-CN"/>
                    </w:rPr>
                    <w:t>180</w:t>
                  </w:r>
                </w:p>
              </w:tc>
              <w:tc>
                <w:tcPr>
                  <w:tcW w:w="2092" w:type="dxa"/>
                  <w:gridSpan w:val="2"/>
                  <w:vAlign w:val="center"/>
                </w:tcPr>
                <w:p w14:paraId="6325994E">
                  <w:pPr>
                    <w:pStyle w:val="29"/>
                    <w:bidi w:val="0"/>
                    <w:ind w:firstLine="0" w:firstLineChars="0"/>
                    <w:rPr>
                      <w:rFonts w:hint="default"/>
                      <w:color w:val="auto"/>
                      <w:lang w:val="en-US" w:eastAsia="zh-CN"/>
                    </w:rPr>
                  </w:pPr>
                  <w:r>
                    <w:rPr>
                      <w:rFonts w:hint="default"/>
                      <w:color w:val="auto"/>
                      <w:lang w:val="en-US" w:eastAsia="zh-CN"/>
                    </w:rPr>
                    <w:t>130</w:t>
                  </w:r>
                </w:p>
              </w:tc>
            </w:tr>
            <w:tr w14:paraId="10B5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9" w:type="dxa"/>
                  <w:vMerge w:val="continue"/>
                  <w:vAlign w:val="center"/>
                </w:tcPr>
                <w:p w14:paraId="38168150">
                  <w:pPr>
                    <w:pStyle w:val="29"/>
                    <w:bidi w:val="0"/>
                    <w:ind w:firstLine="0" w:firstLineChars="0"/>
                    <w:rPr>
                      <w:rFonts w:hint="default"/>
                      <w:color w:val="auto"/>
                      <w:lang w:val="en-US" w:eastAsia="zh-CN"/>
                    </w:rPr>
                  </w:pPr>
                </w:p>
              </w:tc>
              <w:tc>
                <w:tcPr>
                  <w:tcW w:w="1009" w:type="dxa"/>
                  <w:vMerge w:val="continue"/>
                  <w:vAlign w:val="center"/>
                </w:tcPr>
                <w:p w14:paraId="6087D0CB">
                  <w:pPr>
                    <w:pStyle w:val="29"/>
                    <w:bidi w:val="0"/>
                    <w:ind w:firstLine="0" w:firstLineChars="0"/>
                    <w:rPr>
                      <w:rFonts w:hint="default"/>
                      <w:color w:val="auto"/>
                      <w:lang w:val="en-US" w:eastAsia="zh-CN"/>
                    </w:rPr>
                  </w:pPr>
                </w:p>
              </w:tc>
              <w:tc>
                <w:tcPr>
                  <w:tcW w:w="1184" w:type="dxa"/>
                  <w:vAlign w:val="center"/>
                </w:tcPr>
                <w:p w14:paraId="5CC7240B">
                  <w:pPr>
                    <w:pStyle w:val="29"/>
                    <w:bidi w:val="0"/>
                    <w:ind w:firstLine="0" w:firstLineChars="0"/>
                    <w:rPr>
                      <w:rFonts w:hint="default"/>
                      <w:color w:val="auto"/>
                      <w:lang w:val="en-US" w:eastAsia="zh-CN"/>
                    </w:rPr>
                  </w:pPr>
                  <w:r>
                    <w:rPr>
                      <w:rFonts w:hint="default"/>
                      <w:color w:val="auto"/>
                      <w:lang w:val="en-US" w:eastAsia="zh-CN"/>
                    </w:rPr>
                    <w:t>听装</w:t>
                  </w:r>
                </w:p>
              </w:tc>
              <w:tc>
                <w:tcPr>
                  <w:tcW w:w="2082" w:type="dxa"/>
                  <w:vAlign w:val="center"/>
                </w:tcPr>
                <w:p w14:paraId="45A0F002">
                  <w:pPr>
                    <w:pStyle w:val="29"/>
                    <w:bidi w:val="0"/>
                    <w:ind w:firstLine="0" w:firstLineChars="0"/>
                    <w:rPr>
                      <w:rFonts w:hint="default"/>
                      <w:color w:val="auto"/>
                      <w:lang w:val="en-US" w:eastAsia="zh-CN"/>
                    </w:rPr>
                  </w:pPr>
                  <w:r>
                    <w:rPr>
                      <w:rFonts w:hint="default"/>
                      <w:color w:val="auto"/>
                      <w:lang w:val="en-US" w:eastAsia="zh-CN"/>
                    </w:rPr>
                    <w:t>150</w:t>
                  </w:r>
                </w:p>
              </w:tc>
              <w:tc>
                <w:tcPr>
                  <w:tcW w:w="2092" w:type="dxa"/>
                  <w:gridSpan w:val="2"/>
                  <w:vAlign w:val="center"/>
                </w:tcPr>
                <w:p w14:paraId="1D0770EB">
                  <w:pPr>
                    <w:pStyle w:val="29"/>
                    <w:bidi w:val="0"/>
                    <w:ind w:firstLine="0" w:firstLineChars="0"/>
                    <w:rPr>
                      <w:rFonts w:hint="default"/>
                      <w:color w:val="auto"/>
                      <w:lang w:val="en-US" w:eastAsia="zh-CN"/>
                    </w:rPr>
                  </w:pPr>
                  <w:r>
                    <w:rPr>
                      <w:rFonts w:hint="default"/>
                      <w:color w:val="auto"/>
                      <w:lang w:val="en-US" w:eastAsia="zh-CN"/>
                    </w:rPr>
                    <w:t>110</w:t>
                  </w:r>
                </w:p>
              </w:tc>
            </w:tr>
            <w:tr w14:paraId="086E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2" w:type="dxa"/>
                  <w:gridSpan w:val="3"/>
                  <w:vAlign w:val="center"/>
                </w:tcPr>
                <w:p w14:paraId="3656BB3A">
                  <w:pPr>
                    <w:pStyle w:val="29"/>
                    <w:bidi w:val="0"/>
                    <w:ind w:firstLine="0" w:firstLineChars="0"/>
                    <w:rPr>
                      <w:rFonts w:hint="default"/>
                      <w:color w:val="auto"/>
                      <w:lang w:val="en-US" w:eastAsia="zh-CN"/>
                    </w:rPr>
                  </w:pPr>
                  <w:r>
                    <w:rPr>
                      <w:rFonts w:hint="default"/>
                      <w:color w:val="auto"/>
                      <w:lang w:val="en-US" w:eastAsia="zh-CN"/>
                    </w:rPr>
                    <w:t>香气和口味</w:t>
                  </w:r>
                </w:p>
              </w:tc>
              <w:tc>
                <w:tcPr>
                  <w:tcW w:w="2082" w:type="dxa"/>
                  <w:vAlign w:val="center"/>
                </w:tcPr>
                <w:p w14:paraId="201F4B00">
                  <w:pPr>
                    <w:pStyle w:val="29"/>
                    <w:bidi w:val="0"/>
                    <w:ind w:firstLine="0" w:firstLineChars="0"/>
                    <w:rPr>
                      <w:rFonts w:hint="default"/>
                      <w:color w:val="auto"/>
                      <w:lang w:val="en-US" w:eastAsia="zh-CN"/>
                    </w:rPr>
                  </w:pPr>
                  <w:r>
                    <w:rPr>
                      <w:rFonts w:hint="default"/>
                      <w:color w:val="auto"/>
                      <w:lang w:val="en-US" w:eastAsia="zh-CN"/>
                    </w:rPr>
                    <w:t>有明显的</w:t>
                  </w:r>
                  <w:r>
                    <w:rPr>
                      <w:rFonts w:hint="eastAsia"/>
                      <w:color w:val="auto"/>
                      <w:lang w:val="en-US" w:eastAsia="zh-CN"/>
                    </w:rPr>
                    <w:t>麦芽</w:t>
                  </w:r>
                  <w:r>
                    <w:rPr>
                      <w:rFonts w:hint="default"/>
                      <w:color w:val="auto"/>
                      <w:lang w:val="en-US" w:eastAsia="zh-CN"/>
                    </w:rPr>
                    <w:t>香气，口味纯正，爽口，酒体</w:t>
                  </w:r>
                  <w:r>
                    <w:rPr>
                      <w:rFonts w:hint="eastAsia"/>
                      <w:color w:val="auto"/>
                      <w:lang w:val="en-US" w:eastAsia="zh-CN"/>
                    </w:rPr>
                    <w:t>醇厚</w:t>
                  </w:r>
                  <w:r>
                    <w:rPr>
                      <w:rFonts w:hint="default"/>
                      <w:color w:val="auto"/>
                      <w:lang w:val="en-US" w:eastAsia="zh-CN"/>
                    </w:rPr>
                    <w:t>，</w:t>
                  </w:r>
                  <w:r>
                    <w:rPr>
                      <w:rFonts w:hint="eastAsia"/>
                      <w:color w:val="auto"/>
                      <w:lang w:val="en-US" w:eastAsia="zh-CN"/>
                    </w:rPr>
                    <w:t>杀口，</w:t>
                  </w:r>
                  <w:r>
                    <w:rPr>
                      <w:rFonts w:hint="default"/>
                      <w:color w:val="auto"/>
                      <w:lang w:val="en-US" w:eastAsia="zh-CN"/>
                    </w:rPr>
                    <w:t>柔和，无异</w:t>
                  </w:r>
                  <w:r>
                    <w:rPr>
                      <w:rFonts w:hint="eastAsia"/>
                      <w:color w:val="auto"/>
                      <w:lang w:val="en-US" w:eastAsia="zh-CN"/>
                    </w:rPr>
                    <w:t>味</w:t>
                  </w:r>
                </w:p>
              </w:tc>
              <w:tc>
                <w:tcPr>
                  <w:tcW w:w="2092" w:type="dxa"/>
                  <w:gridSpan w:val="2"/>
                  <w:vAlign w:val="center"/>
                </w:tcPr>
                <w:p w14:paraId="764AE968">
                  <w:pPr>
                    <w:pStyle w:val="29"/>
                    <w:bidi w:val="0"/>
                    <w:ind w:firstLine="0" w:firstLineChars="0"/>
                    <w:rPr>
                      <w:rFonts w:hint="default"/>
                      <w:color w:val="auto"/>
                      <w:lang w:val="en-US" w:eastAsia="zh-CN"/>
                    </w:rPr>
                  </w:pPr>
                  <w:r>
                    <w:rPr>
                      <w:rFonts w:hint="default"/>
                      <w:color w:val="auto"/>
                      <w:lang w:val="en-US" w:eastAsia="zh-CN"/>
                    </w:rPr>
                    <w:t>有较明显的</w:t>
                  </w:r>
                  <w:r>
                    <w:rPr>
                      <w:rFonts w:hint="eastAsia"/>
                      <w:color w:val="auto"/>
                      <w:lang w:val="en-US" w:eastAsia="zh-CN"/>
                    </w:rPr>
                    <w:t>麦芽</w:t>
                  </w:r>
                  <w:r>
                    <w:rPr>
                      <w:rFonts w:hint="default"/>
                      <w:color w:val="auto"/>
                      <w:lang w:val="en-US" w:eastAsia="zh-CN"/>
                    </w:rPr>
                    <w:t>香气，口味纯正，较爽口，</w:t>
                  </w:r>
                  <w:r>
                    <w:rPr>
                      <w:rFonts w:hint="eastAsia"/>
                      <w:color w:val="auto"/>
                      <w:lang w:val="en-US" w:eastAsia="zh-CN"/>
                    </w:rPr>
                    <w:t>杀口</w:t>
                  </w:r>
                  <w:r>
                    <w:rPr>
                      <w:rFonts w:hint="default"/>
                      <w:color w:val="auto"/>
                      <w:lang w:val="en-US" w:eastAsia="zh-CN"/>
                    </w:rPr>
                    <w:t>，无异</w:t>
                  </w:r>
                  <w:r>
                    <w:rPr>
                      <w:rFonts w:hint="eastAsia"/>
                      <w:color w:val="auto"/>
                      <w:lang w:val="en-US" w:eastAsia="zh-CN"/>
                    </w:rPr>
                    <w:t>味</w:t>
                  </w:r>
                </w:p>
              </w:tc>
            </w:tr>
            <w:tr w14:paraId="229C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856" w:type="dxa"/>
                  <w:gridSpan w:val="6"/>
                  <w:vAlign w:val="center"/>
                </w:tcPr>
                <w:p w14:paraId="750ED50D">
                  <w:pPr>
                    <w:pStyle w:val="29"/>
                    <w:bidi w:val="0"/>
                    <w:ind w:firstLine="0" w:firstLineChars="0"/>
                    <w:jc w:val="left"/>
                    <w:rPr>
                      <w:rFonts w:hint="default"/>
                      <w:color w:val="auto"/>
                      <w:lang w:val="en-US" w:eastAsia="zh-CN"/>
                    </w:rPr>
                  </w:pPr>
                  <w:r>
                    <w:rPr>
                      <w:rFonts w:hint="default"/>
                      <w:color w:val="auto"/>
                      <w:vertAlign w:val="superscript"/>
                      <w:lang w:val="en-US" w:eastAsia="zh-CN"/>
                    </w:rPr>
                    <w:t>a</w:t>
                  </w:r>
                  <w:r>
                    <w:rPr>
                      <w:rFonts w:hint="default"/>
                      <w:color w:val="auto"/>
                      <w:lang w:val="en-US" w:eastAsia="zh-CN"/>
                    </w:rPr>
                    <w:t>对非瓶装的“鲜啤酒”无要求。</w:t>
                  </w:r>
                </w:p>
                <w:p w14:paraId="1B1A2ACA">
                  <w:pPr>
                    <w:pStyle w:val="29"/>
                    <w:bidi w:val="0"/>
                    <w:ind w:firstLine="0" w:firstLineChars="0"/>
                    <w:jc w:val="left"/>
                    <w:rPr>
                      <w:rFonts w:hint="default"/>
                      <w:color w:val="auto"/>
                      <w:lang w:val="en-US" w:eastAsia="zh-CN"/>
                    </w:rPr>
                  </w:pPr>
                  <w:r>
                    <w:rPr>
                      <w:rFonts w:hint="default"/>
                      <w:color w:val="auto"/>
                      <w:vertAlign w:val="superscript"/>
                      <w:lang w:val="en-US" w:eastAsia="zh-CN"/>
                    </w:rPr>
                    <w:t>b</w:t>
                  </w:r>
                  <w:r>
                    <w:rPr>
                      <w:rFonts w:hint="default"/>
                      <w:color w:val="auto"/>
                      <w:lang w:val="en-US" w:eastAsia="zh-CN"/>
                    </w:rPr>
                    <w:t>对桶装（鲜、生、熟）啤酒无要求</w:t>
                  </w:r>
                  <w:r>
                    <w:rPr>
                      <w:rFonts w:hint="eastAsia"/>
                      <w:color w:val="auto"/>
                      <w:lang w:val="en-US" w:eastAsia="zh-CN"/>
                    </w:rPr>
                    <w:t>。</w:t>
                  </w:r>
                </w:p>
              </w:tc>
            </w:tr>
            <w:tr w14:paraId="3C9F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7856" w:type="dxa"/>
                  <w:gridSpan w:val="6"/>
                  <w:vAlign w:val="center"/>
                </w:tcPr>
                <w:p w14:paraId="66A9495D">
                  <w:pPr>
                    <w:pStyle w:val="29"/>
                    <w:bidi w:val="0"/>
                    <w:ind w:firstLine="0" w:firstLineChars="0"/>
                    <w:rPr>
                      <w:rFonts w:hint="default"/>
                      <w:color w:val="auto"/>
                      <w:lang w:val="en-US" w:eastAsia="zh-CN"/>
                    </w:rPr>
                  </w:pPr>
                  <w:r>
                    <w:rPr>
                      <w:rFonts w:hint="default"/>
                      <w:b/>
                      <w:bCs/>
                      <w:color w:val="auto"/>
                      <w:lang w:val="en-US" w:eastAsia="zh-CN"/>
                    </w:rPr>
                    <w:t>理化要求</w:t>
                  </w:r>
                </w:p>
              </w:tc>
            </w:tr>
            <w:tr w14:paraId="533B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3"/>
                  <w:vAlign w:val="center"/>
                </w:tcPr>
                <w:p w14:paraId="4498A3C0">
                  <w:pPr>
                    <w:pStyle w:val="29"/>
                    <w:bidi w:val="0"/>
                    <w:ind w:firstLine="0" w:firstLineChars="0"/>
                    <w:rPr>
                      <w:rFonts w:hint="default"/>
                      <w:color w:val="auto"/>
                      <w:lang w:val="en-US" w:eastAsia="zh-CN"/>
                    </w:rPr>
                  </w:pPr>
                  <w:r>
                    <w:rPr>
                      <w:rFonts w:hint="default"/>
                      <w:color w:val="auto"/>
                      <w:lang w:val="en-US" w:eastAsia="zh-CN"/>
                    </w:rPr>
                    <w:t>项目</w:t>
                  </w:r>
                </w:p>
              </w:tc>
              <w:tc>
                <w:tcPr>
                  <w:tcW w:w="2100" w:type="dxa"/>
                  <w:gridSpan w:val="2"/>
                  <w:vAlign w:val="center"/>
                </w:tcPr>
                <w:p w14:paraId="1F71558E">
                  <w:pPr>
                    <w:pStyle w:val="29"/>
                    <w:bidi w:val="0"/>
                    <w:ind w:firstLine="0" w:firstLineChars="0"/>
                    <w:rPr>
                      <w:rFonts w:hint="default"/>
                      <w:color w:val="auto"/>
                      <w:lang w:val="en-US" w:eastAsia="zh-CN"/>
                    </w:rPr>
                  </w:pPr>
                  <w:r>
                    <w:rPr>
                      <w:rFonts w:hint="default"/>
                      <w:color w:val="auto"/>
                      <w:lang w:val="en-US" w:eastAsia="zh-CN"/>
                    </w:rPr>
                    <w:t>优级</w:t>
                  </w:r>
                </w:p>
              </w:tc>
              <w:tc>
                <w:tcPr>
                  <w:tcW w:w="2074" w:type="dxa"/>
                  <w:vAlign w:val="center"/>
                </w:tcPr>
                <w:p w14:paraId="331F569E">
                  <w:pPr>
                    <w:pStyle w:val="29"/>
                    <w:bidi w:val="0"/>
                    <w:ind w:firstLine="0" w:firstLineChars="0"/>
                    <w:rPr>
                      <w:rFonts w:hint="default"/>
                      <w:color w:val="auto"/>
                      <w:lang w:val="en-US" w:eastAsia="zh-CN"/>
                    </w:rPr>
                  </w:pPr>
                  <w:r>
                    <w:rPr>
                      <w:rFonts w:hint="default"/>
                      <w:color w:val="auto"/>
                      <w:lang w:val="en-US" w:eastAsia="zh-CN"/>
                    </w:rPr>
                    <w:t>一级</w:t>
                  </w:r>
                </w:p>
              </w:tc>
            </w:tr>
            <w:tr w14:paraId="3D61F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restart"/>
                  <w:vAlign w:val="center"/>
                </w:tcPr>
                <w:p w14:paraId="7A3D9682">
                  <w:pPr>
                    <w:pStyle w:val="29"/>
                    <w:bidi w:val="0"/>
                    <w:ind w:firstLine="0" w:firstLineChars="0"/>
                    <w:rPr>
                      <w:rFonts w:hint="default"/>
                      <w:color w:val="auto"/>
                      <w:lang w:val="en-US" w:eastAsia="zh-CN"/>
                    </w:rPr>
                  </w:pPr>
                  <w:r>
                    <w:rPr>
                      <w:rFonts w:hint="default"/>
                      <w:color w:val="auto"/>
                      <w:lang w:val="en-US" w:eastAsia="zh-CN"/>
                    </w:rPr>
                    <w:t>酒精度</w:t>
                  </w:r>
                  <w:r>
                    <w:rPr>
                      <w:rFonts w:hint="default"/>
                      <w:color w:val="auto"/>
                      <w:vertAlign w:val="superscript"/>
                      <w:lang w:val="en-US" w:eastAsia="zh-CN"/>
                    </w:rPr>
                    <w:t>a</w:t>
                  </w:r>
                  <w:r>
                    <w:rPr>
                      <w:rFonts w:hint="default"/>
                      <w:color w:val="auto"/>
                      <w:lang w:val="en-US" w:eastAsia="zh-CN"/>
                    </w:rPr>
                    <w:t>/（%vol）</w:t>
                  </w:r>
                </w:p>
                <w:p w14:paraId="1602F559">
                  <w:pPr>
                    <w:pStyle w:val="29"/>
                    <w:bidi w:val="0"/>
                    <w:ind w:firstLine="0" w:firstLineChars="0"/>
                    <w:rPr>
                      <w:rFonts w:hint="default"/>
                      <w:color w:val="auto"/>
                      <w:lang w:val="en-US" w:eastAsia="zh-CN"/>
                    </w:rPr>
                  </w:pPr>
                  <w:r>
                    <w:rPr>
                      <w:rFonts w:hint="eastAsia"/>
                      <w:color w:val="auto"/>
                      <w:lang w:val="en-US" w:eastAsia="zh-CN"/>
                    </w:rPr>
                    <w:t>≥</w:t>
                  </w:r>
                </w:p>
              </w:tc>
              <w:tc>
                <w:tcPr>
                  <w:tcW w:w="2193" w:type="dxa"/>
                  <w:gridSpan w:val="2"/>
                  <w:vAlign w:val="center"/>
                </w:tcPr>
                <w:p w14:paraId="1DA48E56">
                  <w:pPr>
                    <w:pStyle w:val="29"/>
                    <w:bidi w:val="0"/>
                    <w:ind w:firstLine="0" w:firstLineChars="0"/>
                    <w:rPr>
                      <w:rFonts w:hint="default"/>
                      <w:color w:val="auto"/>
                      <w:lang w:val="en-US" w:eastAsia="zh-CN"/>
                    </w:rPr>
                  </w:pPr>
                  <w:r>
                    <w:rPr>
                      <w:rFonts w:hint="default"/>
                      <w:color w:val="auto"/>
                      <w:lang w:val="en-US" w:eastAsia="zh-CN"/>
                    </w:rPr>
                    <w:t>大于等于14.1°P</w:t>
                  </w:r>
                </w:p>
              </w:tc>
              <w:tc>
                <w:tcPr>
                  <w:tcW w:w="4174" w:type="dxa"/>
                  <w:gridSpan w:val="3"/>
                  <w:vAlign w:val="center"/>
                </w:tcPr>
                <w:p w14:paraId="6E70B727">
                  <w:pPr>
                    <w:pStyle w:val="29"/>
                    <w:bidi w:val="0"/>
                    <w:ind w:firstLine="0" w:firstLineChars="0"/>
                    <w:rPr>
                      <w:rFonts w:hint="default"/>
                      <w:color w:val="auto"/>
                      <w:lang w:val="en-US" w:eastAsia="zh-CN"/>
                    </w:rPr>
                  </w:pPr>
                  <w:r>
                    <w:rPr>
                      <w:rFonts w:hint="default"/>
                      <w:color w:val="auto"/>
                      <w:lang w:val="en-US" w:eastAsia="zh-CN"/>
                    </w:rPr>
                    <w:t>5.2</w:t>
                  </w:r>
                </w:p>
              </w:tc>
            </w:tr>
            <w:tr w14:paraId="1D78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39123190">
                  <w:pPr>
                    <w:pStyle w:val="29"/>
                    <w:bidi w:val="0"/>
                    <w:ind w:firstLine="0" w:firstLineChars="0"/>
                    <w:rPr>
                      <w:rFonts w:hint="default"/>
                      <w:color w:val="auto"/>
                      <w:lang w:val="en-US" w:eastAsia="zh-CN"/>
                    </w:rPr>
                  </w:pPr>
                </w:p>
              </w:tc>
              <w:tc>
                <w:tcPr>
                  <w:tcW w:w="2193" w:type="dxa"/>
                  <w:gridSpan w:val="2"/>
                  <w:vAlign w:val="center"/>
                </w:tcPr>
                <w:p w14:paraId="78275CD8">
                  <w:pPr>
                    <w:pStyle w:val="29"/>
                    <w:bidi w:val="0"/>
                    <w:ind w:firstLine="0" w:firstLineChars="0"/>
                    <w:rPr>
                      <w:rFonts w:hint="default"/>
                      <w:color w:val="auto"/>
                      <w:lang w:val="en-US" w:eastAsia="zh-CN"/>
                    </w:rPr>
                  </w:pPr>
                  <w:r>
                    <w:rPr>
                      <w:rFonts w:hint="default"/>
                      <w:color w:val="auto"/>
                      <w:lang w:val="en-US" w:eastAsia="zh-CN"/>
                    </w:rPr>
                    <w:t>12.1°P~14.0°P</w:t>
                  </w:r>
                </w:p>
              </w:tc>
              <w:tc>
                <w:tcPr>
                  <w:tcW w:w="4174" w:type="dxa"/>
                  <w:gridSpan w:val="3"/>
                  <w:vAlign w:val="center"/>
                </w:tcPr>
                <w:p w14:paraId="7A2AFD30">
                  <w:pPr>
                    <w:pStyle w:val="29"/>
                    <w:bidi w:val="0"/>
                    <w:ind w:firstLine="0" w:firstLineChars="0"/>
                    <w:rPr>
                      <w:rFonts w:hint="default"/>
                      <w:color w:val="auto"/>
                      <w:lang w:val="en-US" w:eastAsia="zh-CN"/>
                    </w:rPr>
                  </w:pPr>
                  <w:r>
                    <w:rPr>
                      <w:rFonts w:hint="default"/>
                      <w:color w:val="auto"/>
                      <w:lang w:val="en-US" w:eastAsia="zh-CN"/>
                    </w:rPr>
                    <w:t>4.5</w:t>
                  </w:r>
                </w:p>
              </w:tc>
            </w:tr>
            <w:tr w14:paraId="486B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5CF9BF01">
                  <w:pPr>
                    <w:pStyle w:val="29"/>
                    <w:bidi w:val="0"/>
                    <w:ind w:firstLine="0" w:firstLineChars="0"/>
                    <w:rPr>
                      <w:rFonts w:hint="default"/>
                      <w:color w:val="auto"/>
                      <w:lang w:val="en-US" w:eastAsia="zh-CN"/>
                    </w:rPr>
                  </w:pPr>
                </w:p>
              </w:tc>
              <w:tc>
                <w:tcPr>
                  <w:tcW w:w="2193" w:type="dxa"/>
                  <w:gridSpan w:val="2"/>
                  <w:vAlign w:val="center"/>
                </w:tcPr>
                <w:p w14:paraId="6B16D4A7">
                  <w:pPr>
                    <w:pStyle w:val="29"/>
                    <w:bidi w:val="0"/>
                    <w:ind w:firstLine="0" w:firstLineChars="0"/>
                    <w:rPr>
                      <w:rFonts w:hint="default"/>
                      <w:color w:val="auto"/>
                      <w:lang w:val="en-US" w:eastAsia="zh-CN"/>
                    </w:rPr>
                  </w:pPr>
                  <w:r>
                    <w:rPr>
                      <w:rFonts w:hint="default"/>
                      <w:color w:val="auto"/>
                      <w:lang w:val="en-US" w:eastAsia="zh-CN"/>
                    </w:rPr>
                    <w:t>11.1°P~12.0°P</w:t>
                  </w:r>
                </w:p>
              </w:tc>
              <w:tc>
                <w:tcPr>
                  <w:tcW w:w="4174" w:type="dxa"/>
                  <w:gridSpan w:val="3"/>
                  <w:vAlign w:val="center"/>
                </w:tcPr>
                <w:p w14:paraId="568D850A">
                  <w:pPr>
                    <w:pStyle w:val="29"/>
                    <w:bidi w:val="0"/>
                    <w:ind w:firstLine="0" w:firstLineChars="0"/>
                    <w:rPr>
                      <w:rFonts w:hint="default"/>
                      <w:color w:val="auto"/>
                      <w:lang w:val="en-US" w:eastAsia="zh-CN"/>
                    </w:rPr>
                  </w:pPr>
                  <w:r>
                    <w:rPr>
                      <w:rFonts w:hint="default"/>
                      <w:color w:val="auto"/>
                      <w:lang w:val="en-US" w:eastAsia="zh-CN"/>
                    </w:rPr>
                    <w:t>4.1</w:t>
                  </w:r>
                </w:p>
              </w:tc>
            </w:tr>
            <w:tr w14:paraId="6C212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1CE3E0BF">
                  <w:pPr>
                    <w:pStyle w:val="29"/>
                    <w:bidi w:val="0"/>
                    <w:ind w:firstLine="0" w:firstLineChars="0"/>
                    <w:rPr>
                      <w:rFonts w:hint="default"/>
                      <w:color w:val="auto"/>
                      <w:lang w:val="en-US" w:eastAsia="zh-CN"/>
                    </w:rPr>
                  </w:pPr>
                </w:p>
              </w:tc>
              <w:tc>
                <w:tcPr>
                  <w:tcW w:w="2193" w:type="dxa"/>
                  <w:gridSpan w:val="2"/>
                  <w:vAlign w:val="center"/>
                </w:tcPr>
                <w:p w14:paraId="6762B91D">
                  <w:pPr>
                    <w:pStyle w:val="29"/>
                    <w:bidi w:val="0"/>
                    <w:ind w:firstLine="0" w:firstLineChars="0"/>
                    <w:rPr>
                      <w:rFonts w:hint="default"/>
                      <w:color w:val="auto"/>
                      <w:lang w:val="en-US" w:eastAsia="zh-CN"/>
                    </w:rPr>
                  </w:pPr>
                  <w:r>
                    <w:rPr>
                      <w:rFonts w:hint="default"/>
                      <w:color w:val="auto"/>
                      <w:lang w:val="en-US" w:eastAsia="zh-CN"/>
                    </w:rPr>
                    <w:t>10.1°P~11.0°P</w:t>
                  </w:r>
                </w:p>
              </w:tc>
              <w:tc>
                <w:tcPr>
                  <w:tcW w:w="4174" w:type="dxa"/>
                  <w:gridSpan w:val="3"/>
                  <w:vAlign w:val="center"/>
                </w:tcPr>
                <w:p w14:paraId="2A11EA9E">
                  <w:pPr>
                    <w:pStyle w:val="29"/>
                    <w:bidi w:val="0"/>
                    <w:ind w:firstLine="0" w:firstLineChars="0"/>
                    <w:rPr>
                      <w:rFonts w:hint="default"/>
                      <w:color w:val="auto"/>
                      <w:lang w:val="en-US" w:eastAsia="zh-CN"/>
                    </w:rPr>
                  </w:pPr>
                  <w:r>
                    <w:rPr>
                      <w:rFonts w:hint="default"/>
                      <w:color w:val="auto"/>
                      <w:lang w:val="en-US" w:eastAsia="zh-CN"/>
                    </w:rPr>
                    <w:t>3.7</w:t>
                  </w:r>
                </w:p>
              </w:tc>
            </w:tr>
            <w:tr w14:paraId="3560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25DD90C5">
                  <w:pPr>
                    <w:pStyle w:val="29"/>
                    <w:bidi w:val="0"/>
                    <w:ind w:firstLine="0" w:firstLineChars="0"/>
                    <w:rPr>
                      <w:rFonts w:hint="default"/>
                      <w:color w:val="auto"/>
                      <w:lang w:val="en-US" w:eastAsia="zh-CN"/>
                    </w:rPr>
                  </w:pPr>
                </w:p>
              </w:tc>
              <w:tc>
                <w:tcPr>
                  <w:tcW w:w="2193" w:type="dxa"/>
                  <w:gridSpan w:val="2"/>
                  <w:vAlign w:val="center"/>
                </w:tcPr>
                <w:p w14:paraId="55B4129D">
                  <w:pPr>
                    <w:pStyle w:val="29"/>
                    <w:bidi w:val="0"/>
                    <w:ind w:firstLine="0" w:firstLineChars="0"/>
                    <w:rPr>
                      <w:rFonts w:hint="default"/>
                      <w:color w:val="auto"/>
                      <w:lang w:val="en-US" w:eastAsia="zh-CN"/>
                    </w:rPr>
                  </w:pPr>
                  <w:r>
                    <w:rPr>
                      <w:rFonts w:hint="default"/>
                      <w:color w:val="auto"/>
                      <w:lang w:val="en-US" w:eastAsia="zh-CN"/>
                    </w:rPr>
                    <w:t>8.1°P~10.0°P</w:t>
                  </w:r>
                </w:p>
              </w:tc>
              <w:tc>
                <w:tcPr>
                  <w:tcW w:w="4174" w:type="dxa"/>
                  <w:gridSpan w:val="3"/>
                  <w:vAlign w:val="center"/>
                </w:tcPr>
                <w:p w14:paraId="2FFAB7C9">
                  <w:pPr>
                    <w:pStyle w:val="29"/>
                    <w:bidi w:val="0"/>
                    <w:ind w:firstLine="0" w:firstLineChars="0"/>
                    <w:rPr>
                      <w:rFonts w:hint="default"/>
                      <w:color w:val="auto"/>
                      <w:lang w:val="en-US" w:eastAsia="zh-CN"/>
                    </w:rPr>
                  </w:pPr>
                  <w:r>
                    <w:rPr>
                      <w:rFonts w:hint="default"/>
                      <w:color w:val="auto"/>
                      <w:lang w:val="en-US" w:eastAsia="zh-CN"/>
                    </w:rPr>
                    <w:t>3.3</w:t>
                  </w:r>
                </w:p>
              </w:tc>
            </w:tr>
            <w:tr w14:paraId="6438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4CB0B172">
                  <w:pPr>
                    <w:pStyle w:val="29"/>
                    <w:bidi w:val="0"/>
                    <w:ind w:firstLine="0" w:firstLineChars="0"/>
                    <w:rPr>
                      <w:rFonts w:hint="default"/>
                      <w:color w:val="auto"/>
                      <w:lang w:val="en-US" w:eastAsia="zh-CN"/>
                    </w:rPr>
                  </w:pPr>
                </w:p>
              </w:tc>
              <w:tc>
                <w:tcPr>
                  <w:tcW w:w="2193" w:type="dxa"/>
                  <w:gridSpan w:val="2"/>
                  <w:vAlign w:val="center"/>
                </w:tcPr>
                <w:p w14:paraId="3235A21C">
                  <w:pPr>
                    <w:pStyle w:val="29"/>
                    <w:bidi w:val="0"/>
                    <w:ind w:firstLine="0" w:firstLineChars="0"/>
                    <w:rPr>
                      <w:rFonts w:hint="default"/>
                      <w:color w:val="auto"/>
                      <w:lang w:val="en-US" w:eastAsia="zh-CN"/>
                    </w:rPr>
                  </w:pPr>
                  <w:r>
                    <w:rPr>
                      <w:rFonts w:hint="default"/>
                      <w:color w:val="auto"/>
                      <w:lang w:val="en-US" w:eastAsia="zh-CN"/>
                    </w:rPr>
                    <w:t>小于等于8.0°P</w:t>
                  </w:r>
                </w:p>
              </w:tc>
              <w:tc>
                <w:tcPr>
                  <w:tcW w:w="4174" w:type="dxa"/>
                  <w:gridSpan w:val="3"/>
                  <w:vAlign w:val="center"/>
                </w:tcPr>
                <w:p w14:paraId="42986F81">
                  <w:pPr>
                    <w:pStyle w:val="29"/>
                    <w:bidi w:val="0"/>
                    <w:ind w:firstLine="0" w:firstLineChars="0"/>
                    <w:rPr>
                      <w:rFonts w:hint="default"/>
                      <w:color w:val="auto"/>
                      <w:lang w:val="en-US" w:eastAsia="zh-CN"/>
                    </w:rPr>
                  </w:pPr>
                  <w:r>
                    <w:rPr>
                      <w:rFonts w:hint="default"/>
                      <w:color w:val="auto"/>
                      <w:lang w:val="en-US" w:eastAsia="zh-CN"/>
                    </w:rPr>
                    <w:t>2.5</w:t>
                  </w:r>
                </w:p>
              </w:tc>
            </w:tr>
            <w:tr w14:paraId="3C81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3"/>
                  <w:vAlign w:val="center"/>
                </w:tcPr>
                <w:p w14:paraId="2E4B52FB">
                  <w:pPr>
                    <w:pStyle w:val="29"/>
                    <w:bidi w:val="0"/>
                    <w:ind w:firstLine="0" w:firstLineChars="0"/>
                    <w:rPr>
                      <w:rFonts w:hint="default"/>
                      <w:color w:val="auto"/>
                      <w:lang w:val="en-US" w:eastAsia="zh-CN"/>
                    </w:rPr>
                  </w:pPr>
                  <w:r>
                    <w:rPr>
                      <w:rFonts w:hint="default"/>
                      <w:color w:val="auto"/>
                      <w:lang w:val="en-US" w:eastAsia="zh-CN"/>
                    </w:rPr>
                    <w:t>原麦汁浓度</w:t>
                  </w:r>
                  <w:r>
                    <w:rPr>
                      <w:rFonts w:hint="default"/>
                      <w:color w:val="auto"/>
                      <w:vertAlign w:val="superscript"/>
                      <w:lang w:val="en-US" w:eastAsia="zh-CN"/>
                    </w:rPr>
                    <w:t>b</w:t>
                  </w:r>
                  <w:r>
                    <w:rPr>
                      <w:rFonts w:hint="default"/>
                      <w:color w:val="auto"/>
                      <w:lang w:val="en-US" w:eastAsia="zh-CN"/>
                    </w:rPr>
                    <w:t>/°P</w:t>
                  </w:r>
                </w:p>
              </w:tc>
              <w:tc>
                <w:tcPr>
                  <w:tcW w:w="4174" w:type="dxa"/>
                  <w:gridSpan w:val="3"/>
                  <w:vAlign w:val="center"/>
                </w:tcPr>
                <w:p w14:paraId="7EAFB5C4">
                  <w:pPr>
                    <w:pStyle w:val="29"/>
                    <w:bidi w:val="0"/>
                    <w:ind w:firstLine="0" w:firstLineChars="0"/>
                    <w:rPr>
                      <w:rFonts w:hint="default"/>
                      <w:color w:val="auto"/>
                      <w:lang w:val="en-US" w:eastAsia="zh-CN"/>
                    </w:rPr>
                  </w:pPr>
                  <w:r>
                    <w:rPr>
                      <w:rFonts w:hint="default"/>
                      <w:color w:val="auto"/>
                      <w:lang w:val="en-US" w:eastAsia="zh-CN"/>
                    </w:rPr>
                    <w:t>X</w:t>
                  </w:r>
                </w:p>
              </w:tc>
            </w:tr>
            <w:tr w14:paraId="16E1D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restart"/>
                  <w:vAlign w:val="center"/>
                </w:tcPr>
                <w:p w14:paraId="65A6D72D">
                  <w:pPr>
                    <w:pStyle w:val="29"/>
                    <w:bidi w:val="0"/>
                    <w:ind w:firstLine="0" w:firstLineChars="0"/>
                    <w:rPr>
                      <w:rFonts w:hint="default"/>
                      <w:color w:val="auto"/>
                      <w:lang w:val="en-US" w:eastAsia="zh-CN"/>
                    </w:rPr>
                  </w:pPr>
                  <w:r>
                    <w:rPr>
                      <w:rFonts w:hint="default"/>
                      <w:color w:val="auto"/>
                      <w:lang w:val="en-US" w:eastAsia="zh-CN"/>
                    </w:rPr>
                    <w:t>总酸/（mL/100mL）</w:t>
                  </w:r>
                </w:p>
                <w:p w14:paraId="7DBE674B">
                  <w:pPr>
                    <w:pStyle w:val="29"/>
                    <w:bidi w:val="0"/>
                    <w:ind w:firstLine="0" w:firstLineChars="0"/>
                    <w:rPr>
                      <w:rFonts w:hint="default"/>
                      <w:color w:val="auto"/>
                      <w:lang w:val="en-US" w:eastAsia="zh-CN"/>
                    </w:rPr>
                  </w:pPr>
                  <w:r>
                    <w:rPr>
                      <w:rFonts w:hint="eastAsia"/>
                      <w:color w:val="auto"/>
                      <w:lang w:val="en-US" w:eastAsia="zh-CN"/>
                    </w:rPr>
                    <w:t>≤</w:t>
                  </w:r>
                </w:p>
              </w:tc>
              <w:tc>
                <w:tcPr>
                  <w:tcW w:w="2193" w:type="dxa"/>
                  <w:gridSpan w:val="2"/>
                  <w:vAlign w:val="center"/>
                </w:tcPr>
                <w:p w14:paraId="6403B258">
                  <w:pPr>
                    <w:pStyle w:val="29"/>
                    <w:bidi w:val="0"/>
                    <w:ind w:firstLine="0" w:firstLineChars="0"/>
                    <w:rPr>
                      <w:rFonts w:hint="default"/>
                      <w:color w:val="auto"/>
                      <w:lang w:val="en-US" w:eastAsia="zh-CN"/>
                    </w:rPr>
                  </w:pPr>
                  <w:r>
                    <w:rPr>
                      <w:rFonts w:hint="default"/>
                      <w:color w:val="auto"/>
                      <w:lang w:val="en-US" w:eastAsia="zh-CN"/>
                    </w:rPr>
                    <w:t>大于等于14.1°P</w:t>
                  </w:r>
                </w:p>
              </w:tc>
              <w:tc>
                <w:tcPr>
                  <w:tcW w:w="4174" w:type="dxa"/>
                  <w:gridSpan w:val="3"/>
                  <w:vAlign w:val="center"/>
                </w:tcPr>
                <w:p w14:paraId="48EF7478">
                  <w:pPr>
                    <w:pStyle w:val="29"/>
                    <w:bidi w:val="0"/>
                    <w:ind w:firstLine="0" w:firstLineChars="0"/>
                    <w:rPr>
                      <w:rFonts w:hint="default"/>
                      <w:color w:val="auto"/>
                      <w:lang w:val="en-US" w:eastAsia="zh-CN"/>
                    </w:rPr>
                  </w:pPr>
                  <w:r>
                    <w:rPr>
                      <w:rFonts w:hint="eastAsia"/>
                      <w:color w:val="auto"/>
                      <w:lang w:val="en-US" w:eastAsia="zh-CN"/>
                    </w:rPr>
                    <w:t>4</w:t>
                  </w:r>
                  <w:r>
                    <w:rPr>
                      <w:rFonts w:hint="default"/>
                      <w:color w:val="auto"/>
                      <w:lang w:val="en-US" w:eastAsia="zh-CN"/>
                    </w:rPr>
                    <w:t>.0</w:t>
                  </w:r>
                </w:p>
              </w:tc>
            </w:tr>
            <w:tr w14:paraId="5247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7200857A">
                  <w:pPr>
                    <w:pStyle w:val="29"/>
                    <w:bidi w:val="0"/>
                    <w:ind w:firstLine="0" w:firstLineChars="0"/>
                    <w:rPr>
                      <w:rFonts w:hint="default"/>
                      <w:color w:val="auto"/>
                      <w:lang w:val="en-US" w:eastAsia="zh-CN"/>
                    </w:rPr>
                  </w:pPr>
                </w:p>
              </w:tc>
              <w:tc>
                <w:tcPr>
                  <w:tcW w:w="2193" w:type="dxa"/>
                  <w:gridSpan w:val="2"/>
                  <w:vAlign w:val="center"/>
                </w:tcPr>
                <w:p w14:paraId="3C1F8E13">
                  <w:pPr>
                    <w:pStyle w:val="29"/>
                    <w:bidi w:val="0"/>
                    <w:ind w:firstLine="0" w:firstLineChars="0"/>
                    <w:rPr>
                      <w:rFonts w:hint="default"/>
                      <w:color w:val="auto"/>
                      <w:lang w:val="en-US" w:eastAsia="zh-CN"/>
                    </w:rPr>
                  </w:pPr>
                  <w:r>
                    <w:rPr>
                      <w:rFonts w:hint="default"/>
                      <w:color w:val="auto"/>
                      <w:lang w:val="en-US" w:eastAsia="zh-CN"/>
                    </w:rPr>
                    <w:t>10.1°P~14.0°P</w:t>
                  </w:r>
                </w:p>
              </w:tc>
              <w:tc>
                <w:tcPr>
                  <w:tcW w:w="4174" w:type="dxa"/>
                  <w:gridSpan w:val="3"/>
                  <w:vAlign w:val="center"/>
                </w:tcPr>
                <w:p w14:paraId="09FB2C69">
                  <w:pPr>
                    <w:pStyle w:val="29"/>
                    <w:bidi w:val="0"/>
                    <w:ind w:firstLine="0" w:firstLineChars="0"/>
                    <w:rPr>
                      <w:rFonts w:hint="default"/>
                      <w:color w:val="auto"/>
                      <w:lang w:val="en-US" w:eastAsia="zh-CN"/>
                    </w:rPr>
                  </w:pPr>
                  <w:r>
                    <w:rPr>
                      <w:rFonts w:hint="default"/>
                      <w:color w:val="auto"/>
                      <w:lang w:val="en-US" w:eastAsia="zh-CN"/>
                    </w:rPr>
                    <w:t>2.6</w:t>
                  </w:r>
                </w:p>
              </w:tc>
            </w:tr>
            <w:tr w14:paraId="2968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489" w:type="dxa"/>
                  <w:vMerge w:val="continue"/>
                  <w:vAlign w:val="center"/>
                </w:tcPr>
                <w:p w14:paraId="3C02507A">
                  <w:pPr>
                    <w:pStyle w:val="29"/>
                    <w:bidi w:val="0"/>
                    <w:ind w:firstLine="0" w:firstLineChars="0"/>
                    <w:rPr>
                      <w:rFonts w:hint="default"/>
                      <w:color w:val="auto"/>
                      <w:lang w:val="en-US" w:eastAsia="zh-CN"/>
                    </w:rPr>
                  </w:pPr>
                </w:p>
              </w:tc>
              <w:tc>
                <w:tcPr>
                  <w:tcW w:w="2193" w:type="dxa"/>
                  <w:gridSpan w:val="2"/>
                  <w:vAlign w:val="center"/>
                </w:tcPr>
                <w:p w14:paraId="6F38CA8A">
                  <w:pPr>
                    <w:pStyle w:val="29"/>
                    <w:bidi w:val="0"/>
                    <w:ind w:firstLine="0" w:firstLineChars="0"/>
                    <w:rPr>
                      <w:rFonts w:hint="default"/>
                      <w:color w:val="auto"/>
                      <w:lang w:val="en-US" w:eastAsia="zh-CN"/>
                    </w:rPr>
                  </w:pPr>
                  <w:r>
                    <w:rPr>
                      <w:rFonts w:hint="default"/>
                      <w:color w:val="auto"/>
                      <w:lang w:val="en-US" w:eastAsia="zh-CN"/>
                    </w:rPr>
                    <w:t>小于等于10.0°P</w:t>
                  </w:r>
                </w:p>
              </w:tc>
              <w:tc>
                <w:tcPr>
                  <w:tcW w:w="4174" w:type="dxa"/>
                  <w:gridSpan w:val="3"/>
                  <w:vAlign w:val="center"/>
                </w:tcPr>
                <w:p w14:paraId="040ABE8B">
                  <w:pPr>
                    <w:pStyle w:val="29"/>
                    <w:bidi w:val="0"/>
                    <w:ind w:firstLine="0" w:firstLineChars="0"/>
                    <w:rPr>
                      <w:rFonts w:hint="default"/>
                      <w:color w:val="auto"/>
                      <w:lang w:val="en-US" w:eastAsia="zh-CN"/>
                    </w:rPr>
                  </w:pPr>
                  <w:r>
                    <w:rPr>
                      <w:rFonts w:hint="default"/>
                      <w:color w:val="auto"/>
                      <w:lang w:val="en-US" w:eastAsia="zh-CN"/>
                    </w:rPr>
                    <w:t>2.2</w:t>
                  </w:r>
                </w:p>
              </w:tc>
            </w:tr>
            <w:tr w14:paraId="5204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3"/>
                  <w:vAlign w:val="center"/>
                </w:tcPr>
                <w:p w14:paraId="3508BBA5">
                  <w:pPr>
                    <w:pStyle w:val="29"/>
                    <w:bidi w:val="0"/>
                    <w:ind w:firstLine="0" w:firstLineChars="0"/>
                    <w:rPr>
                      <w:rFonts w:hint="default"/>
                      <w:color w:val="auto"/>
                      <w:lang w:val="en-US" w:eastAsia="zh-CN"/>
                    </w:rPr>
                  </w:pPr>
                  <w:r>
                    <w:rPr>
                      <w:rFonts w:hint="default"/>
                      <w:color w:val="auto"/>
                      <w:lang w:val="en-US" w:eastAsia="zh-CN"/>
                    </w:rPr>
                    <w:t>二氧化碳c/%（质量分数）</w:t>
                  </w:r>
                </w:p>
              </w:tc>
              <w:tc>
                <w:tcPr>
                  <w:tcW w:w="4174" w:type="dxa"/>
                  <w:gridSpan w:val="3"/>
                  <w:vAlign w:val="center"/>
                </w:tcPr>
                <w:p w14:paraId="653AF1A8">
                  <w:pPr>
                    <w:pStyle w:val="29"/>
                    <w:bidi w:val="0"/>
                    <w:ind w:firstLine="0" w:firstLineChars="0"/>
                    <w:rPr>
                      <w:rFonts w:hint="default"/>
                      <w:color w:val="auto"/>
                      <w:lang w:val="en-US" w:eastAsia="zh-CN"/>
                    </w:rPr>
                  </w:pPr>
                  <w:r>
                    <w:rPr>
                      <w:rFonts w:hint="default"/>
                      <w:color w:val="auto"/>
                      <w:lang w:val="en-US" w:eastAsia="zh-CN"/>
                    </w:rPr>
                    <w:t>0.35~0.65</w:t>
                  </w:r>
                </w:p>
              </w:tc>
            </w:tr>
            <w:tr w14:paraId="272F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3"/>
                  <w:vAlign w:val="center"/>
                </w:tcPr>
                <w:p w14:paraId="0783034D">
                  <w:pPr>
                    <w:pStyle w:val="29"/>
                    <w:bidi w:val="0"/>
                    <w:ind w:firstLine="0" w:firstLineChars="0"/>
                    <w:rPr>
                      <w:rFonts w:hint="default"/>
                      <w:color w:val="auto"/>
                      <w:lang w:val="en-US" w:eastAsia="zh-CN"/>
                    </w:rPr>
                  </w:pPr>
                  <w:r>
                    <w:rPr>
                      <w:rFonts w:hint="default"/>
                      <w:color w:val="auto"/>
                      <w:lang w:val="en-US" w:eastAsia="zh-CN"/>
                    </w:rPr>
                    <w:t xml:space="preserve">双乙酰/（mg/L）  </w:t>
                  </w:r>
                  <w:r>
                    <w:rPr>
                      <w:rFonts w:hint="eastAsia"/>
                      <w:color w:val="auto"/>
                      <w:lang w:val="en-US" w:eastAsia="zh-CN"/>
                    </w:rPr>
                    <w:t>≤</w:t>
                  </w:r>
                </w:p>
              </w:tc>
              <w:tc>
                <w:tcPr>
                  <w:tcW w:w="2100" w:type="dxa"/>
                  <w:gridSpan w:val="2"/>
                  <w:vAlign w:val="center"/>
                </w:tcPr>
                <w:p w14:paraId="7C50D660">
                  <w:pPr>
                    <w:pStyle w:val="29"/>
                    <w:bidi w:val="0"/>
                    <w:ind w:firstLine="0" w:firstLineChars="0"/>
                    <w:rPr>
                      <w:rFonts w:hint="default"/>
                      <w:color w:val="auto"/>
                      <w:lang w:val="en-US" w:eastAsia="zh-CN"/>
                    </w:rPr>
                  </w:pPr>
                  <w:r>
                    <w:rPr>
                      <w:rFonts w:hint="default"/>
                      <w:color w:val="auto"/>
                      <w:lang w:val="en-US" w:eastAsia="zh-CN"/>
                    </w:rPr>
                    <w:t>0.10</w:t>
                  </w:r>
                </w:p>
              </w:tc>
              <w:tc>
                <w:tcPr>
                  <w:tcW w:w="2074" w:type="dxa"/>
                  <w:vAlign w:val="center"/>
                </w:tcPr>
                <w:p w14:paraId="70BCA72B">
                  <w:pPr>
                    <w:pStyle w:val="29"/>
                    <w:bidi w:val="0"/>
                    <w:ind w:firstLine="0" w:firstLineChars="0"/>
                    <w:rPr>
                      <w:rFonts w:hint="default"/>
                      <w:color w:val="auto"/>
                      <w:lang w:val="en-US" w:eastAsia="zh-CN"/>
                    </w:rPr>
                  </w:pPr>
                  <w:r>
                    <w:rPr>
                      <w:rFonts w:hint="default"/>
                      <w:color w:val="auto"/>
                      <w:lang w:val="en-US" w:eastAsia="zh-CN"/>
                    </w:rPr>
                    <w:t>0.15</w:t>
                  </w:r>
                </w:p>
              </w:tc>
            </w:tr>
            <w:tr w14:paraId="4361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3682" w:type="dxa"/>
                  <w:gridSpan w:val="3"/>
                  <w:vAlign w:val="center"/>
                </w:tcPr>
                <w:p w14:paraId="56F468E2">
                  <w:pPr>
                    <w:pStyle w:val="29"/>
                    <w:bidi w:val="0"/>
                    <w:ind w:firstLine="0" w:firstLineChars="0"/>
                    <w:rPr>
                      <w:rFonts w:hint="default"/>
                      <w:color w:val="auto"/>
                      <w:lang w:val="en-US" w:eastAsia="zh-CN"/>
                    </w:rPr>
                  </w:pPr>
                  <w:r>
                    <w:rPr>
                      <w:rFonts w:hint="default"/>
                      <w:color w:val="auto"/>
                      <w:lang w:val="en-US" w:eastAsia="zh-CN"/>
                    </w:rPr>
                    <w:t>蔗糖转化酶活性</w:t>
                  </w:r>
                  <w:r>
                    <w:rPr>
                      <w:rFonts w:hint="default"/>
                      <w:color w:val="auto"/>
                      <w:vertAlign w:val="superscript"/>
                      <w:lang w:val="en-US" w:eastAsia="zh-CN"/>
                    </w:rPr>
                    <w:t>d</w:t>
                  </w:r>
                </w:p>
              </w:tc>
              <w:tc>
                <w:tcPr>
                  <w:tcW w:w="4174" w:type="dxa"/>
                  <w:gridSpan w:val="3"/>
                  <w:vAlign w:val="center"/>
                </w:tcPr>
                <w:p w14:paraId="4426BD23">
                  <w:pPr>
                    <w:pStyle w:val="29"/>
                    <w:bidi w:val="0"/>
                    <w:ind w:firstLine="0" w:firstLineChars="0"/>
                    <w:rPr>
                      <w:rFonts w:hint="default"/>
                      <w:color w:val="auto"/>
                      <w:lang w:val="en-US" w:eastAsia="zh-CN"/>
                    </w:rPr>
                  </w:pPr>
                  <w:r>
                    <w:rPr>
                      <w:rFonts w:hint="default"/>
                      <w:color w:val="auto"/>
                      <w:lang w:val="en-US" w:eastAsia="zh-CN"/>
                    </w:rPr>
                    <w:t>呈阳性</w:t>
                  </w:r>
                </w:p>
              </w:tc>
            </w:tr>
            <w:tr w14:paraId="3806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856" w:type="dxa"/>
                  <w:gridSpan w:val="6"/>
                  <w:vAlign w:val="center"/>
                </w:tcPr>
                <w:p w14:paraId="0259A435">
                  <w:pPr>
                    <w:pStyle w:val="29"/>
                    <w:bidi w:val="0"/>
                    <w:ind w:firstLine="0" w:firstLineChars="0"/>
                    <w:jc w:val="left"/>
                    <w:rPr>
                      <w:rFonts w:hint="default"/>
                      <w:color w:val="auto"/>
                      <w:lang w:val="en-US" w:eastAsia="zh-CN"/>
                    </w:rPr>
                  </w:pPr>
                  <w:r>
                    <w:rPr>
                      <w:rFonts w:hint="default"/>
                      <w:color w:val="auto"/>
                      <w:vertAlign w:val="superscript"/>
                      <w:lang w:val="en-US" w:eastAsia="zh-CN"/>
                    </w:rPr>
                    <w:t>a</w:t>
                  </w:r>
                  <w:r>
                    <w:rPr>
                      <w:rFonts w:hint="default"/>
                      <w:color w:val="auto"/>
                      <w:lang w:val="en-US" w:eastAsia="zh-CN"/>
                    </w:rPr>
                    <w:t>不包括低醇啤酒、无醇啤酒。</w:t>
                  </w:r>
                </w:p>
                <w:p w14:paraId="33520F8B">
                  <w:pPr>
                    <w:pStyle w:val="29"/>
                    <w:bidi w:val="0"/>
                    <w:ind w:firstLine="0" w:firstLineChars="0"/>
                    <w:jc w:val="left"/>
                    <w:rPr>
                      <w:rFonts w:hint="default"/>
                      <w:color w:val="auto"/>
                      <w:lang w:val="en-US" w:eastAsia="zh-CN"/>
                    </w:rPr>
                  </w:pPr>
                  <w:r>
                    <w:rPr>
                      <w:rFonts w:hint="default"/>
                      <w:color w:val="auto"/>
                      <w:vertAlign w:val="superscript"/>
                      <w:lang w:val="en-US" w:eastAsia="zh-CN"/>
                    </w:rPr>
                    <w:t>b</w:t>
                  </w:r>
                  <w:r>
                    <w:rPr>
                      <w:rFonts w:hint="default"/>
                      <w:color w:val="auto"/>
                      <w:lang w:val="en-US" w:eastAsia="zh-CN"/>
                    </w:rPr>
                    <w:t>“X”为标签上标注的原麦汁浓度，≥10.0°P允许负偏差为“-0.3”、&lt;10.0°P允许负偏差为“-0.2”。</w:t>
                  </w:r>
                </w:p>
                <w:p w14:paraId="6AF151BD">
                  <w:pPr>
                    <w:pStyle w:val="29"/>
                    <w:bidi w:val="0"/>
                    <w:ind w:firstLine="0" w:firstLineChars="0"/>
                    <w:jc w:val="left"/>
                    <w:rPr>
                      <w:rFonts w:hint="default"/>
                      <w:color w:val="auto"/>
                      <w:lang w:val="en-US" w:eastAsia="zh-CN"/>
                    </w:rPr>
                  </w:pPr>
                  <w:r>
                    <w:rPr>
                      <w:rFonts w:hint="default"/>
                      <w:color w:val="auto"/>
                      <w:vertAlign w:val="superscript"/>
                      <w:lang w:val="en-US" w:eastAsia="zh-CN"/>
                    </w:rPr>
                    <w:t>c</w:t>
                  </w:r>
                  <w:r>
                    <w:rPr>
                      <w:rFonts w:hint="default"/>
                      <w:color w:val="auto"/>
                      <w:lang w:val="en-US" w:eastAsia="zh-CN"/>
                    </w:rPr>
                    <w:t>桶装（鲜、生、熟）啤酒二氧化碳不得小于0.25%（质量分数）。</w:t>
                  </w:r>
                </w:p>
                <w:p w14:paraId="39142613">
                  <w:pPr>
                    <w:pStyle w:val="29"/>
                    <w:bidi w:val="0"/>
                    <w:ind w:firstLine="0" w:firstLineChars="0"/>
                    <w:jc w:val="left"/>
                    <w:rPr>
                      <w:rFonts w:hint="default"/>
                      <w:color w:val="auto"/>
                      <w:lang w:val="en-US" w:eastAsia="zh-CN"/>
                    </w:rPr>
                  </w:pPr>
                  <w:r>
                    <w:rPr>
                      <w:rFonts w:hint="default"/>
                      <w:color w:val="auto"/>
                      <w:vertAlign w:val="superscript"/>
                      <w:lang w:val="en-US" w:eastAsia="zh-CN"/>
                    </w:rPr>
                    <w:t>d</w:t>
                  </w:r>
                  <w:r>
                    <w:rPr>
                      <w:rFonts w:hint="default"/>
                      <w:color w:val="auto"/>
                      <w:lang w:val="en-US" w:eastAsia="zh-CN"/>
                    </w:rPr>
                    <w:t>仅对“生啤酒”和“鲜啤酒”有要求。</w:t>
                  </w:r>
                </w:p>
              </w:tc>
            </w:tr>
          </w:tbl>
          <w:p w14:paraId="749D1AB4">
            <w:pPr>
              <w:ind w:left="0" w:leftChars="0" w:firstLine="0" w:firstLineChars="0"/>
              <w:rPr>
                <w:rFonts w:hint="default"/>
                <w:b/>
                <w:bCs/>
                <w:color w:val="auto"/>
              </w:rPr>
            </w:pPr>
            <w:r>
              <w:rPr>
                <w:rFonts w:hint="eastAsia"/>
                <w:b/>
                <w:bCs/>
                <w:color w:val="auto"/>
                <w:lang w:val="en-US" w:eastAsia="zh-CN"/>
              </w:rPr>
              <w:t>3、</w:t>
            </w:r>
            <w:r>
              <w:rPr>
                <w:b/>
                <w:bCs/>
                <w:color w:val="auto"/>
              </w:rPr>
              <w:t>主要生产设施及设施参数</w:t>
            </w:r>
          </w:p>
          <w:p w14:paraId="565939AB">
            <w:pPr>
              <w:ind w:firstLine="480"/>
              <w:rPr>
                <w:color w:val="auto"/>
              </w:rPr>
            </w:pPr>
            <w:r>
              <w:rPr>
                <w:rFonts w:hint="eastAsia"/>
                <w:color w:val="auto"/>
              </w:rPr>
              <w:t>本项目主要生产设备见下表。</w:t>
            </w:r>
          </w:p>
          <w:p w14:paraId="52F1C80A">
            <w:pPr>
              <w:pStyle w:val="30"/>
              <w:rPr>
                <w:rFonts w:hint="default"/>
                <w:color w:val="auto"/>
                <w:highlight w:val="none"/>
              </w:rPr>
            </w:pPr>
            <w:r>
              <w:rPr>
                <w:color w:val="auto"/>
                <w:highlight w:val="none"/>
              </w:rPr>
              <w:t>表2-</w:t>
            </w:r>
            <w:r>
              <w:rPr>
                <w:rFonts w:hint="eastAsia"/>
                <w:color w:val="auto"/>
                <w:highlight w:val="none"/>
                <w:lang w:val="en-US" w:eastAsia="zh-CN"/>
              </w:rPr>
              <w:t>5</w:t>
            </w:r>
            <w:r>
              <w:rPr>
                <w:color w:val="auto"/>
                <w:highlight w:val="none"/>
              </w:rPr>
              <w:t xml:space="preserve">  项目生产设备及主要技术参数一览表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3"/>
              <w:gridCol w:w="1814"/>
              <w:gridCol w:w="1716"/>
              <w:gridCol w:w="592"/>
              <w:gridCol w:w="508"/>
              <w:gridCol w:w="1557"/>
              <w:gridCol w:w="1183"/>
            </w:tblGrid>
            <w:tr w14:paraId="17E68E22">
              <w:tblPrEx>
                <w:tblCellMar>
                  <w:top w:w="0" w:type="dxa"/>
                  <w:left w:w="108" w:type="dxa"/>
                  <w:bottom w:w="0" w:type="dxa"/>
                  <w:right w:w="108" w:type="dxa"/>
                </w:tblCellMar>
              </w:tblPrEx>
              <w:trPr>
                <w:jc w:val="center"/>
              </w:trPr>
              <w:tc>
                <w:tcPr>
                  <w:tcW w:w="301" w:type="pct"/>
                  <w:vAlign w:val="center"/>
                </w:tcPr>
                <w:p w14:paraId="015ED5EB">
                  <w:pPr>
                    <w:pStyle w:val="29"/>
                    <w:bidi w:val="0"/>
                    <w:ind w:firstLine="0" w:firstLineChars="0"/>
                    <w:rPr>
                      <w:rFonts w:hint="default"/>
                      <w:color w:val="auto"/>
                      <w:lang w:val="en-US" w:eastAsia="zh-CN"/>
                    </w:rPr>
                  </w:pPr>
                  <w:r>
                    <w:rPr>
                      <w:rFonts w:hint="default"/>
                      <w:color w:val="auto"/>
                      <w:lang w:val="en-US" w:eastAsia="zh-CN"/>
                    </w:rPr>
                    <w:t>序号</w:t>
                  </w:r>
                </w:p>
              </w:tc>
              <w:tc>
                <w:tcPr>
                  <w:tcW w:w="1156" w:type="pct"/>
                  <w:vAlign w:val="center"/>
                </w:tcPr>
                <w:p w14:paraId="605C80A6">
                  <w:pPr>
                    <w:pStyle w:val="29"/>
                    <w:bidi w:val="0"/>
                    <w:ind w:firstLine="0" w:firstLineChars="0"/>
                    <w:rPr>
                      <w:rFonts w:hint="default"/>
                      <w:color w:val="auto"/>
                      <w:lang w:val="en-US" w:eastAsia="zh-CN"/>
                    </w:rPr>
                  </w:pPr>
                  <w:r>
                    <w:rPr>
                      <w:rFonts w:hint="default"/>
                      <w:color w:val="auto"/>
                      <w:lang w:val="en-US" w:eastAsia="zh-CN"/>
                    </w:rPr>
                    <w:t>设备名称</w:t>
                  </w:r>
                </w:p>
              </w:tc>
              <w:tc>
                <w:tcPr>
                  <w:tcW w:w="1093" w:type="pct"/>
                  <w:vAlign w:val="center"/>
                </w:tcPr>
                <w:p w14:paraId="2F79E55C">
                  <w:pPr>
                    <w:pStyle w:val="29"/>
                    <w:bidi w:val="0"/>
                    <w:ind w:firstLine="0" w:firstLineChars="0"/>
                    <w:rPr>
                      <w:rFonts w:hint="default"/>
                      <w:color w:val="auto"/>
                      <w:lang w:val="en-US" w:eastAsia="zh-CN"/>
                    </w:rPr>
                  </w:pPr>
                  <w:r>
                    <w:rPr>
                      <w:rFonts w:hint="default"/>
                      <w:color w:val="auto"/>
                      <w:lang w:val="en-US" w:eastAsia="zh-CN"/>
                    </w:rPr>
                    <w:t>规格型号</w:t>
                  </w:r>
                </w:p>
              </w:tc>
              <w:tc>
                <w:tcPr>
                  <w:tcW w:w="377" w:type="pct"/>
                  <w:vAlign w:val="center"/>
                </w:tcPr>
                <w:p w14:paraId="30C16087">
                  <w:pPr>
                    <w:pStyle w:val="29"/>
                    <w:bidi w:val="0"/>
                    <w:ind w:firstLine="0" w:firstLineChars="0"/>
                    <w:rPr>
                      <w:rFonts w:hint="eastAsia"/>
                      <w:color w:val="auto"/>
                      <w:lang w:val="en-US" w:eastAsia="zh-CN"/>
                    </w:rPr>
                  </w:pPr>
                  <w:r>
                    <w:rPr>
                      <w:rFonts w:hint="eastAsia"/>
                      <w:color w:val="auto"/>
                      <w:lang w:val="en-US" w:eastAsia="zh-CN"/>
                    </w:rPr>
                    <w:t>数量</w:t>
                  </w:r>
                </w:p>
              </w:tc>
              <w:tc>
                <w:tcPr>
                  <w:tcW w:w="323" w:type="pct"/>
                  <w:vAlign w:val="center"/>
                </w:tcPr>
                <w:p w14:paraId="4E37D049">
                  <w:pPr>
                    <w:pStyle w:val="29"/>
                    <w:bidi w:val="0"/>
                    <w:ind w:firstLine="0" w:firstLineChars="0"/>
                    <w:rPr>
                      <w:rFonts w:hint="eastAsia"/>
                      <w:color w:val="auto"/>
                      <w:lang w:val="en-US" w:eastAsia="zh-CN"/>
                    </w:rPr>
                  </w:pPr>
                  <w:r>
                    <w:rPr>
                      <w:rFonts w:hint="eastAsia"/>
                      <w:color w:val="auto"/>
                      <w:lang w:val="en-US" w:eastAsia="zh-CN"/>
                    </w:rPr>
                    <w:t>单位</w:t>
                  </w:r>
                </w:p>
              </w:tc>
              <w:tc>
                <w:tcPr>
                  <w:tcW w:w="992" w:type="pct"/>
                  <w:vAlign w:val="center"/>
                </w:tcPr>
                <w:p w14:paraId="0C52314F">
                  <w:pPr>
                    <w:pStyle w:val="29"/>
                    <w:bidi w:val="0"/>
                    <w:ind w:firstLine="0" w:firstLineChars="0"/>
                    <w:rPr>
                      <w:rFonts w:hint="eastAsia"/>
                      <w:color w:val="auto"/>
                      <w:lang w:val="en-US" w:eastAsia="zh-CN"/>
                    </w:rPr>
                  </w:pPr>
                  <w:r>
                    <w:rPr>
                      <w:rFonts w:hint="eastAsia"/>
                      <w:color w:val="auto"/>
                      <w:lang w:val="en-US" w:eastAsia="zh-CN"/>
                    </w:rPr>
                    <w:t>用途</w:t>
                  </w:r>
                </w:p>
              </w:tc>
              <w:tc>
                <w:tcPr>
                  <w:tcW w:w="754" w:type="pct"/>
                  <w:vAlign w:val="center"/>
                </w:tcPr>
                <w:p w14:paraId="0AC268E3">
                  <w:pPr>
                    <w:pStyle w:val="29"/>
                    <w:bidi w:val="0"/>
                    <w:ind w:firstLine="0" w:firstLineChars="0"/>
                    <w:rPr>
                      <w:rFonts w:hint="default"/>
                      <w:color w:val="auto"/>
                      <w:lang w:val="en-US" w:eastAsia="zh-CN"/>
                    </w:rPr>
                  </w:pPr>
                  <w:r>
                    <w:rPr>
                      <w:rFonts w:hint="eastAsia"/>
                      <w:color w:val="auto"/>
                      <w:lang w:val="en-US" w:eastAsia="zh-CN"/>
                    </w:rPr>
                    <w:t>位置</w:t>
                  </w:r>
                </w:p>
              </w:tc>
            </w:tr>
            <w:tr w14:paraId="428A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vAlign w:val="center"/>
                </w:tcPr>
                <w:p w14:paraId="29FB368D">
                  <w:pPr>
                    <w:pStyle w:val="29"/>
                    <w:bidi w:val="0"/>
                    <w:ind w:firstLine="0" w:firstLineChars="0"/>
                    <w:rPr>
                      <w:rFonts w:hint="default"/>
                      <w:color w:val="auto"/>
                      <w:lang w:val="en-US" w:eastAsia="zh-CN"/>
                    </w:rPr>
                  </w:pPr>
                  <w:r>
                    <w:rPr>
                      <w:rFonts w:hint="eastAsia"/>
                      <w:color w:val="auto"/>
                      <w:lang w:val="en-US" w:eastAsia="zh-CN"/>
                    </w:rPr>
                    <w:t>啤酒生产设备</w:t>
                  </w:r>
                </w:p>
              </w:tc>
            </w:tr>
            <w:tr w14:paraId="2A58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vAlign w:val="center"/>
                </w:tcPr>
                <w:p w14:paraId="048141DA">
                  <w:pPr>
                    <w:pStyle w:val="29"/>
                    <w:bidi w:val="0"/>
                    <w:ind w:firstLine="0" w:firstLineChars="0"/>
                    <w:rPr>
                      <w:rFonts w:hint="default"/>
                      <w:color w:val="auto"/>
                      <w:lang w:val="en-US" w:eastAsia="zh-CN"/>
                    </w:rPr>
                  </w:pPr>
                  <w:r>
                    <w:rPr>
                      <w:rFonts w:hint="default"/>
                      <w:color w:val="auto"/>
                      <w:lang w:val="en-US" w:eastAsia="zh-CN"/>
                    </w:rPr>
                    <w:t>1</w:t>
                  </w:r>
                </w:p>
              </w:tc>
              <w:tc>
                <w:tcPr>
                  <w:tcW w:w="1156" w:type="pct"/>
                  <w:shd w:val="clear" w:color="auto" w:fill="auto"/>
                  <w:vAlign w:val="top"/>
                </w:tcPr>
                <w:p w14:paraId="7A5B6532">
                  <w:pPr>
                    <w:pStyle w:val="29"/>
                    <w:bidi w:val="0"/>
                    <w:ind w:firstLine="0" w:firstLineChars="0"/>
                    <w:rPr>
                      <w:rFonts w:hint="eastAsia"/>
                      <w:color w:val="auto"/>
                      <w:lang w:val="en-US" w:eastAsia="zh-CN"/>
                    </w:rPr>
                  </w:pPr>
                  <w:r>
                    <w:rPr>
                      <w:rFonts w:hint="eastAsia"/>
                      <w:color w:val="auto"/>
                      <w:lang w:val="en-US" w:eastAsia="zh-CN"/>
                    </w:rPr>
                    <w:t>粉碎机</w:t>
                  </w:r>
                </w:p>
              </w:tc>
              <w:tc>
                <w:tcPr>
                  <w:tcW w:w="1093" w:type="pct"/>
                  <w:shd w:val="clear" w:color="auto" w:fill="auto"/>
                  <w:vAlign w:val="top"/>
                </w:tcPr>
                <w:p w14:paraId="1571A06C">
                  <w:pPr>
                    <w:pStyle w:val="29"/>
                    <w:bidi w:val="0"/>
                    <w:ind w:firstLine="0" w:firstLineChars="0"/>
                    <w:rPr>
                      <w:rFonts w:hint="default"/>
                      <w:color w:val="auto"/>
                      <w:lang w:val="en-US" w:eastAsia="zh-CN"/>
                    </w:rPr>
                  </w:pPr>
                  <w:r>
                    <w:rPr>
                      <w:rFonts w:hint="eastAsia"/>
                      <w:color w:val="auto"/>
                      <w:lang w:val="en-US" w:eastAsia="zh-CN"/>
                    </w:rPr>
                    <w:t>XZ-JMF-8AB</w:t>
                  </w:r>
                </w:p>
              </w:tc>
              <w:tc>
                <w:tcPr>
                  <w:tcW w:w="377" w:type="pct"/>
                  <w:shd w:val="clear" w:color="auto" w:fill="auto"/>
                  <w:vAlign w:val="top"/>
                </w:tcPr>
                <w:p w14:paraId="611AF06A">
                  <w:pPr>
                    <w:pStyle w:val="29"/>
                    <w:bidi w:val="0"/>
                    <w:ind w:firstLine="0" w:firstLineChars="0"/>
                    <w:rPr>
                      <w:rFonts w:hint="eastAsia"/>
                      <w:color w:val="auto"/>
                      <w:lang w:val="en-US" w:eastAsia="zh-CN"/>
                    </w:rPr>
                  </w:pPr>
                  <w:r>
                    <w:rPr>
                      <w:rFonts w:hint="eastAsia"/>
                      <w:color w:val="auto"/>
                      <w:lang w:val="en-US" w:eastAsia="zh-CN"/>
                    </w:rPr>
                    <w:t>1</w:t>
                  </w:r>
                </w:p>
              </w:tc>
              <w:tc>
                <w:tcPr>
                  <w:tcW w:w="323" w:type="pct"/>
                  <w:vAlign w:val="center"/>
                </w:tcPr>
                <w:p w14:paraId="42D1A9F1">
                  <w:pPr>
                    <w:pStyle w:val="29"/>
                    <w:bidi w:val="0"/>
                    <w:ind w:firstLine="0" w:firstLineChars="0"/>
                    <w:rPr>
                      <w:rFonts w:hint="eastAsia"/>
                      <w:color w:val="auto"/>
                      <w:lang w:val="en-US" w:eastAsia="zh-CN"/>
                    </w:rPr>
                  </w:pPr>
                  <w:r>
                    <w:rPr>
                      <w:rFonts w:hint="eastAsia"/>
                      <w:color w:val="auto"/>
                      <w:lang w:val="en-US" w:eastAsia="zh-CN"/>
                    </w:rPr>
                    <w:t>台</w:t>
                  </w:r>
                </w:p>
              </w:tc>
              <w:tc>
                <w:tcPr>
                  <w:tcW w:w="992" w:type="pct"/>
                  <w:vAlign w:val="center"/>
                </w:tcPr>
                <w:p w14:paraId="1A6C04D3">
                  <w:pPr>
                    <w:pStyle w:val="29"/>
                    <w:bidi w:val="0"/>
                    <w:ind w:firstLine="0" w:firstLineChars="0"/>
                    <w:rPr>
                      <w:rFonts w:hint="default"/>
                      <w:color w:val="auto"/>
                      <w:lang w:val="en-US" w:eastAsia="zh-CN"/>
                    </w:rPr>
                  </w:pPr>
                  <w:r>
                    <w:rPr>
                      <w:rFonts w:hint="eastAsia"/>
                      <w:color w:val="auto"/>
                      <w:lang w:val="en-US" w:eastAsia="zh-CN"/>
                    </w:rPr>
                    <w:t>粉碎</w:t>
                  </w:r>
                </w:p>
              </w:tc>
              <w:tc>
                <w:tcPr>
                  <w:tcW w:w="754" w:type="pct"/>
                  <w:vAlign w:val="center"/>
                </w:tcPr>
                <w:p w14:paraId="5F3D68D3">
                  <w:pPr>
                    <w:pStyle w:val="29"/>
                    <w:bidi w:val="0"/>
                    <w:ind w:firstLine="0" w:firstLineChars="0"/>
                    <w:rPr>
                      <w:rFonts w:hint="default"/>
                      <w:color w:val="auto"/>
                      <w:lang w:val="en-US" w:eastAsia="zh-CN"/>
                    </w:rPr>
                  </w:pPr>
                  <w:r>
                    <w:rPr>
                      <w:rFonts w:hint="eastAsia"/>
                      <w:color w:val="auto"/>
                      <w:lang w:val="en-US" w:eastAsia="zh-CN"/>
                    </w:rPr>
                    <w:t>粉碎间</w:t>
                  </w:r>
                </w:p>
              </w:tc>
            </w:tr>
            <w:tr w14:paraId="7970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vAlign w:val="center"/>
                </w:tcPr>
                <w:p w14:paraId="7A6954AA">
                  <w:pPr>
                    <w:pStyle w:val="29"/>
                    <w:bidi w:val="0"/>
                    <w:ind w:firstLine="0" w:firstLineChars="0"/>
                    <w:rPr>
                      <w:rFonts w:hint="default"/>
                      <w:color w:val="auto"/>
                      <w:lang w:val="en-US" w:eastAsia="zh-CN"/>
                    </w:rPr>
                  </w:pPr>
                  <w:r>
                    <w:rPr>
                      <w:rFonts w:hint="default"/>
                      <w:color w:val="auto"/>
                      <w:lang w:val="en-US" w:eastAsia="zh-CN"/>
                    </w:rPr>
                    <w:t>2</w:t>
                  </w:r>
                </w:p>
              </w:tc>
              <w:tc>
                <w:tcPr>
                  <w:tcW w:w="1156" w:type="pct"/>
                  <w:shd w:val="clear" w:color="auto" w:fill="auto"/>
                  <w:vAlign w:val="top"/>
                </w:tcPr>
                <w:p w14:paraId="721FF6A9">
                  <w:pPr>
                    <w:pStyle w:val="29"/>
                    <w:bidi w:val="0"/>
                    <w:ind w:firstLine="0" w:firstLineChars="0"/>
                    <w:rPr>
                      <w:rFonts w:hint="eastAsia"/>
                      <w:color w:val="auto"/>
                      <w:lang w:val="en-US" w:eastAsia="zh-CN"/>
                    </w:rPr>
                  </w:pPr>
                  <w:r>
                    <w:rPr>
                      <w:rFonts w:hint="eastAsia"/>
                      <w:color w:val="auto"/>
                      <w:lang w:val="en-US" w:eastAsia="zh-CN"/>
                    </w:rPr>
                    <w:t>煮沸罐</w:t>
                  </w:r>
                </w:p>
              </w:tc>
              <w:tc>
                <w:tcPr>
                  <w:tcW w:w="1093" w:type="pct"/>
                  <w:shd w:val="clear" w:color="auto" w:fill="auto"/>
                  <w:vAlign w:val="top"/>
                </w:tcPr>
                <w:p w14:paraId="7FCCE8AA">
                  <w:pPr>
                    <w:pStyle w:val="29"/>
                    <w:bidi w:val="0"/>
                    <w:ind w:firstLine="0" w:firstLineChars="0"/>
                    <w:rPr>
                      <w:rFonts w:hint="default"/>
                      <w:color w:val="auto"/>
                      <w:lang w:val="en-US" w:eastAsia="zh-CN"/>
                    </w:rPr>
                  </w:pPr>
                  <w:r>
                    <w:rPr>
                      <w:rFonts w:hint="eastAsia"/>
                      <w:color w:val="auto"/>
                      <w:lang w:val="en-US" w:eastAsia="zh-CN"/>
                    </w:rPr>
                    <w:t>LB-2000L</w:t>
                  </w:r>
                </w:p>
              </w:tc>
              <w:tc>
                <w:tcPr>
                  <w:tcW w:w="377" w:type="pct"/>
                  <w:shd w:val="clear" w:color="auto" w:fill="auto"/>
                  <w:vAlign w:val="top"/>
                </w:tcPr>
                <w:p w14:paraId="5D1F404C">
                  <w:pPr>
                    <w:pStyle w:val="29"/>
                    <w:bidi w:val="0"/>
                    <w:ind w:firstLine="0" w:firstLineChars="0"/>
                    <w:rPr>
                      <w:rFonts w:hint="eastAsia"/>
                      <w:color w:val="auto"/>
                      <w:lang w:val="en-US" w:eastAsia="zh-CN"/>
                    </w:rPr>
                  </w:pPr>
                  <w:r>
                    <w:rPr>
                      <w:rFonts w:hint="eastAsia"/>
                      <w:color w:val="auto"/>
                      <w:lang w:val="en-US" w:eastAsia="zh-CN"/>
                    </w:rPr>
                    <w:t>1</w:t>
                  </w:r>
                </w:p>
              </w:tc>
              <w:tc>
                <w:tcPr>
                  <w:tcW w:w="323" w:type="pct"/>
                  <w:vAlign w:val="center"/>
                </w:tcPr>
                <w:p w14:paraId="24F14F3D">
                  <w:pPr>
                    <w:pStyle w:val="29"/>
                    <w:bidi w:val="0"/>
                    <w:ind w:firstLine="0" w:firstLineChars="0"/>
                    <w:rPr>
                      <w:rFonts w:hint="default"/>
                      <w:color w:val="auto"/>
                      <w:lang w:val="en-US" w:eastAsia="zh-CN"/>
                    </w:rPr>
                  </w:pPr>
                  <w:r>
                    <w:rPr>
                      <w:rFonts w:hint="eastAsia"/>
                      <w:color w:val="auto"/>
                      <w:lang w:val="en-US" w:eastAsia="zh-CN"/>
                    </w:rPr>
                    <w:t>台</w:t>
                  </w:r>
                </w:p>
              </w:tc>
              <w:tc>
                <w:tcPr>
                  <w:tcW w:w="992" w:type="pct"/>
                  <w:vAlign w:val="center"/>
                </w:tcPr>
                <w:p w14:paraId="3EC9C2BC">
                  <w:pPr>
                    <w:pStyle w:val="29"/>
                    <w:bidi w:val="0"/>
                    <w:ind w:firstLine="0" w:firstLineChars="0"/>
                    <w:rPr>
                      <w:rFonts w:hint="default"/>
                      <w:color w:val="auto"/>
                      <w:lang w:val="en-US" w:eastAsia="zh-CN"/>
                    </w:rPr>
                  </w:pPr>
                  <w:r>
                    <w:rPr>
                      <w:rFonts w:hint="eastAsia"/>
                      <w:color w:val="auto"/>
                      <w:lang w:val="en-US" w:eastAsia="zh-CN"/>
                    </w:rPr>
                    <w:t>煮沸、沉淀</w:t>
                  </w:r>
                </w:p>
              </w:tc>
              <w:tc>
                <w:tcPr>
                  <w:tcW w:w="754" w:type="pct"/>
                  <w:vMerge w:val="restart"/>
                  <w:vAlign w:val="center"/>
                </w:tcPr>
                <w:p w14:paraId="0F96144B">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27A8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6BDCC559">
                  <w:pPr>
                    <w:pStyle w:val="29"/>
                    <w:bidi w:val="0"/>
                    <w:ind w:firstLine="0" w:firstLineChars="0"/>
                    <w:rPr>
                      <w:rFonts w:hint="default"/>
                      <w:color w:val="auto"/>
                      <w:lang w:val="en-US" w:eastAsia="zh-CN"/>
                    </w:rPr>
                  </w:pPr>
                  <w:r>
                    <w:rPr>
                      <w:rFonts w:hint="default"/>
                      <w:color w:val="auto"/>
                      <w:lang w:val="en-US" w:eastAsia="zh-CN"/>
                    </w:rPr>
                    <w:t>3</w:t>
                  </w:r>
                </w:p>
              </w:tc>
              <w:tc>
                <w:tcPr>
                  <w:tcW w:w="1156" w:type="pct"/>
                  <w:shd w:val="clear" w:color="auto" w:fill="auto"/>
                  <w:vAlign w:val="top"/>
                </w:tcPr>
                <w:p w14:paraId="5AA111C9">
                  <w:pPr>
                    <w:pStyle w:val="29"/>
                    <w:bidi w:val="0"/>
                    <w:ind w:firstLine="0" w:firstLineChars="0"/>
                    <w:rPr>
                      <w:rFonts w:hint="eastAsia"/>
                      <w:color w:val="auto"/>
                      <w:lang w:val="en-US" w:eastAsia="zh-CN"/>
                    </w:rPr>
                  </w:pPr>
                  <w:r>
                    <w:rPr>
                      <w:rFonts w:hint="eastAsia"/>
                      <w:color w:val="auto"/>
                      <w:lang w:val="en-US" w:eastAsia="zh-CN"/>
                    </w:rPr>
                    <w:t>过滤罐</w:t>
                  </w:r>
                </w:p>
              </w:tc>
              <w:tc>
                <w:tcPr>
                  <w:tcW w:w="1093" w:type="pct"/>
                  <w:shd w:val="clear" w:color="auto" w:fill="auto"/>
                  <w:vAlign w:val="top"/>
                </w:tcPr>
                <w:p w14:paraId="4A689087">
                  <w:pPr>
                    <w:pStyle w:val="29"/>
                    <w:bidi w:val="0"/>
                    <w:ind w:firstLine="0" w:firstLineChars="0"/>
                    <w:rPr>
                      <w:rFonts w:hint="default"/>
                      <w:color w:val="auto"/>
                      <w:lang w:val="en-US" w:eastAsia="zh-CN"/>
                    </w:rPr>
                  </w:pPr>
                  <w:r>
                    <w:rPr>
                      <w:rFonts w:hint="eastAsia"/>
                      <w:color w:val="auto"/>
                      <w:lang w:val="en-US" w:eastAsia="zh-CN"/>
                    </w:rPr>
                    <w:t>LB-2000L</w:t>
                  </w:r>
                </w:p>
              </w:tc>
              <w:tc>
                <w:tcPr>
                  <w:tcW w:w="377" w:type="pct"/>
                  <w:shd w:val="clear" w:color="auto" w:fill="auto"/>
                  <w:vAlign w:val="top"/>
                </w:tcPr>
                <w:p w14:paraId="40ABFA43">
                  <w:pPr>
                    <w:pStyle w:val="29"/>
                    <w:bidi w:val="0"/>
                    <w:ind w:firstLine="0" w:firstLineChars="0"/>
                    <w:rPr>
                      <w:rFonts w:hint="eastAsia"/>
                      <w:color w:val="auto"/>
                      <w:lang w:val="en-US" w:eastAsia="zh-CN"/>
                    </w:rPr>
                  </w:pPr>
                  <w:r>
                    <w:rPr>
                      <w:rFonts w:hint="eastAsia"/>
                      <w:color w:val="auto"/>
                      <w:lang w:val="en-US" w:eastAsia="zh-CN"/>
                    </w:rPr>
                    <w:t>1</w:t>
                  </w:r>
                </w:p>
              </w:tc>
              <w:tc>
                <w:tcPr>
                  <w:tcW w:w="323" w:type="pct"/>
                  <w:vAlign w:val="center"/>
                </w:tcPr>
                <w:p w14:paraId="0DBAC49D">
                  <w:pPr>
                    <w:pStyle w:val="29"/>
                    <w:bidi w:val="0"/>
                    <w:ind w:firstLine="0" w:firstLineChars="0"/>
                    <w:rPr>
                      <w:rFonts w:hint="eastAsia"/>
                      <w:color w:val="auto"/>
                      <w:lang w:val="en-US" w:eastAsia="zh-CN"/>
                    </w:rPr>
                  </w:pPr>
                  <w:r>
                    <w:rPr>
                      <w:rFonts w:hint="eastAsia"/>
                      <w:color w:val="auto"/>
                      <w:lang w:val="en-US" w:eastAsia="zh-CN"/>
                    </w:rPr>
                    <w:t>台</w:t>
                  </w:r>
                </w:p>
              </w:tc>
              <w:tc>
                <w:tcPr>
                  <w:tcW w:w="992" w:type="pct"/>
                  <w:vAlign w:val="center"/>
                </w:tcPr>
                <w:p w14:paraId="658572D1">
                  <w:pPr>
                    <w:pStyle w:val="29"/>
                    <w:bidi w:val="0"/>
                    <w:ind w:firstLine="0" w:firstLineChars="0"/>
                    <w:rPr>
                      <w:rFonts w:hint="default"/>
                      <w:color w:val="auto"/>
                      <w:lang w:val="en-US" w:eastAsia="zh-CN"/>
                    </w:rPr>
                  </w:pPr>
                  <w:r>
                    <w:rPr>
                      <w:rFonts w:hint="eastAsia"/>
                      <w:color w:val="auto"/>
                      <w:lang w:val="en-US" w:eastAsia="zh-CN"/>
                    </w:rPr>
                    <w:t>过滤</w:t>
                  </w:r>
                </w:p>
              </w:tc>
              <w:tc>
                <w:tcPr>
                  <w:tcW w:w="754" w:type="pct"/>
                  <w:vMerge w:val="continue"/>
                  <w:vAlign w:val="center"/>
                </w:tcPr>
                <w:p w14:paraId="240367F0">
                  <w:pPr>
                    <w:pStyle w:val="29"/>
                    <w:bidi w:val="0"/>
                    <w:ind w:firstLine="0" w:firstLineChars="0"/>
                    <w:rPr>
                      <w:rFonts w:hint="eastAsia"/>
                      <w:color w:val="auto"/>
                      <w:lang w:val="en-US" w:eastAsia="zh-CN"/>
                    </w:rPr>
                  </w:pPr>
                </w:p>
              </w:tc>
            </w:tr>
            <w:tr w14:paraId="10442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1ED63D2C">
                  <w:pPr>
                    <w:pStyle w:val="29"/>
                    <w:bidi w:val="0"/>
                    <w:ind w:firstLine="0" w:firstLineChars="0"/>
                    <w:rPr>
                      <w:rFonts w:hint="eastAsia"/>
                      <w:color w:val="auto"/>
                      <w:lang w:val="en-US" w:eastAsia="zh-CN"/>
                    </w:rPr>
                  </w:pPr>
                  <w:r>
                    <w:rPr>
                      <w:rFonts w:hint="eastAsia"/>
                      <w:color w:val="auto"/>
                      <w:lang w:val="en-US" w:eastAsia="zh-CN"/>
                    </w:rPr>
                    <w:t>4</w:t>
                  </w:r>
                </w:p>
              </w:tc>
              <w:tc>
                <w:tcPr>
                  <w:tcW w:w="1156" w:type="pct"/>
                  <w:shd w:val="clear" w:color="auto" w:fill="auto"/>
                  <w:vAlign w:val="top"/>
                </w:tcPr>
                <w:p w14:paraId="3ED510AB">
                  <w:pPr>
                    <w:pStyle w:val="29"/>
                    <w:bidi w:val="0"/>
                    <w:ind w:firstLine="0" w:firstLineChars="0"/>
                    <w:rPr>
                      <w:rFonts w:hint="eastAsia"/>
                      <w:color w:val="auto"/>
                      <w:lang w:val="en-US" w:eastAsia="zh-CN"/>
                    </w:rPr>
                  </w:pPr>
                  <w:r>
                    <w:rPr>
                      <w:rFonts w:hint="eastAsia"/>
                      <w:color w:val="auto"/>
                      <w:lang w:val="en-US" w:eastAsia="zh-CN"/>
                    </w:rPr>
                    <w:t>糖化罐</w:t>
                  </w:r>
                </w:p>
              </w:tc>
              <w:tc>
                <w:tcPr>
                  <w:tcW w:w="1093" w:type="pct"/>
                  <w:shd w:val="clear" w:color="auto" w:fill="auto"/>
                  <w:vAlign w:val="top"/>
                </w:tcPr>
                <w:p w14:paraId="54BE28C2">
                  <w:pPr>
                    <w:pStyle w:val="29"/>
                    <w:bidi w:val="0"/>
                    <w:ind w:firstLine="0" w:firstLineChars="0"/>
                    <w:rPr>
                      <w:rFonts w:hint="default"/>
                      <w:color w:val="auto"/>
                      <w:lang w:val="en-US" w:eastAsia="zh-CN"/>
                    </w:rPr>
                  </w:pPr>
                  <w:r>
                    <w:rPr>
                      <w:rFonts w:hint="eastAsia"/>
                      <w:color w:val="auto"/>
                      <w:lang w:val="en-US" w:eastAsia="zh-CN"/>
                    </w:rPr>
                    <w:t>LB-2000L/2.2t</w:t>
                  </w:r>
                </w:p>
              </w:tc>
              <w:tc>
                <w:tcPr>
                  <w:tcW w:w="377" w:type="pct"/>
                  <w:shd w:val="clear" w:color="auto" w:fill="auto"/>
                  <w:vAlign w:val="top"/>
                </w:tcPr>
                <w:p w14:paraId="1C2F5BCF">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5E1322B1">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21897261">
                  <w:pPr>
                    <w:pStyle w:val="29"/>
                    <w:bidi w:val="0"/>
                    <w:ind w:firstLine="0" w:firstLineChars="0"/>
                    <w:rPr>
                      <w:rFonts w:hint="default"/>
                      <w:color w:val="auto"/>
                      <w:lang w:val="en-US" w:eastAsia="zh-CN"/>
                    </w:rPr>
                  </w:pPr>
                  <w:r>
                    <w:rPr>
                      <w:rFonts w:hint="eastAsia"/>
                      <w:color w:val="auto"/>
                      <w:lang w:val="en-US" w:eastAsia="zh-CN"/>
                    </w:rPr>
                    <w:t>糖化</w:t>
                  </w:r>
                </w:p>
              </w:tc>
              <w:tc>
                <w:tcPr>
                  <w:tcW w:w="754" w:type="pct"/>
                  <w:vMerge w:val="continue"/>
                  <w:shd w:val="clear" w:color="auto" w:fill="auto"/>
                  <w:vAlign w:val="center"/>
                </w:tcPr>
                <w:p w14:paraId="3886F6DC">
                  <w:pPr>
                    <w:pStyle w:val="29"/>
                    <w:bidi w:val="0"/>
                    <w:ind w:firstLine="0" w:firstLineChars="0"/>
                    <w:rPr>
                      <w:rFonts w:hint="eastAsia"/>
                      <w:color w:val="auto"/>
                      <w:lang w:val="en-US" w:eastAsia="zh-CN"/>
                    </w:rPr>
                  </w:pPr>
                </w:p>
              </w:tc>
            </w:tr>
            <w:tr w14:paraId="5E39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2DA651C9">
                  <w:pPr>
                    <w:pStyle w:val="29"/>
                    <w:bidi w:val="0"/>
                    <w:ind w:firstLine="0" w:firstLineChars="0"/>
                    <w:rPr>
                      <w:rFonts w:hint="default"/>
                      <w:color w:val="auto"/>
                      <w:lang w:val="en-US" w:eastAsia="zh-CN"/>
                    </w:rPr>
                  </w:pPr>
                  <w:r>
                    <w:rPr>
                      <w:rFonts w:hint="eastAsia"/>
                      <w:color w:val="auto"/>
                      <w:lang w:val="en-US" w:eastAsia="zh-CN"/>
                    </w:rPr>
                    <w:t>5</w:t>
                  </w:r>
                </w:p>
              </w:tc>
              <w:tc>
                <w:tcPr>
                  <w:tcW w:w="1156" w:type="pct"/>
                  <w:shd w:val="clear" w:color="auto" w:fill="auto"/>
                  <w:vAlign w:val="top"/>
                </w:tcPr>
                <w:p w14:paraId="1885BCD0">
                  <w:pPr>
                    <w:pStyle w:val="29"/>
                    <w:bidi w:val="0"/>
                    <w:ind w:firstLine="0" w:firstLineChars="0"/>
                    <w:rPr>
                      <w:rFonts w:hint="default"/>
                      <w:color w:val="auto"/>
                      <w:lang w:val="en-US" w:eastAsia="zh-CN"/>
                    </w:rPr>
                  </w:pPr>
                  <w:r>
                    <w:rPr>
                      <w:rFonts w:hint="eastAsia"/>
                      <w:color w:val="auto"/>
                      <w:lang w:val="en-US" w:eastAsia="zh-CN"/>
                    </w:rPr>
                    <w:t>发酵罐</w:t>
                  </w:r>
                </w:p>
              </w:tc>
              <w:tc>
                <w:tcPr>
                  <w:tcW w:w="1093" w:type="pct"/>
                  <w:shd w:val="clear" w:color="auto" w:fill="auto"/>
                  <w:vAlign w:val="top"/>
                </w:tcPr>
                <w:p w14:paraId="664DC726">
                  <w:pPr>
                    <w:pStyle w:val="29"/>
                    <w:bidi w:val="0"/>
                    <w:ind w:firstLine="0" w:firstLineChars="0"/>
                    <w:rPr>
                      <w:rFonts w:hint="default"/>
                      <w:color w:val="auto"/>
                      <w:lang w:val="en-US" w:eastAsia="zh-CN"/>
                    </w:rPr>
                  </w:pPr>
                  <w:r>
                    <w:rPr>
                      <w:rFonts w:hint="eastAsia"/>
                      <w:color w:val="auto"/>
                      <w:lang w:val="en-US" w:eastAsia="zh-CN"/>
                    </w:rPr>
                    <w:t>LB-2000L/2t</w:t>
                  </w:r>
                </w:p>
              </w:tc>
              <w:tc>
                <w:tcPr>
                  <w:tcW w:w="377" w:type="pct"/>
                  <w:shd w:val="clear" w:color="auto" w:fill="auto"/>
                  <w:vAlign w:val="top"/>
                </w:tcPr>
                <w:p w14:paraId="31C2A45E">
                  <w:pPr>
                    <w:pStyle w:val="29"/>
                    <w:bidi w:val="0"/>
                    <w:ind w:firstLine="0" w:firstLineChars="0"/>
                    <w:rPr>
                      <w:rFonts w:hint="eastAsia"/>
                      <w:color w:val="auto"/>
                      <w:lang w:val="en-US" w:eastAsia="zh-CN"/>
                    </w:rPr>
                  </w:pPr>
                  <w:r>
                    <w:rPr>
                      <w:rFonts w:hint="eastAsia"/>
                      <w:color w:val="auto"/>
                      <w:lang w:val="en-US" w:eastAsia="zh-CN"/>
                    </w:rPr>
                    <w:t>10</w:t>
                  </w:r>
                </w:p>
              </w:tc>
              <w:tc>
                <w:tcPr>
                  <w:tcW w:w="323" w:type="pct"/>
                  <w:shd w:val="clear" w:color="auto" w:fill="auto"/>
                  <w:vAlign w:val="center"/>
                </w:tcPr>
                <w:p w14:paraId="6AD57667">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77DC1F2F">
                  <w:pPr>
                    <w:pStyle w:val="29"/>
                    <w:bidi w:val="0"/>
                    <w:ind w:firstLine="0" w:firstLineChars="0"/>
                    <w:rPr>
                      <w:rFonts w:hint="default"/>
                      <w:color w:val="auto"/>
                      <w:lang w:val="en-US" w:eastAsia="zh-CN"/>
                    </w:rPr>
                  </w:pPr>
                  <w:r>
                    <w:rPr>
                      <w:rFonts w:hint="eastAsia"/>
                      <w:color w:val="auto"/>
                      <w:lang w:val="en-US" w:eastAsia="zh-CN"/>
                    </w:rPr>
                    <w:t>发酵</w:t>
                  </w:r>
                </w:p>
              </w:tc>
              <w:tc>
                <w:tcPr>
                  <w:tcW w:w="754" w:type="pct"/>
                  <w:vMerge w:val="continue"/>
                  <w:shd w:val="clear" w:color="auto" w:fill="auto"/>
                  <w:vAlign w:val="center"/>
                </w:tcPr>
                <w:p w14:paraId="354B8882">
                  <w:pPr>
                    <w:pStyle w:val="29"/>
                    <w:bidi w:val="0"/>
                    <w:ind w:firstLine="0" w:firstLineChars="0"/>
                    <w:rPr>
                      <w:rFonts w:hint="eastAsia"/>
                      <w:color w:val="auto"/>
                      <w:lang w:val="en-US" w:eastAsia="zh-CN"/>
                    </w:rPr>
                  </w:pPr>
                </w:p>
              </w:tc>
            </w:tr>
            <w:tr w14:paraId="0459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13D91936">
                  <w:pPr>
                    <w:pStyle w:val="29"/>
                    <w:bidi w:val="0"/>
                    <w:ind w:firstLine="0" w:firstLineChars="0"/>
                    <w:rPr>
                      <w:rFonts w:hint="default"/>
                      <w:color w:val="auto"/>
                      <w:lang w:val="en-US" w:eastAsia="zh-CN"/>
                    </w:rPr>
                  </w:pPr>
                  <w:r>
                    <w:rPr>
                      <w:rFonts w:hint="eastAsia"/>
                      <w:color w:val="auto"/>
                      <w:lang w:val="en-US" w:eastAsia="zh-CN"/>
                    </w:rPr>
                    <w:t>6</w:t>
                  </w:r>
                </w:p>
              </w:tc>
              <w:tc>
                <w:tcPr>
                  <w:tcW w:w="1156" w:type="pct"/>
                  <w:shd w:val="clear" w:color="auto" w:fill="auto"/>
                  <w:vAlign w:val="top"/>
                </w:tcPr>
                <w:p w14:paraId="1251531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发酵罐</w:t>
                  </w:r>
                </w:p>
              </w:tc>
              <w:tc>
                <w:tcPr>
                  <w:tcW w:w="1093" w:type="pct"/>
                  <w:shd w:val="clear" w:color="auto" w:fill="auto"/>
                  <w:vAlign w:val="top"/>
                </w:tcPr>
                <w:p w14:paraId="6A0E85E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 吨</w:t>
                  </w:r>
                </w:p>
              </w:tc>
              <w:tc>
                <w:tcPr>
                  <w:tcW w:w="377" w:type="pct"/>
                  <w:shd w:val="clear" w:color="auto" w:fill="auto"/>
                  <w:vAlign w:val="top"/>
                </w:tcPr>
                <w:p w14:paraId="1EF0690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4BCA68C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6640A68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w:t>
                  </w:r>
                </w:p>
              </w:tc>
              <w:tc>
                <w:tcPr>
                  <w:tcW w:w="754" w:type="pct"/>
                  <w:vMerge w:val="continue"/>
                  <w:shd w:val="clear" w:color="auto" w:fill="auto"/>
                  <w:vAlign w:val="center"/>
                </w:tcPr>
                <w:p w14:paraId="5A0B633E">
                  <w:pPr>
                    <w:pStyle w:val="29"/>
                    <w:bidi w:val="0"/>
                    <w:ind w:firstLine="0" w:firstLineChars="0"/>
                    <w:rPr>
                      <w:rFonts w:hint="eastAsia"/>
                      <w:color w:val="auto"/>
                      <w:lang w:val="en-US" w:eastAsia="zh-CN"/>
                    </w:rPr>
                  </w:pPr>
                </w:p>
              </w:tc>
            </w:tr>
            <w:tr w14:paraId="0CFC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03DC9695">
                  <w:pPr>
                    <w:pStyle w:val="29"/>
                    <w:bidi w:val="0"/>
                    <w:ind w:firstLine="0" w:firstLineChars="0"/>
                    <w:rPr>
                      <w:rFonts w:hint="default"/>
                      <w:color w:val="auto"/>
                      <w:lang w:val="en-US" w:eastAsia="zh-CN"/>
                    </w:rPr>
                  </w:pPr>
                  <w:r>
                    <w:rPr>
                      <w:rFonts w:hint="eastAsia"/>
                      <w:color w:val="auto"/>
                      <w:lang w:val="en-US" w:eastAsia="zh-CN"/>
                    </w:rPr>
                    <w:t>7</w:t>
                  </w:r>
                </w:p>
              </w:tc>
              <w:tc>
                <w:tcPr>
                  <w:tcW w:w="1156" w:type="pct"/>
                  <w:shd w:val="clear" w:color="auto" w:fill="auto"/>
                  <w:vAlign w:val="top"/>
                </w:tcPr>
                <w:p w14:paraId="50BD71CB">
                  <w:pPr>
                    <w:pStyle w:val="29"/>
                    <w:bidi w:val="0"/>
                    <w:ind w:firstLine="0" w:firstLineChars="0"/>
                    <w:rPr>
                      <w:rFonts w:hint="eastAsia"/>
                      <w:color w:val="auto"/>
                      <w:lang w:val="en-US" w:eastAsia="zh-CN"/>
                    </w:rPr>
                  </w:pPr>
                  <w:r>
                    <w:rPr>
                      <w:rFonts w:hint="eastAsia"/>
                      <w:color w:val="auto"/>
                      <w:lang w:val="en-US" w:eastAsia="zh-CN"/>
                    </w:rPr>
                    <w:t>清酒罐</w:t>
                  </w:r>
                </w:p>
              </w:tc>
              <w:tc>
                <w:tcPr>
                  <w:tcW w:w="1093" w:type="pct"/>
                  <w:shd w:val="clear" w:color="auto" w:fill="auto"/>
                  <w:vAlign w:val="top"/>
                </w:tcPr>
                <w:p w14:paraId="5EE2C04B">
                  <w:pPr>
                    <w:pStyle w:val="29"/>
                    <w:bidi w:val="0"/>
                    <w:ind w:firstLine="0" w:firstLineChars="0"/>
                    <w:rPr>
                      <w:rFonts w:hint="default"/>
                      <w:color w:val="auto"/>
                      <w:lang w:val="en-US" w:eastAsia="zh-CN"/>
                    </w:rPr>
                  </w:pPr>
                  <w:r>
                    <w:rPr>
                      <w:rFonts w:hint="eastAsia"/>
                      <w:color w:val="auto"/>
                      <w:lang w:val="en-US" w:eastAsia="zh-CN"/>
                    </w:rPr>
                    <w:t>LB-2000L</w:t>
                  </w:r>
                </w:p>
              </w:tc>
              <w:tc>
                <w:tcPr>
                  <w:tcW w:w="377" w:type="pct"/>
                  <w:shd w:val="clear" w:color="auto" w:fill="auto"/>
                  <w:vAlign w:val="top"/>
                </w:tcPr>
                <w:p w14:paraId="0DE700BC">
                  <w:pPr>
                    <w:pStyle w:val="29"/>
                    <w:bidi w:val="0"/>
                    <w:ind w:firstLine="0" w:firstLineChars="0"/>
                    <w:rPr>
                      <w:rFonts w:hint="eastAsia"/>
                      <w:color w:val="auto"/>
                      <w:lang w:val="en-US" w:eastAsia="zh-CN"/>
                    </w:rPr>
                  </w:pPr>
                  <w:r>
                    <w:rPr>
                      <w:rFonts w:hint="eastAsia"/>
                      <w:color w:val="auto"/>
                      <w:lang w:val="en-US" w:eastAsia="zh-CN"/>
                    </w:rPr>
                    <w:t>4</w:t>
                  </w:r>
                </w:p>
              </w:tc>
              <w:tc>
                <w:tcPr>
                  <w:tcW w:w="323" w:type="pct"/>
                  <w:shd w:val="clear" w:color="auto" w:fill="auto"/>
                  <w:vAlign w:val="center"/>
                </w:tcPr>
                <w:p w14:paraId="0C2BA5CF">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74C25834">
                  <w:pPr>
                    <w:pStyle w:val="29"/>
                    <w:bidi w:val="0"/>
                    <w:ind w:firstLine="0" w:firstLineChars="0"/>
                    <w:rPr>
                      <w:rFonts w:hint="default"/>
                      <w:color w:val="auto"/>
                      <w:lang w:val="en-US" w:eastAsia="zh-CN"/>
                    </w:rPr>
                  </w:pPr>
                  <w:r>
                    <w:rPr>
                      <w:rFonts w:hint="eastAsia"/>
                      <w:color w:val="auto"/>
                      <w:lang w:val="en-US" w:eastAsia="zh-CN"/>
                    </w:rPr>
                    <w:t>暂存清酒</w:t>
                  </w:r>
                </w:p>
              </w:tc>
              <w:tc>
                <w:tcPr>
                  <w:tcW w:w="754" w:type="pct"/>
                  <w:vMerge w:val="continue"/>
                  <w:shd w:val="clear" w:color="auto" w:fill="auto"/>
                  <w:vAlign w:val="center"/>
                </w:tcPr>
                <w:p w14:paraId="05FCF405">
                  <w:pPr>
                    <w:pStyle w:val="29"/>
                    <w:bidi w:val="0"/>
                    <w:ind w:firstLine="0" w:firstLineChars="0"/>
                    <w:rPr>
                      <w:rFonts w:hint="eastAsia"/>
                      <w:color w:val="auto"/>
                      <w:lang w:val="en-US" w:eastAsia="zh-CN"/>
                    </w:rPr>
                  </w:pPr>
                </w:p>
              </w:tc>
            </w:tr>
            <w:tr w14:paraId="7089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1B21135C">
                  <w:pPr>
                    <w:pStyle w:val="29"/>
                    <w:bidi w:val="0"/>
                    <w:ind w:firstLine="0" w:firstLineChars="0"/>
                    <w:rPr>
                      <w:rFonts w:hint="default"/>
                      <w:color w:val="auto"/>
                      <w:lang w:val="en-US" w:eastAsia="zh-CN"/>
                    </w:rPr>
                  </w:pPr>
                  <w:r>
                    <w:rPr>
                      <w:rFonts w:hint="eastAsia"/>
                      <w:color w:val="auto"/>
                      <w:lang w:val="en-US" w:eastAsia="zh-CN"/>
                    </w:rPr>
                    <w:t>8</w:t>
                  </w:r>
                </w:p>
              </w:tc>
              <w:tc>
                <w:tcPr>
                  <w:tcW w:w="1156" w:type="pct"/>
                  <w:shd w:val="clear" w:color="auto" w:fill="auto"/>
                  <w:vAlign w:val="top"/>
                </w:tcPr>
                <w:p w14:paraId="68330EDF">
                  <w:pPr>
                    <w:pStyle w:val="29"/>
                    <w:bidi w:val="0"/>
                    <w:ind w:firstLine="0" w:firstLineChars="0"/>
                    <w:rPr>
                      <w:rFonts w:hint="eastAsia"/>
                      <w:color w:val="auto"/>
                      <w:lang w:val="en-US" w:eastAsia="zh-CN"/>
                    </w:rPr>
                  </w:pPr>
                  <w:r>
                    <w:rPr>
                      <w:rFonts w:hint="eastAsia"/>
                      <w:color w:val="auto"/>
                      <w:lang w:val="en-US" w:eastAsia="zh-CN"/>
                    </w:rPr>
                    <w:t>冰水罐</w:t>
                  </w:r>
                </w:p>
              </w:tc>
              <w:tc>
                <w:tcPr>
                  <w:tcW w:w="1093" w:type="pct"/>
                  <w:shd w:val="clear" w:color="auto" w:fill="auto"/>
                  <w:vAlign w:val="top"/>
                </w:tcPr>
                <w:p w14:paraId="1C7F5FF7">
                  <w:pPr>
                    <w:pStyle w:val="29"/>
                    <w:bidi w:val="0"/>
                    <w:ind w:firstLine="0" w:firstLineChars="0"/>
                    <w:rPr>
                      <w:rFonts w:hint="default"/>
                      <w:color w:val="auto"/>
                      <w:lang w:val="en-US" w:eastAsia="zh-CN"/>
                    </w:rPr>
                  </w:pPr>
                  <w:r>
                    <w:rPr>
                      <w:rFonts w:hint="eastAsia"/>
                      <w:color w:val="auto"/>
                      <w:lang w:val="en-US" w:eastAsia="zh-CN"/>
                    </w:rPr>
                    <w:t>3 吨</w:t>
                  </w:r>
                </w:p>
              </w:tc>
              <w:tc>
                <w:tcPr>
                  <w:tcW w:w="377" w:type="pct"/>
                  <w:shd w:val="clear" w:color="auto" w:fill="auto"/>
                  <w:vAlign w:val="top"/>
                </w:tcPr>
                <w:p w14:paraId="3D9A1542">
                  <w:pPr>
                    <w:pStyle w:val="29"/>
                    <w:bidi w:val="0"/>
                    <w:ind w:firstLine="0" w:firstLineChars="0"/>
                    <w:rPr>
                      <w:rFonts w:hint="default"/>
                      <w:color w:val="auto"/>
                      <w:lang w:val="en-US" w:eastAsia="zh-CN"/>
                    </w:rPr>
                  </w:pPr>
                  <w:r>
                    <w:rPr>
                      <w:rFonts w:hint="eastAsia"/>
                      <w:color w:val="auto"/>
                      <w:lang w:val="en-US" w:eastAsia="zh-CN"/>
                    </w:rPr>
                    <w:t>2</w:t>
                  </w:r>
                </w:p>
              </w:tc>
              <w:tc>
                <w:tcPr>
                  <w:tcW w:w="323" w:type="pct"/>
                  <w:shd w:val="clear" w:color="auto" w:fill="auto"/>
                  <w:vAlign w:val="center"/>
                </w:tcPr>
                <w:p w14:paraId="7850B108">
                  <w:pPr>
                    <w:pStyle w:val="29"/>
                    <w:bidi w:val="0"/>
                    <w:ind w:firstLine="0" w:firstLineChars="0"/>
                    <w:rPr>
                      <w:rFonts w:hint="default"/>
                      <w:color w:val="auto"/>
                      <w:lang w:val="en-US" w:eastAsia="zh-CN"/>
                    </w:rPr>
                  </w:pPr>
                  <w:r>
                    <w:rPr>
                      <w:rFonts w:hint="eastAsia"/>
                      <w:color w:val="auto"/>
                      <w:lang w:val="en-US" w:eastAsia="zh-CN"/>
                    </w:rPr>
                    <w:t>台</w:t>
                  </w:r>
                </w:p>
              </w:tc>
              <w:tc>
                <w:tcPr>
                  <w:tcW w:w="992" w:type="pct"/>
                  <w:vMerge w:val="restart"/>
                  <w:shd w:val="clear" w:color="auto" w:fill="auto"/>
                  <w:vAlign w:val="center"/>
                </w:tcPr>
                <w:p w14:paraId="378C2053">
                  <w:pPr>
                    <w:pStyle w:val="29"/>
                    <w:bidi w:val="0"/>
                    <w:ind w:firstLine="0" w:firstLineChars="0"/>
                    <w:rPr>
                      <w:rFonts w:hint="default"/>
                      <w:color w:val="auto"/>
                      <w:lang w:val="en-US" w:eastAsia="zh-CN"/>
                    </w:rPr>
                  </w:pPr>
                  <w:r>
                    <w:rPr>
                      <w:rFonts w:hint="eastAsia"/>
                      <w:color w:val="auto"/>
                      <w:lang w:val="en-US" w:eastAsia="zh-CN"/>
                    </w:rPr>
                    <w:t>循环冷却</w:t>
                  </w:r>
                </w:p>
              </w:tc>
              <w:tc>
                <w:tcPr>
                  <w:tcW w:w="754" w:type="pct"/>
                  <w:vMerge w:val="continue"/>
                  <w:shd w:val="clear" w:color="auto" w:fill="auto"/>
                  <w:vAlign w:val="center"/>
                </w:tcPr>
                <w:p w14:paraId="3551D745">
                  <w:pPr>
                    <w:pStyle w:val="29"/>
                    <w:bidi w:val="0"/>
                    <w:ind w:firstLine="0" w:firstLineChars="0"/>
                    <w:rPr>
                      <w:rFonts w:hint="eastAsia"/>
                      <w:color w:val="auto"/>
                      <w:lang w:val="en-US" w:eastAsia="zh-CN"/>
                    </w:rPr>
                  </w:pPr>
                </w:p>
              </w:tc>
            </w:tr>
            <w:tr w14:paraId="12DC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4184814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9</w:t>
                  </w:r>
                </w:p>
              </w:tc>
              <w:tc>
                <w:tcPr>
                  <w:tcW w:w="1156" w:type="pct"/>
                  <w:shd w:val="clear" w:color="auto" w:fill="auto"/>
                  <w:vAlign w:val="top"/>
                </w:tcPr>
                <w:p w14:paraId="7D1E3327">
                  <w:pPr>
                    <w:pStyle w:val="29"/>
                    <w:bidi w:val="0"/>
                    <w:ind w:firstLine="0" w:firstLineChars="0"/>
                    <w:rPr>
                      <w:rFonts w:hint="default"/>
                      <w:color w:val="auto"/>
                      <w:lang w:val="en-US" w:eastAsia="zh-CN"/>
                    </w:rPr>
                  </w:pPr>
                  <w:r>
                    <w:rPr>
                      <w:rFonts w:hint="eastAsia"/>
                      <w:color w:val="auto"/>
                      <w:lang w:val="en-US" w:eastAsia="zh-CN"/>
                    </w:rPr>
                    <w:t>板式换热器</w:t>
                  </w:r>
                </w:p>
              </w:tc>
              <w:tc>
                <w:tcPr>
                  <w:tcW w:w="1093" w:type="pct"/>
                  <w:shd w:val="clear" w:color="auto" w:fill="auto"/>
                  <w:vAlign w:val="top"/>
                </w:tcPr>
                <w:p w14:paraId="4D10E171">
                  <w:pPr>
                    <w:pStyle w:val="29"/>
                    <w:bidi w:val="0"/>
                    <w:ind w:firstLine="0" w:firstLineChars="0"/>
                    <w:rPr>
                      <w:rFonts w:hint="default"/>
                      <w:color w:val="auto"/>
                      <w:lang w:val="en-US" w:eastAsia="zh-CN"/>
                    </w:rPr>
                  </w:pPr>
                  <w:r>
                    <w:rPr>
                      <w:rFonts w:hint="eastAsia"/>
                      <w:color w:val="auto"/>
                      <w:lang w:val="en-US" w:eastAsia="zh-CN"/>
                    </w:rPr>
                    <w:t>/</w:t>
                  </w:r>
                </w:p>
              </w:tc>
              <w:tc>
                <w:tcPr>
                  <w:tcW w:w="377" w:type="pct"/>
                  <w:shd w:val="clear" w:color="auto" w:fill="auto"/>
                  <w:vAlign w:val="top"/>
                </w:tcPr>
                <w:p w14:paraId="6D1E6CAE">
                  <w:pPr>
                    <w:pStyle w:val="29"/>
                    <w:bidi w:val="0"/>
                    <w:ind w:firstLine="0" w:firstLineChars="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23029844">
                  <w:pPr>
                    <w:pStyle w:val="29"/>
                    <w:bidi w:val="0"/>
                    <w:ind w:firstLine="0" w:firstLineChars="0"/>
                    <w:rPr>
                      <w:rFonts w:hint="default"/>
                      <w:color w:val="auto"/>
                      <w:lang w:val="en-US" w:eastAsia="zh-CN"/>
                    </w:rPr>
                  </w:pPr>
                  <w:r>
                    <w:rPr>
                      <w:rFonts w:hint="eastAsia"/>
                      <w:color w:val="auto"/>
                      <w:lang w:val="en-US" w:eastAsia="zh-CN"/>
                    </w:rPr>
                    <w:t>台</w:t>
                  </w:r>
                </w:p>
              </w:tc>
              <w:tc>
                <w:tcPr>
                  <w:tcW w:w="992" w:type="pct"/>
                  <w:vMerge w:val="continue"/>
                  <w:shd w:val="clear" w:color="auto" w:fill="auto"/>
                  <w:vAlign w:val="center"/>
                </w:tcPr>
                <w:p w14:paraId="6FADE24D">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C20F7BE">
                  <w:pPr>
                    <w:pStyle w:val="29"/>
                    <w:bidi w:val="0"/>
                    <w:ind w:firstLine="0" w:firstLineChars="0"/>
                    <w:rPr>
                      <w:rFonts w:hint="eastAsia"/>
                      <w:color w:val="auto"/>
                      <w:lang w:val="en-US" w:eastAsia="zh-CN"/>
                    </w:rPr>
                  </w:pPr>
                </w:p>
              </w:tc>
            </w:tr>
            <w:tr w14:paraId="717BE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383F458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1156" w:type="pct"/>
                  <w:shd w:val="clear" w:color="auto" w:fill="auto"/>
                  <w:vAlign w:val="top"/>
                </w:tcPr>
                <w:p w14:paraId="6ED35923">
                  <w:pPr>
                    <w:pStyle w:val="29"/>
                    <w:bidi w:val="0"/>
                    <w:ind w:firstLine="0" w:firstLineChars="0"/>
                    <w:rPr>
                      <w:rFonts w:hint="eastAsia"/>
                      <w:color w:val="auto"/>
                      <w:lang w:val="en-US" w:eastAsia="zh-CN"/>
                    </w:rPr>
                  </w:pPr>
                  <w:r>
                    <w:rPr>
                      <w:rFonts w:hint="eastAsia"/>
                      <w:color w:val="auto"/>
                      <w:lang w:val="en-US" w:eastAsia="zh-CN"/>
                    </w:rPr>
                    <w:t>瞬杀机</w:t>
                  </w:r>
                </w:p>
              </w:tc>
              <w:tc>
                <w:tcPr>
                  <w:tcW w:w="1093" w:type="pct"/>
                  <w:shd w:val="clear" w:color="auto" w:fill="auto"/>
                  <w:vAlign w:val="top"/>
                </w:tcPr>
                <w:p w14:paraId="6E67B240">
                  <w:pPr>
                    <w:pStyle w:val="29"/>
                    <w:bidi w:val="0"/>
                    <w:ind w:firstLine="0" w:firstLineChars="0"/>
                    <w:rPr>
                      <w:rFonts w:hint="default"/>
                      <w:color w:val="auto"/>
                      <w:lang w:val="en-US" w:eastAsia="zh-CN"/>
                    </w:rPr>
                  </w:pPr>
                  <w:r>
                    <w:rPr>
                      <w:rFonts w:hint="eastAsia"/>
                      <w:color w:val="auto"/>
                      <w:lang w:val="en-US" w:eastAsia="zh-CN"/>
                    </w:rPr>
                    <w:t>1 吨/小时</w:t>
                  </w:r>
                </w:p>
              </w:tc>
              <w:tc>
                <w:tcPr>
                  <w:tcW w:w="377" w:type="pct"/>
                  <w:shd w:val="clear" w:color="auto" w:fill="auto"/>
                  <w:vAlign w:val="top"/>
                </w:tcPr>
                <w:p w14:paraId="0ACCED91">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5F2C2DE1">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4CE24973">
                  <w:pPr>
                    <w:pStyle w:val="29"/>
                    <w:bidi w:val="0"/>
                    <w:ind w:firstLine="0" w:firstLineChars="0"/>
                    <w:rPr>
                      <w:rFonts w:hint="eastAsia"/>
                      <w:color w:val="auto"/>
                      <w:lang w:val="en-US" w:eastAsia="zh-CN"/>
                    </w:rPr>
                  </w:pPr>
                  <w:r>
                    <w:rPr>
                      <w:rFonts w:hint="eastAsia"/>
                      <w:color w:val="auto"/>
                      <w:lang w:val="en-US" w:eastAsia="zh-CN"/>
                    </w:rPr>
                    <w:t>用于瞬时杀菌</w:t>
                  </w:r>
                </w:p>
              </w:tc>
              <w:tc>
                <w:tcPr>
                  <w:tcW w:w="754" w:type="pct"/>
                  <w:vMerge w:val="restart"/>
                  <w:shd w:val="clear" w:color="auto" w:fill="auto"/>
                  <w:vAlign w:val="center"/>
                </w:tcPr>
                <w:p w14:paraId="7FEB17EC">
                  <w:pPr>
                    <w:pStyle w:val="29"/>
                    <w:bidi w:val="0"/>
                    <w:ind w:firstLine="0" w:firstLineChars="0"/>
                    <w:rPr>
                      <w:rFonts w:hint="eastAsia"/>
                      <w:color w:val="auto"/>
                      <w:lang w:val="en-US" w:eastAsia="zh-CN"/>
                    </w:rPr>
                  </w:pPr>
                  <w:r>
                    <w:rPr>
                      <w:rFonts w:hint="eastAsia"/>
                      <w:color w:val="auto"/>
                      <w:lang w:val="en-US" w:eastAsia="zh-CN"/>
                    </w:rPr>
                    <w:t>杀毒、包装车间</w:t>
                  </w:r>
                </w:p>
              </w:tc>
            </w:tr>
            <w:tr w14:paraId="7B8D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45F51E5C">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11</w:t>
                  </w:r>
                </w:p>
              </w:tc>
              <w:tc>
                <w:tcPr>
                  <w:tcW w:w="1156" w:type="pct"/>
                  <w:shd w:val="clear" w:color="auto" w:fill="auto"/>
                  <w:vAlign w:val="top"/>
                </w:tcPr>
                <w:p w14:paraId="7A7276A0">
                  <w:pPr>
                    <w:pStyle w:val="29"/>
                    <w:bidi w:val="0"/>
                    <w:ind w:firstLine="0" w:firstLineChars="0"/>
                    <w:rPr>
                      <w:rFonts w:hint="eastAsia"/>
                      <w:color w:val="auto"/>
                      <w:lang w:val="en-US" w:eastAsia="zh-CN"/>
                    </w:rPr>
                  </w:pPr>
                  <w:r>
                    <w:rPr>
                      <w:rFonts w:hint="eastAsia"/>
                      <w:color w:val="auto"/>
                      <w:lang w:val="en-US" w:eastAsia="zh-CN"/>
                    </w:rPr>
                    <w:t>六头灌装机</w:t>
                  </w:r>
                </w:p>
              </w:tc>
              <w:tc>
                <w:tcPr>
                  <w:tcW w:w="1093" w:type="pct"/>
                  <w:shd w:val="clear" w:color="auto" w:fill="auto"/>
                  <w:vAlign w:val="top"/>
                </w:tcPr>
                <w:p w14:paraId="7A8B11CC">
                  <w:pPr>
                    <w:pStyle w:val="29"/>
                    <w:bidi w:val="0"/>
                    <w:ind w:firstLine="0" w:firstLineChars="0"/>
                    <w:rPr>
                      <w:rFonts w:hint="default"/>
                      <w:color w:val="auto"/>
                      <w:lang w:val="en-US" w:eastAsia="zh-CN"/>
                    </w:rPr>
                  </w:pPr>
                  <w:r>
                    <w:rPr>
                      <w:rFonts w:hint="eastAsia"/>
                      <w:color w:val="auto"/>
                      <w:lang w:val="en-US" w:eastAsia="zh-CN"/>
                    </w:rPr>
                    <w:t>1-6</w:t>
                  </w:r>
                </w:p>
              </w:tc>
              <w:tc>
                <w:tcPr>
                  <w:tcW w:w="377" w:type="pct"/>
                  <w:shd w:val="clear" w:color="auto" w:fill="auto"/>
                  <w:vAlign w:val="top"/>
                </w:tcPr>
                <w:p w14:paraId="0EA8CDFF">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70DE8894">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656D9DE2">
                  <w:pPr>
                    <w:pStyle w:val="29"/>
                    <w:bidi w:val="0"/>
                    <w:ind w:firstLine="0" w:firstLineChars="0"/>
                    <w:rPr>
                      <w:rFonts w:hint="default"/>
                      <w:color w:val="auto"/>
                      <w:lang w:val="en-US" w:eastAsia="zh-CN"/>
                    </w:rPr>
                  </w:pPr>
                  <w:r>
                    <w:rPr>
                      <w:rFonts w:hint="eastAsia"/>
                      <w:color w:val="auto"/>
                      <w:lang w:val="en-US" w:eastAsia="zh-CN"/>
                    </w:rPr>
                    <w:t>玻璃瓶灌装</w:t>
                  </w:r>
                </w:p>
              </w:tc>
              <w:tc>
                <w:tcPr>
                  <w:tcW w:w="754" w:type="pct"/>
                  <w:vMerge w:val="continue"/>
                  <w:shd w:val="clear" w:color="auto" w:fill="auto"/>
                  <w:vAlign w:val="center"/>
                </w:tcPr>
                <w:p w14:paraId="145F89C3">
                  <w:pPr>
                    <w:pStyle w:val="29"/>
                    <w:bidi w:val="0"/>
                    <w:ind w:firstLine="0" w:firstLineChars="0"/>
                    <w:rPr>
                      <w:rFonts w:hint="eastAsia"/>
                      <w:color w:val="auto"/>
                      <w:lang w:val="en-US" w:eastAsia="zh-CN"/>
                    </w:rPr>
                  </w:pPr>
                </w:p>
              </w:tc>
            </w:tr>
            <w:tr w14:paraId="36DD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2ACB4C5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1156" w:type="pct"/>
                  <w:shd w:val="clear" w:color="auto" w:fill="auto"/>
                  <w:vAlign w:val="top"/>
                </w:tcPr>
                <w:p w14:paraId="77611EFA">
                  <w:pPr>
                    <w:pStyle w:val="29"/>
                    <w:bidi w:val="0"/>
                    <w:ind w:firstLine="0" w:firstLineChars="0"/>
                    <w:rPr>
                      <w:rFonts w:hint="eastAsia"/>
                      <w:color w:val="auto"/>
                      <w:lang w:val="en-US" w:eastAsia="zh-CN"/>
                    </w:rPr>
                  </w:pPr>
                  <w:r>
                    <w:rPr>
                      <w:rFonts w:hint="eastAsia"/>
                      <w:color w:val="auto"/>
                      <w:lang w:val="en-US" w:eastAsia="zh-CN"/>
                    </w:rPr>
                    <w:t>巴杀机</w:t>
                  </w:r>
                </w:p>
              </w:tc>
              <w:tc>
                <w:tcPr>
                  <w:tcW w:w="1093" w:type="pct"/>
                  <w:shd w:val="clear" w:color="auto" w:fill="auto"/>
                  <w:vAlign w:val="top"/>
                </w:tcPr>
                <w:p w14:paraId="6E40D184">
                  <w:pPr>
                    <w:pStyle w:val="29"/>
                    <w:bidi w:val="0"/>
                    <w:ind w:firstLine="0" w:firstLineChars="0"/>
                    <w:rPr>
                      <w:rFonts w:hint="default"/>
                      <w:color w:val="auto"/>
                      <w:lang w:val="en-US" w:eastAsia="zh-CN"/>
                    </w:rPr>
                  </w:pPr>
                  <w:r>
                    <w:rPr>
                      <w:rFonts w:hint="eastAsia"/>
                      <w:color w:val="auto"/>
                      <w:lang w:val="en-US" w:eastAsia="zh-CN"/>
                    </w:rPr>
                    <w:t>8 温区</w:t>
                  </w:r>
                </w:p>
              </w:tc>
              <w:tc>
                <w:tcPr>
                  <w:tcW w:w="377" w:type="pct"/>
                  <w:shd w:val="clear" w:color="auto" w:fill="auto"/>
                  <w:vAlign w:val="top"/>
                </w:tcPr>
                <w:p w14:paraId="794CF9BE">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0A1A887B">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1B4F71A9">
                  <w:pPr>
                    <w:pStyle w:val="29"/>
                    <w:bidi w:val="0"/>
                    <w:ind w:firstLine="0" w:firstLineChars="0"/>
                    <w:rPr>
                      <w:rFonts w:hint="default"/>
                      <w:color w:val="auto"/>
                      <w:lang w:val="en-US" w:eastAsia="zh-CN"/>
                    </w:rPr>
                  </w:pPr>
                  <w:r>
                    <w:rPr>
                      <w:rFonts w:hint="eastAsia"/>
                      <w:color w:val="auto"/>
                      <w:lang w:val="en-US" w:eastAsia="zh-CN"/>
                    </w:rPr>
                    <w:t>杀菌</w:t>
                  </w:r>
                </w:p>
              </w:tc>
              <w:tc>
                <w:tcPr>
                  <w:tcW w:w="754" w:type="pct"/>
                  <w:vMerge w:val="continue"/>
                  <w:shd w:val="clear" w:color="auto" w:fill="auto"/>
                  <w:vAlign w:val="center"/>
                </w:tcPr>
                <w:p w14:paraId="25822091">
                  <w:pPr>
                    <w:pStyle w:val="29"/>
                    <w:bidi w:val="0"/>
                    <w:ind w:firstLine="0" w:firstLineChars="0"/>
                    <w:rPr>
                      <w:rFonts w:hint="eastAsia"/>
                      <w:color w:val="auto"/>
                      <w:lang w:val="en-US" w:eastAsia="zh-CN"/>
                    </w:rPr>
                  </w:pPr>
                </w:p>
              </w:tc>
            </w:tr>
            <w:tr w14:paraId="6587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2979F0B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13</w:t>
                  </w:r>
                </w:p>
              </w:tc>
              <w:tc>
                <w:tcPr>
                  <w:tcW w:w="1156" w:type="pct"/>
                  <w:shd w:val="clear" w:color="auto" w:fill="auto"/>
                  <w:vAlign w:val="top"/>
                </w:tcPr>
                <w:p w14:paraId="6BA5F8D3">
                  <w:pPr>
                    <w:pStyle w:val="29"/>
                    <w:bidi w:val="0"/>
                    <w:ind w:firstLine="0" w:firstLineChars="0"/>
                    <w:rPr>
                      <w:rFonts w:hint="eastAsia"/>
                      <w:color w:val="auto"/>
                      <w:lang w:val="en-US" w:eastAsia="zh-CN"/>
                    </w:rPr>
                  </w:pPr>
                  <w:r>
                    <w:rPr>
                      <w:rFonts w:hint="eastAsia"/>
                      <w:color w:val="auto"/>
                      <w:lang w:val="en-US" w:eastAsia="zh-CN"/>
                    </w:rPr>
                    <w:t>激光打码机</w:t>
                  </w:r>
                </w:p>
              </w:tc>
              <w:tc>
                <w:tcPr>
                  <w:tcW w:w="1093" w:type="pct"/>
                  <w:shd w:val="clear" w:color="auto" w:fill="auto"/>
                  <w:vAlign w:val="top"/>
                </w:tcPr>
                <w:p w14:paraId="5942CB6C">
                  <w:pPr>
                    <w:pStyle w:val="29"/>
                    <w:bidi w:val="0"/>
                    <w:ind w:firstLine="0" w:firstLineChars="0"/>
                    <w:rPr>
                      <w:rFonts w:hint="default"/>
                      <w:color w:val="auto"/>
                      <w:lang w:val="en-US" w:eastAsia="zh-CN"/>
                    </w:rPr>
                  </w:pPr>
                  <w:r>
                    <w:rPr>
                      <w:rFonts w:hint="eastAsia"/>
                      <w:color w:val="auto"/>
                      <w:lang w:val="en-US" w:eastAsia="zh-CN"/>
                    </w:rPr>
                    <w:t>6000</w:t>
                  </w:r>
                </w:p>
              </w:tc>
              <w:tc>
                <w:tcPr>
                  <w:tcW w:w="377" w:type="pct"/>
                  <w:shd w:val="clear" w:color="auto" w:fill="auto"/>
                  <w:vAlign w:val="top"/>
                </w:tcPr>
                <w:p w14:paraId="60E6FC46">
                  <w:pPr>
                    <w:pStyle w:val="29"/>
                    <w:bidi w:val="0"/>
                    <w:ind w:firstLine="0" w:firstLineChars="0"/>
                    <w:rPr>
                      <w:rFonts w:hint="default"/>
                      <w:color w:val="auto"/>
                      <w:lang w:val="en-US" w:eastAsia="zh-CN"/>
                    </w:rPr>
                  </w:pPr>
                  <w:r>
                    <w:rPr>
                      <w:rFonts w:hint="eastAsia"/>
                      <w:color w:val="auto"/>
                      <w:lang w:val="en-US" w:eastAsia="zh-CN"/>
                    </w:rPr>
                    <w:t>1</w:t>
                  </w:r>
                </w:p>
              </w:tc>
              <w:tc>
                <w:tcPr>
                  <w:tcW w:w="323" w:type="pct"/>
                  <w:vAlign w:val="center"/>
                </w:tcPr>
                <w:p w14:paraId="59254382">
                  <w:pPr>
                    <w:pStyle w:val="29"/>
                    <w:bidi w:val="0"/>
                    <w:ind w:firstLine="0" w:firstLineChars="0"/>
                    <w:rPr>
                      <w:rFonts w:hint="eastAsia"/>
                      <w:color w:val="auto"/>
                      <w:lang w:val="en-US" w:eastAsia="zh-CN"/>
                    </w:rPr>
                  </w:pPr>
                  <w:r>
                    <w:rPr>
                      <w:rFonts w:hint="eastAsia"/>
                      <w:color w:val="auto"/>
                      <w:lang w:val="en-US" w:eastAsia="zh-CN"/>
                    </w:rPr>
                    <w:t>个</w:t>
                  </w:r>
                </w:p>
              </w:tc>
              <w:tc>
                <w:tcPr>
                  <w:tcW w:w="992" w:type="pct"/>
                  <w:vAlign w:val="center"/>
                </w:tcPr>
                <w:p w14:paraId="09B31ED2">
                  <w:pPr>
                    <w:pStyle w:val="29"/>
                    <w:bidi w:val="0"/>
                    <w:ind w:firstLine="0" w:firstLineChars="0"/>
                    <w:rPr>
                      <w:rFonts w:hint="default"/>
                      <w:color w:val="auto"/>
                      <w:lang w:val="en-US" w:eastAsia="zh-CN"/>
                    </w:rPr>
                  </w:pPr>
                  <w:r>
                    <w:rPr>
                      <w:rFonts w:hint="eastAsia"/>
                      <w:color w:val="auto"/>
                      <w:lang w:val="en-US" w:eastAsia="zh-CN"/>
                    </w:rPr>
                    <w:t>打码</w:t>
                  </w:r>
                </w:p>
              </w:tc>
              <w:tc>
                <w:tcPr>
                  <w:tcW w:w="754" w:type="pct"/>
                  <w:vMerge w:val="continue"/>
                  <w:vAlign w:val="center"/>
                </w:tcPr>
                <w:p w14:paraId="390413AC">
                  <w:pPr>
                    <w:pStyle w:val="29"/>
                    <w:bidi w:val="0"/>
                    <w:ind w:firstLine="0" w:firstLineChars="0"/>
                    <w:rPr>
                      <w:rFonts w:hint="eastAsia"/>
                      <w:color w:val="auto"/>
                      <w:lang w:val="en-US" w:eastAsia="zh-CN"/>
                    </w:rPr>
                  </w:pPr>
                </w:p>
              </w:tc>
            </w:tr>
            <w:tr w14:paraId="20F93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5501318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14</w:t>
                  </w:r>
                </w:p>
              </w:tc>
              <w:tc>
                <w:tcPr>
                  <w:tcW w:w="1156" w:type="pct"/>
                  <w:shd w:val="clear" w:color="auto" w:fill="auto"/>
                  <w:vAlign w:val="top"/>
                </w:tcPr>
                <w:p w14:paraId="1E695643">
                  <w:pPr>
                    <w:pStyle w:val="29"/>
                    <w:bidi w:val="0"/>
                    <w:ind w:firstLine="0" w:firstLineChars="0"/>
                    <w:rPr>
                      <w:rFonts w:hint="eastAsia"/>
                      <w:color w:val="auto"/>
                      <w:lang w:val="en-US" w:eastAsia="zh-CN"/>
                    </w:rPr>
                  </w:pPr>
                  <w:r>
                    <w:rPr>
                      <w:rFonts w:hint="eastAsia"/>
                      <w:color w:val="auto"/>
                      <w:lang w:val="en-US" w:eastAsia="zh-CN"/>
                    </w:rPr>
                    <w:t>贴标机</w:t>
                  </w:r>
                </w:p>
              </w:tc>
              <w:tc>
                <w:tcPr>
                  <w:tcW w:w="1093" w:type="pct"/>
                  <w:shd w:val="clear" w:color="auto" w:fill="auto"/>
                  <w:vAlign w:val="top"/>
                </w:tcPr>
                <w:p w14:paraId="1933546D">
                  <w:pPr>
                    <w:pStyle w:val="29"/>
                    <w:bidi w:val="0"/>
                    <w:ind w:firstLine="0" w:firstLineChars="0"/>
                    <w:rPr>
                      <w:rFonts w:hint="default"/>
                      <w:color w:val="auto"/>
                      <w:lang w:val="en-US" w:eastAsia="zh-CN"/>
                    </w:rPr>
                  </w:pPr>
                  <w:r>
                    <w:rPr>
                      <w:rFonts w:hint="eastAsia"/>
                      <w:color w:val="auto"/>
                      <w:lang w:val="en-US" w:eastAsia="zh-CN"/>
                    </w:rPr>
                    <w:t>6000</w:t>
                  </w:r>
                </w:p>
              </w:tc>
              <w:tc>
                <w:tcPr>
                  <w:tcW w:w="377" w:type="pct"/>
                  <w:shd w:val="clear" w:color="auto" w:fill="auto"/>
                  <w:vAlign w:val="top"/>
                </w:tcPr>
                <w:p w14:paraId="691E1889">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2BBFFCAE">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64E883B8">
                  <w:pPr>
                    <w:pStyle w:val="29"/>
                    <w:bidi w:val="0"/>
                    <w:ind w:firstLine="0" w:firstLineChars="0"/>
                    <w:rPr>
                      <w:rFonts w:hint="default"/>
                      <w:color w:val="auto"/>
                      <w:lang w:val="en-US" w:eastAsia="zh-CN"/>
                    </w:rPr>
                  </w:pPr>
                  <w:r>
                    <w:rPr>
                      <w:rFonts w:hint="eastAsia"/>
                      <w:color w:val="auto"/>
                      <w:lang w:val="en-US" w:eastAsia="zh-CN"/>
                    </w:rPr>
                    <w:t>贴标</w:t>
                  </w:r>
                </w:p>
              </w:tc>
              <w:tc>
                <w:tcPr>
                  <w:tcW w:w="754" w:type="pct"/>
                  <w:vMerge w:val="continue"/>
                  <w:shd w:val="clear" w:color="auto" w:fill="auto"/>
                  <w:vAlign w:val="center"/>
                </w:tcPr>
                <w:p w14:paraId="66200385">
                  <w:pPr>
                    <w:pStyle w:val="29"/>
                    <w:bidi w:val="0"/>
                    <w:ind w:firstLine="0" w:firstLineChars="0"/>
                    <w:rPr>
                      <w:rFonts w:hint="eastAsia"/>
                      <w:color w:val="auto"/>
                      <w:lang w:val="en-US" w:eastAsia="zh-CN"/>
                    </w:rPr>
                  </w:pPr>
                </w:p>
              </w:tc>
            </w:tr>
            <w:tr w14:paraId="2C80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0491746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15</w:t>
                  </w:r>
                </w:p>
              </w:tc>
              <w:tc>
                <w:tcPr>
                  <w:tcW w:w="1156" w:type="pct"/>
                  <w:shd w:val="clear" w:color="auto" w:fill="auto"/>
                  <w:vAlign w:val="top"/>
                </w:tcPr>
                <w:p w14:paraId="003EEB12">
                  <w:pPr>
                    <w:pStyle w:val="29"/>
                    <w:bidi w:val="0"/>
                    <w:ind w:firstLine="0" w:firstLineChars="0"/>
                    <w:rPr>
                      <w:rFonts w:hint="eastAsia"/>
                      <w:color w:val="auto"/>
                      <w:lang w:val="en-US" w:eastAsia="zh-CN"/>
                    </w:rPr>
                  </w:pPr>
                  <w:r>
                    <w:rPr>
                      <w:rFonts w:hint="eastAsia"/>
                      <w:color w:val="auto"/>
                      <w:lang w:val="en-US" w:eastAsia="zh-CN"/>
                    </w:rPr>
                    <w:t>易拉罐灌装机</w:t>
                  </w:r>
                </w:p>
              </w:tc>
              <w:tc>
                <w:tcPr>
                  <w:tcW w:w="1093" w:type="pct"/>
                  <w:shd w:val="clear" w:color="auto" w:fill="auto"/>
                  <w:vAlign w:val="top"/>
                </w:tcPr>
                <w:p w14:paraId="149A265E">
                  <w:pPr>
                    <w:pStyle w:val="29"/>
                    <w:bidi w:val="0"/>
                    <w:ind w:firstLine="0" w:firstLineChars="0"/>
                    <w:rPr>
                      <w:rFonts w:hint="default"/>
                      <w:color w:val="auto"/>
                      <w:lang w:val="en-US" w:eastAsia="zh-CN"/>
                    </w:rPr>
                  </w:pPr>
                  <w:r>
                    <w:rPr>
                      <w:rFonts w:hint="eastAsia"/>
                      <w:color w:val="auto"/>
                      <w:lang w:val="en-US" w:eastAsia="zh-CN"/>
                    </w:rPr>
                    <w:t>1-12</w:t>
                  </w:r>
                </w:p>
              </w:tc>
              <w:tc>
                <w:tcPr>
                  <w:tcW w:w="377" w:type="pct"/>
                  <w:shd w:val="clear" w:color="auto" w:fill="auto"/>
                  <w:vAlign w:val="top"/>
                </w:tcPr>
                <w:p w14:paraId="0F86F7BA">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48E450B1">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4510FE09">
                  <w:pPr>
                    <w:pStyle w:val="29"/>
                    <w:bidi w:val="0"/>
                    <w:ind w:firstLine="0" w:firstLineChars="0"/>
                    <w:rPr>
                      <w:rFonts w:hint="default"/>
                      <w:color w:val="auto"/>
                      <w:lang w:val="en-US" w:eastAsia="zh-CN"/>
                    </w:rPr>
                  </w:pPr>
                  <w:r>
                    <w:rPr>
                      <w:rFonts w:hint="eastAsia"/>
                      <w:color w:val="auto"/>
                      <w:lang w:val="en-US" w:eastAsia="zh-CN"/>
                    </w:rPr>
                    <w:t>灌装</w:t>
                  </w:r>
                </w:p>
              </w:tc>
              <w:tc>
                <w:tcPr>
                  <w:tcW w:w="754" w:type="pct"/>
                  <w:vMerge w:val="continue"/>
                  <w:shd w:val="clear" w:color="auto" w:fill="auto"/>
                  <w:vAlign w:val="center"/>
                </w:tcPr>
                <w:p w14:paraId="44ADBCD7">
                  <w:pPr>
                    <w:pStyle w:val="29"/>
                    <w:bidi w:val="0"/>
                    <w:ind w:firstLine="0" w:firstLineChars="0"/>
                    <w:rPr>
                      <w:rFonts w:hint="eastAsia"/>
                      <w:color w:val="auto"/>
                      <w:lang w:val="en-US" w:eastAsia="zh-CN"/>
                    </w:rPr>
                  </w:pPr>
                </w:p>
              </w:tc>
            </w:tr>
            <w:tr w14:paraId="0B24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4D77AB8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16</w:t>
                  </w:r>
                </w:p>
              </w:tc>
              <w:tc>
                <w:tcPr>
                  <w:tcW w:w="1156" w:type="pct"/>
                  <w:shd w:val="clear" w:color="auto" w:fill="auto"/>
                  <w:vAlign w:val="top"/>
                </w:tcPr>
                <w:p w14:paraId="01ED8860">
                  <w:pPr>
                    <w:pStyle w:val="29"/>
                    <w:bidi w:val="0"/>
                    <w:ind w:firstLine="0" w:firstLineChars="0"/>
                    <w:rPr>
                      <w:rFonts w:hint="eastAsia"/>
                      <w:color w:val="auto"/>
                      <w:lang w:val="en-US" w:eastAsia="zh-CN"/>
                    </w:rPr>
                  </w:pPr>
                  <w:r>
                    <w:rPr>
                      <w:rFonts w:hint="eastAsia"/>
                      <w:color w:val="auto"/>
                      <w:lang w:val="en-US" w:eastAsia="zh-CN"/>
                    </w:rPr>
                    <w:t>CIP系统洗罐机</w:t>
                  </w:r>
                </w:p>
              </w:tc>
              <w:tc>
                <w:tcPr>
                  <w:tcW w:w="1093" w:type="pct"/>
                  <w:shd w:val="clear" w:color="auto" w:fill="auto"/>
                  <w:vAlign w:val="top"/>
                </w:tcPr>
                <w:p w14:paraId="50922130">
                  <w:pPr>
                    <w:pStyle w:val="29"/>
                    <w:bidi w:val="0"/>
                    <w:ind w:firstLine="0" w:firstLineChars="0"/>
                    <w:rPr>
                      <w:rFonts w:hint="default"/>
                      <w:color w:val="auto"/>
                      <w:lang w:val="en-US" w:eastAsia="zh-CN"/>
                    </w:rPr>
                  </w:pPr>
                  <w:r>
                    <w:rPr>
                      <w:rFonts w:hint="eastAsia"/>
                      <w:color w:val="auto"/>
                      <w:lang w:val="en-US" w:eastAsia="zh-CN"/>
                    </w:rPr>
                    <w:t>1-12</w:t>
                  </w:r>
                </w:p>
              </w:tc>
              <w:tc>
                <w:tcPr>
                  <w:tcW w:w="377" w:type="pct"/>
                  <w:shd w:val="clear" w:color="auto" w:fill="auto"/>
                  <w:vAlign w:val="top"/>
                </w:tcPr>
                <w:p w14:paraId="5591D91D">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258AE014">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3CBF3FB1">
                  <w:pPr>
                    <w:pStyle w:val="29"/>
                    <w:bidi w:val="0"/>
                    <w:ind w:firstLine="0" w:firstLineChars="0"/>
                    <w:rPr>
                      <w:rFonts w:hint="default"/>
                      <w:color w:val="auto"/>
                      <w:lang w:val="en-US" w:eastAsia="zh-CN"/>
                    </w:rPr>
                  </w:pPr>
                  <w:r>
                    <w:rPr>
                      <w:rFonts w:hint="eastAsia"/>
                      <w:color w:val="auto"/>
                      <w:lang w:val="en-US" w:eastAsia="zh-CN"/>
                    </w:rPr>
                    <w:t>清洗罐体</w:t>
                  </w:r>
                </w:p>
              </w:tc>
              <w:tc>
                <w:tcPr>
                  <w:tcW w:w="754" w:type="pct"/>
                  <w:vMerge w:val="continue"/>
                  <w:shd w:val="clear" w:color="auto" w:fill="auto"/>
                  <w:vAlign w:val="center"/>
                </w:tcPr>
                <w:p w14:paraId="27DC5DD6">
                  <w:pPr>
                    <w:pStyle w:val="29"/>
                    <w:bidi w:val="0"/>
                    <w:ind w:firstLine="0" w:firstLineChars="0"/>
                    <w:rPr>
                      <w:rFonts w:hint="eastAsia"/>
                      <w:color w:val="auto"/>
                      <w:lang w:val="en-US" w:eastAsia="zh-CN"/>
                    </w:rPr>
                  </w:pPr>
                </w:p>
              </w:tc>
            </w:tr>
            <w:tr w14:paraId="58BD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49EB555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17</w:t>
                  </w:r>
                </w:p>
              </w:tc>
              <w:tc>
                <w:tcPr>
                  <w:tcW w:w="1156" w:type="pct"/>
                  <w:shd w:val="clear" w:color="auto" w:fill="auto"/>
                  <w:vAlign w:val="top"/>
                </w:tcPr>
                <w:p w14:paraId="63E6F84F">
                  <w:pPr>
                    <w:pStyle w:val="29"/>
                    <w:bidi w:val="0"/>
                    <w:ind w:firstLine="0" w:firstLineChars="0"/>
                    <w:rPr>
                      <w:rFonts w:hint="eastAsia"/>
                      <w:color w:val="auto"/>
                      <w:lang w:val="en-US" w:eastAsia="zh-CN"/>
                    </w:rPr>
                  </w:pPr>
                  <w:r>
                    <w:rPr>
                      <w:rFonts w:hint="eastAsia"/>
                      <w:color w:val="auto"/>
                      <w:lang w:val="en-US" w:eastAsia="zh-CN"/>
                    </w:rPr>
                    <w:t>翻罐器</w:t>
                  </w:r>
                </w:p>
              </w:tc>
              <w:tc>
                <w:tcPr>
                  <w:tcW w:w="1093" w:type="pct"/>
                  <w:shd w:val="clear" w:color="auto" w:fill="auto"/>
                  <w:vAlign w:val="top"/>
                </w:tcPr>
                <w:p w14:paraId="0E15C62B">
                  <w:pPr>
                    <w:pStyle w:val="29"/>
                    <w:bidi w:val="0"/>
                    <w:ind w:firstLine="0" w:firstLineChars="0"/>
                    <w:rPr>
                      <w:rFonts w:hint="default"/>
                      <w:color w:val="auto"/>
                      <w:lang w:val="en-US" w:eastAsia="zh-CN"/>
                    </w:rPr>
                  </w:pPr>
                  <w:r>
                    <w:rPr>
                      <w:rFonts w:hint="eastAsia"/>
                      <w:color w:val="auto"/>
                      <w:lang w:val="en-US" w:eastAsia="zh-CN"/>
                    </w:rPr>
                    <w:t>1-12</w:t>
                  </w:r>
                </w:p>
              </w:tc>
              <w:tc>
                <w:tcPr>
                  <w:tcW w:w="377" w:type="pct"/>
                  <w:shd w:val="clear" w:color="auto" w:fill="auto"/>
                  <w:vAlign w:val="top"/>
                </w:tcPr>
                <w:p w14:paraId="567E6574">
                  <w:pPr>
                    <w:pStyle w:val="29"/>
                    <w:bidi w:val="0"/>
                    <w:ind w:firstLine="0" w:firstLineChars="0"/>
                    <w:rPr>
                      <w:rFonts w:hint="default"/>
                      <w:color w:val="auto"/>
                      <w:lang w:val="en-US" w:eastAsia="zh-CN"/>
                    </w:rPr>
                  </w:pPr>
                  <w:r>
                    <w:rPr>
                      <w:rFonts w:hint="eastAsia"/>
                      <w:color w:val="auto"/>
                      <w:lang w:val="en-US" w:eastAsia="zh-CN"/>
                    </w:rPr>
                    <w:t>2</w:t>
                  </w:r>
                </w:p>
              </w:tc>
              <w:tc>
                <w:tcPr>
                  <w:tcW w:w="323" w:type="pct"/>
                  <w:shd w:val="clear" w:color="auto" w:fill="auto"/>
                  <w:vAlign w:val="center"/>
                </w:tcPr>
                <w:p w14:paraId="4435E92E">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11AAC8F7">
                  <w:pPr>
                    <w:pStyle w:val="29"/>
                    <w:bidi w:val="0"/>
                    <w:ind w:firstLine="0" w:firstLineChars="0"/>
                    <w:rPr>
                      <w:rFonts w:hint="default"/>
                      <w:color w:val="auto"/>
                      <w:lang w:val="en-US" w:eastAsia="zh-CN"/>
                    </w:rPr>
                  </w:pPr>
                  <w:r>
                    <w:rPr>
                      <w:rFonts w:hint="eastAsia"/>
                      <w:color w:val="auto"/>
                      <w:lang w:val="en-US" w:eastAsia="zh-CN"/>
                    </w:rPr>
                    <w:t>翻罐</w:t>
                  </w:r>
                </w:p>
              </w:tc>
              <w:tc>
                <w:tcPr>
                  <w:tcW w:w="754" w:type="pct"/>
                  <w:vMerge w:val="continue"/>
                  <w:shd w:val="clear" w:color="auto" w:fill="auto"/>
                  <w:vAlign w:val="center"/>
                </w:tcPr>
                <w:p w14:paraId="1EEC2C24">
                  <w:pPr>
                    <w:pStyle w:val="29"/>
                    <w:bidi w:val="0"/>
                    <w:ind w:firstLine="0" w:firstLineChars="0"/>
                    <w:rPr>
                      <w:rFonts w:hint="eastAsia"/>
                      <w:color w:val="auto"/>
                      <w:lang w:val="en-US" w:eastAsia="zh-CN"/>
                    </w:rPr>
                  </w:pPr>
                </w:p>
              </w:tc>
            </w:tr>
            <w:tr w14:paraId="6678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0826033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18</w:t>
                  </w:r>
                </w:p>
              </w:tc>
              <w:tc>
                <w:tcPr>
                  <w:tcW w:w="1156" w:type="pct"/>
                  <w:shd w:val="clear" w:color="auto" w:fill="auto"/>
                  <w:vAlign w:val="center"/>
                </w:tcPr>
                <w:p w14:paraId="6623CEF2">
                  <w:pPr>
                    <w:pStyle w:val="29"/>
                    <w:bidi w:val="0"/>
                    <w:ind w:firstLine="0" w:firstLineChars="0"/>
                    <w:rPr>
                      <w:rFonts w:hint="default"/>
                      <w:color w:val="auto"/>
                      <w:lang w:val="en-US" w:eastAsia="zh-CN"/>
                    </w:rPr>
                  </w:pPr>
                  <w:r>
                    <w:rPr>
                      <w:rFonts w:hint="eastAsia"/>
                      <w:color w:val="auto"/>
                      <w:lang w:val="en-US" w:eastAsia="zh-CN"/>
                    </w:rPr>
                    <w:t>燃气锅炉</w:t>
                  </w:r>
                </w:p>
              </w:tc>
              <w:tc>
                <w:tcPr>
                  <w:tcW w:w="1093" w:type="pct"/>
                  <w:shd w:val="clear" w:color="auto" w:fill="auto"/>
                  <w:vAlign w:val="center"/>
                </w:tcPr>
                <w:p w14:paraId="7AC34B24">
                  <w:pPr>
                    <w:pStyle w:val="29"/>
                    <w:bidi w:val="0"/>
                    <w:ind w:firstLine="0" w:firstLineChars="0"/>
                    <w:rPr>
                      <w:rFonts w:hint="default"/>
                      <w:color w:val="auto"/>
                      <w:lang w:val="en-US" w:eastAsia="zh-CN"/>
                    </w:rPr>
                  </w:pPr>
                  <w:r>
                    <w:rPr>
                      <w:rFonts w:hint="eastAsia"/>
                      <w:color w:val="auto"/>
                      <w:lang w:val="en-US" w:eastAsia="zh-CN"/>
                    </w:rPr>
                    <w:t>0.5t/h</w:t>
                  </w:r>
                </w:p>
              </w:tc>
              <w:tc>
                <w:tcPr>
                  <w:tcW w:w="377" w:type="pct"/>
                  <w:shd w:val="clear" w:color="auto" w:fill="auto"/>
                  <w:vAlign w:val="center"/>
                </w:tcPr>
                <w:p w14:paraId="2DAC4A8F">
                  <w:pPr>
                    <w:pStyle w:val="29"/>
                    <w:bidi w:val="0"/>
                    <w:ind w:firstLine="0" w:firstLineChars="0"/>
                    <w:rPr>
                      <w:rFonts w:hint="default"/>
                      <w:color w:val="auto"/>
                      <w:lang w:val="en-US" w:eastAsia="zh-CN"/>
                    </w:rPr>
                  </w:pPr>
                  <w:r>
                    <w:rPr>
                      <w:rFonts w:hint="eastAsia"/>
                      <w:color w:val="auto"/>
                      <w:lang w:val="en-US" w:eastAsia="zh-CN"/>
                    </w:rPr>
                    <w:t>2</w:t>
                  </w:r>
                </w:p>
              </w:tc>
              <w:tc>
                <w:tcPr>
                  <w:tcW w:w="323" w:type="pct"/>
                  <w:shd w:val="clear" w:color="auto" w:fill="auto"/>
                  <w:vAlign w:val="center"/>
                </w:tcPr>
                <w:p w14:paraId="78529028">
                  <w:pPr>
                    <w:pStyle w:val="29"/>
                    <w:bidi w:val="0"/>
                    <w:ind w:firstLine="0" w:firstLineChars="0"/>
                    <w:rPr>
                      <w:rFonts w:hint="eastAsia"/>
                      <w:color w:val="auto"/>
                      <w:lang w:val="en-US" w:eastAsia="zh-CN"/>
                    </w:rPr>
                  </w:pPr>
                  <w:r>
                    <w:rPr>
                      <w:rFonts w:hint="eastAsia"/>
                      <w:color w:val="auto"/>
                      <w:lang w:val="en-US" w:eastAsia="zh-CN"/>
                    </w:rPr>
                    <w:t>台</w:t>
                  </w:r>
                </w:p>
              </w:tc>
              <w:tc>
                <w:tcPr>
                  <w:tcW w:w="992" w:type="pct"/>
                  <w:shd w:val="clear" w:color="auto" w:fill="auto"/>
                  <w:vAlign w:val="center"/>
                </w:tcPr>
                <w:p w14:paraId="2724CC6C">
                  <w:pPr>
                    <w:pStyle w:val="29"/>
                    <w:bidi w:val="0"/>
                    <w:ind w:firstLine="0" w:firstLineChars="0"/>
                    <w:rPr>
                      <w:rFonts w:hint="default"/>
                      <w:color w:val="auto"/>
                      <w:lang w:val="en-US" w:eastAsia="zh-CN"/>
                    </w:rPr>
                  </w:pPr>
                  <w:r>
                    <w:rPr>
                      <w:rFonts w:hint="eastAsia"/>
                      <w:color w:val="auto"/>
                      <w:lang w:val="en-US" w:eastAsia="zh-CN"/>
                    </w:rPr>
                    <w:t>供热（一备一用）</w:t>
                  </w:r>
                </w:p>
              </w:tc>
              <w:tc>
                <w:tcPr>
                  <w:tcW w:w="754" w:type="pct"/>
                  <w:vMerge w:val="continue"/>
                  <w:shd w:val="clear" w:color="auto" w:fill="auto"/>
                  <w:vAlign w:val="center"/>
                </w:tcPr>
                <w:p w14:paraId="01BEBDD6">
                  <w:pPr>
                    <w:pStyle w:val="29"/>
                    <w:bidi w:val="0"/>
                    <w:ind w:firstLine="0" w:firstLineChars="0"/>
                    <w:rPr>
                      <w:rFonts w:hint="eastAsia"/>
                      <w:color w:val="auto"/>
                      <w:lang w:val="en-US" w:eastAsia="zh-CN"/>
                    </w:rPr>
                  </w:pPr>
                </w:p>
              </w:tc>
            </w:tr>
            <w:tr w14:paraId="2742A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08915BF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19</w:t>
                  </w:r>
                </w:p>
              </w:tc>
              <w:tc>
                <w:tcPr>
                  <w:tcW w:w="1156" w:type="pct"/>
                  <w:shd w:val="clear" w:color="auto" w:fill="auto"/>
                  <w:vAlign w:val="center"/>
                </w:tcPr>
                <w:p w14:paraId="127EB827">
                  <w:pPr>
                    <w:pStyle w:val="29"/>
                    <w:bidi w:val="0"/>
                    <w:ind w:firstLine="0" w:firstLineChars="0"/>
                    <w:rPr>
                      <w:rFonts w:hint="default"/>
                      <w:color w:val="auto"/>
                      <w:lang w:val="en-US" w:eastAsia="zh-CN"/>
                    </w:rPr>
                  </w:pPr>
                  <w:r>
                    <w:rPr>
                      <w:rFonts w:hint="eastAsia"/>
                      <w:color w:val="auto"/>
                      <w:lang w:val="en-US" w:eastAsia="zh-CN"/>
                    </w:rPr>
                    <w:t>制冷机</w:t>
                  </w:r>
                </w:p>
              </w:tc>
              <w:tc>
                <w:tcPr>
                  <w:tcW w:w="1093" w:type="pct"/>
                  <w:shd w:val="clear" w:color="auto" w:fill="auto"/>
                  <w:vAlign w:val="center"/>
                </w:tcPr>
                <w:p w14:paraId="09D41A77">
                  <w:pPr>
                    <w:pStyle w:val="29"/>
                    <w:bidi w:val="0"/>
                    <w:ind w:firstLine="0" w:firstLineChars="0"/>
                    <w:rPr>
                      <w:rFonts w:hint="default"/>
                      <w:color w:val="auto"/>
                      <w:lang w:val="en-US" w:eastAsia="zh-CN"/>
                    </w:rPr>
                  </w:pPr>
                  <w:r>
                    <w:rPr>
                      <w:rFonts w:hint="eastAsia"/>
                      <w:color w:val="auto"/>
                      <w:lang w:val="en-US" w:eastAsia="zh-CN"/>
                    </w:rPr>
                    <w:t>BES151-AL</w:t>
                  </w:r>
                </w:p>
              </w:tc>
              <w:tc>
                <w:tcPr>
                  <w:tcW w:w="377" w:type="pct"/>
                  <w:shd w:val="clear" w:color="auto" w:fill="auto"/>
                  <w:vAlign w:val="center"/>
                </w:tcPr>
                <w:p w14:paraId="6889DB94">
                  <w:pPr>
                    <w:pStyle w:val="29"/>
                    <w:bidi w:val="0"/>
                    <w:ind w:firstLine="0" w:firstLineChars="0"/>
                    <w:rPr>
                      <w:rFonts w:hint="default"/>
                      <w:color w:val="auto"/>
                      <w:lang w:val="en-US" w:eastAsia="zh-CN"/>
                    </w:rPr>
                  </w:pPr>
                  <w:r>
                    <w:rPr>
                      <w:rFonts w:hint="eastAsia"/>
                      <w:color w:val="auto"/>
                      <w:lang w:val="en-US" w:eastAsia="zh-CN"/>
                    </w:rPr>
                    <w:t>3</w:t>
                  </w:r>
                </w:p>
              </w:tc>
              <w:tc>
                <w:tcPr>
                  <w:tcW w:w="323" w:type="pct"/>
                  <w:shd w:val="clear" w:color="auto" w:fill="auto"/>
                  <w:vAlign w:val="center"/>
                </w:tcPr>
                <w:p w14:paraId="1965A00C">
                  <w:pPr>
                    <w:pStyle w:val="29"/>
                    <w:bidi w:val="0"/>
                    <w:ind w:firstLine="0" w:firstLineChars="0"/>
                    <w:rPr>
                      <w:rFonts w:hint="default"/>
                      <w:color w:val="auto"/>
                      <w:lang w:val="en-US" w:eastAsia="zh-CN"/>
                    </w:rPr>
                  </w:pPr>
                  <w:r>
                    <w:rPr>
                      <w:rFonts w:hint="eastAsia"/>
                      <w:color w:val="auto"/>
                      <w:lang w:val="en-US" w:eastAsia="zh-CN"/>
                    </w:rPr>
                    <w:t>台</w:t>
                  </w:r>
                </w:p>
              </w:tc>
              <w:tc>
                <w:tcPr>
                  <w:tcW w:w="992" w:type="pct"/>
                  <w:shd w:val="clear" w:color="auto" w:fill="auto"/>
                  <w:vAlign w:val="center"/>
                </w:tcPr>
                <w:p w14:paraId="466B7735">
                  <w:pPr>
                    <w:pStyle w:val="29"/>
                    <w:bidi w:val="0"/>
                    <w:ind w:firstLine="0" w:firstLineChars="0"/>
                    <w:rPr>
                      <w:rFonts w:hint="default"/>
                      <w:color w:val="auto"/>
                      <w:lang w:val="en-US" w:eastAsia="zh-CN"/>
                    </w:rPr>
                  </w:pPr>
                  <w:r>
                    <w:rPr>
                      <w:rFonts w:hint="eastAsia"/>
                      <w:color w:val="auto"/>
                      <w:lang w:val="en-US" w:eastAsia="zh-CN"/>
                    </w:rPr>
                    <w:t>制冷（2用一备）</w:t>
                  </w:r>
                </w:p>
              </w:tc>
              <w:tc>
                <w:tcPr>
                  <w:tcW w:w="754" w:type="pct"/>
                  <w:vMerge w:val="restart"/>
                  <w:shd w:val="clear" w:color="auto" w:fill="auto"/>
                  <w:vAlign w:val="center"/>
                </w:tcPr>
                <w:p w14:paraId="452D9AB6">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37D3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6990849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20</w:t>
                  </w:r>
                </w:p>
              </w:tc>
              <w:tc>
                <w:tcPr>
                  <w:tcW w:w="1156" w:type="pct"/>
                  <w:shd w:val="clear" w:color="auto" w:fill="auto"/>
                  <w:vAlign w:val="center"/>
                </w:tcPr>
                <w:p w14:paraId="6A4C9250">
                  <w:pPr>
                    <w:pStyle w:val="29"/>
                    <w:bidi w:val="0"/>
                    <w:ind w:firstLine="0" w:firstLineChars="0"/>
                    <w:rPr>
                      <w:rFonts w:hint="default"/>
                      <w:color w:val="auto"/>
                      <w:lang w:val="en-US" w:eastAsia="zh-CN"/>
                    </w:rPr>
                  </w:pPr>
                  <w:r>
                    <w:rPr>
                      <w:rFonts w:hint="eastAsia"/>
                      <w:color w:val="auto"/>
                      <w:lang w:val="en-US" w:eastAsia="zh-CN"/>
                    </w:rPr>
                    <w:t>冷媒罐</w:t>
                  </w:r>
                </w:p>
              </w:tc>
              <w:tc>
                <w:tcPr>
                  <w:tcW w:w="1093" w:type="pct"/>
                  <w:shd w:val="clear" w:color="auto" w:fill="auto"/>
                  <w:vAlign w:val="center"/>
                </w:tcPr>
                <w:p w14:paraId="78FDCA37">
                  <w:pPr>
                    <w:pStyle w:val="29"/>
                    <w:bidi w:val="0"/>
                    <w:ind w:firstLine="0" w:firstLineChars="0"/>
                    <w:rPr>
                      <w:rFonts w:hint="default"/>
                      <w:color w:val="auto"/>
                      <w:lang w:val="en-US" w:eastAsia="zh-CN"/>
                    </w:rPr>
                  </w:pPr>
                  <w:r>
                    <w:rPr>
                      <w:rFonts w:hint="eastAsia"/>
                      <w:color w:val="auto"/>
                      <w:lang w:val="en-US" w:eastAsia="zh-CN"/>
                    </w:rPr>
                    <w:t>/</w:t>
                  </w:r>
                </w:p>
              </w:tc>
              <w:tc>
                <w:tcPr>
                  <w:tcW w:w="377" w:type="pct"/>
                  <w:shd w:val="clear" w:color="auto" w:fill="auto"/>
                  <w:vAlign w:val="center"/>
                </w:tcPr>
                <w:p w14:paraId="66773E32">
                  <w:pPr>
                    <w:pStyle w:val="29"/>
                    <w:bidi w:val="0"/>
                    <w:ind w:firstLine="0" w:firstLineChars="0"/>
                    <w:rPr>
                      <w:rFonts w:hint="default"/>
                      <w:color w:val="auto"/>
                      <w:lang w:val="en-US" w:eastAsia="zh-CN"/>
                    </w:rPr>
                  </w:pPr>
                  <w:r>
                    <w:rPr>
                      <w:rFonts w:hint="eastAsia"/>
                      <w:color w:val="auto"/>
                      <w:lang w:val="en-US" w:eastAsia="zh-CN"/>
                    </w:rPr>
                    <w:t>2</w:t>
                  </w:r>
                </w:p>
              </w:tc>
              <w:tc>
                <w:tcPr>
                  <w:tcW w:w="323" w:type="pct"/>
                  <w:shd w:val="clear" w:color="auto" w:fill="auto"/>
                  <w:vAlign w:val="center"/>
                </w:tcPr>
                <w:p w14:paraId="0C91B609">
                  <w:pPr>
                    <w:pStyle w:val="29"/>
                    <w:bidi w:val="0"/>
                    <w:ind w:firstLine="0" w:firstLineChars="0"/>
                    <w:rPr>
                      <w:rFonts w:hint="default"/>
                      <w:color w:val="auto"/>
                      <w:lang w:val="en-US" w:eastAsia="zh-CN"/>
                    </w:rPr>
                  </w:pPr>
                  <w:r>
                    <w:rPr>
                      <w:rFonts w:hint="eastAsia"/>
                      <w:color w:val="auto"/>
                      <w:lang w:val="en-US" w:eastAsia="zh-CN"/>
                    </w:rPr>
                    <w:t>个</w:t>
                  </w:r>
                </w:p>
              </w:tc>
              <w:tc>
                <w:tcPr>
                  <w:tcW w:w="992" w:type="pct"/>
                  <w:shd w:val="clear" w:color="auto" w:fill="auto"/>
                  <w:vAlign w:val="center"/>
                </w:tcPr>
                <w:p w14:paraId="32BCB088">
                  <w:pPr>
                    <w:pStyle w:val="29"/>
                    <w:bidi w:val="0"/>
                    <w:ind w:firstLine="0" w:firstLineChars="0"/>
                    <w:rPr>
                      <w:rFonts w:hint="default"/>
                      <w:color w:val="auto"/>
                      <w:lang w:val="en-US" w:eastAsia="zh-CN"/>
                    </w:rPr>
                  </w:pPr>
                  <w:r>
                    <w:rPr>
                      <w:rFonts w:hint="eastAsia"/>
                      <w:color w:val="auto"/>
                      <w:lang w:val="en-US" w:eastAsia="zh-CN"/>
                    </w:rPr>
                    <w:t>制冷</w:t>
                  </w:r>
                </w:p>
              </w:tc>
              <w:tc>
                <w:tcPr>
                  <w:tcW w:w="754" w:type="pct"/>
                  <w:vMerge w:val="continue"/>
                  <w:shd w:val="clear" w:color="auto" w:fill="auto"/>
                  <w:vAlign w:val="center"/>
                </w:tcPr>
                <w:p w14:paraId="6A608A6D">
                  <w:pPr>
                    <w:pStyle w:val="29"/>
                    <w:bidi w:val="0"/>
                    <w:ind w:firstLine="0" w:firstLineChars="0"/>
                    <w:rPr>
                      <w:rFonts w:hint="eastAsia"/>
                      <w:color w:val="auto"/>
                      <w:lang w:val="en-US" w:eastAsia="zh-CN"/>
                    </w:rPr>
                  </w:pPr>
                </w:p>
              </w:tc>
            </w:tr>
            <w:tr w14:paraId="1F92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7"/>
                  <w:shd w:val="clear" w:color="auto" w:fill="auto"/>
                  <w:vAlign w:val="center"/>
                </w:tcPr>
                <w:p w14:paraId="7C2FFC74">
                  <w:pPr>
                    <w:pStyle w:val="29"/>
                    <w:bidi w:val="0"/>
                    <w:ind w:firstLine="0" w:firstLineChars="0"/>
                    <w:rPr>
                      <w:rFonts w:hint="default"/>
                      <w:color w:val="auto"/>
                      <w:lang w:val="en-US" w:eastAsia="zh-CN"/>
                    </w:rPr>
                  </w:pPr>
                  <w:r>
                    <w:rPr>
                      <w:rFonts w:hint="eastAsia"/>
                      <w:color w:val="auto"/>
                      <w:lang w:val="en-US" w:eastAsia="zh-CN"/>
                    </w:rPr>
                    <w:t>发酵酒生产设备</w:t>
                  </w:r>
                </w:p>
              </w:tc>
            </w:tr>
            <w:tr w14:paraId="4A7CB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40950F17">
                  <w:pPr>
                    <w:pStyle w:val="29"/>
                    <w:bidi w:val="0"/>
                    <w:ind w:firstLine="0" w:firstLineChars="0"/>
                    <w:rPr>
                      <w:rFonts w:hint="default"/>
                      <w:color w:val="auto"/>
                      <w:lang w:val="en-US" w:eastAsia="zh-CN"/>
                    </w:rPr>
                  </w:pPr>
                  <w:r>
                    <w:rPr>
                      <w:rFonts w:hint="eastAsia"/>
                      <w:color w:val="auto"/>
                      <w:lang w:val="en-US" w:eastAsia="zh-CN"/>
                    </w:rPr>
                    <w:t>1</w:t>
                  </w:r>
                </w:p>
              </w:tc>
              <w:tc>
                <w:tcPr>
                  <w:tcW w:w="1156" w:type="pct"/>
                  <w:shd w:val="clear" w:color="auto" w:fill="auto"/>
                  <w:vAlign w:val="top"/>
                </w:tcPr>
                <w:p w14:paraId="25A19E0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煮沸罐</w:t>
                  </w:r>
                </w:p>
              </w:tc>
              <w:tc>
                <w:tcPr>
                  <w:tcW w:w="1093" w:type="pct"/>
                  <w:shd w:val="clear" w:color="auto" w:fill="auto"/>
                  <w:vAlign w:val="top"/>
                </w:tcPr>
                <w:p w14:paraId="7211F21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LB-2000L</w:t>
                  </w:r>
                </w:p>
              </w:tc>
              <w:tc>
                <w:tcPr>
                  <w:tcW w:w="377" w:type="pct"/>
                  <w:shd w:val="clear" w:color="auto" w:fill="auto"/>
                  <w:vAlign w:val="top"/>
                </w:tcPr>
                <w:p w14:paraId="3C71195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0B0067F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restart"/>
                  <w:shd w:val="clear" w:color="auto" w:fill="auto"/>
                  <w:vAlign w:val="center"/>
                </w:tcPr>
                <w:p w14:paraId="3B213B5A">
                  <w:pPr>
                    <w:pStyle w:val="29"/>
                    <w:bidi w:val="0"/>
                    <w:ind w:firstLine="0" w:firstLineChars="0"/>
                    <w:rPr>
                      <w:rFonts w:hint="eastAsia"/>
                      <w:color w:val="auto"/>
                      <w:lang w:val="en-US" w:eastAsia="zh-CN"/>
                    </w:rPr>
                  </w:pPr>
                  <w:r>
                    <w:rPr>
                      <w:rFonts w:hint="eastAsia"/>
                      <w:color w:val="auto"/>
                      <w:lang w:val="en-US" w:eastAsia="zh-CN"/>
                    </w:rPr>
                    <w:t>这套设备不新增型号与数量，依托啤酒生产线共享配置，可支撑年产100吨配置酒生产，满足多品类啤酒的标准化量产需求。</w:t>
                  </w:r>
                </w:p>
              </w:tc>
              <w:tc>
                <w:tcPr>
                  <w:tcW w:w="754" w:type="pct"/>
                  <w:vMerge w:val="restart"/>
                  <w:shd w:val="clear" w:color="auto" w:fill="auto"/>
                  <w:vAlign w:val="center"/>
                </w:tcPr>
                <w:p w14:paraId="09E27CFE">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2B9A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188D668B">
                  <w:pPr>
                    <w:pStyle w:val="29"/>
                    <w:bidi w:val="0"/>
                    <w:ind w:firstLine="0" w:firstLineChars="0"/>
                    <w:rPr>
                      <w:rFonts w:hint="default"/>
                      <w:color w:val="auto"/>
                      <w:lang w:val="en-US" w:eastAsia="zh-CN"/>
                    </w:rPr>
                  </w:pPr>
                  <w:r>
                    <w:rPr>
                      <w:rFonts w:hint="eastAsia"/>
                      <w:color w:val="auto"/>
                      <w:lang w:val="en-US" w:eastAsia="zh-CN"/>
                    </w:rPr>
                    <w:t>2</w:t>
                  </w:r>
                </w:p>
              </w:tc>
              <w:tc>
                <w:tcPr>
                  <w:tcW w:w="1156" w:type="pct"/>
                  <w:shd w:val="clear" w:color="auto" w:fill="auto"/>
                  <w:vAlign w:val="top"/>
                </w:tcPr>
                <w:p w14:paraId="738F2E1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发酵罐</w:t>
                  </w:r>
                </w:p>
              </w:tc>
              <w:tc>
                <w:tcPr>
                  <w:tcW w:w="1093" w:type="pct"/>
                  <w:shd w:val="clear" w:color="auto" w:fill="auto"/>
                  <w:vAlign w:val="top"/>
                </w:tcPr>
                <w:p w14:paraId="37C8A5B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LB-2000L/2t</w:t>
                  </w:r>
                </w:p>
              </w:tc>
              <w:tc>
                <w:tcPr>
                  <w:tcW w:w="377" w:type="pct"/>
                  <w:shd w:val="clear" w:color="auto" w:fill="auto"/>
                  <w:vAlign w:val="top"/>
                </w:tcPr>
                <w:p w14:paraId="62A60D8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323" w:type="pct"/>
                  <w:shd w:val="clear" w:color="auto" w:fill="auto"/>
                  <w:vAlign w:val="center"/>
                </w:tcPr>
                <w:p w14:paraId="133C8F4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195B800D">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3930606E">
                  <w:pPr>
                    <w:pStyle w:val="29"/>
                    <w:bidi w:val="0"/>
                    <w:ind w:firstLine="0" w:firstLineChars="0"/>
                    <w:rPr>
                      <w:rFonts w:hint="eastAsia"/>
                      <w:color w:val="auto"/>
                      <w:lang w:val="en-US" w:eastAsia="zh-CN"/>
                    </w:rPr>
                  </w:pPr>
                </w:p>
              </w:tc>
            </w:tr>
            <w:tr w14:paraId="0DB0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040B69A">
                  <w:pPr>
                    <w:pStyle w:val="29"/>
                    <w:bidi w:val="0"/>
                    <w:ind w:firstLine="0" w:firstLineChars="0"/>
                    <w:rPr>
                      <w:rFonts w:hint="default"/>
                      <w:color w:val="auto"/>
                      <w:lang w:val="en-US" w:eastAsia="zh-CN"/>
                    </w:rPr>
                  </w:pPr>
                  <w:r>
                    <w:rPr>
                      <w:rFonts w:hint="eastAsia"/>
                      <w:color w:val="auto"/>
                      <w:lang w:val="en-US" w:eastAsia="zh-CN"/>
                    </w:rPr>
                    <w:t>3</w:t>
                  </w:r>
                </w:p>
              </w:tc>
              <w:tc>
                <w:tcPr>
                  <w:tcW w:w="1156" w:type="pct"/>
                  <w:shd w:val="clear" w:color="auto" w:fill="auto"/>
                  <w:vAlign w:val="top"/>
                </w:tcPr>
                <w:p w14:paraId="202FEAE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清酒罐</w:t>
                  </w:r>
                </w:p>
              </w:tc>
              <w:tc>
                <w:tcPr>
                  <w:tcW w:w="1093" w:type="pct"/>
                  <w:shd w:val="clear" w:color="auto" w:fill="auto"/>
                  <w:vAlign w:val="top"/>
                </w:tcPr>
                <w:p w14:paraId="397C26A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LB-2000L</w:t>
                  </w:r>
                </w:p>
              </w:tc>
              <w:tc>
                <w:tcPr>
                  <w:tcW w:w="377" w:type="pct"/>
                  <w:shd w:val="clear" w:color="auto" w:fill="auto"/>
                  <w:vAlign w:val="top"/>
                </w:tcPr>
                <w:p w14:paraId="69164C2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w:t>
                  </w:r>
                </w:p>
              </w:tc>
              <w:tc>
                <w:tcPr>
                  <w:tcW w:w="323" w:type="pct"/>
                  <w:shd w:val="clear" w:color="auto" w:fill="auto"/>
                  <w:vAlign w:val="center"/>
                </w:tcPr>
                <w:p w14:paraId="573DF76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20504835">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13F3613E">
                  <w:pPr>
                    <w:pStyle w:val="29"/>
                    <w:bidi w:val="0"/>
                    <w:ind w:firstLine="0" w:firstLineChars="0"/>
                    <w:rPr>
                      <w:rFonts w:hint="eastAsia"/>
                      <w:color w:val="auto"/>
                      <w:lang w:val="en-US" w:eastAsia="zh-CN"/>
                    </w:rPr>
                  </w:pPr>
                </w:p>
              </w:tc>
            </w:tr>
            <w:tr w14:paraId="252C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7BC1ECE">
                  <w:pPr>
                    <w:pStyle w:val="29"/>
                    <w:bidi w:val="0"/>
                    <w:ind w:firstLine="0" w:firstLineChars="0"/>
                    <w:rPr>
                      <w:rFonts w:hint="default"/>
                      <w:color w:val="auto"/>
                      <w:lang w:val="en-US" w:eastAsia="zh-CN"/>
                    </w:rPr>
                  </w:pPr>
                  <w:r>
                    <w:rPr>
                      <w:rFonts w:hint="eastAsia"/>
                      <w:color w:val="auto"/>
                      <w:lang w:val="en-US" w:eastAsia="zh-CN"/>
                    </w:rPr>
                    <w:t>4</w:t>
                  </w:r>
                </w:p>
              </w:tc>
              <w:tc>
                <w:tcPr>
                  <w:tcW w:w="1156" w:type="pct"/>
                  <w:shd w:val="clear" w:color="auto" w:fill="auto"/>
                  <w:vAlign w:val="top"/>
                </w:tcPr>
                <w:p w14:paraId="1E0799F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冰水罐</w:t>
                  </w:r>
                </w:p>
              </w:tc>
              <w:tc>
                <w:tcPr>
                  <w:tcW w:w="1093" w:type="pct"/>
                  <w:shd w:val="clear" w:color="auto" w:fill="auto"/>
                  <w:vAlign w:val="top"/>
                </w:tcPr>
                <w:p w14:paraId="60A3C91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 吨</w:t>
                  </w:r>
                </w:p>
              </w:tc>
              <w:tc>
                <w:tcPr>
                  <w:tcW w:w="377" w:type="pct"/>
                  <w:shd w:val="clear" w:color="auto" w:fill="auto"/>
                  <w:vAlign w:val="top"/>
                </w:tcPr>
                <w:p w14:paraId="23B8B7A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36AB539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0D46DBFF">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52814C51">
                  <w:pPr>
                    <w:pStyle w:val="29"/>
                    <w:bidi w:val="0"/>
                    <w:ind w:firstLine="0" w:firstLineChars="0"/>
                    <w:rPr>
                      <w:rFonts w:hint="eastAsia"/>
                      <w:color w:val="auto"/>
                      <w:lang w:val="en-US" w:eastAsia="zh-CN"/>
                    </w:rPr>
                  </w:pPr>
                </w:p>
              </w:tc>
            </w:tr>
            <w:tr w14:paraId="772F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CF6D953">
                  <w:pPr>
                    <w:pStyle w:val="29"/>
                    <w:bidi w:val="0"/>
                    <w:ind w:firstLine="0" w:firstLineChars="0"/>
                    <w:rPr>
                      <w:rFonts w:hint="default"/>
                      <w:color w:val="auto"/>
                      <w:lang w:val="en-US" w:eastAsia="zh-CN"/>
                    </w:rPr>
                  </w:pPr>
                  <w:r>
                    <w:rPr>
                      <w:rFonts w:hint="eastAsia"/>
                      <w:color w:val="auto"/>
                      <w:lang w:val="en-US" w:eastAsia="zh-CN"/>
                    </w:rPr>
                    <w:t>5</w:t>
                  </w:r>
                </w:p>
              </w:tc>
              <w:tc>
                <w:tcPr>
                  <w:tcW w:w="1156" w:type="pct"/>
                  <w:shd w:val="clear" w:color="auto" w:fill="auto"/>
                  <w:vAlign w:val="top"/>
                </w:tcPr>
                <w:p w14:paraId="4AD30D9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板式换热器</w:t>
                  </w:r>
                </w:p>
              </w:tc>
              <w:tc>
                <w:tcPr>
                  <w:tcW w:w="1093" w:type="pct"/>
                  <w:shd w:val="clear" w:color="auto" w:fill="auto"/>
                  <w:vAlign w:val="top"/>
                </w:tcPr>
                <w:p w14:paraId="3AA140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77" w:type="pct"/>
                  <w:shd w:val="clear" w:color="auto" w:fill="auto"/>
                  <w:vAlign w:val="top"/>
                </w:tcPr>
                <w:p w14:paraId="3D2F14D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1F834DA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1F1825D1">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B862AD3">
                  <w:pPr>
                    <w:pStyle w:val="29"/>
                    <w:bidi w:val="0"/>
                    <w:ind w:firstLine="0" w:firstLineChars="0"/>
                    <w:rPr>
                      <w:rFonts w:hint="eastAsia"/>
                      <w:color w:val="auto"/>
                      <w:lang w:val="en-US" w:eastAsia="zh-CN"/>
                    </w:rPr>
                  </w:pPr>
                </w:p>
              </w:tc>
            </w:tr>
            <w:tr w14:paraId="3701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022F86F9">
                  <w:pPr>
                    <w:pStyle w:val="29"/>
                    <w:bidi w:val="0"/>
                    <w:ind w:firstLine="0" w:firstLineChars="0"/>
                    <w:rPr>
                      <w:rFonts w:hint="default"/>
                      <w:color w:val="auto"/>
                      <w:lang w:val="en-US" w:eastAsia="zh-CN"/>
                    </w:rPr>
                  </w:pPr>
                  <w:r>
                    <w:rPr>
                      <w:rFonts w:hint="eastAsia"/>
                      <w:color w:val="auto"/>
                      <w:lang w:val="en-US" w:eastAsia="zh-CN"/>
                    </w:rPr>
                    <w:t>6</w:t>
                  </w:r>
                </w:p>
              </w:tc>
              <w:tc>
                <w:tcPr>
                  <w:tcW w:w="1156" w:type="pct"/>
                  <w:shd w:val="clear" w:color="auto" w:fill="auto"/>
                  <w:vAlign w:val="top"/>
                </w:tcPr>
                <w:p w14:paraId="021073C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巴杀机</w:t>
                  </w:r>
                </w:p>
              </w:tc>
              <w:tc>
                <w:tcPr>
                  <w:tcW w:w="1093" w:type="pct"/>
                  <w:shd w:val="clear" w:color="auto" w:fill="auto"/>
                  <w:vAlign w:val="top"/>
                </w:tcPr>
                <w:p w14:paraId="14628EC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 温区</w:t>
                  </w:r>
                </w:p>
              </w:tc>
              <w:tc>
                <w:tcPr>
                  <w:tcW w:w="377" w:type="pct"/>
                  <w:shd w:val="clear" w:color="auto" w:fill="auto"/>
                  <w:vAlign w:val="top"/>
                </w:tcPr>
                <w:p w14:paraId="13A92DE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05DEE06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0FAAA677">
                  <w:pPr>
                    <w:pStyle w:val="29"/>
                    <w:bidi w:val="0"/>
                    <w:ind w:firstLine="0" w:firstLineChars="0"/>
                    <w:rPr>
                      <w:rFonts w:hint="eastAsia"/>
                      <w:color w:val="auto"/>
                      <w:lang w:val="en-US" w:eastAsia="zh-CN"/>
                    </w:rPr>
                  </w:pPr>
                </w:p>
              </w:tc>
              <w:tc>
                <w:tcPr>
                  <w:tcW w:w="754" w:type="pct"/>
                  <w:vMerge w:val="restart"/>
                  <w:shd w:val="clear" w:color="auto" w:fill="auto"/>
                  <w:vAlign w:val="center"/>
                </w:tcPr>
                <w:p w14:paraId="21CE40C8">
                  <w:pPr>
                    <w:pStyle w:val="29"/>
                    <w:bidi w:val="0"/>
                    <w:ind w:firstLine="0" w:firstLineChars="0"/>
                    <w:rPr>
                      <w:rFonts w:hint="eastAsia"/>
                      <w:color w:val="auto"/>
                      <w:lang w:val="en-US" w:eastAsia="zh-CN"/>
                    </w:rPr>
                  </w:pPr>
                  <w:r>
                    <w:rPr>
                      <w:rFonts w:hint="eastAsia"/>
                      <w:color w:val="auto"/>
                      <w:lang w:val="en-US" w:eastAsia="zh-CN"/>
                    </w:rPr>
                    <w:t>杀毒、包装车间</w:t>
                  </w:r>
                </w:p>
              </w:tc>
            </w:tr>
            <w:tr w14:paraId="5DB9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38B95A8A">
                  <w:pPr>
                    <w:pStyle w:val="29"/>
                    <w:bidi w:val="0"/>
                    <w:ind w:firstLine="0" w:firstLineChars="0"/>
                    <w:rPr>
                      <w:rFonts w:hint="default"/>
                      <w:color w:val="auto"/>
                      <w:lang w:val="en-US" w:eastAsia="zh-CN"/>
                    </w:rPr>
                  </w:pPr>
                  <w:r>
                    <w:rPr>
                      <w:rFonts w:hint="eastAsia"/>
                      <w:color w:val="auto"/>
                      <w:lang w:val="en-US" w:eastAsia="zh-CN"/>
                    </w:rPr>
                    <w:t>7</w:t>
                  </w:r>
                </w:p>
              </w:tc>
              <w:tc>
                <w:tcPr>
                  <w:tcW w:w="1156" w:type="pct"/>
                  <w:shd w:val="clear" w:color="auto" w:fill="auto"/>
                  <w:vAlign w:val="top"/>
                </w:tcPr>
                <w:p w14:paraId="24CCF09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激光打码机</w:t>
                  </w:r>
                </w:p>
              </w:tc>
              <w:tc>
                <w:tcPr>
                  <w:tcW w:w="1093" w:type="pct"/>
                  <w:shd w:val="clear" w:color="auto" w:fill="auto"/>
                  <w:vAlign w:val="top"/>
                </w:tcPr>
                <w:p w14:paraId="551F28B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6000</w:t>
                  </w:r>
                </w:p>
              </w:tc>
              <w:tc>
                <w:tcPr>
                  <w:tcW w:w="377" w:type="pct"/>
                  <w:shd w:val="clear" w:color="auto" w:fill="auto"/>
                  <w:vAlign w:val="top"/>
                </w:tcPr>
                <w:p w14:paraId="608A6BF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2330AEA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个</w:t>
                  </w:r>
                </w:p>
              </w:tc>
              <w:tc>
                <w:tcPr>
                  <w:tcW w:w="992" w:type="pct"/>
                  <w:vMerge w:val="continue"/>
                  <w:shd w:val="clear" w:color="auto" w:fill="auto"/>
                  <w:vAlign w:val="center"/>
                </w:tcPr>
                <w:p w14:paraId="3B76F74F">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26E78890">
                  <w:pPr>
                    <w:pStyle w:val="29"/>
                    <w:bidi w:val="0"/>
                    <w:ind w:firstLine="0" w:firstLineChars="0"/>
                    <w:rPr>
                      <w:rFonts w:hint="eastAsia"/>
                      <w:color w:val="auto"/>
                      <w:lang w:val="en-US" w:eastAsia="zh-CN"/>
                    </w:rPr>
                  </w:pPr>
                </w:p>
              </w:tc>
            </w:tr>
            <w:tr w14:paraId="03D0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3998B4B">
                  <w:pPr>
                    <w:pStyle w:val="29"/>
                    <w:bidi w:val="0"/>
                    <w:ind w:firstLine="0" w:firstLineChars="0"/>
                    <w:rPr>
                      <w:rFonts w:hint="default"/>
                      <w:color w:val="auto"/>
                      <w:lang w:val="en-US" w:eastAsia="zh-CN"/>
                    </w:rPr>
                  </w:pPr>
                  <w:r>
                    <w:rPr>
                      <w:rFonts w:hint="eastAsia"/>
                      <w:color w:val="auto"/>
                      <w:lang w:val="en-US" w:eastAsia="zh-CN"/>
                    </w:rPr>
                    <w:t>8</w:t>
                  </w:r>
                </w:p>
              </w:tc>
              <w:tc>
                <w:tcPr>
                  <w:tcW w:w="1156" w:type="pct"/>
                  <w:shd w:val="clear" w:color="auto" w:fill="auto"/>
                  <w:vAlign w:val="top"/>
                </w:tcPr>
                <w:p w14:paraId="76D958F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贴标机</w:t>
                  </w:r>
                </w:p>
              </w:tc>
              <w:tc>
                <w:tcPr>
                  <w:tcW w:w="1093" w:type="pct"/>
                  <w:shd w:val="clear" w:color="auto" w:fill="auto"/>
                  <w:vAlign w:val="top"/>
                </w:tcPr>
                <w:p w14:paraId="5B885A6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6000</w:t>
                  </w:r>
                </w:p>
              </w:tc>
              <w:tc>
                <w:tcPr>
                  <w:tcW w:w="377" w:type="pct"/>
                  <w:shd w:val="clear" w:color="auto" w:fill="auto"/>
                  <w:vAlign w:val="top"/>
                </w:tcPr>
                <w:p w14:paraId="3AB8E4F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00A91F6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77910CA2">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0D98768">
                  <w:pPr>
                    <w:pStyle w:val="29"/>
                    <w:bidi w:val="0"/>
                    <w:ind w:firstLine="0" w:firstLineChars="0"/>
                    <w:rPr>
                      <w:rFonts w:hint="eastAsia"/>
                      <w:color w:val="auto"/>
                      <w:lang w:val="en-US" w:eastAsia="zh-CN"/>
                    </w:rPr>
                  </w:pPr>
                </w:p>
              </w:tc>
            </w:tr>
            <w:tr w14:paraId="5092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067C03F1">
                  <w:pPr>
                    <w:pStyle w:val="29"/>
                    <w:bidi w:val="0"/>
                    <w:ind w:firstLine="0" w:firstLineChars="0"/>
                    <w:rPr>
                      <w:rFonts w:hint="default"/>
                      <w:color w:val="auto"/>
                      <w:lang w:val="en-US" w:eastAsia="zh-CN"/>
                    </w:rPr>
                  </w:pPr>
                  <w:r>
                    <w:rPr>
                      <w:rFonts w:hint="eastAsia"/>
                      <w:color w:val="auto"/>
                      <w:lang w:val="en-US" w:eastAsia="zh-CN"/>
                    </w:rPr>
                    <w:t>9</w:t>
                  </w:r>
                </w:p>
              </w:tc>
              <w:tc>
                <w:tcPr>
                  <w:tcW w:w="1156" w:type="pct"/>
                  <w:shd w:val="clear" w:color="auto" w:fill="auto"/>
                  <w:vAlign w:val="top"/>
                </w:tcPr>
                <w:p w14:paraId="166D002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易拉罐灌装机</w:t>
                  </w:r>
                </w:p>
              </w:tc>
              <w:tc>
                <w:tcPr>
                  <w:tcW w:w="1093" w:type="pct"/>
                  <w:shd w:val="clear" w:color="auto" w:fill="auto"/>
                  <w:vAlign w:val="top"/>
                </w:tcPr>
                <w:p w14:paraId="54BBA49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1510438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748825E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26654503">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11118D79">
                  <w:pPr>
                    <w:pStyle w:val="29"/>
                    <w:bidi w:val="0"/>
                    <w:ind w:firstLine="0" w:firstLineChars="0"/>
                    <w:rPr>
                      <w:rFonts w:hint="eastAsia"/>
                      <w:color w:val="auto"/>
                      <w:lang w:val="en-US" w:eastAsia="zh-CN"/>
                    </w:rPr>
                  </w:pPr>
                </w:p>
              </w:tc>
            </w:tr>
            <w:tr w14:paraId="151E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4562A646">
                  <w:pPr>
                    <w:pStyle w:val="29"/>
                    <w:bidi w:val="0"/>
                    <w:ind w:firstLine="0" w:firstLineChars="0"/>
                    <w:rPr>
                      <w:rFonts w:hint="default"/>
                      <w:color w:val="auto"/>
                      <w:lang w:val="en-US" w:eastAsia="zh-CN"/>
                    </w:rPr>
                  </w:pPr>
                  <w:r>
                    <w:rPr>
                      <w:rFonts w:hint="eastAsia"/>
                      <w:color w:val="auto"/>
                      <w:lang w:val="en-US" w:eastAsia="zh-CN"/>
                    </w:rPr>
                    <w:t>10</w:t>
                  </w:r>
                </w:p>
              </w:tc>
              <w:tc>
                <w:tcPr>
                  <w:tcW w:w="1156" w:type="pct"/>
                  <w:shd w:val="clear" w:color="auto" w:fill="auto"/>
                  <w:vAlign w:val="top"/>
                </w:tcPr>
                <w:p w14:paraId="77FBA3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CIP系统洗罐机</w:t>
                  </w:r>
                </w:p>
              </w:tc>
              <w:tc>
                <w:tcPr>
                  <w:tcW w:w="1093" w:type="pct"/>
                  <w:shd w:val="clear" w:color="auto" w:fill="auto"/>
                  <w:vAlign w:val="top"/>
                </w:tcPr>
                <w:p w14:paraId="70A367B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3D77671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21F4AB3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53AA464C">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78BFDA7">
                  <w:pPr>
                    <w:pStyle w:val="29"/>
                    <w:bidi w:val="0"/>
                    <w:ind w:firstLine="0" w:firstLineChars="0"/>
                    <w:rPr>
                      <w:rFonts w:hint="eastAsia"/>
                      <w:color w:val="auto"/>
                      <w:lang w:val="en-US" w:eastAsia="zh-CN"/>
                    </w:rPr>
                  </w:pPr>
                </w:p>
              </w:tc>
            </w:tr>
            <w:tr w14:paraId="2E68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924CB56">
                  <w:pPr>
                    <w:pStyle w:val="29"/>
                    <w:bidi w:val="0"/>
                    <w:ind w:firstLine="0" w:firstLineChars="0"/>
                    <w:rPr>
                      <w:rFonts w:hint="default"/>
                      <w:color w:val="auto"/>
                      <w:lang w:val="en-US" w:eastAsia="zh-CN"/>
                    </w:rPr>
                  </w:pPr>
                  <w:r>
                    <w:rPr>
                      <w:rFonts w:hint="eastAsia"/>
                      <w:color w:val="auto"/>
                      <w:lang w:val="en-US" w:eastAsia="zh-CN"/>
                    </w:rPr>
                    <w:t>11</w:t>
                  </w:r>
                </w:p>
              </w:tc>
              <w:tc>
                <w:tcPr>
                  <w:tcW w:w="1156" w:type="pct"/>
                  <w:shd w:val="clear" w:color="auto" w:fill="auto"/>
                  <w:vAlign w:val="top"/>
                </w:tcPr>
                <w:p w14:paraId="0EAAE01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翻罐器</w:t>
                  </w:r>
                </w:p>
              </w:tc>
              <w:tc>
                <w:tcPr>
                  <w:tcW w:w="1093" w:type="pct"/>
                  <w:shd w:val="clear" w:color="auto" w:fill="auto"/>
                  <w:vAlign w:val="top"/>
                </w:tcPr>
                <w:p w14:paraId="3B2418E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0DE61B0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5520BF6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1A4F7F09">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7D90DB6">
                  <w:pPr>
                    <w:pStyle w:val="29"/>
                    <w:bidi w:val="0"/>
                    <w:ind w:firstLine="0" w:firstLineChars="0"/>
                    <w:rPr>
                      <w:rFonts w:hint="eastAsia"/>
                      <w:color w:val="auto"/>
                      <w:lang w:val="en-US" w:eastAsia="zh-CN"/>
                    </w:rPr>
                  </w:pPr>
                </w:p>
              </w:tc>
            </w:tr>
            <w:tr w14:paraId="3DA5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159995C9">
                  <w:pPr>
                    <w:pStyle w:val="29"/>
                    <w:bidi w:val="0"/>
                    <w:ind w:firstLine="0" w:firstLineChars="0"/>
                    <w:rPr>
                      <w:rFonts w:hint="default"/>
                      <w:color w:val="auto"/>
                      <w:lang w:val="en-US" w:eastAsia="zh-CN"/>
                    </w:rPr>
                  </w:pPr>
                  <w:r>
                    <w:rPr>
                      <w:rFonts w:hint="eastAsia"/>
                      <w:color w:val="auto"/>
                      <w:lang w:val="en-US" w:eastAsia="zh-CN"/>
                    </w:rPr>
                    <w:t>12</w:t>
                  </w:r>
                </w:p>
              </w:tc>
              <w:tc>
                <w:tcPr>
                  <w:tcW w:w="1156" w:type="pct"/>
                  <w:shd w:val="clear" w:color="auto" w:fill="auto"/>
                  <w:vAlign w:val="center"/>
                </w:tcPr>
                <w:p w14:paraId="2CE5606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燃气锅炉</w:t>
                  </w:r>
                </w:p>
              </w:tc>
              <w:tc>
                <w:tcPr>
                  <w:tcW w:w="1093" w:type="pct"/>
                  <w:shd w:val="clear" w:color="auto" w:fill="auto"/>
                  <w:vAlign w:val="center"/>
                </w:tcPr>
                <w:p w14:paraId="09545D3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0.5t/h</w:t>
                  </w:r>
                </w:p>
              </w:tc>
              <w:tc>
                <w:tcPr>
                  <w:tcW w:w="377" w:type="pct"/>
                  <w:shd w:val="clear" w:color="auto" w:fill="auto"/>
                  <w:vAlign w:val="center"/>
                </w:tcPr>
                <w:p w14:paraId="3ADEF9E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6B860CF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1110D0B3">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173D728C">
                  <w:pPr>
                    <w:pStyle w:val="29"/>
                    <w:bidi w:val="0"/>
                    <w:ind w:firstLine="0" w:firstLineChars="0"/>
                    <w:rPr>
                      <w:rFonts w:hint="eastAsia"/>
                      <w:color w:val="auto"/>
                      <w:lang w:val="en-US" w:eastAsia="zh-CN"/>
                    </w:rPr>
                  </w:pPr>
                </w:p>
              </w:tc>
            </w:tr>
            <w:tr w14:paraId="1DCB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634D1838">
                  <w:pPr>
                    <w:pStyle w:val="29"/>
                    <w:bidi w:val="0"/>
                    <w:ind w:firstLine="0" w:firstLineChars="0"/>
                    <w:rPr>
                      <w:rFonts w:hint="default"/>
                      <w:color w:val="auto"/>
                      <w:lang w:val="en-US" w:eastAsia="zh-CN"/>
                    </w:rPr>
                  </w:pPr>
                  <w:r>
                    <w:rPr>
                      <w:rFonts w:hint="eastAsia"/>
                      <w:color w:val="auto"/>
                      <w:lang w:val="en-US" w:eastAsia="zh-CN"/>
                    </w:rPr>
                    <w:t>13</w:t>
                  </w:r>
                </w:p>
              </w:tc>
              <w:tc>
                <w:tcPr>
                  <w:tcW w:w="1156" w:type="pct"/>
                  <w:shd w:val="clear" w:color="auto" w:fill="auto"/>
                  <w:vAlign w:val="center"/>
                </w:tcPr>
                <w:p w14:paraId="43C1FA8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制冷机</w:t>
                  </w:r>
                </w:p>
              </w:tc>
              <w:tc>
                <w:tcPr>
                  <w:tcW w:w="1093" w:type="pct"/>
                  <w:shd w:val="clear" w:color="auto" w:fill="auto"/>
                  <w:vAlign w:val="center"/>
                </w:tcPr>
                <w:p w14:paraId="435315D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BES151-AL</w:t>
                  </w:r>
                </w:p>
              </w:tc>
              <w:tc>
                <w:tcPr>
                  <w:tcW w:w="377" w:type="pct"/>
                  <w:shd w:val="clear" w:color="auto" w:fill="auto"/>
                  <w:vAlign w:val="center"/>
                </w:tcPr>
                <w:p w14:paraId="4C6CCAC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w:t>
                  </w:r>
                </w:p>
              </w:tc>
              <w:tc>
                <w:tcPr>
                  <w:tcW w:w="323" w:type="pct"/>
                  <w:shd w:val="clear" w:color="auto" w:fill="auto"/>
                  <w:vAlign w:val="center"/>
                </w:tcPr>
                <w:p w14:paraId="67FF920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7975C9B8">
                  <w:pPr>
                    <w:pStyle w:val="29"/>
                    <w:bidi w:val="0"/>
                    <w:ind w:firstLine="0" w:firstLineChars="0"/>
                    <w:rPr>
                      <w:rFonts w:hint="eastAsia"/>
                      <w:color w:val="auto"/>
                      <w:lang w:val="en-US" w:eastAsia="zh-CN"/>
                    </w:rPr>
                  </w:pPr>
                </w:p>
              </w:tc>
              <w:tc>
                <w:tcPr>
                  <w:tcW w:w="754" w:type="pct"/>
                  <w:vMerge w:val="restart"/>
                  <w:shd w:val="clear" w:color="auto" w:fill="auto"/>
                  <w:vAlign w:val="center"/>
                </w:tcPr>
                <w:p w14:paraId="38B0F84E">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0EDD7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63974FE6">
                  <w:pPr>
                    <w:pStyle w:val="29"/>
                    <w:bidi w:val="0"/>
                    <w:ind w:firstLine="0" w:firstLineChars="0"/>
                    <w:rPr>
                      <w:rFonts w:hint="default"/>
                      <w:color w:val="auto"/>
                      <w:lang w:val="en-US" w:eastAsia="zh-CN"/>
                    </w:rPr>
                  </w:pPr>
                  <w:r>
                    <w:rPr>
                      <w:rFonts w:hint="eastAsia"/>
                      <w:color w:val="auto"/>
                      <w:lang w:val="en-US" w:eastAsia="zh-CN"/>
                    </w:rPr>
                    <w:t>14</w:t>
                  </w:r>
                </w:p>
              </w:tc>
              <w:tc>
                <w:tcPr>
                  <w:tcW w:w="1156" w:type="pct"/>
                  <w:shd w:val="clear" w:color="auto" w:fill="auto"/>
                  <w:vAlign w:val="center"/>
                </w:tcPr>
                <w:p w14:paraId="7076A50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冷媒罐</w:t>
                  </w:r>
                </w:p>
              </w:tc>
              <w:tc>
                <w:tcPr>
                  <w:tcW w:w="1093" w:type="pct"/>
                  <w:shd w:val="clear" w:color="auto" w:fill="auto"/>
                  <w:vAlign w:val="center"/>
                </w:tcPr>
                <w:p w14:paraId="59EC004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77" w:type="pct"/>
                  <w:shd w:val="clear" w:color="auto" w:fill="auto"/>
                  <w:vAlign w:val="center"/>
                </w:tcPr>
                <w:p w14:paraId="49D9455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74F09C3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个</w:t>
                  </w:r>
                </w:p>
              </w:tc>
              <w:tc>
                <w:tcPr>
                  <w:tcW w:w="992" w:type="pct"/>
                  <w:vMerge w:val="continue"/>
                  <w:shd w:val="clear" w:color="auto" w:fill="auto"/>
                  <w:vAlign w:val="center"/>
                </w:tcPr>
                <w:p w14:paraId="37C04B40">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7DCF77D5">
                  <w:pPr>
                    <w:pStyle w:val="29"/>
                    <w:bidi w:val="0"/>
                    <w:ind w:firstLine="0" w:firstLineChars="0"/>
                    <w:rPr>
                      <w:rFonts w:hint="eastAsia"/>
                      <w:color w:val="auto"/>
                      <w:lang w:val="en-US" w:eastAsia="zh-CN"/>
                    </w:rPr>
                  </w:pPr>
                </w:p>
              </w:tc>
            </w:tr>
            <w:tr w14:paraId="5CF5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7"/>
                  <w:shd w:val="clear" w:color="auto" w:fill="auto"/>
                  <w:vAlign w:val="center"/>
                </w:tcPr>
                <w:p w14:paraId="7BCE3ABD">
                  <w:pPr>
                    <w:pStyle w:val="29"/>
                    <w:bidi w:val="0"/>
                    <w:ind w:firstLine="0" w:firstLineChars="0"/>
                    <w:rPr>
                      <w:rFonts w:hint="default"/>
                      <w:color w:val="auto"/>
                      <w:lang w:val="en-US" w:eastAsia="zh-CN"/>
                    </w:rPr>
                  </w:pPr>
                  <w:r>
                    <w:rPr>
                      <w:rFonts w:hint="eastAsia"/>
                      <w:color w:val="auto"/>
                      <w:lang w:val="en-US" w:eastAsia="zh-CN"/>
                    </w:rPr>
                    <w:t>饮料生产设备</w:t>
                  </w:r>
                </w:p>
              </w:tc>
            </w:tr>
            <w:tr w14:paraId="30A7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4816EFF9">
                  <w:pPr>
                    <w:pStyle w:val="29"/>
                    <w:bidi w:val="0"/>
                    <w:ind w:firstLine="0" w:firstLineChars="0"/>
                    <w:rPr>
                      <w:rFonts w:hint="default"/>
                      <w:color w:val="auto"/>
                      <w:lang w:val="en-US" w:eastAsia="zh-CN"/>
                    </w:rPr>
                  </w:pPr>
                  <w:r>
                    <w:rPr>
                      <w:rFonts w:hint="eastAsia"/>
                      <w:color w:val="auto"/>
                      <w:lang w:val="en-US" w:eastAsia="zh-CN"/>
                    </w:rPr>
                    <w:t>1</w:t>
                  </w:r>
                </w:p>
              </w:tc>
              <w:tc>
                <w:tcPr>
                  <w:tcW w:w="1156" w:type="pct"/>
                  <w:shd w:val="clear" w:color="auto" w:fill="auto"/>
                  <w:vAlign w:val="center"/>
                </w:tcPr>
                <w:p w14:paraId="355D9CD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二氧化碳混合机</w:t>
                  </w:r>
                </w:p>
              </w:tc>
              <w:tc>
                <w:tcPr>
                  <w:tcW w:w="1093" w:type="pct"/>
                  <w:shd w:val="clear" w:color="auto" w:fill="auto"/>
                  <w:vAlign w:val="center"/>
                </w:tcPr>
                <w:p w14:paraId="2FD40D8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 吨/小时</w:t>
                  </w:r>
                </w:p>
              </w:tc>
              <w:tc>
                <w:tcPr>
                  <w:tcW w:w="377" w:type="pct"/>
                  <w:shd w:val="clear" w:color="auto" w:fill="auto"/>
                  <w:vAlign w:val="center"/>
                </w:tcPr>
                <w:p w14:paraId="48DCFA6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23D059A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29D217A9">
                  <w:pPr>
                    <w:pStyle w:val="29"/>
                    <w:bidi w:val="0"/>
                    <w:ind w:firstLine="0" w:firstLineChars="0"/>
                    <w:rPr>
                      <w:rFonts w:hint="default"/>
                      <w:color w:val="auto"/>
                      <w:lang w:val="en-US" w:eastAsia="zh-CN"/>
                    </w:rPr>
                  </w:pPr>
                  <w:r>
                    <w:rPr>
                      <w:rFonts w:hint="eastAsia"/>
                      <w:color w:val="auto"/>
                      <w:lang w:val="en-US" w:eastAsia="zh-CN"/>
                    </w:rPr>
                    <w:t>用于制作碳酸饮料</w:t>
                  </w:r>
                </w:p>
              </w:tc>
              <w:tc>
                <w:tcPr>
                  <w:tcW w:w="754" w:type="pct"/>
                  <w:vMerge w:val="restart"/>
                  <w:shd w:val="clear" w:color="auto" w:fill="auto"/>
                  <w:vAlign w:val="center"/>
                </w:tcPr>
                <w:p w14:paraId="4C80D3C6">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6864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6126E615">
                  <w:pPr>
                    <w:pStyle w:val="29"/>
                    <w:bidi w:val="0"/>
                    <w:ind w:firstLine="0" w:firstLineChars="0"/>
                    <w:rPr>
                      <w:rFonts w:hint="default"/>
                      <w:color w:val="auto"/>
                      <w:lang w:val="en-US" w:eastAsia="zh-CN"/>
                    </w:rPr>
                  </w:pPr>
                  <w:r>
                    <w:rPr>
                      <w:rFonts w:hint="eastAsia"/>
                      <w:color w:val="auto"/>
                      <w:lang w:val="en-US" w:eastAsia="zh-CN"/>
                    </w:rPr>
                    <w:t>2</w:t>
                  </w:r>
                </w:p>
              </w:tc>
              <w:tc>
                <w:tcPr>
                  <w:tcW w:w="1156" w:type="pct"/>
                  <w:shd w:val="clear" w:color="auto" w:fill="auto"/>
                  <w:vAlign w:val="center"/>
                </w:tcPr>
                <w:p w14:paraId="7F3088A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清酒罐</w:t>
                  </w:r>
                </w:p>
              </w:tc>
              <w:tc>
                <w:tcPr>
                  <w:tcW w:w="1093" w:type="pct"/>
                  <w:shd w:val="clear" w:color="auto" w:fill="auto"/>
                  <w:vAlign w:val="center"/>
                </w:tcPr>
                <w:p w14:paraId="6C51831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LB-2000L</w:t>
                  </w:r>
                </w:p>
              </w:tc>
              <w:tc>
                <w:tcPr>
                  <w:tcW w:w="377" w:type="pct"/>
                  <w:shd w:val="clear" w:color="auto" w:fill="auto"/>
                  <w:vAlign w:val="center"/>
                </w:tcPr>
                <w:p w14:paraId="0EC263C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w:t>
                  </w:r>
                </w:p>
              </w:tc>
              <w:tc>
                <w:tcPr>
                  <w:tcW w:w="323" w:type="pct"/>
                  <w:shd w:val="clear" w:color="auto" w:fill="auto"/>
                  <w:vAlign w:val="center"/>
                </w:tcPr>
                <w:p w14:paraId="79D5C20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restart"/>
                  <w:shd w:val="clear" w:color="auto" w:fill="auto"/>
                  <w:vAlign w:val="center"/>
                </w:tcPr>
                <w:p w14:paraId="6E0E928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这套设备不新增型号与数量，依托啤酒生产线共享配置，可支撑年产100吨</w:t>
                  </w:r>
                  <w:r>
                    <w:rPr>
                      <w:rFonts w:hint="eastAsia" w:cs="Times New Roman"/>
                      <w:b w:val="0"/>
                      <w:color w:val="auto"/>
                      <w:kern w:val="2"/>
                      <w:sz w:val="21"/>
                      <w:szCs w:val="21"/>
                      <w:lang w:val="en-US" w:eastAsia="zh-CN" w:bidi="ar-SA"/>
                    </w:rPr>
                    <w:t>饮料</w:t>
                  </w:r>
                  <w:r>
                    <w:rPr>
                      <w:rFonts w:hint="eastAsia" w:ascii="Times New Roman" w:hAnsi="Times New Roman" w:eastAsia="宋体" w:cs="Times New Roman"/>
                      <w:b w:val="0"/>
                      <w:color w:val="auto"/>
                      <w:kern w:val="2"/>
                      <w:sz w:val="21"/>
                      <w:szCs w:val="21"/>
                      <w:lang w:val="en-US" w:eastAsia="zh-CN" w:bidi="ar-SA"/>
                    </w:rPr>
                    <w:t>生产，满足多品类啤酒的标准化量产需求。</w:t>
                  </w:r>
                </w:p>
              </w:tc>
              <w:tc>
                <w:tcPr>
                  <w:tcW w:w="754" w:type="pct"/>
                  <w:vMerge w:val="continue"/>
                  <w:shd w:val="clear" w:color="auto" w:fill="auto"/>
                  <w:vAlign w:val="center"/>
                </w:tcPr>
                <w:p w14:paraId="4AF4D5AF">
                  <w:pPr>
                    <w:pStyle w:val="29"/>
                    <w:bidi w:val="0"/>
                    <w:ind w:firstLine="0" w:firstLineChars="0"/>
                    <w:rPr>
                      <w:rFonts w:hint="eastAsia"/>
                      <w:color w:val="auto"/>
                      <w:lang w:val="en-US" w:eastAsia="zh-CN"/>
                    </w:rPr>
                  </w:pPr>
                </w:p>
              </w:tc>
            </w:tr>
            <w:tr w14:paraId="2051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776DEE86">
                  <w:pPr>
                    <w:pStyle w:val="29"/>
                    <w:bidi w:val="0"/>
                    <w:ind w:firstLine="0" w:firstLineChars="0"/>
                    <w:rPr>
                      <w:rFonts w:hint="default"/>
                      <w:color w:val="auto"/>
                      <w:lang w:val="en-US" w:eastAsia="zh-CN"/>
                    </w:rPr>
                  </w:pPr>
                  <w:r>
                    <w:rPr>
                      <w:rFonts w:hint="eastAsia"/>
                      <w:color w:val="auto"/>
                      <w:lang w:val="en-US" w:eastAsia="zh-CN"/>
                    </w:rPr>
                    <w:t>3</w:t>
                  </w:r>
                </w:p>
              </w:tc>
              <w:tc>
                <w:tcPr>
                  <w:tcW w:w="1156" w:type="pct"/>
                  <w:shd w:val="clear" w:color="auto" w:fill="auto"/>
                  <w:vAlign w:val="top"/>
                </w:tcPr>
                <w:p w14:paraId="5531732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巴杀机</w:t>
                  </w:r>
                </w:p>
              </w:tc>
              <w:tc>
                <w:tcPr>
                  <w:tcW w:w="1093" w:type="pct"/>
                  <w:shd w:val="clear" w:color="auto" w:fill="auto"/>
                  <w:vAlign w:val="top"/>
                </w:tcPr>
                <w:p w14:paraId="58D9CA0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 温区</w:t>
                  </w:r>
                </w:p>
              </w:tc>
              <w:tc>
                <w:tcPr>
                  <w:tcW w:w="377" w:type="pct"/>
                  <w:shd w:val="clear" w:color="auto" w:fill="auto"/>
                  <w:vAlign w:val="top"/>
                </w:tcPr>
                <w:p w14:paraId="263A850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1040FF6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19125257">
                  <w:pPr>
                    <w:pStyle w:val="29"/>
                    <w:bidi w:val="0"/>
                    <w:ind w:firstLine="0" w:firstLineChars="0"/>
                    <w:rPr>
                      <w:rFonts w:hint="eastAsia"/>
                      <w:color w:val="auto"/>
                      <w:lang w:val="en-US" w:eastAsia="zh-CN"/>
                    </w:rPr>
                  </w:pPr>
                </w:p>
              </w:tc>
              <w:tc>
                <w:tcPr>
                  <w:tcW w:w="754" w:type="pct"/>
                  <w:vMerge w:val="restart"/>
                  <w:shd w:val="clear" w:color="auto" w:fill="auto"/>
                  <w:vAlign w:val="center"/>
                </w:tcPr>
                <w:p w14:paraId="7D7FCBA3">
                  <w:pPr>
                    <w:pStyle w:val="29"/>
                    <w:bidi w:val="0"/>
                    <w:ind w:firstLine="0" w:firstLineChars="0"/>
                    <w:rPr>
                      <w:rFonts w:hint="eastAsia"/>
                      <w:color w:val="auto"/>
                      <w:lang w:val="en-US" w:eastAsia="zh-CN"/>
                    </w:rPr>
                  </w:pPr>
                  <w:r>
                    <w:rPr>
                      <w:rFonts w:hint="eastAsia"/>
                      <w:color w:val="auto"/>
                      <w:lang w:val="en-US" w:eastAsia="zh-CN"/>
                    </w:rPr>
                    <w:t>杀毒、包装车间</w:t>
                  </w:r>
                </w:p>
              </w:tc>
            </w:tr>
            <w:tr w14:paraId="0DEF4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48C8868C">
                  <w:pPr>
                    <w:pStyle w:val="29"/>
                    <w:bidi w:val="0"/>
                    <w:ind w:firstLine="0" w:firstLineChars="0"/>
                    <w:rPr>
                      <w:rFonts w:hint="default"/>
                      <w:color w:val="auto"/>
                      <w:lang w:val="en-US" w:eastAsia="zh-CN"/>
                    </w:rPr>
                  </w:pPr>
                  <w:r>
                    <w:rPr>
                      <w:rFonts w:hint="eastAsia"/>
                      <w:color w:val="auto"/>
                      <w:lang w:val="en-US" w:eastAsia="zh-CN"/>
                    </w:rPr>
                    <w:t>4</w:t>
                  </w:r>
                </w:p>
              </w:tc>
              <w:tc>
                <w:tcPr>
                  <w:tcW w:w="1156" w:type="pct"/>
                  <w:shd w:val="clear" w:color="auto" w:fill="auto"/>
                  <w:vAlign w:val="top"/>
                </w:tcPr>
                <w:p w14:paraId="7B10B5B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激光打码机</w:t>
                  </w:r>
                </w:p>
              </w:tc>
              <w:tc>
                <w:tcPr>
                  <w:tcW w:w="1093" w:type="pct"/>
                  <w:shd w:val="clear" w:color="auto" w:fill="auto"/>
                  <w:vAlign w:val="top"/>
                </w:tcPr>
                <w:p w14:paraId="6CF54C5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6000</w:t>
                  </w:r>
                </w:p>
              </w:tc>
              <w:tc>
                <w:tcPr>
                  <w:tcW w:w="377" w:type="pct"/>
                  <w:shd w:val="clear" w:color="auto" w:fill="auto"/>
                  <w:vAlign w:val="top"/>
                </w:tcPr>
                <w:p w14:paraId="3996D6A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71EF72B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个</w:t>
                  </w:r>
                </w:p>
              </w:tc>
              <w:tc>
                <w:tcPr>
                  <w:tcW w:w="992" w:type="pct"/>
                  <w:vMerge w:val="continue"/>
                  <w:shd w:val="clear" w:color="auto" w:fill="auto"/>
                  <w:vAlign w:val="center"/>
                </w:tcPr>
                <w:p w14:paraId="7D99CA7F">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6DFAF88">
                  <w:pPr>
                    <w:pStyle w:val="29"/>
                    <w:bidi w:val="0"/>
                    <w:ind w:firstLine="0" w:firstLineChars="0"/>
                    <w:rPr>
                      <w:rFonts w:hint="eastAsia"/>
                      <w:color w:val="auto"/>
                      <w:lang w:val="en-US" w:eastAsia="zh-CN"/>
                    </w:rPr>
                  </w:pPr>
                </w:p>
              </w:tc>
            </w:tr>
            <w:tr w14:paraId="7EC8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AD0902A">
                  <w:pPr>
                    <w:pStyle w:val="29"/>
                    <w:bidi w:val="0"/>
                    <w:ind w:firstLine="0" w:firstLineChars="0"/>
                    <w:rPr>
                      <w:rFonts w:hint="default"/>
                      <w:color w:val="auto"/>
                      <w:lang w:val="en-US" w:eastAsia="zh-CN"/>
                    </w:rPr>
                  </w:pPr>
                  <w:r>
                    <w:rPr>
                      <w:rFonts w:hint="eastAsia"/>
                      <w:color w:val="auto"/>
                      <w:lang w:val="en-US" w:eastAsia="zh-CN"/>
                    </w:rPr>
                    <w:t>5</w:t>
                  </w:r>
                </w:p>
              </w:tc>
              <w:tc>
                <w:tcPr>
                  <w:tcW w:w="1156" w:type="pct"/>
                  <w:shd w:val="clear" w:color="auto" w:fill="auto"/>
                  <w:vAlign w:val="top"/>
                </w:tcPr>
                <w:p w14:paraId="3FA7C1C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贴标机</w:t>
                  </w:r>
                </w:p>
              </w:tc>
              <w:tc>
                <w:tcPr>
                  <w:tcW w:w="1093" w:type="pct"/>
                  <w:shd w:val="clear" w:color="auto" w:fill="auto"/>
                  <w:vAlign w:val="top"/>
                </w:tcPr>
                <w:p w14:paraId="1E2CBF6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6000</w:t>
                  </w:r>
                </w:p>
              </w:tc>
              <w:tc>
                <w:tcPr>
                  <w:tcW w:w="377" w:type="pct"/>
                  <w:shd w:val="clear" w:color="auto" w:fill="auto"/>
                  <w:vAlign w:val="top"/>
                </w:tcPr>
                <w:p w14:paraId="591BE60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5A039E8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6F6A1939">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1BBC8697">
                  <w:pPr>
                    <w:pStyle w:val="29"/>
                    <w:bidi w:val="0"/>
                    <w:ind w:firstLine="0" w:firstLineChars="0"/>
                    <w:rPr>
                      <w:rFonts w:hint="eastAsia"/>
                      <w:color w:val="auto"/>
                      <w:lang w:val="en-US" w:eastAsia="zh-CN"/>
                    </w:rPr>
                  </w:pPr>
                </w:p>
              </w:tc>
            </w:tr>
            <w:tr w14:paraId="162BC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2F6E9AEF">
                  <w:pPr>
                    <w:pStyle w:val="29"/>
                    <w:bidi w:val="0"/>
                    <w:ind w:firstLine="0" w:firstLineChars="0"/>
                    <w:rPr>
                      <w:rFonts w:hint="default"/>
                      <w:color w:val="auto"/>
                      <w:lang w:val="en-US" w:eastAsia="zh-CN"/>
                    </w:rPr>
                  </w:pPr>
                  <w:r>
                    <w:rPr>
                      <w:rFonts w:hint="eastAsia"/>
                      <w:color w:val="auto"/>
                      <w:lang w:val="en-US" w:eastAsia="zh-CN"/>
                    </w:rPr>
                    <w:t>6</w:t>
                  </w:r>
                </w:p>
              </w:tc>
              <w:tc>
                <w:tcPr>
                  <w:tcW w:w="1156" w:type="pct"/>
                  <w:shd w:val="clear" w:color="auto" w:fill="auto"/>
                  <w:vAlign w:val="top"/>
                </w:tcPr>
                <w:p w14:paraId="5E31C18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易拉罐灌装机</w:t>
                  </w:r>
                </w:p>
              </w:tc>
              <w:tc>
                <w:tcPr>
                  <w:tcW w:w="1093" w:type="pct"/>
                  <w:shd w:val="clear" w:color="auto" w:fill="auto"/>
                  <w:vAlign w:val="top"/>
                </w:tcPr>
                <w:p w14:paraId="0447E87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38D2950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05F6D9E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4AF3498A">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23028B5">
                  <w:pPr>
                    <w:pStyle w:val="29"/>
                    <w:bidi w:val="0"/>
                    <w:ind w:firstLine="0" w:firstLineChars="0"/>
                    <w:rPr>
                      <w:rFonts w:hint="eastAsia"/>
                      <w:color w:val="auto"/>
                      <w:lang w:val="en-US" w:eastAsia="zh-CN"/>
                    </w:rPr>
                  </w:pPr>
                </w:p>
              </w:tc>
            </w:tr>
            <w:tr w14:paraId="1A76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1973CFDF">
                  <w:pPr>
                    <w:pStyle w:val="29"/>
                    <w:bidi w:val="0"/>
                    <w:ind w:firstLine="0" w:firstLineChars="0"/>
                    <w:rPr>
                      <w:rFonts w:hint="default"/>
                      <w:color w:val="auto"/>
                      <w:lang w:val="en-US" w:eastAsia="zh-CN"/>
                    </w:rPr>
                  </w:pPr>
                  <w:r>
                    <w:rPr>
                      <w:rFonts w:hint="eastAsia"/>
                      <w:color w:val="auto"/>
                      <w:lang w:val="en-US" w:eastAsia="zh-CN"/>
                    </w:rPr>
                    <w:t>7</w:t>
                  </w:r>
                </w:p>
              </w:tc>
              <w:tc>
                <w:tcPr>
                  <w:tcW w:w="1156" w:type="pct"/>
                  <w:shd w:val="clear" w:color="auto" w:fill="auto"/>
                  <w:vAlign w:val="top"/>
                </w:tcPr>
                <w:p w14:paraId="4B544BE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CIP系统洗罐机</w:t>
                  </w:r>
                </w:p>
              </w:tc>
              <w:tc>
                <w:tcPr>
                  <w:tcW w:w="1093" w:type="pct"/>
                  <w:shd w:val="clear" w:color="auto" w:fill="auto"/>
                  <w:vAlign w:val="top"/>
                </w:tcPr>
                <w:p w14:paraId="0E5F4D8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559B583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16BAA75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298D337B">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62BE4551">
                  <w:pPr>
                    <w:pStyle w:val="29"/>
                    <w:bidi w:val="0"/>
                    <w:ind w:firstLine="0" w:firstLineChars="0"/>
                    <w:rPr>
                      <w:rFonts w:hint="eastAsia"/>
                      <w:color w:val="auto"/>
                      <w:lang w:val="en-US" w:eastAsia="zh-CN"/>
                    </w:rPr>
                  </w:pPr>
                </w:p>
              </w:tc>
            </w:tr>
            <w:tr w14:paraId="7915B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9DB3EBF">
                  <w:pPr>
                    <w:pStyle w:val="29"/>
                    <w:bidi w:val="0"/>
                    <w:ind w:firstLine="0" w:firstLineChars="0"/>
                    <w:rPr>
                      <w:rFonts w:hint="default"/>
                      <w:color w:val="auto"/>
                      <w:lang w:val="en-US" w:eastAsia="zh-CN"/>
                    </w:rPr>
                  </w:pPr>
                  <w:r>
                    <w:rPr>
                      <w:rFonts w:hint="eastAsia"/>
                      <w:color w:val="auto"/>
                      <w:lang w:val="en-US" w:eastAsia="zh-CN"/>
                    </w:rPr>
                    <w:t>8</w:t>
                  </w:r>
                </w:p>
              </w:tc>
              <w:tc>
                <w:tcPr>
                  <w:tcW w:w="1156" w:type="pct"/>
                  <w:shd w:val="clear" w:color="auto" w:fill="auto"/>
                  <w:vAlign w:val="top"/>
                </w:tcPr>
                <w:p w14:paraId="3884210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翻罐器</w:t>
                  </w:r>
                </w:p>
              </w:tc>
              <w:tc>
                <w:tcPr>
                  <w:tcW w:w="1093" w:type="pct"/>
                  <w:shd w:val="clear" w:color="auto" w:fill="auto"/>
                  <w:vAlign w:val="top"/>
                </w:tcPr>
                <w:p w14:paraId="308E16D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7C47B35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470C126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33F5B1DB">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22FBE48">
                  <w:pPr>
                    <w:pStyle w:val="29"/>
                    <w:bidi w:val="0"/>
                    <w:ind w:firstLine="0" w:firstLineChars="0"/>
                    <w:rPr>
                      <w:rFonts w:hint="eastAsia"/>
                      <w:color w:val="auto"/>
                      <w:lang w:val="en-US" w:eastAsia="zh-CN"/>
                    </w:rPr>
                  </w:pPr>
                </w:p>
              </w:tc>
            </w:tr>
            <w:tr w14:paraId="345B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4EAF6173">
                  <w:pPr>
                    <w:pStyle w:val="29"/>
                    <w:bidi w:val="0"/>
                    <w:ind w:firstLine="0" w:firstLineChars="0"/>
                    <w:rPr>
                      <w:rFonts w:hint="default"/>
                      <w:color w:val="auto"/>
                      <w:lang w:val="en-US" w:eastAsia="zh-CN"/>
                    </w:rPr>
                  </w:pPr>
                  <w:r>
                    <w:rPr>
                      <w:rFonts w:hint="eastAsia"/>
                      <w:color w:val="auto"/>
                      <w:lang w:val="en-US" w:eastAsia="zh-CN"/>
                    </w:rPr>
                    <w:t>9</w:t>
                  </w:r>
                </w:p>
              </w:tc>
              <w:tc>
                <w:tcPr>
                  <w:tcW w:w="1156" w:type="pct"/>
                  <w:shd w:val="clear" w:color="auto" w:fill="auto"/>
                  <w:vAlign w:val="center"/>
                </w:tcPr>
                <w:p w14:paraId="1E0EA6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燃气锅炉</w:t>
                  </w:r>
                </w:p>
              </w:tc>
              <w:tc>
                <w:tcPr>
                  <w:tcW w:w="1093" w:type="pct"/>
                  <w:shd w:val="clear" w:color="auto" w:fill="auto"/>
                  <w:vAlign w:val="center"/>
                </w:tcPr>
                <w:p w14:paraId="1426417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0.5t/h</w:t>
                  </w:r>
                </w:p>
              </w:tc>
              <w:tc>
                <w:tcPr>
                  <w:tcW w:w="377" w:type="pct"/>
                  <w:shd w:val="clear" w:color="auto" w:fill="auto"/>
                  <w:vAlign w:val="center"/>
                </w:tcPr>
                <w:p w14:paraId="3703834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4DCCE44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45FB6643">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3589518C">
                  <w:pPr>
                    <w:pStyle w:val="29"/>
                    <w:bidi w:val="0"/>
                    <w:ind w:firstLine="0" w:firstLineChars="0"/>
                    <w:rPr>
                      <w:rFonts w:hint="eastAsia"/>
                      <w:color w:val="auto"/>
                      <w:lang w:val="en-US" w:eastAsia="zh-CN"/>
                    </w:rPr>
                  </w:pPr>
                </w:p>
              </w:tc>
            </w:tr>
            <w:tr w14:paraId="56B2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7"/>
                  <w:shd w:val="clear" w:color="auto" w:fill="auto"/>
                  <w:vAlign w:val="center"/>
                </w:tcPr>
                <w:p w14:paraId="2970B3A1">
                  <w:pPr>
                    <w:pStyle w:val="29"/>
                    <w:bidi w:val="0"/>
                    <w:ind w:firstLine="0" w:firstLineChars="0"/>
                    <w:rPr>
                      <w:rFonts w:hint="default"/>
                      <w:color w:val="auto"/>
                      <w:lang w:val="en-US" w:eastAsia="zh-CN"/>
                    </w:rPr>
                  </w:pPr>
                  <w:r>
                    <w:rPr>
                      <w:rFonts w:hint="eastAsia"/>
                      <w:color w:val="auto"/>
                      <w:lang w:val="en-US" w:eastAsia="zh-CN"/>
                    </w:rPr>
                    <w:t>配制酒生产设备</w:t>
                  </w:r>
                </w:p>
              </w:tc>
            </w:tr>
            <w:tr w14:paraId="0937C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0F48435C">
                  <w:pPr>
                    <w:pStyle w:val="29"/>
                    <w:bidi w:val="0"/>
                    <w:ind w:firstLine="0" w:firstLineChars="0"/>
                    <w:rPr>
                      <w:rFonts w:hint="default"/>
                      <w:color w:val="auto"/>
                      <w:lang w:val="en-US" w:eastAsia="zh-CN"/>
                    </w:rPr>
                  </w:pPr>
                  <w:r>
                    <w:rPr>
                      <w:rFonts w:hint="eastAsia"/>
                      <w:color w:val="auto"/>
                      <w:lang w:val="en-US" w:eastAsia="zh-CN"/>
                    </w:rPr>
                    <w:t>1</w:t>
                  </w:r>
                </w:p>
              </w:tc>
              <w:tc>
                <w:tcPr>
                  <w:tcW w:w="1156" w:type="pct"/>
                  <w:shd w:val="clear" w:color="auto" w:fill="auto"/>
                  <w:vAlign w:val="center"/>
                </w:tcPr>
                <w:p w14:paraId="0D1C553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清酒罐</w:t>
                  </w:r>
                </w:p>
              </w:tc>
              <w:tc>
                <w:tcPr>
                  <w:tcW w:w="1093" w:type="pct"/>
                  <w:shd w:val="clear" w:color="auto" w:fill="auto"/>
                  <w:vAlign w:val="center"/>
                </w:tcPr>
                <w:p w14:paraId="761E76E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LB-2000L</w:t>
                  </w:r>
                </w:p>
              </w:tc>
              <w:tc>
                <w:tcPr>
                  <w:tcW w:w="377" w:type="pct"/>
                  <w:shd w:val="clear" w:color="auto" w:fill="auto"/>
                  <w:vAlign w:val="center"/>
                </w:tcPr>
                <w:p w14:paraId="5BD1FC4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w:t>
                  </w:r>
                </w:p>
              </w:tc>
              <w:tc>
                <w:tcPr>
                  <w:tcW w:w="323" w:type="pct"/>
                  <w:shd w:val="clear" w:color="auto" w:fill="auto"/>
                  <w:vAlign w:val="center"/>
                </w:tcPr>
                <w:p w14:paraId="4B67191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restart"/>
                  <w:shd w:val="clear" w:color="auto" w:fill="auto"/>
                  <w:vAlign w:val="center"/>
                </w:tcPr>
                <w:p w14:paraId="157F190D">
                  <w:pPr>
                    <w:pStyle w:val="29"/>
                    <w:bidi w:val="0"/>
                    <w:ind w:firstLine="0" w:firstLineChars="0"/>
                    <w:rPr>
                      <w:rFonts w:hint="eastAsia"/>
                      <w:color w:val="auto"/>
                      <w:lang w:val="en-US" w:eastAsia="zh-CN"/>
                    </w:rPr>
                  </w:pPr>
                  <w:r>
                    <w:rPr>
                      <w:rFonts w:hint="eastAsia"/>
                      <w:color w:val="auto"/>
                      <w:lang w:val="en-US" w:eastAsia="zh-CN"/>
                    </w:rPr>
                    <w:t>这套设备不新增型号与数量，依托啤酒生产线共享配置，可支撑年产100吨配制酒生产，满足多品类啤酒的标准化量产需求。</w:t>
                  </w:r>
                </w:p>
              </w:tc>
              <w:tc>
                <w:tcPr>
                  <w:tcW w:w="754" w:type="pct"/>
                  <w:shd w:val="clear" w:color="auto" w:fill="auto"/>
                  <w:vAlign w:val="center"/>
                </w:tcPr>
                <w:p w14:paraId="55853CA0">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4BEF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0036A012">
                  <w:pPr>
                    <w:pStyle w:val="29"/>
                    <w:bidi w:val="0"/>
                    <w:ind w:firstLine="0" w:firstLineChars="0"/>
                    <w:rPr>
                      <w:rFonts w:hint="default"/>
                      <w:color w:val="auto"/>
                      <w:lang w:val="en-US" w:eastAsia="zh-CN"/>
                    </w:rPr>
                  </w:pPr>
                  <w:r>
                    <w:rPr>
                      <w:rFonts w:hint="eastAsia"/>
                      <w:color w:val="auto"/>
                      <w:lang w:val="en-US" w:eastAsia="zh-CN"/>
                    </w:rPr>
                    <w:t>2</w:t>
                  </w:r>
                </w:p>
              </w:tc>
              <w:tc>
                <w:tcPr>
                  <w:tcW w:w="1156" w:type="pct"/>
                  <w:shd w:val="clear" w:color="auto" w:fill="auto"/>
                  <w:vAlign w:val="top"/>
                </w:tcPr>
                <w:p w14:paraId="03EE30B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巴杀机</w:t>
                  </w:r>
                </w:p>
              </w:tc>
              <w:tc>
                <w:tcPr>
                  <w:tcW w:w="1093" w:type="pct"/>
                  <w:shd w:val="clear" w:color="auto" w:fill="auto"/>
                  <w:vAlign w:val="top"/>
                </w:tcPr>
                <w:p w14:paraId="033C2C0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 温区</w:t>
                  </w:r>
                </w:p>
              </w:tc>
              <w:tc>
                <w:tcPr>
                  <w:tcW w:w="377" w:type="pct"/>
                  <w:shd w:val="clear" w:color="auto" w:fill="auto"/>
                  <w:vAlign w:val="top"/>
                </w:tcPr>
                <w:p w14:paraId="107CCEB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1FEA795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38684748">
                  <w:pPr>
                    <w:pStyle w:val="29"/>
                    <w:bidi w:val="0"/>
                    <w:ind w:firstLine="0" w:firstLineChars="0"/>
                    <w:rPr>
                      <w:rFonts w:hint="eastAsia"/>
                      <w:color w:val="auto"/>
                      <w:lang w:val="en-US" w:eastAsia="zh-CN"/>
                    </w:rPr>
                  </w:pPr>
                </w:p>
              </w:tc>
              <w:tc>
                <w:tcPr>
                  <w:tcW w:w="754" w:type="pct"/>
                  <w:vMerge w:val="restart"/>
                  <w:shd w:val="clear" w:color="auto" w:fill="auto"/>
                  <w:vAlign w:val="center"/>
                </w:tcPr>
                <w:p w14:paraId="29A542B9">
                  <w:pPr>
                    <w:pStyle w:val="29"/>
                    <w:bidi w:val="0"/>
                    <w:ind w:firstLine="0" w:firstLineChars="0"/>
                    <w:rPr>
                      <w:rFonts w:hint="eastAsia"/>
                      <w:color w:val="auto"/>
                      <w:lang w:val="en-US" w:eastAsia="zh-CN"/>
                    </w:rPr>
                  </w:pPr>
                  <w:r>
                    <w:rPr>
                      <w:rFonts w:hint="eastAsia"/>
                      <w:color w:val="auto"/>
                      <w:lang w:val="en-US" w:eastAsia="zh-CN"/>
                    </w:rPr>
                    <w:t>杀毒、包装车间</w:t>
                  </w:r>
                </w:p>
              </w:tc>
            </w:tr>
            <w:tr w14:paraId="1968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78CBF762">
                  <w:pPr>
                    <w:pStyle w:val="29"/>
                    <w:bidi w:val="0"/>
                    <w:ind w:firstLine="0" w:firstLineChars="0"/>
                    <w:rPr>
                      <w:rFonts w:hint="default"/>
                      <w:color w:val="auto"/>
                      <w:lang w:val="en-US" w:eastAsia="zh-CN"/>
                    </w:rPr>
                  </w:pPr>
                  <w:r>
                    <w:rPr>
                      <w:rFonts w:hint="eastAsia"/>
                      <w:color w:val="auto"/>
                      <w:lang w:val="en-US" w:eastAsia="zh-CN"/>
                    </w:rPr>
                    <w:t>3</w:t>
                  </w:r>
                </w:p>
              </w:tc>
              <w:tc>
                <w:tcPr>
                  <w:tcW w:w="1156" w:type="pct"/>
                  <w:shd w:val="clear" w:color="auto" w:fill="auto"/>
                  <w:vAlign w:val="top"/>
                </w:tcPr>
                <w:p w14:paraId="47C1CC5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激光打码机</w:t>
                  </w:r>
                </w:p>
              </w:tc>
              <w:tc>
                <w:tcPr>
                  <w:tcW w:w="1093" w:type="pct"/>
                  <w:shd w:val="clear" w:color="auto" w:fill="auto"/>
                  <w:vAlign w:val="top"/>
                </w:tcPr>
                <w:p w14:paraId="774EF2F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6000</w:t>
                  </w:r>
                </w:p>
              </w:tc>
              <w:tc>
                <w:tcPr>
                  <w:tcW w:w="377" w:type="pct"/>
                  <w:shd w:val="clear" w:color="auto" w:fill="auto"/>
                  <w:vAlign w:val="top"/>
                </w:tcPr>
                <w:p w14:paraId="6C3EA9D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54C2A09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个</w:t>
                  </w:r>
                </w:p>
              </w:tc>
              <w:tc>
                <w:tcPr>
                  <w:tcW w:w="992" w:type="pct"/>
                  <w:vMerge w:val="continue"/>
                  <w:shd w:val="clear" w:color="auto" w:fill="auto"/>
                  <w:vAlign w:val="center"/>
                </w:tcPr>
                <w:p w14:paraId="16D9E743">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1AD1508D">
                  <w:pPr>
                    <w:pStyle w:val="29"/>
                    <w:bidi w:val="0"/>
                    <w:ind w:firstLine="0" w:firstLineChars="0"/>
                    <w:rPr>
                      <w:rFonts w:hint="eastAsia"/>
                      <w:color w:val="auto"/>
                      <w:lang w:val="en-US" w:eastAsia="zh-CN"/>
                    </w:rPr>
                  </w:pPr>
                </w:p>
              </w:tc>
            </w:tr>
            <w:tr w14:paraId="605D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1C15C81F">
                  <w:pPr>
                    <w:pStyle w:val="29"/>
                    <w:bidi w:val="0"/>
                    <w:ind w:firstLine="0" w:firstLineChars="0"/>
                    <w:rPr>
                      <w:rFonts w:hint="default"/>
                      <w:color w:val="auto"/>
                      <w:lang w:val="en-US" w:eastAsia="zh-CN"/>
                    </w:rPr>
                  </w:pPr>
                  <w:r>
                    <w:rPr>
                      <w:rFonts w:hint="eastAsia"/>
                      <w:color w:val="auto"/>
                      <w:lang w:val="en-US" w:eastAsia="zh-CN"/>
                    </w:rPr>
                    <w:t>4</w:t>
                  </w:r>
                </w:p>
              </w:tc>
              <w:tc>
                <w:tcPr>
                  <w:tcW w:w="1156" w:type="pct"/>
                  <w:shd w:val="clear" w:color="auto" w:fill="auto"/>
                  <w:vAlign w:val="top"/>
                </w:tcPr>
                <w:p w14:paraId="5263D82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贴标机</w:t>
                  </w:r>
                </w:p>
              </w:tc>
              <w:tc>
                <w:tcPr>
                  <w:tcW w:w="1093" w:type="pct"/>
                  <w:shd w:val="clear" w:color="auto" w:fill="auto"/>
                  <w:vAlign w:val="top"/>
                </w:tcPr>
                <w:p w14:paraId="4ACE2A8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6000</w:t>
                  </w:r>
                </w:p>
              </w:tc>
              <w:tc>
                <w:tcPr>
                  <w:tcW w:w="377" w:type="pct"/>
                  <w:shd w:val="clear" w:color="auto" w:fill="auto"/>
                  <w:vAlign w:val="top"/>
                </w:tcPr>
                <w:p w14:paraId="373886A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635A56E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477DD8EB">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22B4B29">
                  <w:pPr>
                    <w:pStyle w:val="29"/>
                    <w:bidi w:val="0"/>
                    <w:ind w:firstLine="0" w:firstLineChars="0"/>
                    <w:rPr>
                      <w:rFonts w:hint="eastAsia"/>
                      <w:color w:val="auto"/>
                      <w:lang w:val="en-US" w:eastAsia="zh-CN"/>
                    </w:rPr>
                  </w:pPr>
                </w:p>
              </w:tc>
            </w:tr>
            <w:tr w14:paraId="098D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79D9B410">
                  <w:pPr>
                    <w:pStyle w:val="29"/>
                    <w:bidi w:val="0"/>
                    <w:ind w:firstLine="0" w:firstLineChars="0"/>
                    <w:rPr>
                      <w:rFonts w:hint="default"/>
                      <w:color w:val="auto"/>
                      <w:lang w:val="en-US" w:eastAsia="zh-CN"/>
                    </w:rPr>
                  </w:pPr>
                  <w:r>
                    <w:rPr>
                      <w:rFonts w:hint="eastAsia"/>
                      <w:color w:val="auto"/>
                      <w:lang w:val="en-US" w:eastAsia="zh-CN"/>
                    </w:rPr>
                    <w:t>5</w:t>
                  </w:r>
                </w:p>
              </w:tc>
              <w:tc>
                <w:tcPr>
                  <w:tcW w:w="1156" w:type="pct"/>
                  <w:shd w:val="clear" w:color="auto" w:fill="auto"/>
                  <w:vAlign w:val="top"/>
                </w:tcPr>
                <w:p w14:paraId="7CA30C1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易拉罐灌装机</w:t>
                  </w:r>
                </w:p>
              </w:tc>
              <w:tc>
                <w:tcPr>
                  <w:tcW w:w="1093" w:type="pct"/>
                  <w:shd w:val="clear" w:color="auto" w:fill="auto"/>
                  <w:vAlign w:val="top"/>
                </w:tcPr>
                <w:p w14:paraId="28BF9C8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2F80AA6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0AEA753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748587D8">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0B1233C">
                  <w:pPr>
                    <w:pStyle w:val="29"/>
                    <w:bidi w:val="0"/>
                    <w:ind w:firstLine="0" w:firstLineChars="0"/>
                    <w:rPr>
                      <w:rFonts w:hint="eastAsia"/>
                      <w:color w:val="auto"/>
                      <w:lang w:val="en-US" w:eastAsia="zh-CN"/>
                    </w:rPr>
                  </w:pPr>
                </w:p>
              </w:tc>
            </w:tr>
            <w:tr w14:paraId="17D6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53EDDF26">
                  <w:pPr>
                    <w:pStyle w:val="29"/>
                    <w:bidi w:val="0"/>
                    <w:ind w:firstLine="0" w:firstLineChars="0"/>
                    <w:rPr>
                      <w:rFonts w:hint="default"/>
                      <w:color w:val="auto"/>
                      <w:lang w:val="en-US" w:eastAsia="zh-CN"/>
                    </w:rPr>
                  </w:pPr>
                  <w:r>
                    <w:rPr>
                      <w:rFonts w:hint="eastAsia"/>
                      <w:color w:val="auto"/>
                      <w:lang w:val="en-US" w:eastAsia="zh-CN"/>
                    </w:rPr>
                    <w:t>6</w:t>
                  </w:r>
                </w:p>
              </w:tc>
              <w:tc>
                <w:tcPr>
                  <w:tcW w:w="1156" w:type="pct"/>
                  <w:shd w:val="clear" w:color="auto" w:fill="auto"/>
                  <w:vAlign w:val="top"/>
                </w:tcPr>
                <w:p w14:paraId="059ABDF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CIP系统洗罐机</w:t>
                  </w:r>
                </w:p>
              </w:tc>
              <w:tc>
                <w:tcPr>
                  <w:tcW w:w="1093" w:type="pct"/>
                  <w:shd w:val="clear" w:color="auto" w:fill="auto"/>
                  <w:vAlign w:val="top"/>
                </w:tcPr>
                <w:p w14:paraId="50E8D8A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0354BB9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5DCCFEF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3AE5CB0A">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F15842C">
                  <w:pPr>
                    <w:pStyle w:val="29"/>
                    <w:bidi w:val="0"/>
                    <w:ind w:firstLine="0" w:firstLineChars="0"/>
                    <w:rPr>
                      <w:rFonts w:hint="eastAsia"/>
                      <w:color w:val="auto"/>
                      <w:lang w:val="en-US" w:eastAsia="zh-CN"/>
                    </w:rPr>
                  </w:pPr>
                </w:p>
              </w:tc>
            </w:tr>
            <w:tr w14:paraId="4513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6D60EDAA">
                  <w:pPr>
                    <w:pStyle w:val="29"/>
                    <w:bidi w:val="0"/>
                    <w:ind w:firstLine="0" w:firstLineChars="0"/>
                    <w:rPr>
                      <w:rFonts w:hint="default"/>
                      <w:color w:val="auto"/>
                      <w:lang w:val="en-US" w:eastAsia="zh-CN"/>
                    </w:rPr>
                  </w:pPr>
                  <w:r>
                    <w:rPr>
                      <w:rFonts w:hint="eastAsia"/>
                      <w:color w:val="auto"/>
                      <w:lang w:val="en-US" w:eastAsia="zh-CN"/>
                    </w:rPr>
                    <w:t>7</w:t>
                  </w:r>
                </w:p>
              </w:tc>
              <w:tc>
                <w:tcPr>
                  <w:tcW w:w="1156" w:type="pct"/>
                  <w:shd w:val="clear" w:color="auto" w:fill="auto"/>
                  <w:vAlign w:val="top"/>
                </w:tcPr>
                <w:p w14:paraId="51E783E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翻罐器</w:t>
                  </w:r>
                </w:p>
              </w:tc>
              <w:tc>
                <w:tcPr>
                  <w:tcW w:w="1093" w:type="pct"/>
                  <w:shd w:val="clear" w:color="auto" w:fill="auto"/>
                  <w:vAlign w:val="top"/>
                </w:tcPr>
                <w:p w14:paraId="2174F86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1-12</w:t>
                  </w:r>
                </w:p>
              </w:tc>
              <w:tc>
                <w:tcPr>
                  <w:tcW w:w="377" w:type="pct"/>
                  <w:shd w:val="clear" w:color="auto" w:fill="auto"/>
                  <w:vAlign w:val="top"/>
                </w:tcPr>
                <w:p w14:paraId="7743571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029E551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4AB243D5">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2E45C4E">
                  <w:pPr>
                    <w:pStyle w:val="29"/>
                    <w:bidi w:val="0"/>
                    <w:ind w:firstLine="0" w:firstLineChars="0"/>
                    <w:rPr>
                      <w:rFonts w:hint="eastAsia"/>
                      <w:color w:val="auto"/>
                      <w:lang w:val="en-US" w:eastAsia="zh-CN"/>
                    </w:rPr>
                  </w:pPr>
                </w:p>
              </w:tc>
            </w:tr>
            <w:tr w14:paraId="2DBF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30AD36C4">
                  <w:pPr>
                    <w:pStyle w:val="29"/>
                    <w:bidi w:val="0"/>
                    <w:ind w:firstLine="0" w:firstLineChars="0"/>
                    <w:rPr>
                      <w:rFonts w:hint="default"/>
                      <w:color w:val="auto"/>
                      <w:lang w:val="en-US" w:eastAsia="zh-CN"/>
                    </w:rPr>
                  </w:pPr>
                  <w:r>
                    <w:rPr>
                      <w:rFonts w:hint="eastAsia"/>
                      <w:color w:val="auto"/>
                      <w:lang w:val="en-US" w:eastAsia="zh-CN"/>
                    </w:rPr>
                    <w:t>8</w:t>
                  </w:r>
                </w:p>
              </w:tc>
              <w:tc>
                <w:tcPr>
                  <w:tcW w:w="1156" w:type="pct"/>
                  <w:shd w:val="clear" w:color="auto" w:fill="auto"/>
                  <w:vAlign w:val="center"/>
                </w:tcPr>
                <w:p w14:paraId="0E04DED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燃气锅炉</w:t>
                  </w:r>
                </w:p>
              </w:tc>
              <w:tc>
                <w:tcPr>
                  <w:tcW w:w="1093" w:type="pct"/>
                  <w:shd w:val="clear" w:color="auto" w:fill="auto"/>
                  <w:vAlign w:val="center"/>
                </w:tcPr>
                <w:p w14:paraId="7F83D64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0.5t/h</w:t>
                  </w:r>
                </w:p>
              </w:tc>
              <w:tc>
                <w:tcPr>
                  <w:tcW w:w="377" w:type="pct"/>
                  <w:shd w:val="clear" w:color="auto" w:fill="auto"/>
                  <w:vAlign w:val="center"/>
                </w:tcPr>
                <w:p w14:paraId="397700E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323" w:type="pct"/>
                  <w:shd w:val="clear" w:color="auto" w:fill="auto"/>
                  <w:vAlign w:val="center"/>
                </w:tcPr>
                <w:p w14:paraId="5AD448E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5BB32245">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5587F014">
                  <w:pPr>
                    <w:pStyle w:val="29"/>
                    <w:bidi w:val="0"/>
                    <w:ind w:firstLine="0" w:firstLineChars="0"/>
                    <w:rPr>
                      <w:rFonts w:hint="eastAsia"/>
                      <w:color w:val="auto"/>
                      <w:lang w:val="en-US" w:eastAsia="zh-CN"/>
                    </w:rPr>
                  </w:pPr>
                </w:p>
              </w:tc>
            </w:tr>
            <w:tr w14:paraId="226A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7"/>
                  <w:shd w:val="clear" w:color="auto" w:fill="auto"/>
                  <w:vAlign w:val="center"/>
                </w:tcPr>
                <w:p w14:paraId="7F8F189F">
                  <w:pPr>
                    <w:pStyle w:val="29"/>
                    <w:bidi w:val="0"/>
                    <w:ind w:firstLine="0" w:firstLineChars="0"/>
                    <w:rPr>
                      <w:rFonts w:hint="default"/>
                      <w:color w:val="auto"/>
                      <w:lang w:val="en-US" w:eastAsia="zh-CN"/>
                    </w:rPr>
                  </w:pPr>
                  <w:r>
                    <w:rPr>
                      <w:rFonts w:hint="eastAsia"/>
                      <w:color w:val="auto"/>
                      <w:lang w:val="en-US" w:eastAsia="zh-CN"/>
                    </w:rPr>
                    <w:t>其他设备</w:t>
                  </w:r>
                </w:p>
              </w:tc>
            </w:tr>
            <w:tr w14:paraId="4635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7B3351A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1156" w:type="pct"/>
                  <w:shd w:val="clear" w:color="auto" w:fill="auto"/>
                  <w:vAlign w:val="top"/>
                </w:tcPr>
                <w:p w14:paraId="079C76E8">
                  <w:pPr>
                    <w:pStyle w:val="29"/>
                    <w:bidi w:val="0"/>
                    <w:ind w:firstLine="0" w:firstLineChars="0"/>
                    <w:rPr>
                      <w:rFonts w:hint="default"/>
                      <w:color w:val="auto"/>
                      <w:lang w:val="en-US" w:eastAsia="zh-CN"/>
                    </w:rPr>
                  </w:pPr>
                  <w:r>
                    <w:rPr>
                      <w:rFonts w:hint="eastAsia"/>
                      <w:color w:val="auto"/>
                      <w:lang w:val="en-US" w:eastAsia="zh-CN"/>
                    </w:rPr>
                    <w:t>变压吸附制氮机</w:t>
                  </w:r>
                </w:p>
              </w:tc>
              <w:tc>
                <w:tcPr>
                  <w:tcW w:w="1093" w:type="pct"/>
                  <w:shd w:val="clear" w:color="auto" w:fill="auto"/>
                  <w:vAlign w:val="top"/>
                </w:tcPr>
                <w:p w14:paraId="5FA91186">
                  <w:pPr>
                    <w:pStyle w:val="29"/>
                    <w:bidi w:val="0"/>
                    <w:ind w:firstLine="0" w:firstLineChars="0"/>
                    <w:rPr>
                      <w:rFonts w:hint="default"/>
                      <w:color w:val="auto"/>
                      <w:lang w:val="en-US" w:eastAsia="zh-CN"/>
                    </w:rPr>
                  </w:pPr>
                  <w:r>
                    <w:rPr>
                      <w:rFonts w:hint="eastAsia"/>
                      <w:color w:val="auto"/>
                      <w:lang w:val="en-US" w:eastAsia="zh-CN"/>
                    </w:rPr>
                    <w:t>BNT39N-3ZN</w:t>
                  </w:r>
                </w:p>
              </w:tc>
              <w:tc>
                <w:tcPr>
                  <w:tcW w:w="377" w:type="pct"/>
                  <w:shd w:val="clear" w:color="auto" w:fill="auto"/>
                  <w:vAlign w:val="top"/>
                </w:tcPr>
                <w:p w14:paraId="79F49A35">
                  <w:pPr>
                    <w:pStyle w:val="29"/>
                    <w:bidi w:val="0"/>
                    <w:ind w:firstLine="0" w:firstLineChars="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041CA326">
                  <w:pPr>
                    <w:pStyle w:val="29"/>
                    <w:bidi w:val="0"/>
                    <w:ind w:firstLine="0" w:firstLineChars="0"/>
                    <w:rPr>
                      <w:rFonts w:hint="default"/>
                      <w:color w:val="auto"/>
                      <w:lang w:val="en-US" w:eastAsia="zh-CN"/>
                    </w:rPr>
                  </w:pPr>
                  <w:r>
                    <w:rPr>
                      <w:rFonts w:hint="eastAsia"/>
                      <w:color w:val="auto"/>
                      <w:lang w:val="en-US" w:eastAsia="zh-CN"/>
                    </w:rPr>
                    <w:t>台</w:t>
                  </w:r>
                </w:p>
              </w:tc>
              <w:tc>
                <w:tcPr>
                  <w:tcW w:w="992" w:type="pct"/>
                  <w:shd w:val="clear" w:color="auto" w:fill="auto"/>
                  <w:vAlign w:val="center"/>
                </w:tcPr>
                <w:p w14:paraId="4B287B7D">
                  <w:pPr>
                    <w:pStyle w:val="29"/>
                    <w:bidi w:val="0"/>
                    <w:ind w:firstLine="0" w:firstLineChars="0"/>
                    <w:rPr>
                      <w:rFonts w:hint="eastAsia"/>
                      <w:color w:val="auto"/>
                      <w:lang w:val="en-US" w:eastAsia="zh-CN"/>
                    </w:rPr>
                  </w:pPr>
                  <w:r>
                    <w:rPr>
                      <w:rFonts w:hint="eastAsia"/>
                      <w:color w:val="auto"/>
                      <w:lang w:val="en-US" w:eastAsia="zh-CN"/>
                    </w:rPr>
                    <w:t>制氮</w:t>
                  </w:r>
                </w:p>
              </w:tc>
              <w:tc>
                <w:tcPr>
                  <w:tcW w:w="754" w:type="pct"/>
                  <w:vMerge w:val="restart"/>
                  <w:shd w:val="clear" w:color="auto" w:fill="auto"/>
                  <w:vAlign w:val="center"/>
                </w:tcPr>
                <w:p w14:paraId="1488E982">
                  <w:pPr>
                    <w:pStyle w:val="29"/>
                    <w:bidi w:val="0"/>
                    <w:ind w:firstLine="0" w:firstLineChars="0"/>
                    <w:rPr>
                      <w:rFonts w:hint="default"/>
                      <w:color w:val="auto"/>
                      <w:lang w:val="en-US" w:eastAsia="zh-CN"/>
                    </w:rPr>
                  </w:pPr>
                  <w:r>
                    <w:rPr>
                      <w:rFonts w:hint="eastAsia"/>
                      <w:color w:val="auto"/>
                      <w:lang w:val="en-US" w:eastAsia="zh-CN"/>
                    </w:rPr>
                    <w:t>空压机房</w:t>
                  </w:r>
                </w:p>
              </w:tc>
            </w:tr>
            <w:tr w14:paraId="45FD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33F95A7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1156" w:type="pct"/>
                  <w:shd w:val="clear" w:color="auto" w:fill="auto"/>
                  <w:vAlign w:val="center"/>
                </w:tcPr>
                <w:p w14:paraId="73B85899">
                  <w:pPr>
                    <w:pStyle w:val="29"/>
                    <w:bidi w:val="0"/>
                    <w:ind w:firstLine="0" w:firstLineChars="0"/>
                    <w:rPr>
                      <w:rFonts w:hint="default"/>
                      <w:color w:val="auto"/>
                      <w:lang w:val="en-US" w:eastAsia="zh-CN"/>
                    </w:rPr>
                  </w:pPr>
                  <w:r>
                    <w:rPr>
                      <w:rFonts w:hint="eastAsia"/>
                      <w:color w:val="auto"/>
                      <w:lang w:val="en-US" w:eastAsia="zh-CN"/>
                    </w:rPr>
                    <w:t>储气罐</w:t>
                  </w:r>
                </w:p>
              </w:tc>
              <w:tc>
                <w:tcPr>
                  <w:tcW w:w="1093" w:type="pct"/>
                  <w:shd w:val="clear" w:color="auto" w:fill="auto"/>
                  <w:vAlign w:val="center"/>
                </w:tcPr>
                <w:p w14:paraId="6EFE81FE">
                  <w:pPr>
                    <w:pStyle w:val="29"/>
                    <w:bidi w:val="0"/>
                    <w:ind w:firstLine="0" w:firstLineChars="0"/>
                    <w:rPr>
                      <w:rFonts w:hint="default"/>
                      <w:color w:val="auto"/>
                      <w:lang w:val="en-US" w:eastAsia="zh-CN"/>
                    </w:rPr>
                  </w:pPr>
                  <w:r>
                    <w:rPr>
                      <w:rFonts w:hint="eastAsia"/>
                      <w:color w:val="auto"/>
                      <w:lang w:val="en-US" w:eastAsia="zh-CN"/>
                    </w:rPr>
                    <w:t>1m</w:t>
                  </w:r>
                  <w:r>
                    <w:rPr>
                      <w:rFonts w:hint="eastAsia"/>
                      <w:color w:val="auto"/>
                      <w:vertAlign w:val="superscript"/>
                      <w:lang w:val="en-US" w:eastAsia="zh-CN"/>
                    </w:rPr>
                    <w:t>3</w:t>
                  </w:r>
                </w:p>
              </w:tc>
              <w:tc>
                <w:tcPr>
                  <w:tcW w:w="377" w:type="pct"/>
                  <w:shd w:val="clear" w:color="auto" w:fill="auto"/>
                  <w:vAlign w:val="center"/>
                </w:tcPr>
                <w:p w14:paraId="3328542F">
                  <w:pPr>
                    <w:pStyle w:val="29"/>
                    <w:bidi w:val="0"/>
                    <w:ind w:firstLine="0" w:firstLineChars="0"/>
                    <w:rPr>
                      <w:rFonts w:hint="default"/>
                      <w:color w:val="auto"/>
                      <w:lang w:val="en-US" w:eastAsia="zh-CN"/>
                    </w:rPr>
                  </w:pPr>
                  <w:r>
                    <w:rPr>
                      <w:rFonts w:hint="eastAsia"/>
                      <w:color w:val="auto"/>
                      <w:lang w:val="en-US" w:eastAsia="zh-CN"/>
                    </w:rPr>
                    <w:t>2</w:t>
                  </w:r>
                </w:p>
              </w:tc>
              <w:tc>
                <w:tcPr>
                  <w:tcW w:w="323" w:type="pct"/>
                  <w:shd w:val="clear" w:color="auto" w:fill="auto"/>
                  <w:vAlign w:val="center"/>
                </w:tcPr>
                <w:p w14:paraId="7750597E">
                  <w:pPr>
                    <w:pStyle w:val="29"/>
                    <w:bidi w:val="0"/>
                    <w:ind w:firstLine="0" w:firstLineChars="0"/>
                    <w:rPr>
                      <w:rFonts w:hint="default"/>
                      <w:color w:val="auto"/>
                      <w:lang w:val="en-US" w:eastAsia="zh-CN"/>
                    </w:rPr>
                  </w:pPr>
                  <w:r>
                    <w:rPr>
                      <w:rFonts w:hint="eastAsia"/>
                      <w:color w:val="auto"/>
                      <w:lang w:val="en-US" w:eastAsia="zh-CN"/>
                    </w:rPr>
                    <w:t>台</w:t>
                  </w:r>
                </w:p>
              </w:tc>
              <w:tc>
                <w:tcPr>
                  <w:tcW w:w="992" w:type="pct"/>
                  <w:shd w:val="clear" w:color="auto" w:fill="auto"/>
                  <w:vAlign w:val="center"/>
                </w:tcPr>
                <w:p w14:paraId="2934F6F1">
                  <w:pPr>
                    <w:pStyle w:val="29"/>
                    <w:bidi w:val="0"/>
                    <w:ind w:firstLine="0" w:firstLineChars="0"/>
                    <w:rPr>
                      <w:rFonts w:hint="default"/>
                      <w:color w:val="auto"/>
                      <w:lang w:val="en-US" w:eastAsia="zh-CN"/>
                    </w:rPr>
                  </w:pPr>
                  <w:r>
                    <w:rPr>
                      <w:rFonts w:hint="eastAsia"/>
                      <w:color w:val="auto"/>
                      <w:lang w:val="en-US" w:eastAsia="zh-CN"/>
                    </w:rPr>
                    <w:t>用于储存压缩空气或氮气</w:t>
                  </w:r>
                </w:p>
              </w:tc>
              <w:tc>
                <w:tcPr>
                  <w:tcW w:w="754" w:type="pct"/>
                  <w:vMerge w:val="continue"/>
                  <w:shd w:val="clear" w:color="auto" w:fill="auto"/>
                  <w:vAlign w:val="center"/>
                </w:tcPr>
                <w:p w14:paraId="43AFB276">
                  <w:pPr>
                    <w:pStyle w:val="29"/>
                    <w:bidi w:val="0"/>
                    <w:ind w:firstLine="0" w:firstLineChars="0"/>
                    <w:rPr>
                      <w:rFonts w:hint="eastAsia"/>
                      <w:color w:val="auto"/>
                      <w:lang w:val="en-US" w:eastAsia="zh-CN"/>
                    </w:rPr>
                  </w:pPr>
                </w:p>
              </w:tc>
            </w:tr>
            <w:tr w14:paraId="3C541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1" w:type="pct"/>
                  <w:shd w:val="clear" w:color="auto" w:fill="auto"/>
                  <w:vAlign w:val="center"/>
                </w:tcPr>
                <w:p w14:paraId="25399E0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w:t>
                  </w:r>
                </w:p>
              </w:tc>
              <w:tc>
                <w:tcPr>
                  <w:tcW w:w="1156" w:type="pct"/>
                  <w:shd w:val="clear" w:color="auto" w:fill="auto"/>
                  <w:vAlign w:val="center"/>
                </w:tcPr>
                <w:p w14:paraId="5655623C">
                  <w:pPr>
                    <w:pStyle w:val="29"/>
                    <w:bidi w:val="0"/>
                    <w:ind w:firstLine="0" w:firstLineChars="0"/>
                    <w:rPr>
                      <w:rFonts w:hint="default"/>
                      <w:color w:val="auto"/>
                      <w:lang w:val="en-US" w:eastAsia="zh-CN"/>
                    </w:rPr>
                  </w:pPr>
                  <w:r>
                    <w:rPr>
                      <w:rFonts w:hint="eastAsia"/>
                      <w:color w:val="auto"/>
                      <w:lang w:val="en-US" w:eastAsia="zh-CN"/>
                    </w:rPr>
                    <w:t>空压机</w:t>
                  </w:r>
                </w:p>
              </w:tc>
              <w:tc>
                <w:tcPr>
                  <w:tcW w:w="1093" w:type="pct"/>
                  <w:shd w:val="clear" w:color="auto" w:fill="auto"/>
                  <w:vAlign w:val="center"/>
                </w:tcPr>
                <w:p w14:paraId="4B26F7EF">
                  <w:pPr>
                    <w:pStyle w:val="29"/>
                    <w:bidi w:val="0"/>
                    <w:ind w:firstLine="0" w:firstLineChars="0"/>
                    <w:rPr>
                      <w:rFonts w:hint="default"/>
                      <w:color w:val="auto"/>
                      <w:lang w:val="en-US" w:eastAsia="zh-CN"/>
                    </w:rPr>
                  </w:pPr>
                  <w:r>
                    <w:rPr>
                      <w:rFonts w:hint="eastAsia"/>
                      <w:color w:val="auto"/>
                      <w:lang w:val="en-US" w:eastAsia="zh-CN"/>
                    </w:rPr>
                    <w:t>/</w:t>
                  </w:r>
                </w:p>
              </w:tc>
              <w:tc>
                <w:tcPr>
                  <w:tcW w:w="377" w:type="pct"/>
                  <w:shd w:val="clear" w:color="auto" w:fill="auto"/>
                  <w:vAlign w:val="center"/>
                </w:tcPr>
                <w:p w14:paraId="219BB8F1">
                  <w:pPr>
                    <w:pStyle w:val="29"/>
                    <w:bidi w:val="0"/>
                    <w:ind w:firstLine="0" w:firstLineChars="0"/>
                    <w:rPr>
                      <w:rFonts w:hint="default"/>
                      <w:color w:val="auto"/>
                      <w:lang w:val="en-US" w:eastAsia="zh-CN"/>
                    </w:rPr>
                  </w:pPr>
                  <w:r>
                    <w:rPr>
                      <w:rFonts w:hint="eastAsia"/>
                      <w:color w:val="auto"/>
                      <w:lang w:val="en-US" w:eastAsia="zh-CN"/>
                    </w:rPr>
                    <w:t>2</w:t>
                  </w:r>
                </w:p>
              </w:tc>
              <w:tc>
                <w:tcPr>
                  <w:tcW w:w="323" w:type="pct"/>
                  <w:shd w:val="clear" w:color="auto" w:fill="auto"/>
                  <w:vAlign w:val="center"/>
                </w:tcPr>
                <w:p w14:paraId="153D53C6">
                  <w:pPr>
                    <w:pStyle w:val="29"/>
                    <w:bidi w:val="0"/>
                    <w:ind w:firstLine="0" w:firstLineChars="0"/>
                    <w:rPr>
                      <w:rFonts w:hint="default"/>
                      <w:color w:val="auto"/>
                      <w:lang w:val="en-US" w:eastAsia="zh-CN"/>
                    </w:rPr>
                  </w:pPr>
                  <w:r>
                    <w:rPr>
                      <w:rFonts w:hint="eastAsia"/>
                      <w:color w:val="auto"/>
                      <w:lang w:val="en-US" w:eastAsia="zh-CN"/>
                    </w:rPr>
                    <w:t>台</w:t>
                  </w:r>
                </w:p>
              </w:tc>
              <w:tc>
                <w:tcPr>
                  <w:tcW w:w="992" w:type="pct"/>
                  <w:shd w:val="clear" w:color="auto" w:fill="auto"/>
                  <w:vAlign w:val="center"/>
                </w:tcPr>
                <w:p w14:paraId="12AACBFC">
                  <w:pPr>
                    <w:pStyle w:val="29"/>
                    <w:bidi w:val="0"/>
                    <w:ind w:firstLine="0" w:firstLineChars="0"/>
                    <w:rPr>
                      <w:rFonts w:hint="eastAsia"/>
                      <w:color w:val="auto"/>
                      <w:lang w:val="en-US" w:eastAsia="zh-CN"/>
                    </w:rPr>
                  </w:pPr>
                  <w:r>
                    <w:rPr>
                      <w:rFonts w:hint="eastAsia"/>
                      <w:color w:val="auto"/>
                      <w:lang w:val="en-US" w:eastAsia="zh-CN"/>
                    </w:rPr>
                    <w:t>提供制氮所需的压缩空气源</w:t>
                  </w:r>
                </w:p>
              </w:tc>
              <w:tc>
                <w:tcPr>
                  <w:tcW w:w="754" w:type="pct"/>
                  <w:vMerge w:val="continue"/>
                  <w:shd w:val="clear" w:color="auto" w:fill="auto"/>
                  <w:vAlign w:val="center"/>
                </w:tcPr>
                <w:p w14:paraId="31553A92">
                  <w:pPr>
                    <w:pStyle w:val="29"/>
                    <w:bidi w:val="0"/>
                    <w:ind w:firstLine="0" w:firstLineChars="0"/>
                    <w:rPr>
                      <w:rFonts w:hint="eastAsia"/>
                      <w:color w:val="auto"/>
                      <w:lang w:val="en-US" w:eastAsia="zh-CN"/>
                    </w:rPr>
                  </w:pPr>
                </w:p>
              </w:tc>
            </w:tr>
            <w:tr w14:paraId="1C3B7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0A5C3C3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w:t>
                  </w:r>
                </w:p>
              </w:tc>
              <w:tc>
                <w:tcPr>
                  <w:tcW w:w="1156" w:type="pct"/>
                  <w:shd w:val="clear" w:color="auto" w:fill="auto"/>
                  <w:vAlign w:val="center"/>
                </w:tcPr>
                <w:p w14:paraId="03B24B2C">
                  <w:pPr>
                    <w:pStyle w:val="29"/>
                    <w:bidi w:val="0"/>
                    <w:ind w:firstLine="0" w:firstLineChars="0"/>
                    <w:rPr>
                      <w:rFonts w:hint="default"/>
                      <w:color w:val="auto"/>
                      <w:lang w:val="en-US" w:eastAsia="zh-CN"/>
                    </w:rPr>
                  </w:pPr>
                  <w:r>
                    <w:rPr>
                      <w:rFonts w:hint="eastAsia"/>
                      <w:color w:val="auto"/>
                      <w:lang w:val="en-US" w:eastAsia="zh-CN"/>
                    </w:rPr>
                    <w:t>糖化煮沸过滤一体机</w:t>
                  </w:r>
                </w:p>
              </w:tc>
              <w:tc>
                <w:tcPr>
                  <w:tcW w:w="1093" w:type="pct"/>
                  <w:shd w:val="clear" w:color="auto" w:fill="auto"/>
                  <w:vAlign w:val="center"/>
                </w:tcPr>
                <w:p w14:paraId="1FB71798">
                  <w:pPr>
                    <w:pStyle w:val="29"/>
                    <w:bidi w:val="0"/>
                    <w:ind w:firstLine="0" w:firstLineChars="0"/>
                    <w:rPr>
                      <w:rFonts w:hint="default"/>
                      <w:color w:val="auto"/>
                      <w:lang w:val="en-US" w:eastAsia="zh-CN"/>
                    </w:rPr>
                  </w:pPr>
                  <w:r>
                    <w:rPr>
                      <w:rFonts w:hint="eastAsia"/>
                      <w:color w:val="auto"/>
                      <w:lang w:val="en-US" w:eastAsia="zh-CN"/>
                    </w:rPr>
                    <w:t>500L</w:t>
                  </w:r>
                </w:p>
              </w:tc>
              <w:tc>
                <w:tcPr>
                  <w:tcW w:w="377" w:type="pct"/>
                  <w:shd w:val="clear" w:color="auto" w:fill="auto"/>
                  <w:vAlign w:val="center"/>
                </w:tcPr>
                <w:p w14:paraId="57B62C7C">
                  <w:pPr>
                    <w:pStyle w:val="29"/>
                    <w:bidi w:val="0"/>
                    <w:ind w:firstLine="0" w:firstLineChars="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5A67BFA6">
                  <w:pPr>
                    <w:pStyle w:val="29"/>
                    <w:bidi w:val="0"/>
                    <w:ind w:firstLine="0" w:firstLineChars="0"/>
                    <w:rPr>
                      <w:rFonts w:hint="eastAsia"/>
                      <w:color w:val="auto"/>
                      <w:lang w:val="en-US" w:eastAsia="zh-CN"/>
                    </w:rPr>
                  </w:pPr>
                  <w:r>
                    <w:rPr>
                      <w:rFonts w:hint="eastAsia"/>
                      <w:color w:val="auto"/>
                      <w:lang w:val="en-US" w:eastAsia="zh-CN"/>
                    </w:rPr>
                    <w:t>台</w:t>
                  </w:r>
                </w:p>
              </w:tc>
              <w:tc>
                <w:tcPr>
                  <w:tcW w:w="992" w:type="pct"/>
                  <w:vMerge w:val="restart"/>
                  <w:shd w:val="clear" w:color="auto" w:fill="auto"/>
                  <w:vAlign w:val="center"/>
                </w:tcPr>
                <w:p w14:paraId="2C7B6576">
                  <w:pPr>
                    <w:pStyle w:val="29"/>
                    <w:bidi w:val="0"/>
                    <w:ind w:firstLine="0" w:firstLineChars="0"/>
                    <w:rPr>
                      <w:rFonts w:hint="default"/>
                      <w:color w:val="auto"/>
                      <w:lang w:val="en-US" w:eastAsia="zh-CN"/>
                    </w:rPr>
                  </w:pPr>
                  <w:r>
                    <w:rPr>
                      <w:rFonts w:hint="eastAsia"/>
                      <w:color w:val="auto"/>
                      <w:lang w:val="en-US" w:eastAsia="zh-CN"/>
                    </w:rPr>
                    <w:t>不用于生产，仅用于试样</w:t>
                  </w:r>
                </w:p>
              </w:tc>
              <w:tc>
                <w:tcPr>
                  <w:tcW w:w="754" w:type="pct"/>
                  <w:vMerge w:val="restart"/>
                  <w:shd w:val="clear" w:color="auto" w:fill="auto"/>
                  <w:vAlign w:val="center"/>
                </w:tcPr>
                <w:p w14:paraId="54DD3D2A">
                  <w:pPr>
                    <w:pStyle w:val="29"/>
                    <w:bidi w:val="0"/>
                    <w:ind w:firstLine="0" w:firstLineChars="0"/>
                    <w:rPr>
                      <w:rFonts w:hint="eastAsia"/>
                      <w:color w:val="auto"/>
                      <w:lang w:val="en-US" w:eastAsia="zh-CN"/>
                    </w:rPr>
                  </w:pPr>
                  <w:r>
                    <w:rPr>
                      <w:rFonts w:hint="eastAsia"/>
                      <w:color w:val="auto"/>
                      <w:lang w:val="en-US" w:eastAsia="zh-CN"/>
                    </w:rPr>
                    <w:t>发酵、糖化灌装车间</w:t>
                  </w:r>
                </w:p>
              </w:tc>
            </w:tr>
            <w:tr w14:paraId="4ED5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57D85D51">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w:t>
                  </w:r>
                </w:p>
              </w:tc>
              <w:tc>
                <w:tcPr>
                  <w:tcW w:w="1156" w:type="pct"/>
                  <w:shd w:val="clear" w:color="auto" w:fill="auto"/>
                  <w:vAlign w:val="center"/>
                </w:tcPr>
                <w:p w14:paraId="08A01265">
                  <w:pPr>
                    <w:pStyle w:val="29"/>
                    <w:bidi w:val="0"/>
                    <w:ind w:firstLine="0" w:firstLineChars="0"/>
                    <w:rPr>
                      <w:rFonts w:hint="default"/>
                      <w:color w:val="auto"/>
                      <w:lang w:val="en-US" w:eastAsia="zh-CN"/>
                    </w:rPr>
                  </w:pPr>
                  <w:r>
                    <w:rPr>
                      <w:rFonts w:hint="eastAsia"/>
                      <w:color w:val="auto"/>
                      <w:lang w:val="en-US" w:eastAsia="zh-CN"/>
                    </w:rPr>
                    <w:t>发酵罐</w:t>
                  </w:r>
                </w:p>
              </w:tc>
              <w:tc>
                <w:tcPr>
                  <w:tcW w:w="1093" w:type="pct"/>
                  <w:shd w:val="clear" w:color="auto" w:fill="auto"/>
                  <w:vAlign w:val="center"/>
                </w:tcPr>
                <w:p w14:paraId="3FDB942B">
                  <w:pPr>
                    <w:pStyle w:val="29"/>
                    <w:bidi w:val="0"/>
                    <w:ind w:firstLine="0" w:firstLineChars="0"/>
                    <w:rPr>
                      <w:rFonts w:hint="default"/>
                      <w:color w:val="auto"/>
                      <w:lang w:val="en-US" w:eastAsia="zh-CN"/>
                    </w:rPr>
                  </w:pPr>
                  <w:r>
                    <w:rPr>
                      <w:rFonts w:hint="eastAsia"/>
                      <w:color w:val="auto"/>
                      <w:lang w:val="en-US" w:eastAsia="zh-CN"/>
                    </w:rPr>
                    <w:t>500L</w:t>
                  </w:r>
                </w:p>
              </w:tc>
              <w:tc>
                <w:tcPr>
                  <w:tcW w:w="377" w:type="pct"/>
                  <w:shd w:val="clear" w:color="auto" w:fill="auto"/>
                  <w:vAlign w:val="center"/>
                </w:tcPr>
                <w:p w14:paraId="5999354D">
                  <w:pPr>
                    <w:pStyle w:val="29"/>
                    <w:bidi w:val="0"/>
                    <w:ind w:firstLine="0" w:firstLineChars="0"/>
                    <w:rPr>
                      <w:rFonts w:hint="default"/>
                      <w:color w:val="auto"/>
                      <w:lang w:val="en-US" w:eastAsia="zh-CN"/>
                    </w:rPr>
                  </w:pPr>
                  <w:r>
                    <w:rPr>
                      <w:rFonts w:hint="eastAsia"/>
                      <w:color w:val="auto"/>
                      <w:lang w:val="en-US" w:eastAsia="zh-CN"/>
                    </w:rPr>
                    <w:t>6</w:t>
                  </w:r>
                </w:p>
              </w:tc>
              <w:tc>
                <w:tcPr>
                  <w:tcW w:w="323" w:type="pct"/>
                  <w:shd w:val="clear" w:color="auto" w:fill="auto"/>
                  <w:vAlign w:val="center"/>
                </w:tcPr>
                <w:p w14:paraId="16F702C5">
                  <w:pPr>
                    <w:pStyle w:val="29"/>
                    <w:bidi w:val="0"/>
                    <w:ind w:firstLine="0" w:firstLineChars="0"/>
                    <w:rPr>
                      <w:rFonts w:hint="default"/>
                      <w:color w:val="auto"/>
                      <w:lang w:val="en-US" w:eastAsia="zh-CN"/>
                    </w:rPr>
                  </w:pPr>
                  <w:r>
                    <w:rPr>
                      <w:rFonts w:hint="eastAsia"/>
                      <w:color w:val="auto"/>
                      <w:lang w:val="en-US" w:eastAsia="zh-CN"/>
                    </w:rPr>
                    <w:t>个</w:t>
                  </w:r>
                </w:p>
              </w:tc>
              <w:tc>
                <w:tcPr>
                  <w:tcW w:w="992" w:type="pct"/>
                  <w:vMerge w:val="continue"/>
                  <w:shd w:val="clear" w:color="auto" w:fill="auto"/>
                  <w:vAlign w:val="center"/>
                </w:tcPr>
                <w:p w14:paraId="1DDA161F">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0FAD6DBD">
                  <w:pPr>
                    <w:pStyle w:val="29"/>
                    <w:bidi w:val="0"/>
                    <w:ind w:firstLine="0" w:firstLineChars="0"/>
                    <w:rPr>
                      <w:rFonts w:hint="eastAsia"/>
                      <w:color w:val="auto"/>
                      <w:lang w:val="en-US" w:eastAsia="zh-CN"/>
                    </w:rPr>
                  </w:pPr>
                </w:p>
              </w:tc>
            </w:tr>
            <w:tr w14:paraId="676E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35B322E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w:t>
                  </w:r>
                </w:p>
              </w:tc>
              <w:tc>
                <w:tcPr>
                  <w:tcW w:w="1156" w:type="pct"/>
                  <w:shd w:val="clear" w:color="auto" w:fill="auto"/>
                  <w:vAlign w:val="center"/>
                </w:tcPr>
                <w:p w14:paraId="5497816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糖化煮沸过滤一体机</w:t>
                  </w:r>
                </w:p>
              </w:tc>
              <w:tc>
                <w:tcPr>
                  <w:tcW w:w="1093" w:type="pct"/>
                  <w:shd w:val="clear" w:color="auto" w:fill="auto"/>
                  <w:vAlign w:val="center"/>
                </w:tcPr>
                <w:p w14:paraId="387C75C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100L</w:t>
                  </w:r>
                </w:p>
              </w:tc>
              <w:tc>
                <w:tcPr>
                  <w:tcW w:w="377" w:type="pct"/>
                  <w:shd w:val="clear" w:color="auto" w:fill="auto"/>
                  <w:vAlign w:val="center"/>
                </w:tcPr>
                <w:p w14:paraId="4EB058E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306F8AB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shd w:val="clear" w:color="auto" w:fill="auto"/>
                  <w:vAlign w:val="center"/>
                </w:tcPr>
                <w:p w14:paraId="200C435E">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F409C06">
                  <w:pPr>
                    <w:pStyle w:val="29"/>
                    <w:bidi w:val="0"/>
                    <w:ind w:firstLine="0" w:firstLineChars="0"/>
                    <w:rPr>
                      <w:rFonts w:hint="eastAsia"/>
                      <w:color w:val="auto"/>
                      <w:lang w:val="en-US" w:eastAsia="zh-CN"/>
                    </w:rPr>
                  </w:pPr>
                </w:p>
              </w:tc>
            </w:tr>
            <w:tr w14:paraId="4D13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5F8D3E88">
                  <w:pPr>
                    <w:pStyle w:val="29"/>
                    <w:bidi w:val="0"/>
                    <w:ind w:firstLine="0" w:firstLineChars="0"/>
                    <w:rPr>
                      <w:rFonts w:hint="default"/>
                      <w:color w:val="auto"/>
                      <w:lang w:val="en-US" w:eastAsia="zh-CN"/>
                    </w:rPr>
                  </w:pPr>
                  <w:r>
                    <w:rPr>
                      <w:rFonts w:hint="eastAsia"/>
                      <w:color w:val="auto"/>
                      <w:lang w:val="en-US" w:eastAsia="zh-CN"/>
                    </w:rPr>
                    <w:t>7</w:t>
                  </w:r>
                </w:p>
              </w:tc>
              <w:tc>
                <w:tcPr>
                  <w:tcW w:w="1156" w:type="pct"/>
                  <w:shd w:val="clear" w:color="auto" w:fill="auto"/>
                  <w:vAlign w:val="center"/>
                </w:tcPr>
                <w:p w14:paraId="7343DD9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发酵罐</w:t>
                  </w:r>
                </w:p>
              </w:tc>
              <w:tc>
                <w:tcPr>
                  <w:tcW w:w="1093" w:type="pct"/>
                  <w:shd w:val="clear" w:color="auto" w:fill="auto"/>
                  <w:vAlign w:val="center"/>
                </w:tcPr>
                <w:p w14:paraId="3F251D0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100L</w:t>
                  </w:r>
                </w:p>
              </w:tc>
              <w:tc>
                <w:tcPr>
                  <w:tcW w:w="377" w:type="pct"/>
                  <w:shd w:val="clear" w:color="auto" w:fill="auto"/>
                  <w:vAlign w:val="center"/>
                </w:tcPr>
                <w:p w14:paraId="169C39F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4FCC0C9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个</w:t>
                  </w:r>
                </w:p>
              </w:tc>
              <w:tc>
                <w:tcPr>
                  <w:tcW w:w="992" w:type="pct"/>
                  <w:vMerge w:val="continue"/>
                  <w:shd w:val="clear" w:color="auto" w:fill="auto"/>
                  <w:vAlign w:val="center"/>
                </w:tcPr>
                <w:p w14:paraId="4B77D079">
                  <w:pPr>
                    <w:pStyle w:val="29"/>
                    <w:bidi w:val="0"/>
                    <w:ind w:firstLine="0" w:firstLineChars="0"/>
                    <w:rPr>
                      <w:rFonts w:hint="eastAsia"/>
                      <w:color w:val="auto"/>
                      <w:lang w:val="en-US" w:eastAsia="zh-CN"/>
                    </w:rPr>
                  </w:pPr>
                </w:p>
              </w:tc>
              <w:tc>
                <w:tcPr>
                  <w:tcW w:w="754" w:type="pct"/>
                  <w:vMerge w:val="continue"/>
                  <w:shd w:val="clear" w:color="auto" w:fill="auto"/>
                  <w:vAlign w:val="center"/>
                </w:tcPr>
                <w:p w14:paraId="4C313DF5">
                  <w:pPr>
                    <w:pStyle w:val="29"/>
                    <w:bidi w:val="0"/>
                    <w:ind w:firstLine="0" w:firstLineChars="0"/>
                    <w:rPr>
                      <w:rFonts w:hint="eastAsia"/>
                      <w:color w:val="auto"/>
                      <w:lang w:val="en-US" w:eastAsia="zh-CN"/>
                    </w:rPr>
                  </w:pPr>
                </w:p>
              </w:tc>
            </w:tr>
            <w:tr w14:paraId="0B8F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vAlign w:val="center"/>
                </w:tcPr>
                <w:p w14:paraId="1C0D83A8">
                  <w:pPr>
                    <w:pStyle w:val="29"/>
                    <w:bidi w:val="0"/>
                    <w:ind w:firstLine="0" w:firstLineChars="0"/>
                    <w:rPr>
                      <w:rFonts w:hint="default"/>
                      <w:color w:val="auto"/>
                      <w:lang w:val="en-US" w:eastAsia="zh-CN"/>
                    </w:rPr>
                  </w:pPr>
                  <w:r>
                    <w:rPr>
                      <w:rFonts w:hint="eastAsia"/>
                      <w:color w:val="auto"/>
                      <w:lang w:val="en-US" w:eastAsia="zh-CN"/>
                    </w:rPr>
                    <w:t>8</w:t>
                  </w:r>
                </w:p>
              </w:tc>
              <w:tc>
                <w:tcPr>
                  <w:tcW w:w="1156" w:type="pct"/>
                  <w:shd w:val="clear" w:color="auto" w:fill="auto"/>
                  <w:vAlign w:val="center"/>
                </w:tcPr>
                <w:p w14:paraId="5CCD1B76">
                  <w:pPr>
                    <w:pStyle w:val="29"/>
                    <w:bidi w:val="0"/>
                    <w:ind w:firstLine="0" w:firstLineChars="0"/>
                    <w:rPr>
                      <w:rFonts w:hint="default"/>
                      <w:color w:val="auto"/>
                      <w:lang w:val="en-US" w:eastAsia="zh-CN"/>
                    </w:rPr>
                  </w:pPr>
                  <w:r>
                    <w:rPr>
                      <w:rFonts w:hint="eastAsia"/>
                      <w:color w:val="auto"/>
                      <w:lang w:val="en-US" w:eastAsia="zh-CN"/>
                    </w:rPr>
                    <w:t>纯水制备机</w:t>
                  </w:r>
                </w:p>
              </w:tc>
              <w:tc>
                <w:tcPr>
                  <w:tcW w:w="1093" w:type="pct"/>
                  <w:shd w:val="clear" w:color="auto" w:fill="auto"/>
                  <w:vAlign w:val="center"/>
                </w:tcPr>
                <w:p w14:paraId="6E200171">
                  <w:pPr>
                    <w:pStyle w:val="29"/>
                    <w:bidi w:val="0"/>
                    <w:ind w:firstLine="0" w:firstLineChars="0"/>
                    <w:rPr>
                      <w:rFonts w:hint="default"/>
                      <w:color w:val="auto"/>
                      <w:lang w:val="en-US" w:eastAsia="zh-CN"/>
                    </w:rPr>
                  </w:pPr>
                  <w:r>
                    <w:rPr>
                      <w:rFonts w:hint="eastAsia"/>
                      <w:color w:val="auto"/>
                      <w:lang w:val="en-US" w:eastAsia="zh-CN"/>
                    </w:rPr>
                    <w:t>4t/h</w:t>
                  </w:r>
                </w:p>
              </w:tc>
              <w:tc>
                <w:tcPr>
                  <w:tcW w:w="377" w:type="pct"/>
                  <w:shd w:val="clear" w:color="auto" w:fill="auto"/>
                  <w:vAlign w:val="center"/>
                </w:tcPr>
                <w:p w14:paraId="0E6EFE11">
                  <w:pPr>
                    <w:pStyle w:val="29"/>
                    <w:bidi w:val="0"/>
                    <w:ind w:firstLine="0" w:firstLineChars="0"/>
                    <w:rPr>
                      <w:rFonts w:hint="default"/>
                      <w:color w:val="auto"/>
                      <w:lang w:val="en-US" w:eastAsia="zh-CN"/>
                    </w:rPr>
                  </w:pPr>
                  <w:r>
                    <w:rPr>
                      <w:rFonts w:hint="eastAsia"/>
                      <w:color w:val="auto"/>
                      <w:lang w:val="en-US" w:eastAsia="zh-CN"/>
                    </w:rPr>
                    <w:t>1</w:t>
                  </w:r>
                </w:p>
              </w:tc>
              <w:tc>
                <w:tcPr>
                  <w:tcW w:w="323" w:type="pct"/>
                  <w:shd w:val="clear" w:color="auto" w:fill="auto"/>
                  <w:vAlign w:val="center"/>
                </w:tcPr>
                <w:p w14:paraId="5ACB3CCB">
                  <w:pPr>
                    <w:pStyle w:val="29"/>
                    <w:bidi w:val="0"/>
                    <w:ind w:firstLine="0" w:firstLineChars="0"/>
                    <w:rPr>
                      <w:rFonts w:hint="default"/>
                      <w:color w:val="auto"/>
                      <w:lang w:val="en-US" w:eastAsia="zh-CN"/>
                    </w:rPr>
                  </w:pPr>
                  <w:r>
                    <w:rPr>
                      <w:rFonts w:hint="eastAsia"/>
                      <w:color w:val="auto"/>
                      <w:lang w:val="en-US" w:eastAsia="zh-CN"/>
                    </w:rPr>
                    <w:t>台</w:t>
                  </w:r>
                </w:p>
              </w:tc>
              <w:tc>
                <w:tcPr>
                  <w:tcW w:w="992" w:type="pct"/>
                  <w:shd w:val="clear" w:color="auto" w:fill="auto"/>
                  <w:vAlign w:val="center"/>
                </w:tcPr>
                <w:p w14:paraId="64D95A4C">
                  <w:pPr>
                    <w:pStyle w:val="29"/>
                    <w:bidi w:val="0"/>
                    <w:ind w:firstLine="0" w:firstLineChars="0"/>
                    <w:rPr>
                      <w:rFonts w:hint="default"/>
                      <w:color w:val="auto"/>
                      <w:lang w:val="en-US" w:eastAsia="zh-CN"/>
                    </w:rPr>
                  </w:pPr>
                  <w:r>
                    <w:rPr>
                      <w:rFonts w:hint="eastAsia"/>
                      <w:color w:val="auto"/>
                      <w:lang w:val="en-US" w:eastAsia="zh-CN"/>
                    </w:rPr>
                    <w:t>用于生产纯水制备</w:t>
                  </w:r>
                </w:p>
              </w:tc>
              <w:tc>
                <w:tcPr>
                  <w:tcW w:w="754" w:type="pct"/>
                  <w:vMerge w:val="continue"/>
                  <w:shd w:val="clear" w:color="auto" w:fill="auto"/>
                  <w:vAlign w:val="center"/>
                </w:tcPr>
                <w:p w14:paraId="13EDB3D6">
                  <w:pPr>
                    <w:pStyle w:val="29"/>
                    <w:bidi w:val="0"/>
                    <w:ind w:firstLine="0" w:firstLineChars="0"/>
                    <w:rPr>
                      <w:rFonts w:hint="eastAsia"/>
                      <w:color w:val="auto"/>
                      <w:lang w:val="en-US" w:eastAsia="zh-CN"/>
                    </w:rPr>
                  </w:pPr>
                </w:p>
              </w:tc>
            </w:tr>
            <w:tr w14:paraId="5630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vAlign w:val="center"/>
                </w:tcPr>
                <w:p w14:paraId="6806B3E1">
                  <w:pPr>
                    <w:pStyle w:val="29"/>
                    <w:bidi w:val="0"/>
                    <w:ind w:firstLine="0" w:firstLineChars="0"/>
                    <w:rPr>
                      <w:rFonts w:hint="default"/>
                      <w:color w:val="auto"/>
                      <w:lang w:val="en-US" w:eastAsia="zh-CN"/>
                    </w:rPr>
                  </w:pPr>
                  <w:r>
                    <w:rPr>
                      <w:rFonts w:hint="eastAsia"/>
                      <w:color w:val="auto"/>
                      <w:lang w:val="en-US" w:eastAsia="zh-CN"/>
                    </w:rPr>
                    <w:t>检验设备</w:t>
                  </w:r>
                </w:p>
              </w:tc>
            </w:tr>
            <w:tr w14:paraId="7385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5E41259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val="en-US" w:eastAsia="zh-CN"/>
                    </w:rPr>
                    <w:t>1</w:t>
                  </w:r>
                </w:p>
              </w:tc>
              <w:tc>
                <w:tcPr>
                  <w:tcW w:w="1156" w:type="pct"/>
                  <w:shd w:val="clear" w:color="auto" w:fill="auto"/>
                  <w:vAlign w:val="center"/>
                </w:tcPr>
                <w:p w14:paraId="3BFC2C07">
                  <w:pPr>
                    <w:pStyle w:val="29"/>
                    <w:bidi w:val="0"/>
                    <w:ind w:firstLine="0" w:firstLineChars="0"/>
                    <w:rPr>
                      <w:rFonts w:hint="eastAsia"/>
                      <w:color w:val="auto"/>
                      <w:lang w:val="en-US" w:eastAsia="zh-CN"/>
                    </w:rPr>
                  </w:pPr>
                  <w:r>
                    <w:rPr>
                      <w:rFonts w:hint="eastAsia"/>
                      <w:color w:val="auto"/>
                      <w:lang w:val="en-US" w:eastAsia="zh-CN"/>
                    </w:rPr>
                    <w:t>CO</w:t>
                  </w:r>
                  <w:r>
                    <w:rPr>
                      <w:rFonts w:hint="eastAsia"/>
                      <w:color w:val="auto"/>
                      <w:vertAlign w:val="subscript"/>
                      <w:lang w:val="en-US" w:eastAsia="zh-CN"/>
                    </w:rPr>
                    <w:t>2</w:t>
                  </w:r>
                  <w:r>
                    <w:rPr>
                      <w:rFonts w:hint="eastAsia"/>
                      <w:color w:val="auto"/>
                      <w:lang w:val="en-US" w:eastAsia="zh-CN"/>
                    </w:rPr>
                    <w:t xml:space="preserve"> 测定仪</w:t>
                  </w:r>
                </w:p>
              </w:tc>
              <w:tc>
                <w:tcPr>
                  <w:tcW w:w="1093" w:type="pct"/>
                  <w:shd w:val="clear" w:color="auto" w:fill="auto"/>
                  <w:vAlign w:val="center"/>
                </w:tcPr>
                <w:p w14:paraId="2C68C10F">
                  <w:pPr>
                    <w:pStyle w:val="29"/>
                    <w:bidi w:val="0"/>
                    <w:ind w:firstLine="0" w:firstLineChars="0"/>
                    <w:rPr>
                      <w:rFonts w:hint="eastAsia"/>
                      <w:color w:val="auto"/>
                      <w:lang w:val="en-US" w:eastAsia="zh-CN"/>
                    </w:rPr>
                  </w:pPr>
                  <w:r>
                    <w:rPr>
                      <w:rFonts w:hint="eastAsia"/>
                      <w:color w:val="auto"/>
                      <w:lang w:val="en-US" w:eastAsia="zh-CN"/>
                    </w:rPr>
                    <w:t>±10%FS</w:t>
                  </w:r>
                </w:p>
              </w:tc>
              <w:tc>
                <w:tcPr>
                  <w:tcW w:w="377" w:type="pct"/>
                  <w:shd w:val="clear" w:color="auto" w:fill="auto"/>
                  <w:vAlign w:val="center"/>
                </w:tcPr>
                <w:p w14:paraId="06FE9DEE">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4275042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38514E49">
                  <w:pPr>
                    <w:pStyle w:val="29"/>
                    <w:bidi w:val="0"/>
                    <w:ind w:firstLine="0" w:firstLineChars="0"/>
                    <w:rPr>
                      <w:rFonts w:hint="default"/>
                      <w:color w:val="auto"/>
                      <w:lang w:val="en-US" w:eastAsia="zh-CN"/>
                    </w:rPr>
                  </w:pPr>
                  <w:r>
                    <w:rPr>
                      <w:rFonts w:hint="default"/>
                      <w:color w:val="auto"/>
                      <w:lang w:val="en-US" w:eastAsia="zh-CN"/>
                    </w:rPr>
                    <w:t>检测啤酒中二氧化碳含量</w:t>
                  </w:r>
                </w:p>
              </w:tc>
              <w:tc>
                <w:tcPr>
                  <w:tcW w:w="754" w:type="pct"/>
                  <w:vMerge w:val="restart"/>
                  <w:shd w:val="clear" w:color="auto" w:fill="auto"/>
                  <w:vAlign w:val="center"/>
                </w:tcPr>
                <w:p w14:paraId="2E5E46E1">
                  <w:pPr>
                    <w:pStyle w:val="29"/>
                    <w:bidi w:val="0"/>
                    <w:ind w:firstLine="0" w:firstLineChars="0"/>
                    <w:rPr>
                      <w:rFonts w:hint="default"/>
                      <w:color w:val="auto"/>
                      <w:lang w:val="en-US" w:eastAsia="zh-CN"/>
                    </w:rPr>
                  </w:pPr>
                  <w:r>
                    <w:rPr>
                      <w:rFonts w:hint="eastAsia" w:cs="Times New Roman"/>
                      <w:b w:val="0"/>
                      <w:bCs/>
                      <w:color w:val="auto"/>
                      <w:kern w:val="2"/>
                      <w:sz w:val="21"/>
                      <w:szCs w:val="24"/>
                      <w:highlight w:val="none"/>
                      <w:lang w:val="en-US" w:eastAsia="zh-CN" w:bidi="ar-SA"/>
                    </w:rPr>
                    <w:t>检验</w:t>
                  </w:r>
                  <w:r>
                    <w:rPr>
                      <w:rFonts w:hint="eastAsia" w:ascii="Times New Roman" w:hAnsi="Times New Roman" w:eastAsia="宋体" w:cs="Times New Roman"/>
                      <w:b w:val="0"/>
                      <w:bCs/>
                      <w:color w:val="auto"/>
                      <w:kern w:val="2"/>
                      <w:sz w:val="21"/>
                      <w:szCs w:val="24"/>
                      <w:highlight w:val="none"/>
                      <w:lang w:val="en-US" w:eastAsia="zh-CN" w:bidi="ar-SA"/>
                    </w:rPr>
                    <w:t>室</w:t>
                  </w:r>
                </w:p>
              </w:tc>
            </w:tr>
            <w:tr w14:paraId="300A8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4D1252B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val="en-US" w:eastAsia="zh-CN"/>
                    </w:rPr>
                    <w:t>2</w:t>
                  </w:r>
                </w:p>
              </w:tc>
              <w:tc>
                <w:tcPr>
                  <w:tcW w:w="1156" w:type="pct"/>
                  <w:shd w:val="clear" w:color="auto" w:fill="auto"/>
                  <w:vAlign w:val="center"/>
                </w:tcPr>
                <w:p w14:paraId="04898725">
                  <w:pPr>
                    <w:pStyle w:val="29"/>
                    <w:bidi w:val="0"/>
                    <w:ind w:firstLine="0" w:firstLineChars="0"/>
                    <w:rPr>
                      <w:rFonts w:hint="eastAsia"/>
                      <w:color w:val="auto"/>
                      <w:lang w:val="en-US" w:eastAsia="zh-CN"/>
                    </w:rPr>
                  </w:pPr>
                  <w:r>
                    <w:rPr>
                      <w:rFonts w:hint="eastAsia"/>
                      <w:color w:val="auto"/>
                      <w:lang w:val="en-US" w:eastAsia="zh-CN"/>
                    </w:rPr>
                    <w:t>超净工作台</w:t>
                  </w:r>
                </w:p>
              </w:tc>
              <w:tc>
                <w:tcPr>
                  <w:tcW w:w="1093" w:type="pct"/>
                  <w:shd w:val="clear" w:color="auto" w:fill="auto"/>
                  <w:vAlign w:val="center"/>
                </w:tcPr>
                <w:p w14:paraId="33FB679F">
                  <w:pPr>
                    <w:pStyle w:val="29"/>
                    <w:bidi w:val="0"/>
                    <w:ind w:firstLine="0" w:firstLineChars="0"/>
                    <w:rPr>
                      <w:rFonts w:hint="eastAsia"/>
                      <w:color w:val="auto"/>
                      <w:lang w:val="en-US" w:eastAsia="zh-CN"/>
                    </w:rPr>
                  </w:pPr>
                  <w:r>
                    <w:rPr>
                      <w:rFonts w:hint="eastAsia"/>
                      <w:color w:val="auto"/>
                      <w:lang w:val="en-US" w:eastAsia="zh-CN"/>
                    </w:rPr>
                    <w:t>优级</w:t>
                  </w:r>
                </w:p>
              </w:tc>
              <w:tc>
                <w:tcPr>
                  <w:tcW w:w="377" w:type="pct"/>
                  <w:shd w:val="clear" w:color="auto" w:fill="auto"/>
                  <w:vAlign w:val="center"/>
                </w:tcPr>
                <w:p w14:paraId="1B4E48DB">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028C0D3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419762C3">
                  <w:pPr>
                    <w:pStyle w:val="29"/>
                    <w:bidi w:val="0"/>
                    <w:ind w:firstLine="0" w:firstLineChars="0"/>
                    <w:rPr>
                      <w:rFonts w:hint="eastAsia"/>
                      <w:color w:val="auto"/>
                      <w:lang w:val="en-US" w:eastAsia="zh-CN"/>
                    </w:rPr>
                  </w:pPr>
                  <w:r>
                    <w:rPr>
                      <w:rFonts w:hint="eastAsia"/>
                      <w:color w:val="auto"/>
                      <w:lang w:val="en-US" w:eastAsia="zh-CN"/>
                    </w:rPr>
                    <w:t>为微生物检测提供无菌无尘的操作环境</w:t>
                  </w:r>
                </w:p>
              </w:tc>
              <w:tc>
                <w:tcPr>
                  <w:tcW w:w="754" w:type="pct"/>
                  <w:vMerge w:val="continue"/>
                  <w:shd w:val="clear" w:color="auto" w:fill="auto"/>
                  <w:vAlign w:val="center"/>
                </w:tcPr>
                <w:p w14:paraId="06CCFE9B">
                  <w:pPr>
                    <w:pStyle w:val="29"/>
                    <w:bidi w:val="0"/>
                    <w:ind w:firstLine="0" w:firstLineChars="0"/>
                    <w:rPr>
                      <w:rFonts w:hint="eastAsia"/>
                      <w:color w:val="auto"/>
                      <w:lang w:val="en-US" w:eastAsia="zh-CN"/>
                    </w:rPr>
                  </w:pPr>
                </w:p>
              </w:tc>
            </w:tr>
            <w:tr w14:paraId="5F22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208626A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val="en-US" w:eastAsia="zh-CN"/>
                    </w:rPr>
                    <w:t>3</w:t>
                  </w:r>
                </w:p>
              </w:tc>
              <w:tc>
                <w:tcPr>
                  <w:tcW w:w="1156" w:type="pct"/>
                  <w:shd w:val="clear" w:color="auto" w:fill="auto"/>
                  <w:vAlign w:val="center"/>
                </w:tcPr>
                <w:p w14:paraId="6150541B">
                  <w:pPr>
                    <w:pStyle w:val="29"/>
                    <w:bidi w:val="0"/>
                    <w:ind w:firstLine="0" w:firstLineChars="0"/>
                    <w:rPr>
                      <w:rFonts w:hint="eastAsia"/>
                      <w:color w:val="auto"/>
                      <w:lang w:val="en-US" w:eastAsia="zh-CN"/>
                    </w:rPr>
                  </w:pPr>
                  <w:r>
                    <w:rPr>
                      <w:rFonts w:hint="eastAsia"/>
                      <w:color w:val="auto"/>
                      <w:lang w:val="en-US" w:eastAsia="zh-CN"/>
                    </w:rPr>
                    <w:t>分析天平</w:t>
                  </w:r>
                </w:p>
              </w:tc>
              <w:tc>
                <w:tcPr>
                  <w:tcW w:w="1093" w:type="pct"/>
                  <w:shd w:val="clear" w:color="auto" w:fill="auto"/>
                  <w:vAlign w:val="center"/>
                </w:tcPr>
                <w:p w14:paraId="037F60BE">
                  <w:pPr>
                    <w:pStyle w:val="29"/>
                    <w:bidi w:val="0"/>
                    <w:ind w:firstLine="0" w:firstLineChars="0"/>
                    <w:rPr>
                      <w:rFonts w:hint="eastAsia"/>
                      <w:color w:val="auto"/>
                      <w:lang w:val="en-US" w:eastAsia="zh-CN"/>
                    </w:rPr>
                  </w:pPr>
                  <w:r>
                    <w:rPr>
                      <w:rFonts w:hint="eastAsia"/>
                      <w:color w:val="auto"/>
                      <w:lang w:val="en-US" w:eastAsia="zh-CN"/>
                    </w:rPr>
                    <w:t>±0.001</w:t>
                  </w:r>
                </w:p>
              </w:tc>
              <w:tc>
                <w:tcPr>
                  <w:tcW w:w="377" w:type="pct"/>
                  <w:shd w:val="clear" w:color="auto" w:fill="auto"/>
                  <w:vAlign w:val="center"/>
                </w:tcPr>
                <w:p w14:paraId="27B5500C">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0C2DF56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0E7B8BE7">
                  <w:pPr>
                    <w:pStyle w:val="29"/>
                    <w:bidi w:val="0"/>
                    <w:ind w:firstLine="0" w:firstLineChars="0"/>
                    <w:rPr>
                      <w:rFonts w:hint="default"/>
                      <w:color w:val="auto"/>
                      <w:lang w:val="en-US" w:eastAsia="zh-CN"/>
                    </w:rPr>
                  </w:pPr>
                  <w:r>
                    <w:rPr>
                      <w:rFonts w:hint="eastAsia"/>
                      <w:color w:val="auto"/>
                      <w:lang w:val="en-US" w:eastAsia="zh-CN"/>
                    </w:rPr>
                    <w:t>用于检测酒精度</w:t>
                  </w:r>
                </w:p>
              </w:tc>
              <w:tc>
                <w:tcPr>
                  <w:tcW w:w="754" w:type="pct"/>
                  <w:vMerge w:val="continue"/>
                  <w:shd w:val="clear" w:color="auto" w:fill="auto"/>
                  <w:vAlign w:val="center"/>
                </w:tcPr>
                <w:p w14:paraId="0164E56B">
                  <w:pPr>
                    <w:pStyle w:val="29"/>
                    <w:bidi w:val="0"/>
                    <w:ind w:firstLine="0" w:firstLineChars="0"/>
                    <w:rPr>
                      <w:rFonts w:hint="eastAsia"/>
                      <w:color w:val="auto"/>
                      <w:lang w:val="en-US" w:eastAsia="zh-CN"/>
                    </w:rPr>
                  </w:pPr>
                </w:p>
              </w:tc>
            </w:tr>
            <w:tr w14:paraId="4CA1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618FDE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w:t>
                  </w:r>
                </w:p>
              </w:tc>
              <w:tc>
                <w:tcPr>
                  <w:tcW w:w="1156" w:type="pct"/>
                  <w:shd w:val="clear" w:color="auto" w:fill="auto"/>
                  <w:vAlign w:val="center"/>
                </w:tcPr>
                <w:p w14:paraId="18AB97DB">
                  <w:pPr>
                    <w:pStyle w:val="29"/>
                    <w:bidi w:val="0"/>
                    <w:ind w:firstLine="0" w:firstLineChars="0"/>
                    <w:rPr>
                      <w:rFonts w:hint="eastAsia"/>
                      <w:color w:val="auto"/>
                      <w:lang w:val="en-US" w:eastAsia="zh-CN"/>
                    </w:rPr>
                  </w:pPr>
                  <w:r>
                    <w:rPr>
                      <w:rFonts w:hint="eastAsia"/>
                      <w:color w:val="auto"/>
                      <w:lang w:val="en-US" w:eastAsia="zh-CN"/>
                    </w:rPr>
                    <w:t>恒温水浴锅</w:t>
                  </w:r>
                </w:p>
              </w:tc>
              <w:tc>
                <w:tcPr>
                  <w:tcW w:w="1093" w:type="pct"/>
                  <w:shd w:val="clear" w:color="auto" w:fill="auto"/>
                  <w:vAlign w:val="center"/>
                </w:tcPr>
                <w:p w14:paraId="05D18C5E">
                  <w:pPr>
                    <w:pStyle w:val="29"/>
                    <w:bidi w:val="0"/>
                    <w:ind w:firstLine="0" w:firstLineChars="0"/>
                    <w:rPr>
                      <w:rFonts w:hint="eastAsia"/>
                      <w:color w:val="auto"/>
                      <w:lang w:val="en-US" w:eastAsia="zh-CN"/>
                    </w:rPr>
                  </w:pPr>
                  <w:r>
                    <w:rPr>
                      <w:rFonts w:hint="eastAsia"/>
                      <w:color w:val="auto"/>
                      <w:lang w:val="en-US" w:eastAsia="zh-CN"/>
                    </w:rPr>
                    <w:t>±1℃</w:t>
                  </w:r>
                </w:p>
              </w:tc>
              <w:tc>
                <w:tcPr>
                  <w:tcW w:w="377" w:type="pct"/>
                  <w:shd w:val="clear" w:color="auto" w:fill="auto"/>
                  <w:vAlign w:val="center"/>
                </w:tcPr>
                <w:p w14:paraId="3E120CA5">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4738847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10A5FF2D">
                  <w:pPr>
                    <w:pStyle w:val="29"/>
                    <w:bidi w:val="0"/>
                    <w:ind w:firstLine="0" w:firstLineChars="0"/>
                    <w:rPr>
                      <w:rFonts w:hint="default"/>
                      <w:color w:val="auto"/>
                      <w:lang w:val="en-US" w:eastAsia="zh-CN"/>
                    </w:rPr>
                  </w:pPr>
                  <w:r>
                    <w:rPr>
                      <w:rFonts w:hint="eastAsia"/>
                      <w:color w:val="auto"/>
                      <w:lang w:val="en-US" w:eastAsia="zh-CN"/>
                    </w:rPr>
                    <w:t>用于检测麦汁浓度</w:t>
                  </w:r>
                </w:p>
              </w:tc>
              <w:tc>
                <w:tcPr>
                  <w:tcW w:w="754" w:type="pct"/>
                  <w:vMerge w:val="continue"/>
                </w:tcPr>
                <w:p w14:paraId="54A14284">
                  <w:pPr>
                    <w:pStyle w:val="29"/>
                    <w:bidi w:val="0"/>
                    <w:ind w:firstLine="0" w:firstLineChars="0"/>
                    <w:rPr>
                      <w:rFonts w:hint="eastAsia"/>
                      <w:color w:val="auto"/>
                      <w:lang w:val="en-US" w:eastAsia="zh-CN"/>
                    </w:rPr>
                  </w:pPr>
                </w:p>
              </w:tc>
            </w:tr>
            <w:tr w14:paraId="77C0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0135F4D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w:t>
                  </w:r>
                </w:p>
              </w:tc>
              <w:tc>
                <w:tcPr>
                  <w:tcW w:w="1156" w:type="pct"/>
                  <w:shd w:val="clear" w:color="auto" w:fill="auto"/>
                  <w:vAlign w:val="center"/>
                </w:tcPr>
                <w:p w14:paraId="7DA6B203">
                  <w:pPr>
                    <w:pStyle w:val="29"/>
                    <w:bidi w:val="0"/>
                    <w:ind w:firstLine="0" w:firstLineChars="0"/>
                    <w:rPr>
                      <w:rFonts w:hint="eastAsia"/>
                      <w:color w:val="auto"/>
                      <w:lang w:val="en-US" w:eastAsia="zh-CN"/>
                    </w:rPr>
                  </w:pPr>
                  <w:r>
                    <w:rPr>
                      <w:rFonts w:hint="eastAsia"/>
                      <w:color w:val="auto"/>
                      <w:lang w:val="en-US" w:eastAsia="zh-CN"/>
                    </w:rPr>
                    <w:t>秒表</w:t>
                  </w:r>
                </w:p>
              </w:tc>
              <w:tc>
                <w:tcPr>
                  <w:tcW w:w="1093" w:type="pct"/>
                  <w:shd w:val="clear" w:color="auto" w:fill="auto"/>
                  <w:vAlign w:val="center"/>
                </w:tcPr>
                <w:p w14:paraId="234A36F7">
                  <w:pPr>
                    <w:pStyle w:val="29"/>
                    <w:bidi w:val="0"/>
                    <w:ind w:firstLine="0" w:firstLineChars="0"/>
                    <w:rPr>
                      <w:rFonts w:hint="eastAsia"/>
                      <w:color w:val="auto"/>
                      <w:lang w:val="en-US" w:eastAsia="zh-CN"/>
                    </w:rPr>
                  </w:pPr>
                  <w:r>
                    <w:rPr>
                      <w:rFonts w:hint="eastAsia"/>
                      <w:color w:val="auto"/>
                      <w:lang w:val="en-US" w:eastAsia="zh-CN"/>
                    </w:rPr>
                    <w:t>0.01S</w:t>
                  </w:r>
                </w:p>
              </w:tc>
              <w:tc>
                <w:tcPr>
                  <w:tcW w:w="377" w:type="pct"/>
                  <w:shd w:val="clear" w:color="auto" w:fill="auto"/>
                  <w:vAlign w:val="center"/>
                </w:tcPr>
                <w:p w14:paraId="5C52C5D0">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103A800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7F093EC0">
                  <w:pPr>
                    <w:pStyle w:val="29"/>
                    <w:bidi w:val="0"/>
                    <w:ind w:firstLine="0" w:firstLineChars="0"/>
                    <w:rPr>
                      <w:rFonts w:hint="eastAsia"/>
                      <w:color w:val="auto"/>
                      <w:lang w:val="en-US" w:eastAsia="zh-CN"/>
                    </w:rPr>
                  </w:pPr>
                  <w:r>
                    <w:rPr>
                      <w:rFonts w:hint="eastAsia"/>
                      <w:color w:val="auto"/>
                      <w:lang w:val="en-US" w:eastAsia="zh-CN"/>
                    </w:rPr>
                    <w:t>测定发酵速率</w:t>
                  </w:r>
                </w:p>
              </w:tc>
              <w:tc>
                <w:tcPr>
                  <w:tcW w:w="754" w:type="pct"/>
                  <w:vMerge w:val="continue"/>
                </w:tcPr>
                <w:p w14:paraId="09C76642">
                  <w:pPr>
                    <w:pStyle w:val="29"/>
                    <w:bidi w:val="0"/>
                    <w:ind w:firstLine="0" w:firstLineChars="0"/>
                    <w:rPr>
                      <w:rFonts w:hint="eastAsia"/>
                      <w:color w:val="auto"/>
                      <w:lang w:val="en-US" w:eastAsia="zh-CN"/>
                    </w:rPr>
                  </w:pPr>
                </w:p>
              </w:tc>
            </w:tr>
            <w:tr w14:paraId="5741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0491D02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w:t>
                  </w:r>
                </w:p>
              </w:tc>
              <w:tc>
                <w:tcPr>
                  <w:tcW w:w="1156" w:type="pct"/>
                  <w:shd w:val="clear" w:color="auto" w:fill="auto"/>
                  <w:vAlign w:val="center"/>
                </w:tcPr>
                <w:p w14:paraId="584015D7">
                  <w:pPr>
                    <w:pStyle w:val="29"/>
                    <w:bidi w:val="0"/>
                    <w:ind w:firstLine="0" w:firstLineChars="0"/>
                    <w:rPr>
                      <w:rFonts w:hint="eastAsia"/>
                      <w:color w:val="auto"/>
                      <w:lang w:val="en-US" w:eastAsia="zh-CN"/>
                    </w:rPr>
                  </w:pPr>
                  <w:r>
                    <w:rPr>
                      <w:rFonts w:hint="eastAsia"/>
                      <w:color w:val="auto"/>
                      <w:lang w:val="en-US" w:eastAsia="zh-CN"/>
                    </w:rPr>
                    <w:t>灭菌锅</w:t>
                  </w:r>
                </w:p>
              </w:tc>
              <w:tc>
                <w:tcPr>
                  <w:tcW w:w="1093" w:type="pct"/>
                  <w:shd w:val="clear" w:color="auto" w:fill="auto"/>
                  <w:vAlign w:val="center"/>
                </w:tcPr>
                <w:p w14:paraId="59CF067A">
                  <w:pPr>
                    <w:pStyle w:val="29"/>
                    <w:bidi w:val="0"/>
                    <w:ind w:firstLine="0" w:firstLineChars="0"/>
                    <w:rPr>
                      <w:rFonts w:hint="eastAsia"/>
                      <w:color w:val="auto"/>
                      <w:lang w:val="en-US" w:eastAsia="zh-CN"/>
                    </w:rPr>
                  </w:pPr>
                  <w:r>
                    <w:rPr>
                      <w:rFonts w:hint="eastAsia"/>
                      <w:color w:val="auto"/>
                      <w:lang w:val="en-US" w:eastAsia="zh-CN"/>
                    </w:rPr>
                    <w:t>±2℃</w:t>
                  </w:r>
                </w:p>
              </w:tc>
              <w:tc>
                <w:tcPr>
                  <w:tcW w:w="377" w:type="pct"/>
                  <w:shd w:val="clear" w:color="auto" w:fill="auto"/>
                  <w:vAlign w:val="center"/>
                </w:tcPr>
                <w:p w14:paraId="5CADD422">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03904E1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705F65FE">
                  <w:pPr>
                    <w:pStyle w:val="29"/>
                    <w:bidi w:val="0"/>
                    <w:ind w:firstLine="0" w:firstLineChars="0"/>
                    <w:rPr>
                      <w:rFonts w:hint="eastAsia"/>
                      <w:color w:val="auto"/>
                      <w:lang w:val="en-US" w:eastAsia="zh-CN"/>
                    </w:rPr>
                  </w:pPr>
                  <w:r>
                    <w:rPr>
                      <w:rFonts w:hint="eastAsia"/>
                      <w:color w:val="auto"/>
                      <w:lang w:val="en-US" w:eastAsia="zh-CN"/>
                    </w:rPr>
                    <w:t>对微生物检测所用的培养基、接触样品的器具进行高压灭菌</w:t>
                  </w:r>
                </w:p>
              </w:tc>
              <w:tc>
                <w:tcPr>
                  <w:tcW w:w="754" w:type="pct"/>
                  <w:vMerge w:val="continue"/>
                </w:tcPr>
                <w:p w14:paraId="2B8E70C1">
                  <w:pPr>
                    <w:pStyle w:val="29"/>
                    <w:bidi w:val="0"/>
                    <w:ind w:firstLine="0" w:firstLineChars="0"/>
                    <w:rPr>
                      <w:rFonts w:hint="eastAsia"/>
                      <w:color w:val="auto"/>
                      <w:lang w:val="en-US" w:eastAsia="zh-CN"/>
                    </w:rPr>
                  </w:pPr>
                </w:p>
              </w:tc>
            </w:tr>
            <w:tr w14:paraId="15774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1CB3152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7</w:t>
                  </w:r>
                </w:p>
              </w:tc>
              <w:tc>
                <w:tcPr>
                  <w:tcW w:w="1156" w:type="pct"/>
                  <w:shd w:val="clear" w:color="auto" w:fill="auto"/>
                  <w:vAlign w:val="center"/>
                </w:tcPr>
                <w:p w14:paraId="4EF7D177">
                  <w:pPr>
                    <w:pStyle w:val="29"/>
                    <w:bidi w:val="0"/>
                    <w:ind w:firstLine="0" w:firstLineChars="0"/>
                    <w:rPr>
                      <w:rFonts w:hint="eastAsia"/>
                      <w:color w:val="auto"/>
                      <w:lang w:val="en-US" w:eastAsia="zh-CN"/>
                    </w:rPr>
                  </w:pPr>
                  <w:r>
                    <w:rPr>
                      <w:rFonts w:hint="eastAsia"/>
                      <w:color w:val="auto"/>
                      <w:lang w:val="en-US" w:eastAsia="zh-CN"/>
                    </w:rPr>
                    <w:t>色度计</w:t>
                  </w:r>
                </w:p>
              </w:tc>
              <w:tc>
                <w:tcPr>
                  <w:tcW w:w="1093" w:type="pct"/>
                  <w:shd w:val="clear" w:color="auto" w:fill="auto"/>
                  <w:vAlign w:val="center"/>
                </w:tcPr>
                <w:p w14:paraId="001507DB">
                  <w:pPr>
                    <w:pStyle w:val="29"/>
                    <w:bidi w:val="0"/>
                    <w:ind w:firstLine="0" w:firstLineChars="0"/>
                    <w:rPr>
                      <w:rFonts w:hint="eastAsia"/>
                      <w:color w:val="auto"/>
                      <w:lang w:val="en-US" w:eastAsia="zh-CN"/>
                    </w:rPr>
                  </w:pPr>
                  <w:r>
                    <w:rPr>
                      <w:rFonts w:hint="eastAsia"/>
                      <w:color w:val="auto"/>
                      <w:lang w:val="en-US" w:eastAsia="zh-CN"/>
                    </w:rPr>
                    <w:t>0.02</w:t>
                  </w:r>
                </w:p>
              </w:tc>
              <w:tc>
                <w:tcPr>
                  <w:tcW w:w="377" w:type="pct"/>
                  <w:shd w:val="clear" w:color="auto" w:fill="auto"/>
                  <w:vAlign w:val="center"/>
                </w:tcPr>
                <w:p w14:paraId="3145AE95">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598921F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06FDAC45">
                  <w:pPr>
                    <w:pStyle w:val="29"/>
                    <w:bidi w:val="0"/>
                    <w:ind w:firstLine="0" w:firstLineChars="0"/>
                    <w:rPr>
                      <w:rFonts w:hint="default"/>
                      <w:color w:val="auto"/>
                      <w:lang w:val="en-US" w:eastAsia="zh-CN"/>
                    </w:rPr>
                  </w:pPr>
                  <w:r>
                    <w:rPr>
                      <w:rFonts w:hint="eastAsia"/>
                      <w:color w:val="auto"/>
                      <w:lang w:val="en-US" w:eastAsia="zh-CN"/>
                    </w:rPr>
                    <w:t>检测啤酒的色泽</w:t>
                  </w:r>
                </w:p>
              </w:tc>
              <w:tc>
                <w:tcPr>
                  <w:tcW w:w="754" w:type="pct"/>
                  <w:vMerge w:val="continue"/>
                </w:tcPr>
                <w:p w14:paraId="1F495EFD">
                  <w:pPr>
                    <w:pStyle w:val="29"/>
                    <w:bidi w:val="0"/>
                    <w:ind w:firstLine="0" w:firstLineChars="0"/>
                    <w:rPr>
                      <w:rFonts w:hint="eastAsia"/>
                      <w:color w:val="auto"/>
                      <w:lang w:val="en-US" w:eastAsia="zh-CN"/>
                    </w:rPr>
                  </w:pPr>
                </w:p>
              </w:tc>
            </w:tr>
            <w:tr w14:paraId="2FBDE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00936BD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w:t>
                  </w:r>
                </w:p>
              </w:tc>
              <w:tc>
                <w:tcPr>
                  <w:tcW w:w="1156" w:type="pct"/>
                  <w:shd w:val="clear" w:color="auto" w:fill="auto"/>
                  <w:vAlign w:val="center"/>
                </w:tcPr>
                <w:p w14:paraId="12090FAC">
                  <w:pPr>
                    <w:pStyle w:val="29"/>
                    <w:bidi w:val="0"/>
                    <w:ind w:firstLine="0" w:firstLineChars="0"/>
                    <w:rPr>
                      <w:rFonts w:hint="eastAsia"/>
                      <w:color w:val="auto"/>
                      <w:lang w:val="en-US" w:eastAsia="zh-CN"/>
                    </w:rPr>
                  </w:pPr>
                  <w:r>
                    <w:rPr>
                      <w:rFonts w:hint="eastAsia"/>
                      <w:color w:val="auto"/>
                      <w:lang w:val="en-US" w:eastAsia="zh-CN"/>
                    </w:rPr>
                    <w:t>生物显微镜</w:t>
                  </w:r>
                </w:p>
              </w:tc>
              <w:tc>
                <w:tcPr>
                  <w:tcW w:w="1093" w:type="pct"/>
                  <w:shd w:val="clear" w:color="auto" w:fill="auto"/>
                  <w:vAlign w:val="center"/>
                </w:tcPr>
                <w:p w14:paraId="40218454">
                  <w:pPr>
                    <w:pStyle w:val="29"/>
                    <w:bidi w:val="0"/>
                    <w:ind w:firstLine="0" w:firstLineChars="0"/>
                    <w:rPr>
                      <w:rFonts w:hint="eastAsia"/>
                      <w:color w:val="auto"/>
                      <w:lang w:val="en-US" w:eastAsia="zh-CN"/>
                    </w:rPr>
                  </w:pPr>
                  <w:r>
                    <w:rPr>
                      <w:rFonts w:hint="eastAsia"/>
                      <w:color w:val="auto"/>
                      <w:lang w:val="en-US" w:eastAsia="zh-CN"/>
                    </w:rPr>
                    <w:t>±0.001mm</w:t>
                  </w:r>
                </w:p>
              </w:tc>
              <w:tc>
                <w:tcPr>
                  <w:tcW w:w="377" w:type="pct"/>
                  <w:shd w:val="clear" w:color="auto" w:fill="auto"/>
                  <w:vAlign w:val="center"/>
                </w:tcPr>
                <w:p w14:paraId="3FE527E6">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3DF27A1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5F2A7C6C">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监测发酵过程微生物形态</w:t>
                  </w:r>
                </w:p>
              </w:tc>
              <w:tc>
                <w:tcPr>
                  <w:tcW w:w="754" w:type="pct"/>
                  <w:vMerge w:val="continue"/>
                </w:tcPr>
                <w:p w14:paraId="7D8C1250">
                  <w:pPr>
                    <w:pStyle w:val="29"/>
                    <w:bidi w:val="0"/>
                    <w:ind w:firstLine="0" w:firstLineChars="0"/>
                    <w:rPr>
                      <w:rFonts w:hint="eastAsia"/>
                      <w:color w:val="auto"/>
                      <w:lang w:val="en-US" w:eastAsia="zh-CN"/>
                    </w:rPr>
                  </w:pPr>
                </w:p>
              </w:tc>
            </w:tr>
            <w:tr w14:paraId="0D2E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6403EBE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9</w:t>
                  </w:r>
                </w:p>
              </w:tc>
              <w:tc>
                <w:tcPr>
                  <w:tcW w:w="1156" w:type="pct"/>
                  <w:shd w:val="clear" w:color="auto" w:fill="auto"/>
                  <w:vAlign w:val="center"/>
                </w:tcPr>
                <w:p w14:paraId="3BBB0E0A">
                  <w:pPr>
                    <w:pStyle w:val="29"/>
                    <w:bidi w:val="0"/>
                    <w:ind w:firstLine="0" w:firstLineChars="0"/>
                    <w:rPr>
                      <w:rFonts w:hint="eastAsia"/>
                      <w:color w:val="auto"/>
                      <w:lang w:val="en-US" w:eastAsia="zh-CN"/>
                    </w:rPr>
                  </w:pPr>
                  <w:r>
                    <w:rPr>
                      <w:rFonts w:hint="eastAsia"/>
                      <w:color w:val="auto"/>
                      <w:lang w:val="en-US" w:eastAsia="zh-CN"/>
                    </w:rPr>
                    <w:t>酸度计</w:t>
                  </w:r>
                </w:p>
              </w:tc>
              <w:tc>
                <w:tcPr>
                  <w:tcW w:w="1093" w:type="pct"/>
                  <w:shd w:val="clear" w:color="auto" w:fill="auto"/>
                  <w:vAlign w:val="center"/>
                </w:tcPr>
                <w:p w14:paraId="4A5E80E2">
                  <w:pPr>
                    <w:pStyle w:val="29"/>
                    <w:bidi w:val="0"/>
                    <w:ind w:firstLine="0" w:firstLineChars="0"/>
                    <w:rPr>
                      <w:rFonts w:hint="eastAsia"/>
                      <w:color w:val="auto"/>
                      <w:lang w:val="en-US" w:eastAsia="zh-CN"/>
                    </w:rPr>
                  </w:pPr>
                  <w:r>
                    <w:rPr>
                      <w:rFonts w:hint="eastAsia"/>
                      <w:color w:val="auto"/>
                      <w:lang w:val="en-US" w:eastAsia="zh-CN"/>
                    </w:rPr>
                    <w:t>±0.01</w:t>
                  </w:r>
                </w:p>
              </w:tc>
              <w:tc>
                <w:tcPr>
                  <w:tcW w:w="377" w:type="pct"/>
                  <w:shd w:val="clear" w:color="auto" w:fill="auto"/>
                  <w:vAlign w:val="center"/>
                </w:tcPr>
                <w:p w14:paraId="6067F607">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63B719F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shd w:val="clear" w:color="auto" w:fill="auto"/>
                  <w:vAlign w:val="center"/>
                </w:tcPr>
                <w:p w14:paraId="174094B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检测啤酒的pH值和总酸度</w:t>
                  </w:r>
                </w:p>
              </w:tc>
              <w:tc>
                <w:tcPr>
                  <w:tcW w:w="754" w:type="pct"/>
                  <w:vMerge w:val="continue"/>
                </w:tcPr>
                <w:p w14:paraId="1174B77D">
                  <w:pPr>
                    <w:pStyle w:val="29"/>
                    <w:bidi w:val="0"/>
                    <w:ind w:firstLine="0" w:firstLineChars="0"/>
                    <w:rPr>
                      <w:rFonts w:hint="eastAsia"/>
                      <w:color w:val="auto"/>
                      <w:lang w:val="en-US" w:eastAsia="zh-CN"/>
                    </w:rPr>
                  </w:pPr>
                </w:p>
              </w:tc>
            </w:tr>
            <w:tr w14:paraId="30E8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4F85364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1156" w:type="pct"/>
                  <w:shd w:val="clear" w:color="auto" w:fill="auto"/>
                  <w:vAlign w:val="center"/>
                </w:tcPr>
                <w:p w14:paraId="2B6C0F21">
                  <w:pPr>
                    <w:pStyle w:val="29"/>
                    <w:bidi w:val="0"/>
                    <w:ind w:firstLine="0" w:firstLineChars="0"/>
                    <w:rPr>
                      <w:rFonts w:hint="eastAsia"/>
                      <w:color w:val="auto"/>
                      <w:lang w:val="en-US" w:eastAsia="zh-CN"/>
                    </w:rPr>
                  </w:pPr>
                  <w:r>
                    <w:rPr>
                      <w:rFonts w:hint="eastAsia"/>
                      <w:color w:val="auto"/>
                      <w:lang w:val="en-US" w:eastAsia="zh-CN"/>
                    </w:rPr>
                    <w:t>微生物培养箱</w:t>
                  </w:r>
                </w:p>
              </w:tc>
              <w:tc>
                <w:tcPr>
                  <w:tcW w:w="1093" w:type="pct"/>
                  <w:shd w:val="clear" w:color="auto" w:fill="auto"/>
                  <w:vAlign w:val="center"/>
                </w:tcPr>
                <w:p w14:paraId="21640840">
                  <w:pPr>
                    <w:pStyle w:val="29"/>
                    <w:bidi w:val="0"/>
                    <w:ind w:firstLine="0" w:firstLineChars="0"/>
                    <w:rPr>
                      <w:rFonts w:hint="eastAsia"/>
                      <w:color w:val="auto"/>
                      <w:lang w:val="en-US" w:eastAsia="zh-CN"/>
                    </w:rPr>
                  </w:pPr>
                  <w:r>
                    <w:rPr>
                      <w:rFonts w:hint="eastAsia"/>
                      <w:color w:val="auto"/>
                      <w:lang w:val="en-US" w:eastAsia="zh-CN"/>
                    </w:rPr>
                    <w:t>±1℃</w:t>
                  </w:r>
                </w:p>
              </w:tc>
              <w:tc>
                <w:tcPr>
                  <w:tcW w:w="377" w:type="pct"/>
                  <w:shd w:val="clear" w:color="auto" w:fill="auto"/>
                  <w:vAlign w:val="center"/>
                </w:tcPr>
                <w:p w14:paraId="68197B60">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574CB49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5BF8B13F">
                  <w:pPr>
                    <w:pStyle w:val="29"/>
                    <w:bidi w:val="0"/>
                    <w:ind w:firstLine="0" w:firstLineChars="0"/>
                    <w:rPr>
                      <w:rFonts w:hint="eastAsia"/>
                      <w:color w:val="auto"/>
                      <w:lang w:val="en-US" w:eastAsia="zh-CN"/>
                    </w:rPr>
                  </w:pPr>
                  <w:r>
                    <w:rPr>
                      <w:rFonts w:hint="eastAsia"/>
                      <w:color w:val="auto"/>
                      <w:lang w:val="en-US" w:eastAsia="zh-CN"/>
                    </w:rPr>
                    <w:t>检测啤酒中的微生物菌落总数</w:t>
                  </w:r>
                </w:p>
              </w:tc>
              <w:tc>
                <w:tcPr>
                  <w:tcW w:w="754" w:type="pct"/>
                  <w:vMerge w:val="continue"/>
                </w:tcPr>
                <w:p w14:paraId="1B75704C">
                  <w:pPr>
                    <w:pStyle w:val="29"/>
                    <w:bidi w:val="0"/>
                    <w:ind w:firstLine="0" w:firstLineChars="0"/>
                    <w:rPr>
                      <w:rFonts w:hint="eastAsia"/>
                      <w:color w:val="auto"/>
                      <w:lang w:val="en-US" w:eastAsia="zh-CN"/>
                    </w:rPr>
                  </w:pPr>
                </w:p>
              </w:tc>
            </w:tr>
            <w:tr w14:paraId="3C50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5D52AED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11</w:t>
                  </w:r>
                </w:p>
              </w:tc>
              <w:tc>
                <w:tcPr>
                  <w:tcW w:w="1156" w:type="pct"/>
                  <w:shd w:val="clear" w:color="auto" w:fill="auto"/>
                  <w:vAlign w:val="center"/>
                </w:tcPr>
                <w:p w14:paraId="22D65219">
                  <w:pPr>
                    <w:pStyle w:val="29"/>
                    <w:bidi w:val="0"/>
                    <w:ind w:firstLine="0" w:firstLineChars="0"/>
                    <w:rPr>
                      <w:rFonts w:hint="eastAsia"/>
                      <w:color w:val="auto"/>
                      <w:lang w:val="en-US" w:eastAsia="zh-CN"/>
                    </w:rPr>
                  </w:pPr>
                  <w:r>
                    <w:rPr>
                      <w:rFonts w:hint="eastAsia"/>
                      <w:color w:val="auto"/>
                      <w:lang w:val="en-US" w:eastAsia="zh-CN"/>
                    </w:rPr>
                    <w:t>浊度计</w:t>
                  </w:r>
                </w:p>
              </w:tc>
              <w:tc>
                <w:tcPr>
                  <w:tcW w:w="1093" w:type="pct"/>
                  <w:shd w:val="clear" w:color="auto" w:fill="auto"/>
                  <w:vAlign w:val="center"/>
                </w:tcPr>
                <w:p w14:paraId="0FEE9B5B">
                  <w:pPr>
                    <w:pStyle w:val="29"/>
                    <w:bidi w:val="0"/>
                    <w:ind w:firstLine="0" w:firstLineChars="0"/>
                    <w:rPr>
                      <w:rFonts w:hint="eastAsia"/>
                      <w:color w:val="auto"/>
                      <w:lang w:val="en-US" w:eastAsia="zh-CN"/>
                    </w:rPr>
                  </w:pPr>
                  <w:r>
                    <w:rPr>
                      <w:rFonts w:hint="eastAsia"/>
                      <w:color w:val="auto"/>
                      <w:lang w:val="en-US" w:eastAsia="zh-CN"/>
                    </w:rPr>
                    <w:t>≤2%</w:t>
                  </w:r>
                </w:p>
              </w:tc>
              <w:tc>
                <w:tcPr>
                  <w:tcW w:w="377" w:type="pct"/>
                  <w:shd w:val="clear" w:color="auto" w:fill="auto"/>
                  <w:vAlign w:val="center"/>
                </w:tcPr>
                <w:p w14:paraId="15A9B425">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17EB0FE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51BACF0A">
                  <w:pPr>
                    <w:pStyle w:val="29"/>
                    <w:bidi w:val="0"/>
                    <w:ind w:firstLine="0" w:firstLineChars="0"/>
                    <w:rPr>
                      <w:rFonts w:hint="eastAsia"/>
                      <w:color w:val="auto"/>
                      <w:lang w:val="en-US" w:eastAsia="zh-CN"/>
                    </w:rPr>
                  </w:pPr>
                  <w:r>
                    <w:rPr>
                      <w:rFonts w:hint="eastAsia"/>
                      <w:color w:val="auto"/>
                      <w:lang w:val="en-US" w:eastAsia="zh-CN"/>
                    </w:rPr>
                    <w:t>检测啤酒的浊度</w:t>
                  </w:r>
                </w:p>
              </w:tc>
              <w:tc>
                <w:tcPr>
                  <w:tcW w:w="754" w:type="pct"/>
                  <w:vMerge w:val="continue"/>
                </w:tcPr>
                <w:p w14:paraId="21C3CF90">
                  <w:pPr>
                    <w:pStyle w:val="29"/>
                    <w:bidi w:val="0"/>
                    <w:ind w:firstLine="0" w:firstLineChars="0"/>
                    <w:rPr>
                      <w:rFonts w:hint="eastAsia"/>
                      <w:color w:val="auto"/>
                      <w:lang w:val="en-US" w:eastAsia="zh-CN"/>
                    </w:rPr>
                  </w:pPr>
                </w:p>
              </w:tc>
            </w:tr>
            <w:tr w14:paraId="6DAB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30483B8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1156" w:type="pct"/>
                  <w:shd w:val="clear" w:color="auto" w:fill="auto"/>
                  <w:vAlign w:val="center"/>
                </w:tcPr>
                <w:p w14:paraId="75C3A1FE">
                  <w:pPr>
                    <w:pStyle w:val="29"/>
                    <w:bidi w:val="0"/>
                    <w:ind w:firstLine="0" w:firstLineChars="0"/>
                    <w:rPr>
                      <w:rFonts w:hint="eastAsia"/>
                      <w:color w:val="auto"/>
                      <w:lang w:val="en-US" w:eastAsia="zh-CN"/>
                    </w:rPr>
                  </w:pPr>
                  <w:r>
                    <w:rPr>
                      <w:rFonts w:hint="eastAsia"/>
                      <w:color w:val="auto"/>
                      <w:lang w:val="en-US" w:eastAsia="zh-CN"/>
                    </w:rPr>
                    <w:t>紫外分光光度计</w:t>
                  </w:r>
                </w:p>
              </w:tc>
              <w:tc>
                <w:tcPr>
                  <w:tcW w:w="1093" w:type="pct"/>
                  <w:shd w:val="clear" w:color="auto" w:fill="auto"/>
                  <w:vAlign w:val="center"/>
                </w:tcPr>
                <w:p w14:paraId="15A91FB8">
                  <w:pPr>
                    <w:pStyle w:val="29"/>
                    <w:bidi w:val="0"/>
                    <w:ind w:firstLine="0" w:firstLineChars="0"/>
                    <w:rPr>
                      <w:rFonts w:hint="eastAsia"/>
                      <w:color w:val="auto"/>
                      <w:lang w:val="en-US" w:eastAsia="zh-CN"/>
                    </w:rPr>
                  </w:pPr>
                  <w:r>
                    <w:rPr>
                      <w:rFonts w:hint="eastAsia"/>
                      <w:color w:val="auto"/>
                      <w:lang w:val="en-US" w:eastAsia="zh-CN"/>
                    </w:rPr>
                    <w:t>±1nm</w:t>
                  </w:r>
                </w:p>
              </w:tc>
              <w:tc>
                <w:tcPr>
                  <w:tcW w:w="377" w:type="pct"/>
                  <w:shd w:val="clear" w:color="auto" w:fill="auto"/>
                  <w:vAlign w:val="center"/>
                </w:tcPr>
                <w:p w14:paraId="1393C20E">
                  <w:pPr>
                    <w:pStyle w:val="29"/>
                    <w:bidi w:val="0"/>
                    <w:ind w:firstLine="0" w:firstLineChars="0"/>
                    <w:rPr>
                      <w:rFonts w:hint="eastAsia"/>
                      <w:color w:val="auto"/>
                      <w:lang w:val="en-US" w:eastAsia="zh-CN"/>
                    </w:rPr>
                  </w:pPr>
                  <w:r>
                    <w:rPr>
                      <w:rFonts w:hint="eastAsia"/>
                      <w:color w:val="auto"/>
                      <w:lang w:val="en-US" w:eastAsia="zh-CN"/>
                    </w:rPr>
                    <w:t>1</w:t>
                  </w:r>
                </w:p>
              </w:tc>
              <w:tc>
                <w:tcPr>
                  <w:tcW w:w="323" w:type="pct"/>
                  <w:shd w:val="clear" w:color="auto" w:fill="auto"/>
                  <w:vAlign w:val="center"/>
                </w:tcPr>
                <w:p w14:paraId="3D8F5EE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Align w:val="center"/>
                </w:tcPr>
                <w:p w14:paraId="40A72F6B">
                  <w:pPr>
                    <w:pStyle w:val="29"/>
                    <w:bidi w:val="0"/>
                    <w:ind w:firstLine="0" w:firstLineChars="0"/>
                    <w:rPr>
                      <w:rFonts w:hint="eastAsia"/>
                      <w:color w:val="auto"/>
                      <w:lang w:val="en-US" w:eastAsia="zh-CN"/>
                    </w:rPr>
                  </w:pPr>
                  <w:r>
                    <w:rPr>
                      <w:rFonts w:hint="eastAsia"/>
                      <w:color w:val="auto"/>
                      <w:lang w:val="en-US" w:eastAsia="zh-CN"/>
                    </w:rPr>
                    <w:t>检测啤酒中的蛋白质含量</w:t>
                  </w:r>
                </w:p>
              </w:tc>
              <w:tc>
                <w:tcPr>
                  <w:tcW w:w="754" w:type="pct"/>
                  <w:vMerge w:val="continue"/>
                </w:tcPr>
                <w:p w14:paraId="4CE00ABC">
                  <w:pPr>
                    <w:pStyle w:val="29"/>
                    <w:bidi w:val="0"/>
                    <w:ind w:firstLine="0" w:firstLineChars="0"/>
                    <w:rPr>
                      <w:rFonts w:hint="eastAsia"/>
                      <w:color w:val="auto"/>
                      <w:lang w:val="en-US" w:eastAsia="zh-CN"/>
                    </w:rPr>
                  </w:pPr>
                </w:p>
              </w:tc>
            </w:tr>
            <w:tr w14:paraId="3DA8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shd w:val="clear" w:color="auto" w:fill="auto"/>
                  <w:vAlign w:val="center"/>
                </w:tcPr>
                <w:p w14:paraId="53609B54">
                  <w:pPr>
                    <w:pStyle w:val="29"/>
                    <w:bidi w:val="0"/>
                    <w:ind w:firstLine="0" w:firstLineChars="0"/>
                    <w:rPr>
                      <w:rFonts w:hint="default"/>
                      <w:color w:val="auto"/>
                      <w:lang w:val="en-US" w:eastAsia="zh-CN"/>
                    </w:rPr>
                  </w:pPr>
                  <w:r>
                    <w:rPr>
                      <w:rFonts w:hint="eastAsia" w:ascii="Times New Roman" w:hAnsi="Times New Roman" w:eastAsia="宋体" w:cs="Times New Roman"/>
                      <w:b w:val="0"/>
                      <w:bCs/>
                      <w:color w:val="auto"/>
                      <w:kern w:val="2"/>
                      <w:sz w:val="21"/>
                      <w:szCs w:val="24"/>
                      <w:highlight w:val="none"/>
                      <w:lang w:val="en-US" w:eastAsia="zh-CN" w:bidi="ar-SA"/>
                    </w:rPr>
                    <w:t>环保设备</w:t>
                  </w:r>
                </w:p>
              </w:tc>
            </w:tr>
            <w:tr w14:paraId="26A0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2794CB4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1156" w:type="pct"/>
                  <w:shd w:val="clear" w:color="auto" w:fill="auto"/>
                  <w:vAlign w:val="center"/>
                </w:tcPr>
                <w:p w14:paraId="3FD71BE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布袋除尘器</w:t>
                  </w:r>
                </w:p>
              </w:tc>
              <w:tc>
                <w:tcPr>
                  <w:tcW w:w="1093" w:type="pct"/>
                  <w:shd w:val="clear" w:color="auto" w:fill="auto"/>
                  <w:vAlign w:val="center"/>
                </w:tcPr>
                <w:p w14:paraId="64C3662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77" w:type="pct"/>
                  <w:shd w:val="clear" w:color="auto" w:fill="auto"/>
                  <w:vAlign w:val="center"/>
                </w:tcPr>
                <w:p w14:paraId="3D35F08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0A0AD7F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套</w:t>
                  </w:r>
                </w:p>
              </w:tc>
              <w:tc>
                <w:tcPr>
                  <w:tcW w:w="992" w:type="pct"/>
                  <w:vMerge w:val="restart"/>
                  <w:shd w:val="clear" w:color="auto" w:fill="auto"/>
                  <w:vAlign w:val="center"/>
                </w:tcPr>
                <w:p w14:paraId="361F2BE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废气治理</w:t>
                  </w:r>
                </w:p>
              </w:tc>
              <w:tc>
                <w:tcPr>
                  <w:tcW w:w="754" w:type="pct"/>
                  <w:vMerge w:val="restart"/>
                  <w:shd w:val="clear" w:color="auto" w:fill="auto"/>
                  <w:vAlign w:val="center"/>
                </w:tcPr>
                <w:p w14:paraId="210054B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发酵、糖化灌装车间</w:t>
                  </w:r>
                </w:p>
              </w:tc>
            </w:tr>
            <w:tr w14:paraId="756B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6CCF58B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1156" w:type="pct"/>
                  <w:shd w:val="clear" w:color="auto" w:fill="auto"/>
                  <w:vAlign w:val="center"/>
                </w:tcPr>
                <w:p w14:paraId="01368DA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低氮然绕装置</w:t>
                  </w:r>
                </w:p>
              </w:tc>
              <w:tc>
                <w:tcPr>
                  <w:tcW w:w="1093" w:type="pct"/>
                  <w:shd w:val="clear" w:color="auto" w:fill="auto"/>
                  <w:vAlign w:val="center"/>
                </w:tcPr>
                <w:p w14:paraId="1DDE71A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77" w:type="pct"/>
                  <w:shd w:val="clear" w:color="auto" w:fill="auto"/>
                  <w:vAlign w:val="center"/>
                </w:tcPr>
                <w:p w14:paraId="483307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4B774BA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tcPr>
                <w:p w14:paraId="0DBE469E">
                  <w:pPr>
                    <w:pStyle w:val="29"/>
                    <w:bidi w:val="0"/>
                    <w:ind w:firstLine="0" w:firstLineChars="0"/>
                    <w:rPr>
                      <w:rFonts w:hint="eastAsia"/>
                      <w:color w:val="auto"/>
                      <w:lang w:val="en-US" w:eastAsia="zh-CN"/>
                    </w:rPr>
                  </w:pPr>
                </w:p>
              </w:tc>
              <w:tc>
                <w:tcPr>
                  <w:tcW w:w="754" w:type="pct"/>
                  <w:vMerge w:val="continue"/>
                </w:tcPr>
                <w:p w14:paraId="48183D64">
                  <w:pPr>
                    <w:pStyle w:val="29"/>
                    <w:bidi w:val="0"/>
                    <w:ind w:firstLine="0" w:firstLineChars="0"/>
                    <w:rPr>
                      <w:rFonts w:hint="eastAsia"/>
                      <w:color w:val="auto"/>
                      <w:lang w:val="en-US" w:eastAsia="zh-CN"/>
                    </w:rPr>
                  </w:pPr>
                </w:p>
              </w:tc>
            </w:tr>
            <w:tr w14:paraId="5E029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0475004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w:t>
                  </w:r>
                </w:p>
              </w:tc>
              <w:tc>
                <w:tcPr>
                  <w:tcW w:w="1156" w:type="pct"/>
                  <w:shd w:val="clear" w:color="auto" w:fill="auto"/>
                  <w:vAlign w:val="center"/>
                </w:tcPr>
                <w:p w14:paraId="12212B8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引风机</w:t>
                  </w:r>
                </w:p>
              </w:tc>
              <w:tc>
                <w:tcPr>
                  <w:tcW w:w="1093" w:type="pct"/>
                  <w:shd w:val="clear" w:color="auto" w:fill="auto"/>
                  <w:vAlign w:val="center"/>
                </w:tcPr>
                <w:p w14:paraId="583FF88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3000m</w:t>
                  </w:r>
                  <w:r>
                    <w:rPr>
                      <w:rFonts w:hint="eastAsia"/>
                      <w:color w:val="auto"/>
                      <w:vertAlign w:val="superscript"/>
                      <w:lang w:val="en-US" w:eastAsia="zh-CN"/>
                    </w:rPr>
                    <w:t>3</w:t>
                  </w:r>
                  <w:r>
                    <w:rPr>
                      <w:rFonts w:hint="eastAsia"/>
                      <w:color w:val="auto"/>
                      <w:lang w:val="en-US" w:eastAsia="zh-CN"/>
                    </w:rPr>
                    <w:t>/h</w:t>
                  </w:r>
                </w:p>
              </w:tc>
              <w:tc>
                <w:tcPr>
                  <w:tcW w:w="377" w:type="pct"/>
                  <w:shd w:val="clear" w:color="auto" w:fill="auto"/>
                  <w:vAlign w:val="center"/>
                </w:tcPr>
                <w:p w14:paraId="5307D9A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593CA1C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tcPr>
                <w:p w14:paraId="7F899204">
                  <w:pPr>
                    <w:pStyle w:val="29"/>
                    <w:bidi w:val="0"/>
                    <w:ind w:firstLine="0" w:firstLineChars="0"/>
                    <w:rPr>
                      <w:rFonts w:hint="eastAsia"/>
                      <w:color w:val="auto"/>
                      <w:lang w:val="en-US" w:eastAsia="zh-CN"/>
                    </w:rPr>
                  </w:pPr>
                </w:p>
              </w:tc>
              <w:tc>
                <w:tcPr>
                  <w:tcW w:w="754" w:type="pct"/>
                  <w:vMerge w:val="continue"/>
                </w:tcPr>
                <w:p w14:paraId="33D36868">
                  <w:pPr>
                    <w:pStyle w:val="29"/>
                    <w:bidi w:val="0"/>
                    <w:ind w:firstLine="0" w:firstLineChars="0"/>
                    <w:rPr>
                      <w:rFonts w:hint="eastAsia"/>
                      <w:color w:val="auto"/>
                      <w:lang w:val="en-US" w:eastAsia="zh-CN"/>
                    </w:rPr>
                  </w:pPr>
                </w:p>
              </w:tc>
            </w:tr>
            <w:tr w14:paraId="637D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1" w:type="pct"/>
                  <w:shd w:val="clear" w:color="auto" w:fill="auto"/>
                  <w:vAlign w:val="center"/>
                </w:tcPr>
                <w:p w14:paraId="27F0ECB9">
                  <w:pPr>
                    <w:pStyle w:val="29"/>
                    <w:bidi w:val="0"/>
                    <w:ind w:firstLine="0" w:firstLineChars="0"/>
                    <w:rPr>
                      <w:rFonts w:hint="default"/>
                      <w:color w:val="auto"/>
                      <w:lang w:val="en-US" w:eastAsia="zh-CN"/>
                    </w:rPr>
                  </w:pPr>
                  <w:r>
                    <w:rPr>
                      <w:rFonts w:hint="eastAsia"/>
                      <w:color w:val="auto"/>
                      <w:lang w:val="en-US" w:eastAsia="zh-CN"/>
                    </w:rPr>
                    <w:t>4</w:t>
                  </w:r>
                </w:p>
              </w:tc>
              <w:tc>
                <w:tcPr>
                  <w:tcW w:w="1156" w:type="pct"/>
                  <w:shd w:val="clear" w:color="auto" w:fill="auto"/>
                  <w:vAlign w:val="center"/>
                </w:tcPr>
                <w:p w14:paraId="26822B0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引风机</w:t>
                  </w:r>
                </w:p>
              </w:tc>
              <w:tc>
                <w:tcPr>
                  <w:tcW w:w="1093" w:type="pct"/>
                  <w:shd w:val="clear" w:color="auto" w:fill="auto"/>
                  <w:vAlign w:val="center"/>
                </w:tcPr>
                <w:p w14:paraId="447B275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5800m</w:t>
                  </w:r>
                  <w:r>
                    <w:rPr>
                      <w:rFonts w:hint="eastAsia"/>
                      <w:color w:val="auto"/>
                      <w:vertAlign w:val="superscript"/>
                      <w:lang w:val="en-US" w:eastAsia="zh-CN"/>
                    </w:rPr>
                    <w:t>3</w:t>
                  </w:r>
                  <w:r>
                    <w:rPr>
                      <w:rFonts w:hint="eastAsia"/>
                      <w:color w:val="auto"/>
                      <w:lang w:val="en-US" w:eastAsia="zh-CN"/>
                    </w:rPr>
                    <w:t>/h</w:t>
                  </w:r>
                </w:p>
              </w:tc>
              <w:tc>
                <w:tcPr>
                  <w:tcW w:w="377" w:type="pct"/>
                  <w:shd w:val="clear" w:color="auto" w:fill="auto"/>
                  <w:vAlign w:val="center"/>
                </w:tcPr>
                <w:p w14:paraId="7D07ADF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323" w:type="pct"/>
                  <w:shd w:val="clear" w:color="auto" w:fill="auto"/>
                  <w:vAlign w:val="center"/>
                </w:tcPr>
                <w:p w14:paraId="47DAB42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台</w:t>
                  </w:r>
                </w:p>
              </w:tc>
              <w:tc>
                <w:tcPr>
                  <w:tcW w:w="992" w:type="pct"/>
                  <w:vMerge w:val="continue"/>
                </w:tcPr>
                <w:p w14:paraId="33E76CB9">
                  <w:pPr>
                    <w:pStyle w:val="29"/>
                    <w:bidi w:val="0"/>
                    <w:ind w:firstLine="0" w:firstLineChars="0"/>
                    <w:rPr>
                      <w:rFonts w:hint="eastAsia"/>
                      <w:color w:val="auto"/>
                      <w:lang w:val="en-US" w:eastAsia="zh-CN"/>
                    </w:rPr>
                  </w:pPr>
                </w:p>
              </w:tc>
              <w:tc>
                <w:tcPr>
                  <w:tcW w:w="754" w:type="pct"/>
                  <w:vMerge w:val="continue"/>
                </w:tcPr>
                <w:p w14:paraId="5AC2D35E">
                  <w:pPr>
                    <w:pStyle w:val="29"/>
                    <w:bidi w:val="0"/>
                    <w:ind w:firstLine="0" w:firstLineChars="0"/>
                    <w:rPr>
                      <w:rFonts w:hint="eastAsia"/>
                      <w:color w:val="auto"/>
                      <w:lang w:val="en-US" w:eastAsia="zh-CN"/>
                    </w:rPr>
                  </w:pPr>
                </w:p>
              </w:tc>
            </w:tr>
            <w:tr w14:paraId="3454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7"/>
                  <w:shd w:val="clear" w:color="auto" w:fill="auto"/>
                  <w:vAlign w:val="center"/>
                </w:tcPr>
                <w:p w14:paraId="3079589C">
                  <w:pPr>
                    <w:pStyle w:val="29"/>
                    <w:bidi w:val="0"/>
                    <w:ind w:firstLine="0" w:firstLineChars="0"/>
                    <w:jc w:val="left"/>
                    <w:rPr>
                      <w:rFonts w:hint="default"/>
                      <w:color w:val="auto"/>
                      <w:lang w:val="en-US" w:eastAsia="zh-CN"/>
                    </w:rPr>
                  </w:pPr>
                  <w:r>
                    <w:rPr>
                      <w:rFonts w:hint="eastAsia"/>
                      <w:color w:val="auto"/>
                      <w:sz w:val="18"/>
                      <w:szCs w:val="18"/>
                      <w:lang w:val="en-US" w:eastAsia="zh-CN"/>
                    </w:rPr>
                    <w:t>说明：在啤酒的生产过程中，啤酒的产量主要受发酵能力限制。根据发酵工艺介绍可知，项目采用——罐法发酵工艺，根据品种不同，发酵周期平均为30天（已包含设备进出料、清洗等工序所需时间）。本项目配套10台2KL发酵罐，发酵总容积为10KL，全年最多可发酵365/30=12批次，按12批次/年计，则全年发酵能力为12*10=1200KL/a，满足产品产能需求</w:t>
                  </w:r>
                  <w:r>
                    <w:rPr>
                      <w:rFonts w:hint="eastAsia"/>
                      <w:color w:val="auto"/>
                      <w:lang w:val="en-US" w:eastAsia="zh-CN"/>
                    </w:rPr>
                    <w:t>。</w:t>
                  </w:r>
                </w:p>
              </w:tc>
            </w:tr>
          </w:tbl>
          <w:p w14:paraId="707D4406">
            <w:pPr>
              <w:ind w:left="0" w:leftChars="0" w:firstLine="0" w:firstLineChars="0"/>
              <w:rPr>
                <w:b/>
                <w:bCs/>
                <w:color w:val="auto"/>
              </w:rPr>
            </w:pPr>
            <w:r>
              <w:rPr>
                <w:rFonts w:hint="eastAsia"/>
                <w:b/>
                <w:bCs/>
                <w:color w:val="auto"/>
                <w:lang w:val="en-US" w:eastAsia="zh-CN"/>
              </w:rPr>
              <w:t>4、</w:t>
            </w:r>
            <w:r>
              <w:rPr>
                <w:b/>
                <w:bCs/>
                <w:color w:val="auto"/>
              </w:rPr>
              <w:t>主要原辅材料及燃料的种类及用量</w:t>
            </w:r>
          </w:p>
          <w:p w14:paraId="758B9A36">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项目主要原辅材料及用量见表</w:t>
            </w:r>
          </w:p>
          <w:p w14:paraId="2FB18276">
            <w:pPr>
              <w:pStyle w:val="30"/>
              <w:rPr>
                <w:rFonts w:hint="default"/>
                <w:color w:val="auto"/>
              </w:rPr>
            </w:pPr>
            <w:r>
              <w:rPr>
                <w:color w:val="auto"/>
              </w:rPr>
              <w:t>表2-</w:t>
            </w:r>
            <w:r>
              <w:rPr>
                <w:rFonts w:hint="eastAsia"/>
                <w:color w:val="auto"/>
                <w:lang w:val="en-US" w:eastAsia="zh-CN"/>
              </w:rPr>
              <w:t>6</w:t>
            </w:r>
            <w:r>
              <w:rPr>
                <w:color w:val="auto"/>
              </w:rPr>
              <w:t xml:space="preserve">  本项目原辅材料年用量一览表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523"/>
              <w:gridCol w:w="1108"/>
              <w:gridCol w:w="980"/>
              <w:gridCol w:w="1189"/>
              <w:gridCol w:w="2515"/>
            </w:tblGrid>
            <w:tr w14:paraId="380D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 w:type="pct"/>
                  <w:vAlign w:val="center"/>
                </w:tcPr>
                <w:p w14:paraId="0D7F4474">
                  <w:pPr>
                    <w:pStyle w:val="29"/>
                    <w:bidi w:val="0"/>
                    <w:rPr>
                      <w:rFonts w:hint="default"/>
                      <w:color w:val="auto"/>
                    </w:rPr>
                  </w:pPr>
                  <w:r>
                    <w:rPr>
                      <w:color w:val="auto"/>
                    </w:rPr>
                    <w:t>序号</w:t>
                  </w:r>
                </w:p>
              </w:tc>
              <w:tc>
                <w:tcPr>
                  <w:tcW w:w="970" w:type="pct"/>
                  <w:vAlign w:val="center"/>
                </w:tcPr>
                <w:p w14:paraId="5E55E205">
                  <w:pPr>
                    <w:pStyle w:val="29"/>
                    <w:bidi w:val="0"/>
                    <w:rPr>
                      <w:rFonts w:hint="default"/>
                      <w:color w:val="auto"/>
                      <w:lang w:val="en-US" w:eastAsia="zh-CN"/>
                    </w:rPr>
                  </w:pPr>
                  <w:r>
                    <w:rPr>
                      <w:color w:val="auto"/>
                    </w:rPr>
                    <w:t>名称</w:t>
                  </w:r>
                </w:p>
              </w:tc>
              <w:tc>
                <w:tcPr>
                  <w:tcW w:w="706" w:type="pct"/>
                  <w:vAlign w:val="center"/>
                </w:tcPr>
                <w:p w14:paraId="6AAAA934">
                  <w:pPr>
                    <w:pStyle w:val="29"/>
                    <w:bidi w:val="0"/>
                    <w:rPr>
                      <w:rFonts w:hint="default" w:eastAsia="宋体"/>
                      <w:color w:val="auto"/>
                      <w:lang w:val="en-US" w:eastAsia="zh-CN"/>
                    </w:rPr>
                  </w:pPr>
                  <w:r>
                    <w:rPr>
                      <w:rFonts w:hint="eastAsia"/>
                      <w:color w:val="auto"/>
                      <w:lang w:val="en-US" w:eastAsia="zh-CN"/>
                    </w:rPr>
                    <w:t>年用量t/a</w:t>
                  </w:r>
                </w:p>
              </w:tc>
              <w:tc>
                <w:tcPr>
                  <w:tcW w:w="624" w:type="pct"/>
                  <w:shd w:val="clear" w:color="auto" w:fill="auto"/>
                  <w:vAlign w:val="center"/>
                </w:tcPr>
                <w:p w14:paraId="437E57E8">
                  <w:pPr>
                    <w:pStyle w:val="58"/>
                    <w:snapToGrid w:val="0"/>
                    <w:spacing w:line="240" w:lineRule="auto"/>
                    <w:ind w:left="0" w:leftChars="0"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最大暂存量t</w:t>
                  </w:r>
                </w:p>
              </w:tc>
              <w:tc>
                <w:tcPr>
                  <w:tcW w:w="758" w:type="pct"/>
                  <w:shd w:val="clear" w:color="auto" w:fill="auto"/>
                  <w:vAlign w:val="center"/>
                </w:tcPr>
                <w:p w14:paraId="2AB4F11B">
                  <w:pPr>
                    <w:pStyle w:val="29"/>
                    <w:bidi w:val="0"/>
                    <w:rPr>
                      <w:rFonts w:hint="eastAsia" w:ascii="Times New Roman" w:hAnsi="Times New Roman" w:eastAsia="宋体" w:cs="Times New Roman"/>
                      <w:color w:val="auto"/>
                      <w:lang w:val="en-US" w:eastAsia="zh-CN"/>
                    </w:rPr>
                  </w:pPr>
                  <w:r>
                    <w:rPr>
                      <w:rFonts w:hint="eastAsia" w:cs="Times New Roman"/>
                      <w:color w:val="auto"/>
                      <w:lang w:val="en-US" w:eastAsia="zh-CN"/>
                    </w:rPr>
                    <w:t>包装形式</w:t>
                  </w:r>
                </w:p>
              </w:tc>
              <w:tc>
                <w:tcPr>
                  <w:tcW w:w="1603" w:type="pct"/>
                  <w:vAlign w:val="center"/>
                </w:tcPr>
                <w:p w14:paraId="0C2F609C">
                  <w:pPr>
                    <w:pStyle w:val="29"/>
                    <w:bidi w:val="0"/>
                    <w:rPr>
                      <w:rFonts w:hint="default"/>
                      <w:color w:val="auto"/>
                      <w:lang w:val="en-US" w:eastAsia="zh-CN"/>
                    </w:rPr>
                  </w:pPr>
                  <w:r>
                    <w:rPr>
                      <w:rFonts w:hint="eastAsia"/>
                      <w:color w:val="auto"/>
                      <w:lang w:val="en-US" w:eastAsia="zh-CN"/>
                    </w:rPr>
                    <w:t>来源及用途</w:t>
                  </w:r>
                </w:p>
              </w:tc>
            </w:tr>
            <w:tr w14:paraId="6E6A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 w:type="pct"/>
                  <w:vAlign w:val="center"/>
                </w:tcPr>
                <w:p w14:paraId="1CEA82F7">
                  <w:pPr>
                    <w:pStyle w:val="29"/>
                    <w:bidi w:val="0"/>
                    <w:rPr>
                      <w:rFonts w:hint="default"/>
                      <w:color w:val="auto"/>
                    </w:rPr>
                  </w:pPr>
                  <w:r>
                    <w:rPr>
                      <w:color w:val="auto"/>
                    </w:rPr>
                    <w:t>1</w:t>
                  </w:r>
                </w:p>
              </w:tc>
              <w:tc>
                <w:tcPr>
                  <w:tcW w:w="970" w:type="pct"/>
                  <w:shd w:val="clear" w:color="auto" w:fill="auto"/>
                  <w:vAlign w:val="center"/>
                </w:tcPr>
                <w:p w14:paraId="37D66D9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麦芽</w:t>
                  </w:r>
                </w:p>
              </w:tc>
              <w:tc>
                <w:tcPr>
                  <w:tcW w:w="706" w:type="pct"/>
                  <w:shd w:val="clear" w:color="auto" w:fill="auto"/>
                  <w:vAlign w:val="center"/>
                </w:tcPr>
                <w:p w14:paraId="199110F9">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w:t>
                  </w:r>
                </w:p>
              </w:tc>
              <w:tc>
                <w:tcPr>
                  <w:tcW w:w="624" w:type="pct"/>
                  <w:shd w:val="clear" w:color="auto" w:fill="auto"/>
                  <w:vAlign w:val="center"/>
                </w:tcPr>
                <w:p w14:paraId="49EE5456">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p>
              </w:tc>
              <w:tc>
                <w:tcPr>
                  <w:tcW w:w="758" w:type="pct"/>
                  <w:shd w:val="clear" w:color="auto" w:fill="auto"/>
                  <w:vAlign w:val="center"/>
                </w:tcPr>
                <w:p w14:paraId="61A92903">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50kg/袋</w:t>
                  </w:r>
                </w:p>
              </w:tc>
              <w:tc>
                <w:tcPr>
                  <w:tcW w:w="1603" w:type="pct"/>
                  <w:vAlign w:val="center"/>
                </w:tcPr>
                <w:p w14:paraId="77FBB396">
                  <w:pPr>
                    <w:pStyle w:val="29"/>
                    <w:bidi w:val="0"/>
                    <w:rPr>
                      <w:rFonts w:hint="default"/>
                      <w:color w:val="auto"/>
                      <w:lang w:val="en-US" w:eastAsia="zh-CN"/>
                    </w:rPr>
                  </w:pPr>
                  <w:r>
                    <w:rPr>
                      <w:rFonts w:hint="eastAsia"/>
                      <w:color w:val="auto"/>
                      <w:lang w:val="en-US" w:eastAsia="zh-CN"/>
                    </w:rPr>
                    <w:t>外购，提供麦汁的主体风味和糖分</w:t>
                  </w:r>
                </w:p>
              </w:tc>
            </w:tr>
            <w:tr w14:paraId="4ED1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vAlign w:val="center"/>
                </w:tcPr>
                <w:p w14:paraId="79687086">
                  <w:pPr>
                    <w:pStyle w:val="29"/>
                    <w:bidi w:val="0"/>
                    <w:rPr>
                      <w:rFonts w:hint="default"/>
                      <w:color w:val="auto"/>
                      <w:lang w:val="en-US" w:eastAsia="zh-CN"/>
                    </w:rPr>
                  </w:pPr>
                  <w:r>
                    <w:rPr>
                      <w:color w:val="auto"/>
                    </w:rPr>
                    <w:t>2</w:t>
                  </w:r>
                </w:p>
              </w:tc>
              <w:tc>
                <w:tcPr>
                  <w:tcW w:w="970" w:type="pct"/>
                  <w:shd w:val="clear" w:color="auto" w:fill="auto"/>
                  <w:vAlign w:val="center"/>
                </w:tcPr>
                <w:p w14:paraId="4FCC0CFB">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啤酒花</w:t>
                  </w:r>
                </w:p>
              </w:tc>
              <w:tc>
                <w:tcPr>
                  <w:tcW w:w="706" w:type="pct"/>
                  <w:shd w:val="clear" w:color="auto" w:fill="auto"/>
                  <w:vAlign w:val="center"/>
                </w:tcPr>
                <w:p w14:paraId="5FA455B7">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w:t>
                  </w:r>
                </w:p>
              </w:tc>
              <w:tc>
                <w:tcPr>
                  <w:tcW w:w="624" w:type="pct"/>
                  <w:shd w:val="clear" w:color="auto" w:fill="auto"/>
                  <w:vAlign w:val="center"/>
                </w:tcPr>
                <w:p w14:paraId="0C5C5CEE">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0.01</w:t>
                  </w:r>
                </w:p>
              </w:tc>
              <w:tc>
                <w:tcPr>
                  <w:tcW w:w="758" w:type="pct"/>
                  <w:shd w:val="clear" w:color="auto" w:fill="auto"/>
                  <w:vAlign w:val="center"/>
                </w:tcPr>
                <w:p w14:paraId="23D702A4">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1kg/袋</w:t>
                  </w:r>
                </w:p>
              </w:tc>
              <w:tc>
                <w:tcPr>
                  <w:tcW w:w="1603" w:type="pct"/>
                  <w:vAlign w:val="center"/>
                </w:tcPr>
                <w:p w14:paraId="46203986">
                  <w:pPr>
                    <w:pStyle w:val="29"/>
                    <w:bidi w:val="0"/>
                    <w:rPr>
                      <w:rFonts w:hint="default"/>
                      <w:color w:val="auto"/>
                      <w:lang w:val="en-US" w:eastAsia="zh-CN"/>
                    </w:rPr>
                  </w:pPr>
                  <w:r>
                    <w:rPr>
                      <w:rFonts w:hint="default"/>
                      <w:color w:val="auto"/>
                      <w:lang w:val="en-US" w:eastAsia="zh-CN"/>
                    </w:rPr>
                    <w:t>外购</w:t>
                  </w:r>
                  <w:r>
                    <w:rPr>
                      <w:rFonts w:hint="eastAsia"/>
                      <w:color w:val="auto"/>
                      <w:lang w:val="en-US" w:eastAsia="zh-CN"/>
                    </w:rPr>
                    <w:t>，促进蛋白质絮凝，提升麦汁清亮度</w:t>
                  </w:r>
                </w:p>
              </w:tc>
            </w:tr>
            <w:tr w14:paraId="1EBF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vAlign w:val="center"/>
                </w:tcPr>
                <w:p w14:paraId="20C560CA">
                  <w:pPr>
                    <w:pStyle w:val="29"/>
                    <w:bidi w:val="0"/>
                    <w:rPr>
                      <w:rFonts w:hint="default"/>
                      <w:color w:val="auto"/>
                      <w:lang w:val="en-US" w:eastAsia="zh-CN"/>
                    </w:rPr>
                  </w:pPr>
                  <w:r>
                    <w:rPr>
                      <w:color w:val="auto"/>
                    </w:rPr>
                    <w:t>3</w:t>
                  </w:r>
                </w:p>
              </w:tc>
              <w:tc>
                <w:tcPr>
                  <w:tcW w:w="970" w:type="pct"/>
                  <w:shd w:val="clear" w:color="auto" w:fill="auto"/>
                  <w:vAlign w:val="center"/>
                </w:tcPr>
                <w:p w14:paraId="5A4AB799">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酵母</w:t>
                  </w:r>
                </w:p>
              </w:tc>
              <w:tc>
                <w:tcPr>
                  <w:tcW w:w="706" w:type="pct"/>
                  <w:shd w:val="clear" w:color="auto" w:fill="auto"/>
                  <w:vAlign w:val="center"/>
                </w:tcPr>
                <w:p w14:paraId="750D3276">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r>
                    <w:rPr>
                      <w:rFonts w:hint="eastAsia" w:cs="Times New Roman"/>
                      <w:color w:val="auto"/>
                      <w:lang w:val="en-US" w:eastAsia="zh-CN"/>
                    </w:rPr>
                    <w:t>5</w:t>
                  </w:r>
                </w:p>
              </w:tc>
              <w:tc>
                <w:tcPr>
                  <w:tcW w:w="624" w:type="pct"/>
                  <w:shd w:val="clear" w:color="auto" w:fill="auto"/>
                  <w:vAlign w:val="center"/>
                </w:tcPr>
                <w:p w14:paraId="39980BB8">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0.01</w:t>
                  </w:r>
                </w:p>
              </w:tc>
              <w:tc>
                <w:tcPr>
                  <w:tcW w:w="758" w:type="pct"/>
                  <w:shd w:val="clear" w:color="auto" w:fill="auto"/>
                  <w:vAlign w:val="center"/>
                </w:tcPr>
                <w:p w14:paraId="12D6F77A">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0.5kg/袋</w:t>
                  </w:r>
                </w:p>
              </w:tc>
              <w:tc>
                <w:tcPr>
                  <w:tcW w:w="1603" w:type="pct"/>
                  <w:vAlign w:val="center"/>
                </w:tcPr>
                <w:p w14:paraId="7A5FADC0">
                  <w:pPr>
                    <w:pStyle w:val="29"/>
                    <w:bidi w:val="0"/>
                    <w:rPr>
                      <w:rFonts w:hint="default"/>
                      <w:color w:val="auto"/>
                      <w:lang w:val="en-US" w:eastAsia="zh-CN"/>
                    </w:rPr>
                  </w:pPr>
                  <w:r>
                    <w:rPr>
                      <w:rFonts w:hint="default"/>
                      <w:color w:val="auto"/>
                      <w:lang w:val="en-US" w:eastAsia="zh-CN"/>
                    </w:rPr>
                    <w:t>外购</w:t>
                  </w:r>
                  <w:r>
                    <w:rPr>
                      <w:rFonts w:hint="eastAsia"/>
                      <w:color w:val="auto"/>
                      <w:lang w:val="en-US" w:eastAsia="zh-CN"/>
                    </w:rPr>
                    <w:t>，麦汁中的糖转化为酒精+CO₂，并生成酯类、酚类等风味物质</w:t>
                  </w:r>
                </w:p>
              </w:tc>
            </w:tr>
            <w:tr w14:paraId="65676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6" w:type="pct"/>
                  <w:vAlign w:val="center"/>
                </w:tcPr>
                <w:p w14:paraId="616FBA96">
                  <w:pPr>
                    <w:pStyle w:val="29"/>
                    <w:bidi w:val="0"/>
                    <w:rPr>
                      <w:rFonts w:hint="eastAsia" w:eastAsia="宋体"/>
                      <w:color w:val="auto"/>
                      <w:lang w:val="en-US" w:eastAsia="zh-CN"/>
                    </w:rPr>
                  </w:pPr>
                  <w:r>
                    <w:rPr>
                      <w:rFonts w:hint="eastAsia"/>
                      <w:color w:val="auto"/>
                      <w:lang w:val="en-US" w:eastAsia="zh-CN"/>
                    </w:rPr>
                    <w:t>4</w:t>
                  </w:r>
                </w:p>
              </w:tc>
              <w:tc>
                <w:tcPr>
                  <w:tcW w:w="970" w:type="pct"/>
                  <w:shd w:val="clear" w:color="auto" w:fill="auto"/>
                  <w:vAlign w:val="center"/>
                </w:tcPr>
                <w:p w14:paraId="15417811">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卡拉胶</w:t>
                  </w:r>
                </w:p>
              </w:tc>
              <w:tc>
                <w:tcPr>
                  <w:tcW w:w="706" w:type="pct"/>
                  <w:shd w:val="clear" w:color="auto" w:fill="auto"/>
                  <w:vAlign w:val="center"/>
                </w:tcPr>
                <w:p w14:paraId="6484D6A8">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0.05</w:t>
                  </w:r>
                </w:p>
              </w:tc>
              <w:tc>
                <w:tcPr>
                  <w:tcW w:w="624" w:type="pct"/>
                  <w:shd w:val="clear" w:color="auto" w:fill="auto"/>
                  <w:vAlign w:val="center"/>
                </w:tcPr>
                <w:p w14:paraId="56419FFF">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0.01</w:t>
                  </w:r>
                </w:p>
              </w:tc>
              <w:tc>
                <w:tcPr>
                  <w:tcW w:w="758" w:type="pct"/>
                  <w:shd w:val="clear" w:color="auto" w:fill="auto"/>
                  <w:vAlign w:val="center"/>
                </w:tcPr>
                <w:p w14:paraId="784225B6">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25kg/袋</w:t>
                  </w:r>
                </w:p>
              </w:tc>
              <w:tc>
                <w:tcPr>
                  <w:tcW w:w="1603" w:type="pct"/>
                  <w:vAlign w:val="center"/>
                </w:tcPr>
                <w:p w14:paraId="0221F8D6">
                  <w:pPr>
                    <w:pStyle w:val="29"/>
                    <w:bidi w:val="0"/>
                    <w:rPr>
                      <w:rFonts w:hint="default"/>
                      <w:color w:val="auto"/>
                      <w:lang w:val="en-US" w:eastAsia="zh-CN"/>
                    </w:rPr>
                  </w:pPr>
                  <w:r>
                    <w:rPr>
                      <w:rFonts w:hint="eastAsia"/>
                      <w:color w:val="auto"/>
                      <w:lang w:val="en-US" w:eastAsia="zh-CN"/>
                    </w:rPr>
                    <w:t>外购，作为麦汁澄清剂和泡沫稳定剂‌，提升啤酒的澄清度、过滤效率和非生物稳定性</w:t>
                  </w:r>
                </w:p>
              </w:tc>
            </w:tr>
            <w:tr w14:paraId="3CFE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vAlign w:val="center"/>
                </w:tcPr>
                <w:p w14:paraId="4AACD79B">
                  <w:pPr>
                    <w:pStyle w:val="29"/>
                    <w:bidi w:val="0"/>
                    <w:rPr>
                      <w:rFonts w:hint="default"/>
                      <w:color w:val="auto"/>
                      <w:lang w:val="en-US" w:eastAsia="zh-CN"/>
                    </w:rPr>
                  </w:pPr>
                  <w:r>
                    <w:rPr>
                      <w:rFonts w:hint="eastAsia"/>
                      <w:color w:val="auto"/>
                      <w:lang w:val="en-US" w:eastAsia="zh-CN"/>
                    </w:rPr>
                    <w:t>5</w:t>
                  </w:r>
                </w:p>
              </w:tc>
              <w:tc>
                <w:tcPr>
                  <w:tcW w:w="970" w:type="pct"/>
                  <w:shd w:val="clear" w:color="auto" w:fill="auto"/>
                  <w:vAlign w:val="center"/>
                </w:tcPr>
                <w:p w14:paraId="0362F695">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水果（浓缩汁）</w:t>
                  </w:r>
                </w:p>
              </w:tc>
              <w:tc>
                <w:tcPr>
                  <w:tcW w:w="706" w:type="pct"/>
                  <w:shd w:val="clear" w:color="auto" w:fill="auto"/>
                  <w:vAlign w:val="center"/>
                </w:tcPr>
                <w:p w14:paraId="3C9AA8DC">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27</w:t>
                  </w:r>
                </w:p>
              </w:tc>
              <w:tc>
                <w:tcPr>
                  <w:tcW w:w="624" w:type="pct"/>
                  <w:shd w:val="clear" w:color="auto" w:fill="auto"/>
                  <w:vAlign w:val="center"/>
                </w:tcPr>
                <w:p w14:paraId="5BC5FD21">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w:t>
                  </w:r>
                </w:p>
              </w:tc>
              <w:tc>
                <w:tcPr>
                  <w:tcW w:w="758" w:type="pct"/>
                  <w:shd w:val="clear" w:color="auto" w:fill="auto"/>
                  <w:vAlign w:val="center"/>
                </w:tcPr>
                <w:p w14:paraId="4E42C648">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25kg/袋</w:t>
                  </w:r>
                </w:p>
              </w:tc>
              <w:tc>
                <w:tcPr>
                  <w:tcW w:w="1603" w:type="pct"/>
                  <w:vAlign w:val="center"/>
                </w:tcPr>
                <w:p w14:paraId="65423A93">
                  <w:pPr>
                    <w:pStyle w:val="29"/>
                    <w:bidi w:val="0"/>
                    <w:rPr>
                      <w:rFonts w:hint="default"/>
                      <w:color w:val="auto"/>
                      <w:lang w:val="en-US" w:eastAsia="zh-CN"/>
                    </w:rPr>
                  </w:pPr>
                  <w:r>
                    <w:rPr>
                      <w:rFonts w:hint="eastAsia"/>
                      <w:color w:val="auto"/>
                      <w:lang w:val="en-US" w:eastAsia="zh-CN"/>
                    </w:rPr>
                    <w:t>外购，用于制作果汁发酵酒</w:t>
                  </w:r>
                </w:p>
              </w:tc>
            </w:tr>
            <w:tr w14:paraId="19EE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vAlign w:val="center"/>
                </w:tcPr>
                <w:p w14:paraId="09D724B3">
                  <w:pPr>
                    <w:pStyle w:val="29"/>
                    <w:bidi w:val="0"/>
                    <w:rPr>
                      <w:rFonts w:hint="default"/>
                      <w:color w:val="auto"/>
                      <w:lang w:val="en-US" w:eastAsia="zh-CN"/>
                    </w:rPr>
                  </w:pPr>
                  <w:r>
                    <w:rPr>
                      <w:rFonts w:hint="eastAsia"/>
                      <w:color w:val="auto"/>
                      <w:lang w:val="en-US" w:eastAsia="zh-CN"/>
                    </w:rPr>
                    <w:t>6</w:t>
                  </w:r>
                </w:p>
              </w:tc>
              <w:tc>
                <w:tcPr>
                  <w:tcW w:w="970" w:type="pct"/>
                  <w:shd w:val="clear" w:color="auto" w:fill="auto"/>
                  <w:vAlign w:val="center"/>
                </w:tcPr>
                <w:p w14:paraId="0DBC5FD3">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茶叶</w:t>
                  </w:r>
                </w:p>
              </w:tc>
              <w:tc>
                <w:tcPr>
                  <w:tcW w:w="706" w:type="pct"/>
                  <w:shd w:val="clear" w:color="auto" w:fill="auto"/>
                  <w:vAlign w:val="center"/>
                </w:tcPr>
                <w:p w14:paraId="6AD770E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624" w:type="pct"/>
                  <w:shd w:val="clear" w:color="auto" w:fill="auto"/>
                  <w:vAlign w:val="center"/>
                </w:tcPr>
                <w:p w14:paraId="3E6D2171">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w:t>
                  </w:r>
                </w:p>
              </w:tc>
              <w:tc>
                <w:tcPr>
                  <w:tcW w:w="758" w:type="pct"/>
                  <w:shd w:val="clear" w:color="auto" w:fill="auto"/>
                  <w:vAlign w:val="center"/>
                </w:tcPr>
                <w:p w14:paraId="3AA709FC">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5kg/袋</w:t>
                  </w:r>
                </w:p>
              </w:tc>
              <w:tc>
                <w:tcPr>
                  <w:tcW w:w="1603" w:type="pct"/>
                  <w:vAlign w:val="center"/>
                </w:tcPr>
                <w:p w14:paraId="7302D526">
                  <w:pPr>
                    <w:pStyle w:val="29"/>
                    <w:bidi w:val="0"/>
                    <w:rPr>
                      <w:rFonts w:hint="default"/>
                      <w:color w:val="auto"/>
                      <w:lang w:val="en-US" w:eastAsia="zh-CN"/>
                    </w:rPr>
                  </w:pPr>
                  <w:r>
                    <w:rPr>
                      <w:rFonts w:hint="eastAsia"/>
                      <w:color w:val="auto"/>
                      <w:lang w:val="en-US" w:eastAsia="zh-CN"/>
                    </w:rPr>
                    <w:t>外购，用于制作茶饮料</w:t>
                  </w:r>
                </w:p>
              </w:tc>
            </w:tr>
            <w:tr w14:paraId="179D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2E1EA8B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w:t>
                  </w:r>
                </w:p>
              </w:tc>
              <w:tc>
                <w:tcPr>
                  <w:tcW w:w="970" w:type="pct"/>
                  <w:shd w:val="clear" w:color="auto" w:fill="auto"/>
                  <w:vAlign w:val="center"/>
                </w:tcPr>
                <w:p w14:paraId="529B1E2C">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红糖</w:t>
                  </w:r>
                </w:p>
              </w:tc>
              <w:tc>
                <w:tcPr>
                  <w:tcW w:w="706" w:type="pct"/>
                  <w:shd w:val="clear" w:color="auto" w:fill="auto"/>
                  <w:vAlign w:val="center"/>
                </w:tcPr>
                <w:p w14:paraId="413AE2D3">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p>
              </w:tc>
              <w:tc>
                <w:tcPr>
                  <w:tcW w:w="624" w:type="pct"/>
                  <w:shd w:val="clear" w:color="auto" w:fill="auto"/>
                  <w:vAlign w:val="center"/>
                </w:tcPr>
                <w:p w14:paraId="68870FC2">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58" w:type="pct"/>
                  <w:shd w:val="clear" w:color="auto" w:fill="auto"/>
                  <w:vAlign w:val="center"/>
                </w:tcPr>
                <w:p w14:paraId="099C7BB1">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25kg/袋</w:t>
                  </w:r>
                </w:p>
              </w:tc>
              <w:tc>
                <w:tcPr>
                  <w:tcW w:w="1603" w:type="pct"/>
                  <w:vAlign w:val="center"/>
                </w:tcPr>
                <w:p w14:paraId="2A978022">
                  <w:pPr>
                    <w:pStyle w:val="29"/>
                    <w:bidi w:val="0"/>
                    <w:rPr>
                      <w:rFonts w:hint="default"/>
                      <w:color w:val="auto"/>
                      <w:lang w:val="en-US" w:eastAsia="zh-CN"/>
                    </w:rPr>
                  </w:pPr>
                  <w:r>
                    <w:rPr>
                      <w:rFonts w:hint="eastAsia"/>
                      <w:color w:val="auto"/>
                      <w:lang w:val="en-US" w:eastAsia="zh-CN"/>
                    </w:rPr>
                    <w:t>外购，用于制作茶饮料</w:t>
                  </w:r>
                </w:p>
              </w:tc>
            </w:tr>
            <w:tr w14:paraId="3D2D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1980B01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w:t>
                  </w:r>
                </w:p>
              </w:tc>
              <w:tc>
                <w:tcPr>
                  <w:tcW w:w="970" w:type="pct"/>
                  <w:shd w:val="clear" w:color="auto" w:fill="auto"/>
                  <w:vAlign w:val="center"/>
                </w:tcPr>
                <w:p w14:paraId="5E2E227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苹果浓缩汁</w:t>
                  </w:r>
                </w:p>
              </w:tc>
              <w:tc>
                <w:tcPr>
                  <w:tcW w:w="706" w:type="pct"/>
                  <w:shd w:val="clear" w:color="auto" w:fill="auto"/>
                  <w:vAlign w:val="center"/>
                </w:tcPr>
                <w:p w14:paraId="1A26F739">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16.25</w:t>
                  </w:r>
                </w:p>
              </w:tc>
              <w:tc>
                <w:tcPr>
                  <w:tcW w:w="624" w:type="pct"/>
                  <w:shd w:val="clear" w:color="auto" w:fill="auto"/>
                  <w:vAlign w:val="center"/>
                </w:tcPr>
                <w:p w14:paraId="086309DC">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58" w:type="pct"/>
                  <w:shd w:val="clear" w:color="auto" w:fill="auto"/>
                  <w:vAlign w:val="center"/>
                </w:tcPr>
                <w:p w14:paraId="471F378F">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25kg/袋</w:t>
                  </w:r>
                </w:p>
              </w:tc>
              <w:tc>
                <w:tcPr>
                  <w:tcW w:w="1603" w:type="pct"/>
                  <w:vAlign w:val="center"/>
                </w:tcPr>
                <w:p w14:paraId="41A2F118">
                  <w:pPr>
                    <w:pStyle w:val="29"/>
                    <w:bidi w:val="0"/>
                    <w:rPr>
                      <w:rFonts w:hint="default"/>
                      <w:color w:val="auto"/>
                      <w:lang w:val="en-US" w:eastAsia="zh-CN"/>
                    </w:rPr>
                  </w:pPr>
                  <w:r>
                    <w:rPr>
                      <w:rFonts w:hint="eastAsia"/>
                      <w:color w:val="auto"/>
                      <w:lang w:val="en-US" w:eastAsia="zh-CN"/>
                    </w:rPr>
                    <w:t>外购，用于制作苹果汁</w:t>
                  </w:r>
                </w:p>
              </w:tc>
            </w:tr>
            <w:tr w14:paraId="787C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35F2A0F8">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w:t>
                  </w:r>
                </w:p>
              </w:tc>
              <w:tc>
                <w:tcPr>
                  <w:tcW w:w="970" w:type="pct"/>
                  <w:shd w:val="clear" w:color="auto" w:fill="auto"/>
                  <w:vAlign w:val="center"/>
                </w:tcPr>
                <w:p w14:paraId="144144E0">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酸角浓缩汁</w:t>
                  </w:r>
                </w:p>
              </w:tc>
              <w:tc>
                <w:tcPr>
                  <w:tcW w:w="706" w:type="pct"/>
                  <w:shd w:val="clear" w:color="auto" w:fill="auto"/>
                  <w:vAlign w:val="center"/>
                </w:tcPr>
                <w:p w14:paraId="06986E70">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624" w:type="pct"/>
                  <w:shd w:val="clear" w:color="auto" w:fill="auto"/>
                  <w:vAlign w:val="center"/>
                </w:tcPr>
                <w:p w14:paraId="3C3DD1C8">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w:t>
                  </w:r>
                </w:p>
              </w:tc>
              <w:tc>
                <w:tcPr>
                  <w:tcW w:w="758" w:type="pct"/>
                  <w:shd w:val="clear" w:color="auto" w:fill="auto"/>
                  <w:vAlign w:val="center"/>
                </w:tcPr>
                <w:p w14:paraId="13A3E0A1">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25kg/袋</w:t>
                  </w:r>
                </w:p>
              </w:tc>
              <w:tc>
                <w:tcPr>
                  <w:tcW w:w="1603" w:type="pct"/>
                  <w:vAlign w:val="center"/>
                </w:tcPr>
                <w:p w14:paraId="6421D3AA">
                  <w:pPr>
                    <w:pStyle w:val="29"/>
                    <w:bidi w:val="0"/>
                    <w:rPr>
                      <w:rFonts w:hint="eastAsia"/>
                      <w:color w:val="auto"/>
                      <w:lang w:val="en-US" w:eastAsia="zh-CN"/>
                    </w:rPr>
                  </w:pPr>
                  <w:r>
                    <w:rPr>
                      <w:rFonts w:hint="eastAsia"/>
                      <w:color w:val="auto"/>
                      <w:lang w:val="en-US" w:eastAsia="zh-CN"/>
                    </w:rPr>
                    <w:t>外购，用于制作酸角汁</w:t>
                  </w:r>
                </w:p>
              </w:tc>
            </w:tr>
            <w:tr w14:paraId="1335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530B6E14">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w:t>
                  </w:r>
                </w:p>
              </w:tc>
              <w:tc>
                <w:tcPr>
                  <w:tcW w:w="970" w:type="pct"/>
                  <w:shd w:val="clear" w:color="auto" w:fill="auto"/>
                  <w:vAlign w:val="center"/>
                </w:tcPr>
                <w:p w14:paraId="2AD33B27">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制冷剂</w:t>
                  </w:r>
                </w:p>
              </w:tc>
              <w:tc>
                <w:tcPr>
                  <w:tcW w:w="706" w:type="pct"/>
                  <w:shd w:val="clear" w:color="auto" w:fill="auto"/>
                  <w:vAlign w:val="center"/>
                </w:tcPr>
                <w:p w14:paraId="5A225912">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624" w:type="pct"/>
                  <w:shd w:val="clear" w:color="auto" w:fill="auto"/>
                  <w:vAlign w:val="center"/>
                </w:tcPr>
                <w:p w14:paraId="7E1FB287">
                  <w:pPr>
                    <w:pStyle w:val="29"/>
                    <w:bidi w:val="0"/>
                    <w:rPr>
                      <w:rFonts w:hint="eastAsia" w:ascii="Times New Roman" w:hAnsi="Times New Roman" w:eastAsia="宋体" w:cs="Times New Roman"/>
                      <w:color w:val="auto"/>
                      <w:lang w:val="en-US" w:eastAsia="zh-CN"/>
                    </w:rPr>
                  </w:pPr>
                  <w:r>
                    <w:rPr>
                      <w:rFonts w:hint="eastAsia" w:cs="Times New Roman"/>
                      <w:color w:val="auto"/>
                      <w:lang w:val="en-US" w:eastAsia="zh-CN"/>
                    </w:rPr>
                    <w:t>不在厂内储存</w:t>
                  </w:r>
                </w:p>
              </w:tc>
              <w:tc>
                <w:tcPr>
                  <w:tcW w:w="758" w:type="pct"/>
                  <w:shd w:val="clear" w:color="auto" w:fill="auto"/>
                  <w:vAlign w:val="center"/>
                </w:tcPr>
                <w:p w14:paraId="1B26F440">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200L/桶</w:t>
                  </w:r>
                </w:p>
              </w:tc>
              <w:tc>
                <w:tcPr>
                  <w:tcW w:w="1603" w:type="pct"/>
                  <w:vAlign w:val="center"/>
                </w:tcPr>
                <w:p w14:paraId="06743408">
                  <w:pPr>
                    <w:pStyle w:val="29"/>
                    <w:bidi w:val="0"/>
                    <w:rPr>
                      <w:rFonts w:hint="eastAsia"/>
                      <w:color w:val="auto"/>
                      <w:lang w:val="en-US" w:eastAsia="zh-CN"/>
                    </w:rPr>
                  </w:pPr>
                  <w:r>
                    <w:rPr>
                      <w:rFonts w:hint="eastAsia"/>
                      <w:color w:val="auto"/>
                      <w:lang w:val="en-US" w:eastAsia="zh-CN"/>
                    </w:rPr>
                    <w:t>外购，成品冷库、冷藏存储库冷媒，一次性添加</w:t>
                  </w:r>
                </w:p>
              </w:tc>
            </w:tr>
            <w:tr w14:paraId="6326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69CD789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11</w:t>
                  </w:r>
                </w:p>
              </w:tc>
              <w:tc>
                <w:tcPr>
                  <w:tcW w:w="970" w:type="pct"/>
                  <w:shd w:val="clear" w:color="auto" w:fill="auto"/>
                  <w:vAlign w:val="center"/>
                </w:tcPr>
                <w:p w14:paraId="0818701A">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载冷剂</w:t>
                  </w:r>
                </w:p>
              </w:tc>
              <w:tc>
                <w:tcPr>
                  <w:tcW w:w="706" w:type="pct"/>
                  <w:shd w:val="clear" w:color="auto" w:fill="auto"/>
                  <w:vAlign w:val="center"/>
                </w:tcPr>
                <w:p w14:paraId="265841B2">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1</w:t>
                  </w:r>
                </w:p>
              </w:tc>
              <w:tc>
                <w:tcPr>
                  <w:tcW w:w="624" w:type="pct"/>
                  <w:shd w:val="clear" w:color="auto" w:fill="auto"/>
                  <w:vAlign w:val="center"/>
                </w:tcPr>
                <w:p w14:paraId="5EF47754">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0.5</w:t>
                  </w:r>
                </w:p>
              </w:tc>
              <w:tc>
                <w:tcPr>
                  <w:tcW w:w="758" w:type="pct"/>
                  <w:shd w:val="clear" w:color="auto" w:fill="auto"/>
                  <w:vAlign w:val="center"/>
                </w:tcPr>
                <w:p w14:paraId="478DD52C">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200L/桶</w:t>
                  </w:r>
                </w:p>
              </w:tc>
              <w:tc>
                <w:tcPr>
                  <w:tcW w:w="1603" w:type="pct"/>
                  <w:vAlign w:val="center"/>
                </w:tcPr>
                <w:p w14:paraId="2EA41A73">
                  <w:pPr>
                    <w:pStyle w:val="29"/>
                    <w:bidi w:val="0"/>
                    <w:rPr>
                      <w:rFonts w:hint="eastAsia"/>
                      <w:color w:val="auto"/>
                      <w:lang w:val="en-US" w:eastAsia="zh-CN"/>
                    </w:rPr>
                  </w:pPr>
                  <w:r>
                    <w:rPr>
                      <w:rFonts w:hint="eastAsia"/>
                      <w:color w:val="auto"/>
                      <w:lang w:val="en-US" w:eastAsia="zh-CN"/>
                    </w:rPr>
                    <w:t>外购，25%乙醇和水的混合液，成品冷库、冷藏存储库冷媒，一次性添加</w:t>
                  </w:r>
                </w:p>
              </w:tc>
            </w:tr>
            <w:tr w14:paraId="0C77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1EE88FD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12</w:t>
                  </w:r>
                </w:p>
              </w:tc>
              <w:tc>
                <w:tcPr>
                  <w:tcW w:w="970" w:type="pct"/>
                  <w:shd w:val="clear" w:color="auto" w:fill="auto"/>
                  <w:vAlign w:val="center"/>
                </w:tcPr>
                <w:p w14:paraId="4FD68EC5">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氢氧化钠</w:t>
                  </w:r>
                </w:p>
              </w:tc>
              <w:tc>
                <w:tcPr>
                  <w:tcW w:w="706" w:type="pct"/>
                  <w:shd w:val="clear" w:color="auto" w:fill="auto"/>
                  <w:vAlign w:val="center"/>
                </w:tcPr>
                <w:p w14:paraId="4971B51B">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6.75</w:t>
                  </w:r>
                </w:p>
              </w:tc>
              <w:tc>
                <w:tcPr>
                  <w:tcW w:w="624" w:type="pct"/>
                  <w:shd w:val="clear" w:color="auto" w:fill="auto"/>
                  <w:vAlign w:val="center"/>
                </w:tcPr>
                <w:p w14:paraId="2A7E8AF4">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758" w:type="pct"/>
                  <w:shd w:val="clear" w:color="auto" w:fill="auto"/>
                  <w:vAlign w:val="center"/>
                </w:tcPr>
                <w:p w14:paraId="27CA7FB9">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25kg/袋</w:t>
                  </w:r>
                </w:p>
              </w:tc>
              <w:tc>
                <w:tcPr>
                  <w:tcW w:w="1603" w:type="pct"/>
                  <w:vAlign w:val="center"/>
                </w:tcPr>
                <w:p w14:paraId="086B09D2">
                  <w:pPr>
                    <w:pStyle w:val="29"/>
                    <w:bidi w:val="0"/>
                    <w:rPr>
                      <w:rFonts w:hint="eastAsia"/>
                      <w:color w:val="auto"/>
                      <w:lang w:val="en-US" w:eastAsia="zh-CN"/>
                    </w:rPr>
                  </w:pPr>
                  <w:r>
                    <w:rPr>
                      <w:rFonts w:hint="eastAsia"/>
                      <w:color w:val="auto"/>
                      <w:lang w:val="en-US" w:eastAsia="zh-CN"/>
                    </w:rPr>
                    <w:t>外购，CIP系统清洗</w:t>
                  </w:r>
                </w:p>
              </w:tc>
            </w:tr>
            <w:tr w14:paraId="68DA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7A122BD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13</w:t>
                  </w:r>
                </w:p>
              </w:tc>
              <w:tc>
                <w:tcPr>
                  <w:tcW w:w="970" w:type="pct"/>
                  <w:shd w:val="clear" w:color="auto" w:fill="auto"/>
                  <w:vAlign w:val="center"/>
                </w:tcPr>
                <w:p w14:paraId="08E78E01">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过氧乙酸消毒液</w:t>
                  </w:r>
                </w:p>
              </w:tc>
              <w:tc>
                <w:tcPr>
                  <w:tcW w:w="706" w:type="pct"/>
                  <w:shd w:val="clear" w:color="auto" w:fill="auto"/>
                  <w:vAlign w:val="center"/>
                </w:tcPr>
                <w:p w14:paraId="7768791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624" w:type="pct"/>
                  <w:shd w:val="clear" w:color="auto" w:fill="auto"/>
                  <w:vAlign w:val="center"/>
                </w:tcPr>
                <w:p w14:paraId="566D240D">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w:t>
                  </w:r>
                </w:p>
              </w:tc>
              <w:tc>
                <w:tcPr>
                  <w:tcW w:w="758" w:type="pct"/>
                  <w:shd w:val="clear" w:color="auto" w:fill="auto"/>
                  <w:vAlign w:val="center"/>
                </w:tcPr>
                <w:p w14:paraId="484DA4DE">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25kg/桶</w:t>
                  </w:r>
                </w:p>
              </w:tc>
              <w:tc>
                <w:tcPr>
                  <w:tcW w:w="1603" w:type="pct"/>
                  <w:vAlign w:val="center"/>
                </w:tcPr>
                <w:p w14:paraId="770E1EDC">
                  <w:pPr>
                    <w:pStyle w:val="29"/>
                    <w:bidi w:val="0"/>
                    <w:rPr>
                      <w:rFonts w:hint="eastAsia"/>
                      <w:color w:val="auto"/>
                      <w:lang w:val="en-US" w:eastAsia="zh-CN"/>
                    </w:rPr>
                  </w:pPr>
                  <w:r>
                    <w:rPr>
                      <w:rFonts w:hint="eastAsia"/>
                      <w:color w:val="auto"/>
                      <w:lang w:val="en-US" w:eastAsia="zh-CN"/>
                    </w:rPr>
                    <w:t>外购，CIP系统消毒</w:t>
                  </w:r>
                </w:p>
              </w:tc>
            </w:tr>
            <w:tr w14:paraId="5012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2D11D00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14</w:t>
                  </w:r>
                </w:p>
              </w:tc>
              <w:tc>
                <w:tcPr>
                  <w:tcW w:w="970" w:type="pct"/>
                  <w:shd w:val="clear" w:color="auto" w:fill="auto"/>
                  <w:vAlign w:val="center"/>
                </w:tcPr>
                <w:p w14:paraId="005B8D29">
                  <w:pPr>
                    <w:pStyle w:val="29"/>
                    <w:bidi w:val="0"/>
                    <w:rPr>
                      <w:rFonts w:hint="eastAsia" w:ascii="Times New Roman" w:hAnsi="Times New Roman" w:eastAsia="宋体" w:cs="Times New Roman"/>
                      <w:color w:val="auto"/>
                      <w:lang w:val="en-US" w:eastAsia="zh-CN"/>
                    </w:rPr>
                  </w:pPr>
                  <w:r>
                    <w:rPr>
                      <w:rFonts w:hint="eastAsia" w:cs="Times New Roman"/>
                      <w:color w:val="auto"/>
                      <w:lang w:val="en-US" w:eastAsia="zh-CN"/>
                    </w:rPr>
                    <w:t>天然气</w:t>
                  </w:r>
                </w:p>
              </w:tc>
              <w:tc>
                <w:tcPr>
                  <w:tcW w:w="706" w:type="pct"/>
                  <w:shd w:val="clear" w:color="auto" w:fill="auto"/>
                  <w:vAlign w:val="center"/>
                </w:tcPr>
                <w:p w14:paraId="10609366">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9.6万m</w:t>
                  </w:r>
                  <w:r>
                    <w:rPr>
                      <w:rFonts w:hint="eastAsia" w:cs="Times New Roman"/>
                      <w:color w:val="auto"/>
                      <w:vertAlign w:val="superscript"/>
                      <w:lang w:val="en-US" w:eastAsia="zh-CN"/>
                    </w:rPr>
                    <w:t>3</w:t>
                  </w:r>
                </w:p>
              </w:tc>
              <w:tc>
                <w:tcPr>
                  <w:tcW w:w="624" w:type="pct"/>
                  <w:shd w:val="clear" w:color="auto" w:fill="auto"/>
                  <w:vAlign w:val="center"/>
                </w:tcPr>
                <w:p w14:paraId="3E5B9C46">
                  <w:pPr>
                    <w:pStyle w:val="29"/>
                    <w:bidi w:val="0"/>
                    <w:rPr>
                      <w:rFonts w:hint="eastAsia" w:ascii="Times New Roman" w:hAnsi="Times New Roman" w:eastAsia="宋体" w:cs="Times New Roman"/>
                      <w:color w:val="auto"/>
                      <w:lang w:val="en-US" w:eastAsia="zh-CN"/>
                    </w:rPr>
                  </w:pPr>
                  <w:r>
                    <w:rPr>
                      <w:rFonts w:hint="eastAsia" w:cs="Times New Roman"/>
                      <w:color w:val="auto"/>
                      <w:lang w:val="en-US" w:eastAsia="zh-CN"/>
                    </w:rPr>
                    <w:t>/</w:t>
                  </w:r>
                </w:p>
              </w:tc>
              <w:tc>
                <w:tcPr>
                  <w:tcW w:w="758" w:type="pct"/>
                  <w:shd w:val="clear" w:color="auto" w:fill="auto"/>
                  <w:vAlign w:val="center"/>
                </w:tcPr>
                <w:p w14:paraId="4A9545C7">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1603" w:type="pct"/>
                  <w:vAlign w:val="center"/>
                </w:tcPr>
                <w:p w14:paraId="2246DFB2">
                  <w:pPr>
                    <w:pStyle w:val="29"/>
                    <w:bidi w:val="0"/>
                    <w:rPr>
                      <w:rFonts w:hint="default"/>
                      <w:color w:val="auto"/>
                      <w:lang w:val="en-US" w:eastAsia="zh-CN"/>
                    </w:rPr>
                  </w:pPr>
                  <w:r>
                    <w:rPr>
                      <w:rFonts w:hint="eastAsia"/>
                      <w:color w:val="auto"/>
                      <w:lang w:val="en-US" w:eastAsia="zh-CN"/>
                    </w:rPr>
                    <w:t>外购，由云南省天然气销售有限公司供给，用于锅炉的燃料</w:t>
                  </w:r>
                </w:p>
              </w:tc>
            </w:tr>
            <w:tr w14:paraId="7CD68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34FF7D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15</w:t>
                  </w:r>
                </w:p>
              </w:tc>
              <w:tc>
                <w:tcPr>
                  <w:tcW w:w="970" w:type="pct"/>
                  <w:shd w:val="clear" w:color="auto" w:fill="auto"/>
                  <w:vAlign w:val="center"/>
                </w:tcPr>
                <w:p w14:paraId="4FA0976D">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原酒</w:t>
                  </w:r>
                </w:p>
              </w:tc>
              <w:tc>
                <w:tcPr>
                  <w:tcW w:w="706" w:type="pct"/>
                  <w:shd w:val="clear" w:color="auto" w:fill="auto"/>
                  <w:vAlign w:val="center"/>
                </w:tcPr>
                <w:p w14:paraId="2F9B91E1">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w:t>
                  </w:r>
                </w:p>
              </w:tc>
              <w:tc>
                <w:tcPr>
                  <w:tcW w:w="624" w:type="pct"/>
                  <w:shd w:val="clear" w:color="auto" w:fill="auto"/>
                  <w:vAlign w:val="center"/>
                </w:tcPr>
                <w:p w14:paraId="7F9C6883">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0.5</w:t>
                  </w:r>
                </w:p>
              </w:tc>
              <w:tc>
                <w:tcPr>
                  <w:tcW w:w="758" w:type="pct"/>
                  <w:shd w:val="clear" w:color="auto" w:fill="auto"/>
                  <w:vAlign w:val="center"/>
                </w:tcPr>
                <w:p w14:paraId="1758E85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25kg/桶</w:t>
                  </w:r>
                </w:p>
              </w:tc>
              <w:tc>
                <w:tcPr>
                  <w:tcW w:w="1603" w:type="pct"/>
                  <w:vAlign w:val="center"/>
                </w:tcPr>
                <w:p w14:paraId="1ED012F1">
                  <w:pPr>
                    <w:pStyle w:val="29"/>
                    <w:bidi w:val="0"/>
                    <w:rPr>
                      <w:rFonts w:hint="default"/>
                      <w:color w:val="auto"/>
                      <w:lang w:val="en-US" w:eastAsia="zh-CN"/>
                    </w:rPr>
                  </w:pPr>
                  <w:r>
                    <w:rPr>
                      <w:rFonts w:hint="eastAsia"/>
                      <w:color w:val="auto"/>
                      <w:lang w:val="en-US" w:eastAsia="zh-CN"/>
                    </w:rPr>
                    <w:t>外购，乙醇浓度约40%，用于制作配制酒</w:t>
                  </w:r>
                </w:p>
              </w:tc>
            </w:tr>
            <w:tr w14:paraId="53FF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105BE5F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16</w:t>
                  </w:r>
                </w:p>
              </w:tc>
              <w:tc>
                <w:tcPr>
                  <w:tcW w:w="970" w:type="pct"/>
                  <w:shd w:val="clear" w:color="auto" w:fill="auto"/>
                  <w:vAlign w:val="center"/>
                </w:tcPr>
                <w:p w14:paraId="4939955F">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易拉罐</w:t>
                  </w:r>
                </w:p>
              </w:tc>
              <w:tc>
                <w:tcPr>
                  <w:tcW w:w="706" w:type="pct"/>
                  <w:shd w:val="clear" w:color="auto" w:fill="auto"/>
                  <w:vAlign w:val="center"/>
                </w:tcPr>
                <w:p w14:paraId="046A7879">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170万个</w:t>
                  </w:r>
                </w:p>
              </w:tc>
              <w:tc>
                <w:tcPr>
                  <w:tcW w:w="624" w:type="pct"/>
                  <w:shd w:val="clear" w:color="auto" w:fill="auto"/>
                  <w:vAlign w:val="center"/>
                </w:tcPr>
                <w:p w14:paraId="097F60B7">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5.5万个</w:t>
                  </w:r>
                </w:p>
              </w:tc>
              <w:tc>
                <w:tcPr>
                  <w:tcW w:w="758" w:type="pct"/>
                  <w:shd w:val="clear" w:color="auto" w:fill="auto"/>
                  <w:vAlign w:val="center"/>
                </w:tcPr>
                <w:p w14:paraId="63098343">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5500个/托</w:t>
                  </w:r>
                </w:p>
              </w:tc>
              <w:tc>
                <w:tcPr>
                  <w:tcW w:w="1603" w:type="pct"/>
                  <w:vAlign w:val="center"/>
                </w:tcPr>
                <w:p w14:paraId="49AA4AD1">
                  <w:pPr>
                    <w:pStyle w:val="29"/>
                    <w:bidi w:val="0"/>
                    <w:rPr>
                      <w:rFonts w:hint="default"/>
                      <w:color w:val="auto"/>
                      <w:lang w:val="en-US" w:eastAsia="zh-CN"/>
                    </w:rPr>
                  </w:pPr>
                  <w:r>
                    <w:rPr>
                      <w:rFonts w:hint="eastAsia"/>
                      <w:color w:val="auto"/>
                      <w:lang w:val="en-US" w:eastAsia="zh-CN"/>
                    </w:rPr>
                    <w:t>外购，用于啤酒饮料灌装</w:t>
                  </w:r>
                </w:p>
              </w:tc>
            </w:tr>
            <w:tr w14:paraId="430F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5D5BC20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17</w:t>
                  </w:r>
                </w:p>
              </w:tc>
              <w:tc>
                <w:tcPr>
                  <w:tcW w:w="970" w:type="pct"/>
                  <w:shd w:val="clear" w:color="auto" w:fill="auto"/>
                  <w:vAlign w:val="center"/>
                </w:tcPr>
                <w:p w14:paraId="74EEB1D8">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玻璃瓶</w:t>
                  </w:r>
                </w:p>
              </w:tc>
              <w:tc>
                <w:tcPr>
                  <w:tcW w:w="706" w:type="pct"/>
                  <w:shd w:val="clear" w:color="auto" w:fill="auto"/>
                  <w:vAlign w:val="center"/>
                </w:tcPr>
                <w:p w14:paraId="3E1C86C0">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10万个</w:t>
                  </w:r>
                </w:p>
              </w:tc>
              <w:tc>
                <w:tcPr>
                  <w:tcW w:w="624" w:type="pct"/>
                  <w:shd w:val="clear" w:color="auto" w:fill="auto"/>
                  <w:vAlign w:val="center"/>
                </w:tcPr>
                <w:p w14:paraId="2143DC12">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1.2万个</w:t>
                  </w:r>
                </w:p>
              </w:tc>
              <w:tc>
                <w:tcPr>
                  <w:tcW w:w="758" w:type="pct"/>
                  <w:shd w:val="clear" w:color="auto" w:fill="auto"/>
                  <w:vAlign w:val="center"/>
                </w:tcPr>
                <w:p w14:paraId="5F272FBB">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4000个/托</w:t>
                  </w:r>
                </w:p>
              </w:tc>
              <w:tc>
                <w:tcPr>
                  <w:tcW w:w="1603" w:type="pct"/>
                  <w:vAlign w:val="center"/>
                </w:tcPr>
                <w:p w14:paraId="52D018F0">
                  <w:pPr>
                    <w:pStyle w:val="29"/>
                    <w:bidi w:val="0"/>
                    <w:rPr>
                      <w:rFonts w:hint="default"/>
                      <w:color w:val="auto"/>
                      <w:lang w:val="en-US" w:eastAsia="zh-CN"/>
                    </w:rPr>
                  </w:pPr>
                  <w:r>
                    <w:rPr>
                      <w:rFonts w:hint="eastAsia"/>
                      <w:color w:val="auto"/>
                      <w:lang w:val="en-US" w:eastAsia="zh-CN"/>
                    </w:rPr>
                    <w:t>外购，用于啤酒饮料灌装</w:t>
                  </w:r>
                </w:p>
              </w:tc>
            </w:tr>
            <w:tr w14:paraId="2E60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1443DE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18</w:t>
                  </w:r>
                </w:p>
              </w:tc>
              <w:tc>
                <w:tcPr>
                  <w:tcW w:w="970" w:type="pct"/>
                  <w:shd w:val="clear" w:color="auto" w:fill="auto"/>
                  <w:vAlign w:val="center"/>
                </w:tcPr>
                <w:p w14:paraId="786BDC36">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包装桶</w:t>
                  </w:r>
                </w:p>
              </w:tc>
              <w:tc>
                <w:tcPr>
                  <w:tcW w:w="706" w:type="pct"/>
                  <w:shd w:val="clear" w:color="auto" w:fill="auto"/>
                  <w:vAlign w:val="center"/>
                </w:tcPr>
                <w:p w14:paraId="1D29EA80">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2万个</w:t>
                  </w:r>
                </w:p>
              </w:tc>
              <w:tc>
                <w:tcPr>
                  <w:tcW w:w="624" w:type="pct"/>
                  <w:shd w:val="clear" w:color="auto" w:fill="auto"/>
                  <w:vAlign w:val="center"/>
                </w:tcPr>
                <w:p w14:paraId="28758C97">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3000个</w:t>
                  </w:r>
                </w:p>
              </w:tc>
              <w:tc>
                <w:tcPr>
                  <w:tcW w:w="758" w:type="pct"/>
                  <w:shd w:val="clear" w:color="auto" w:fill="auto"/>
                  <w:vAlign w:val="center"/>
                </w:tcPr>
                <w:p w14:paraId="63CDD1E8">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100个/托</w:t>
                  </w:r>
                </w:p>
              </w:tc>
              <w:tc>
                <w:tcPr>
                  <w:tcW w:w="1603" w:type="pct"/>
                  <w:vAlign w:val="center"/>
                </w:tcPr>
                <w:p w14:paraId="096B4213">
                  <w:pPr>
                    <w:pStyle w:val="29"/>
                    <w:bidi w:val="0"/>
                    <w:rPr>
                      <w:rFonts w:hint="default"/>
                      <w:color w:val="auto"/>
                      <w:lang w:val="en-US" w:eastAsia="zh-CN"/>
                    </w:rPr>
                  </w:pPr>
                  <w:r>
                    <w:rPr>
                      <w:rFonts w:hint="eastAsia"/>
                      <w:color w:val="auto"/>
                      <w:lang w:val="en-US" w:eastAsia="zh-CN"/>
                    </w:rPr>
                    <w:t>外购，用于成品包装</w:t>
                  </w:r>
                </w:p>
              </w:tc>
            </w:tr>
            <w:tr w14:paraId="04AF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7427C935">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19</w:t>
                  </w:r>
                </w:p>
              </w:tc>
              <w:tc>
                <w:tcPr>
                  <w:tcW w:w="970" w:type="pct"/>
                  <w:shd w:val="clear" w:color="auto" w:fill="auto"/>
                  <w:vAlign w:val="center"/>
                </w:tcPr>
                <w:p w14:paraId="271CC9D0">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纸箱</w:t>
                  </w:r>
                </w:p>
              </w:tc>
              <w:tc>
                <w:tcPr>
                  <w:tcW w:w="706" w:type="pct"/>
                  <w:shd w:val="clear" w:color="auto" w:fill="auto"/>
                  <w:vAlign w:val="center"/>
                </w:tcPr>
                <w:p w14:paraId="270152DC">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22.5个</w:t>
                  </w:r>
                </w:p>
              </w:tc>
              <w:tc>
                <w:tcPr>
                  <w:tcW w:w="624" w:type="pct"/>
                  <w:shd w:val="clear" w:color="auto" w:fill="auto"/>
                  <w:vAlign w:val="center"/>
                </w:tcPr>
                <w:p w14:paraId="62D45C3D">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1.5万个</w:t>
                  </w:r>
                </w:p>
              </w:tc>
              <w:tc>
                <w:tcPr>
                  <w:tcW w:w="758" w:type="pct"/>
                  <w:shd w:val="clear" w:color="auto" w:fill="auto"/>
                  <w:vAlign w:val="center"/>
                </w:tcPr>
                <w:p w14:paraId="4F68CC3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1000个/托</w:t>
                  </w:r>
                </w:p>
              </w:tc>
              <w:tc>
                <w:tcPr>
                  <w:tcW w:w="1603" w:type="pct"/>
                  <w:vAlign w:val="center"/>
                </w:tcPr>
                <w:p w14:paraId="25A6FABA">
                  <w:pPr>
                    <w:pStyle w:val="29"/>
                    <w:bidi w:val="0"/>
                    <w:rPr>
                      <w:rFonts w:hint="default"/>
                      <w:color w:val="auto"/>
                      <w:lang w:val="en-US" w:eastAsia="zh-CN"/>
                    </w:rPr>
                  </w:pPr>
                  <w:r>
                    <w:rPr>
                      <w:rFonts w:hint="eastAsia"/>
                      <w:color w:val="auto"/>
                      <w:lang w:val="en-US" w:eastAsia="zh-CN"/>
                    </w:rPr>
                    <w:t>外购，用于成品包装</w:t>
                  </w:r>
                </w:p>
              </w:tc>
            </w:tr>
            <w:tr w14:paraId="03AF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59EBB157">
                  <w:pPr>
                    <w:pStyle w:val="29"/>
                    <w:bidi w:val="0"/>
                    <w:rPr>
                      <w:rFonts w:hint="default" w:cs="Times New Roman"/>
                      <w:color w:val="auto"/>
                      <w:lang w:val="en-US" w:eastAsia="zh-CN"/>
                    </w:rPr>
                  </w:pPr>
                  <w:r>
                    <w:rPr>
                      <w:rFonts w:hint="eastAsia" w:cs="Times New Roman"/>
                      <w:color w:val="auto"/>
                      <w:lang w:val="en-US" w:eastAsia="zh-CN"/>
                    </w:rPr>
                    <w:t>20</w:t>
                  </w:r>
                </w:p>
              </w:tc>
              <w:tc>
                <w:tcPr>
                  <w:tcW w:w="970" w:type="pct"/>
                  <w:shd w:val="clear" w:color="auto" w:fill="auto"/>
                  <w:vAlign w:val="center"/>
                </w:tcPr>
                <w:p w14:paraId="17F78EFE">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酚酞指示剂</w:t>
                  </w:r>
                </w:p>
              </w:tc>
              <w:tc>
                <w:tcPr>
                  <w:tcW w:w="706" w:type="pct"/>
                  <w:shd w:val="clear" w:color="auto" w:fill="auto"/>
                  <w:vAlign w:val="center"/>
                </w:tcPr>
                <w:p w14:paraId="71BC746F">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25g</w:t>
                  </w:r>
                </w:p>
              </w:tc>
              <w:tc>
                <w:tcPr>
                  <w:tcW w:w="624" w:type="pct"/>
                  <w:shd w:val="clear" w:color="auto" w:fill="auto"/>
                  <w:vAlign w:val="center"/>
                </w:tcPr>
                <w:p w14:paraId="12145FAD">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1瓶</w:t>
                  </w:r>
                </w:p>
              </w:tc>
              <w:tc>
                <w:tcPr>
                  <w:tcW w:w="758" w:type="pct"/>
                  <w:shd w:val="clear" w:color="auto" w:fill="auto"/>
                  <w:vAlign w:val="center"/>
                </w:tcPr>
                <w:p w14:paraId="5953762C">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25gL/瓶</w:t>
                  </w:r>
                </w:p>
              </w:tc>
              <w:tc>
                <w:tcPr>
                  <w:tcW w:w="1603" w:type="pct"/>
                  <w:vAlign w:val="center"/>
                </w:tcPr>
                <w:p w14:paraId="26CC0294">
                  <w:pPr>
                    <w:pStyle w:val="29"/>
                    <w:bidi w:val="0"/>
                    <w:rPr>
                      <w:rFonts w:hint="default"/>
                      <w:color w:val="auto"/>
                      <w:lang w:val="en-US" w:eastAsia="zh-CN"/>
                    </w:rPr>
                  </w:pPr>
                  <w:r>
                    <w:rPr>
                      <w:rFonts w:hint="eastAsia"/>
                      <w:color w:val="auto"/>
                      <w:lang w:val="en-US" w:eastAsia="zh-CN"/>
                    </w:rPr>
                    <w:t>用于总酸检测</w:t>
                  </w:r>
                </w:p>
              </w:tc>
            </w:tr>
            <w:tr w14:paraId="2B12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7A5C41E8">
                  <w:pPr>
                    <w:pStyle w:val="29"/>
                    <w:bidi w:val="0"/>
                    <w:rPr>
                      <w:rFonts w:hint="default" w:cs="Times New Roman"/>
                      <w:color w:val="auto"/>
                      <w:lang w:val="en-US" w:eastAsia="zh-CN"/>
                    </w:rPr>
                  </w:pPr>
                  <w:r>
                    <w:rPr>
                      <w:rFonts w:hint="eastAsia" w:cs="Times New Roman"/>
                      <w:color w:val="auto"/>
                      <w:lang w:val="en-US" w:eastAsia="zh-CN"/>
                    </w:rPr>
                    <w:t>21</w:t>
                  </w:r>
                </w:p>
              </w:tc>
              <w:tc>
                <w:tcPr>
                  <w:tcW w:w="970" w:type="pct"/>
                  <w:shd w:val="clear" w:color="auto" w:fill="auto"/>
                  <w:vAlign w:val="center"/>
                </w:tcPr>
                <w:p w14:paraId="3A7EC2B1">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氢氧化钠</w:t>
                  </w:r>
                </w:p>
              </w:tc>
              <w:tc>
                <w:tcPr>
                  <w:tcW w:w="706" w:type="pct"/>
                  <w:shd w:val="clear" w:color="auto" w:fill="auto"/>
                  <w:vAlign w:val="center"/>
                </w:tcPr>
                <w:p w14:paraId="708D6110">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1kg</w:t>
                  </w:r>
                </w:p>
              </w:tc>
              <w:tc>
                <w:tcPr>
                  <w:tcW w:w="624" w:type="pct"/>
                  <w:shd w:val="clear" w:color="auto" w:fill="auto"/>
                  <w:vAlign w:val="center"/>
                </w:tcPr>
                <w:p w14:paraId="47244917">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2瓶</w:t>
                  </w:r>
                </w:p>
              </w:tc>
              <w:tc>
                <w:tcPr>
                  <w:tcW w:w="758" w:type="pct"/>
                  <w:shd w:val="clear" w:color="auto" w:fill="auto"/>
                  <w:vAlign w:val="center"/>
                </w:tcPr>
                <w:p w14:paraId="522FA12F">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500g/瓶</w:t>
                  </w:r>
                </w:p>
              </w:tc>
              <w:tc>
                <w:tcPr>
                  <w:tcW w:w="1603" w:type="pct"/>
                  <w:vAlign w:val="center"/>
                </w:tcPr>
                <w:p w14:paraId="1CBBBDC6">
                  <w:pPr>
                    <w:pStyle w:val="29"/>
                    <w:bidi w:val="0"/>
                    <w:rPr>
                      <w:rFonts w:hint="default"/>
                      <w:color w:val="auto"/>
                      <w:lang w:val="en-US" w:eastAsia="zh-CN"/>
                    </w:rPr>
                  </w:pPr>
                  <w:r>
                    <w:rPr>
                      <w:rFonts w:hint="eastAsia"/>
                      <w:color w:val="auto"/>
                      <w:lang w:val="en-US" w:eastAsia="zh-CN"/>
                    </w:rPr>
                    <w:t>用于检测二氧化碳含量</w:t>
                  </w:r>
                </w:p>
              </w:tc>
            </w:tr>
            <w:tr w14:paraId="068B5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336" w:type="pct"/>
                  <w:shd w:val="clear" w:color="auto" w:fill="auto"/>
                  <w:vAlign w:val="center"/>
                </w:tcPr>
                <w:p w14:paraId="534ABD6D">
                  <w:pPr>
                    <w:pStyle w:val="29"/>
                    <w:bidi w:val="0"/>
                    <w:rPr>
                      <w:rFonts w:hint="default" w:cs="Times New Roman"/>
                      <w:color w:val="auto"/>
                      <w:lang w:val="en-US" w:eastAsia="zh-CN"/>
                    </w:rPr>
                  </w:pPr>
                  <w:r>
                    <w:rPr>
                      <w:rFonts w:hint="eastAsia" w:cs="Times New Roman"/>
                      <w:color w:val="auto"/>
                      <w:lang w:val="en-US" w:eastAsia="zh-CN"/>
                    </w:rPr>
                    <w:t>22</w:t>
                  </w:r>
                </w:p>
              </w:tc>
              <w:tc>
                <w:tcPr>
                  <w:tcW w:w="970" w:type="pct"/>
                  <w:shd w:val="clear" w:color="auto" w:fill="auto"/>
                  <w:vAlign w:val="center"/>
                </w:tcPr>
                <w:p w14:paraId="02EDBC14">
                  <w:pPr>
                    <w:pStyle w:val="64"/>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pacing w:val="6"/>
                      <w:sz w:val="21"/>
                      <w:szCs w:val="21"/>
                    </w:rPr>
                    <w:t>琼脂粉</w:t>
                  </w:r>
                </w:p>
              </w:tc>
              <w:tc>
                <w:tcPr>
                  <w:tcW w:w="706" w:type="pct"/>
                  <w:shd w:val="clear" w:color="auto" w:fill="auto"/>
                  <w:vAlign w:val="center"/>
                </w:tcPr>
                <w:p w14:paraId="6B66024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Times New Roman" w:cs="Times New Roman"/>
                      <w:color w:val="auto"/>
                      <w:kern w:val="2"/>
                      <w:sz w:val="21"/>
                      <w:szCs w:val="21"/>
                      <w:lang w:val="en-US" w:eastAsia="zh-CN" w:bidi="ar-SA"/>
                    </w:rPr>
                  </w:pPr>
                  <w:r>
                    <w:rPr>
                      <w:rFonts w:hint="default" w:ascii="Times New Roman" w:hAnsi="Times New Roman" w:eastAsia="Times New Roman" w:cs="Times New Roman"/>
                      <w:color w:val="auto"/>
                      <w:spacing w:val="-1"/>
                      <w:sz w:val="21"/>
                      <w:szCs w:val="21"/>
                    </w:rPr>
                    <w:t>1</w:t>
                  </w:r>
                  <w:r>
                    <w:rPr>
                      <w:rFonts w:hint="eastAsia" w:ascii="Times New Roman" w:hAnsi="Times New Roman" w:eastAsia="宋体" w:cs="Times New Roman"/>
                      <w:color w:val="auto"/>
                      <w:spacing w:val="-1"/>
                      <w:sz w:val="21"/>
                      <w:szCs w:val="21"/>
                      <w:lang w:val="en-US" w:eastAsia="zh-CN"/>
                    </w:rPr>
                    <w:t>50</w:t>
                  </w:r>
                  <w:r>
                    <w:rPr>
                      <w:rFonts w:hint="default" w:ascii="Times New Roman" w:hAnsi="Times New Roman" w:eastAsia="Times New Roman" w:cs="Times New Roman"/>
                      <w:color w:val="auto"/>
                      <w:spacing w:val="-1"/>
                      <w:sz w:val="21"/>
                      <w:szCs w:val="21"/>
                    </w:rPr>
                    <w:t>kg</w:t>
                  </w:r>
                </w:p>
              </w:tc>
              <w:tc>
                <w:tcPr>
                  <w:tcW w:w="624" w:type="pct"/>
                  <w:shd w:val="clear" w:color="auto" w:fill="auto"/>
                  <w:vAlign w:val="center"/>
                </w:tcPr>
                <w:p w14:paraId="729A1BD3">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1瓶</w:t>
                  </w:r>
                </w:p>
              </w:tc>
              <w:tc>
                <w:tcPr>
                  <w:tcW w:w="758" w:type="pct"/>
                  <w:shd w:val="clear" w:color="auto" w:fill="auto"/>
                  <w:vAlign w:val="center"/>
                </w:tcPr>
                <w:p w14:paraId="0D705467">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250g/瓶</w:t>
                  </w:r>
                </w:p>
              </w:tc>
              <w:tc>
                <w:tcPr>
                  <w:tcW w:w="1603" w:type="pct"/>
                  <w:vAlign w:val="center"/>
                </w:tcPr>
                <w:p w14:paraId="46C25A3B">
                  <w:pPr>
                    <w:pStyle w:val="29"/>
                    <w:bidi w:val="0"/>
                    <w:rPr>
                      <w:rFonts w:hint="default"/>
                      <w:color w:val="auto"/>
                      <w:lang w:val="en-US" w:eastAsia="zh-CN"/>
                    </w:rPr>
                  </w:pPr>
                  <w:r>
                    <w:rPr>
                      <w:rFonts w:hint="eastAsia"/>
                      <w:color w:val="auto"/>
                      <w:lang w:val="en-US" w:eastAsia="zh-CN"/>
                    </w:rPr>
                    <w:t>用于微生物检测</w:t>
                  </w:r>
                </w:p>
              </w:tc>
            </w:tr>
            <w:tr w14:paraId="45194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5000" w:type="pct"/>
                  <w:gridSpan w:val="6"/>
                  <w:vAlign w:val="center"/>
                </w:tcPr>
                <w:p w14:paraId="52383A94">
                  <w:pPr>
                    <w:pStyle w:val="29"/>
                    <w:bidi w:val="0"/>
                    <w:rPr>
                      <w:rFonts w:hint="eastAsia"/>
                      <w:color w:val="auto"/>
                      <w:lang w:val="en-US" w:eastAsia="zh-CN"/>
                    </w:rPr>
                  </w:pPr>
                  <w:r>
                    <w:rPr>
                      <w:rFonts w:hint="eastAsia"/>
                      <w:color w:val="auto"/>
                      <w:lang w:val="en-US" w:eastAsia="zh-CN"/>
                    </w:rPr>
                    <w:t>能源</w:t>
                  </w:r>
                </w:p>
              </w:tc>
            </w:tr>
            <w:tr w14:paraId="4A0E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 w:type="pct"/>
                  <w:vAlign w:val="center"/>
                </w:tcPr>
                <w:p w14:paraId="784402D7">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lang w:val="en-US" w:eastAsia="zh-CN"/>
                    </w:rPr>
                    <w:t>序号</w:t>
                  </w:r>
                </w:p>
              </w:tc>
              <w:tc>
                <w:tcPr>
                  <w:tcW w:w="970" w:type="pct"/>
                  <w:vAlign w:val="center"/>
                </w:tcPr>
                <w:p w14:paraId="1B95E906">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color w:val="auto"/>
                    </w:rPr>
                    <w:t>名称</w:t>
                  </w:r>
                </w:p>
              </w:tc>
              <w:tc>
                <w:tcPr>
                  <w:tcW w:w="706" w:type="pct"/>
                  <w:vAlign w:val="center"/>
                </w:tcPr>
                <w:p w14:paraId="63DBA577">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年用量</w:t>
                  </w:r>
                </w:p>
              </w:tc>
              <w:tc>
                <w:tcPr>
                  <w:tcW w:w="624" w:type="pct"/>
                  <w:shd w:val="clear" w:color="auto" w:fill="auto"/>
                  <w:vAlign w:val="center"/>
                </w:tcPr>
                <w:p w14:paraId="51504F7E">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ascii="Times New Roman" w:hAnsi="Times New Roman" w:cs="黑体"/>
                      <w:b w:val="0"/>
                      <w:color w:val="auto"/>
                      <w:kern w:val="2"/>
                      <w:sz w:val="21"/>
                      <w:szCs w:val="24"/>
                      <w:lang w:val="en-US" w:eastAsia="zh-CN" w:bidi="ar-SA"/>
                    </w:rPr>
                    <w:t>单位</w:t>
                  </w:r>
                </w:p>
              </w:tc>
              <w:tc>
                <w:tcPr>
                  <w:tcW w:w="2361" w:type="pct"/>
                  <w:gridSpan w:val="2"/>
                  <w:vAlign w:val="center"/>
                </w:tcPr>
                <w:p w14:paraId="70DBDEAA">
                  <w:pPr>
                    <w:pStyle w:val="29"/>
                    <w:bidi w:val="0"/>
                    <w:rPr>
                      <w:rFonts w:hint="default"/>
                      <w:color w:val="auto"/>
                      <w:lang w:val="en-US" w:eastAsia="zh-CN"/>
                    </w:rPr>
                  </w:pPr>
                  <w:r>
                    <w:rPr>
                      <w:rFonts w:hint="eastAsia"/>
                      <w:color w:val="auto"/>
                      <w:lang w:eastAsia="zh-CN"/>
                    </w:rPr>
                    <w:t>来源</w:t>
                  </w:r>
                </w:p>
              </w:tc>
            </w:tr>
            <w:tr w14:paraId="2602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 w:type="pct"/>
                  <w:vAlign w:val="center"/>
                </w:tcPr>
                <w:p w14:paraId="3CFDEC85">
                  <w:pPr>
                    <w:pStyle w:val="29"/>
                    <w:bidi w:val="0"/>
                    <w:ind w:firstLine="0" w:firstLineChars="0"/>
                    <w:rPr>
                      <w:rFonts w:hint="default"/>
                      <w:color w:val="auto"/>
                      <w:lang w:val="en-US" w:eastAsia="zh-CN"/>
                    </w:rPr>
                  </w:pPr>
                  <w:r>
                    <w:rPr>
                      <w:rFonts w:hint="eastAsia"/>
                      <w:color w:val="auto"/>
                      <w:lang w:val="en-US" w:eastAsia="zh-CN"/>
                    </w:rPr>
                    <w:t>1</w:t>
                  </w:r>
                </w:p>
              </w:tc>
              <w:tc>
                <w:tcPr>
                  <w:tcW w:w="970" w:type="pct"/>
                  <w:vAlign w:val="center"/>
                </w:tcPr>
                <w:p w14:paraId="21491E73">
                  <w:pPr>
                    <w:pStyle w:val="29"/>
                    <w:bidi w:val="0"/>
                    <w:ind w:firstLine="0" w:firstLineChars="0"/>
                    <w:rPr>
                      <w:rFonts w:hint="eastAsia" w:eastAsia="宋体"/>
                      <w:color w:val="auto"/>
                      <w:lang w:eastAsia="zh-CN"/>
                    </w:rPr>
                  </w:pPr>
                  <w:r>
                    <w:rPr>
                      <w:rFonts w:hint="eastAsia"/>
                      <w:color w:val="auto"/>
                      <w:lang w:eastAsia="zh-CN"/>
                    </w:rPr>
                    <w:t>电力</w:t>
                  </w:r>
                </w:p>
              </w:tc>
              <w:tc>
                <w:tcPr>
                  <w:tcW w:w="706" w:type="pct"/>
                  <w:vAlign w:val="center"/>
                </w:tcPr>
                <w:p w14:paraId="2CF247E8">
                  <w:pPr>
                    <w:pStyle w:val="29"/>
                    <w:bidi w:val="0"/>
                    <w:ind w:firstLine="0" w:firstLineChars="0"/>
                    <w:rPr>
                      <w:rFonts w:hint="eastAsia"/>
                      <w:color w:val="auto"/>
                      <w:lang w:val="en-US" w:eastAsia="zh-CN"/>
                    </w:rPr>
                  </w:pPr>
                  <w:r>
                    <w:rPr>
                      <w:rFonts w:hint="eastAsia"/>
                      <w:color w:val="auto"/>
                      <w:lang w:val="en-US" w:eastAsia="zh-CN"/>
                    </w:rPr>
                    <w:t>10082.2</w:t>
                  </w:r>
                </w:p>
              </w:tc>
              <w:tc>
                <w:tcPr>
                  <w:tcW w:w="624" w:type="pct"/>
                  <w:shd w:val="clear" w:color="auto" w:fill="auto"/>
                  <w:vAlign w:val="center"/>
                </w:tcPr>
                <w:p w14:paraId="1020A58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kw·h/a</w:t>
                  </w:r>
                </w:p>
              </w:tc>
              <w:tc>
                <w:tcPr>
                  <w:tcW w:w="2361" w:type="pct"/>
                  <w:gridSpan w:val="2"/>
                  <w:shd w:val="clear" w:color="auto" w:fill="auto"/>
                  <w:vAlign w:val="center"/>
                </w:tcPr>
                <w:p w14:paraId="3215743A">
                  <w:pPr>
                    <w:pStyle w:val="58"/>
                    <w:snapToGrid w:val="0"/>
                    <w:spacing w:line="240" w:lineRule="auto"/>
                    <w:ind w:firstLine="0" w:firstLineChars="0"/>
                    <w:jc w:val="center"/>
                    <w:rPr>
                      <w:rFonts w:hint="eastAsia" w:asciiTheme="minorEastAsia" w:hAnsiTheme="minorEastAsia" w:eastAsiaTheme="minorEastAsia" w:cstheme="minorEastAsia"/>
                      <w:color w:val="auto"/>
                      <w:spacing w:val="0"/>
                      <w:kern w:val="24"/>
                      <w:position w:val="0"/>
                      <w:sz w:val="21"/>
                      <w:szCs w:val="21"/>
                      <w:shd w:val="clear" w:fill="auto"/>
                      <w:lang w:val="en-US" w:eastAsia="zh-CN" w:bidi="ar-SA"/>
                    </w:rPr>
                  </w:pPr>
                  <w:r>
                    <w:rPr>
                      <w:rFonts w:hint="eastAsia" w:asciiTheme="minorEastAsia" w:hAnsiTheme="minorEastAsia" w:eastAsiaTheme="minorEastAsia" w:cstheme="minorEastAsia"/>
                      <w:color w:val="auto"/>
                      <w:spacing w:val="0"/>
                      <w:kern w:val="24"/>
                      <w:position w:val="0"/>
                      <w:sz w:val="21"/>
                      <w:szCs w:val="21"/>
                      <w:shd w:val="clear" w:fill="auto"/>
                      <w:lang w:val="en-US" w:eastAsia="zh-CN" w:bidi="ar-SA"/>
                    </w:rPr>
                    <w:t>园区电网供给</w:t>
                  </w:r>
                </w:p>
              </w:tc>
            </w:tr>
            <w:tr w14:paraId="08CA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 w:type="pct"/>
                  <w:vAlign w:val="center"/>
                </w:tcPr>
                <w:p w14:paraId="318A8A0E">
                  <w:pPr>
                    <w:pStyle w:val="29"/>
                    <w:bidi w:val="0"/>
                    <w:ind w:firstLine="0" w:firstLineChars="0"/>
                    <w:rPr>
                      <w:rFonts w:hint="default"/>
                      <w:color w:val="auto"/>
                      <w:lang w:val="en-US" w:eastAsia="zh-CN"/>
                    </w:rPr>
                  </w:pPr>
                  <w:r>
                    <w:rPr>
                      <w:rFonts w:hint="eastAsia"/>
                      <w:color w:val="auto"/>
                      <w:lang w:val="en-US" w:eastAsia="zh-CN"/>
                    </w:rPr>
                    <w:t>2</w:t>
                  </w:r>
                </w:p>
              </w:tc>
              <w:tc>
                <w:tcPr>
                  <w:tcW w:w="970" w:type="pct"/>
                  <w:vAlign w:val="center"/>
                </w:tcPr>
                <w:p w14:paraId="325AC75A">
                  <w:pPr>
                    <w:pStyle w:val="29"/>
                    <w:bidi w:val="0"/>
                    <w:ind w:firstLine="0" w:firstLineChars="0"/>
                    <w:rPr>
                      <w:rFonts w:hint="eastAsia" w:eastAsia="宋体"/>
                      <w:color w:val="auto"/>
                      <w:lang w:eastAsia="zh-CN"/>
                    </w:rPr>
                  </w:pPr>
                  <w:r>
                    <w:rPr>
                      <w:rFonts w:hint="eastAsia"/>
                      <w:color w:val="auto"/>
                      <w:lang w:eastAsia="zh-CN"/>
                    </w:rPr>
                    <w:t>水</w:t>
                  </w:r>
                </w:p>
              </w:tc>
              <w:tc>
                <w:tcPr>
                  <w:tcW w:w="706" w:type="pct"/>
                  <w:vAlign w:val="center"/>
                </w:tcPr>
                <w:p w14:paraId="7D466149">
                  <w:pPr>
                    <w:pStyle w:val="29"/>
                    <w:bidi w:val="0"/>
                    <w:ind w:firstLine="0" w:firstLineChars="0"/>
                    <w:rPr>
                      <w:rFonts w:hint="default"/>
                      <w:color w:val="auto"/>
                      <w:lang w:val="en-US" w:eastAsia="zh-CN"/>
                    </w:rPr>
                  </w:pPr>
                  <w:r>
                    <w:rPr>
                      <w:rFonts w:hint="eastAsia"/>
                      <w:color w:val="auto"/>
                      <w:lang w:val="en-US" w:eastAsia="zh-CN"/>
                    </w:rPr>
                    <w:t>2502.563</w:t>
                  </w:r>
                </w:p>
              </w:tc>
              <w:tc>
                <w:tcPr>
                  <w:tcW w:w="624" w:type="pct"/>
                  <w:shd w:val="clear" w:color="auto" w:fill="auto"/>
                  <w:vAlign w:val="center"/>
                </w:tcPr>
                <w:p w14:paraId="368E209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m</w:t>
                  </w:r>
                  <w:r>
                    <w:rPr>
                      <w:rFonts w:hint="eastAsia"/>
                      <w:color w:val="auto"/>
                      <w:vertAlign w:val="superscript"/>
                      <w:lang w:val="en-US" w:eastAsia="zh-CN"/>
                    </w:rPr>
                    <w:t>3</w:t>
                  </w:r>
                  <w:r>
                    <w:rPr>
                      <w:rFonts w:hint="eastAsia"/>
                      <w:color w:val="auto"/>
                      <w:vertAlign w:val="baseline"/>
                      <w:lang w:val="en-US" w:eastAsia="zh-CN"/>
                    </w:rPr>
                    <w:t>/a</w:t>
                  </w:r>
                </w:p>
              </w:tc>
              <w:tc>
                <w:tcPr>
                  <w:tcW w:w="2361" w:type="pct"/>
                  <w:gridSpan w:val="2"/>
                  <w:shd w:val="clear" w:color="auto" w:fill="auto"/>
                  <w:vAlign w:val="center"/>
                </w:tcPr>
                <w:p w14:paraId="1E18B8AA">
                  <w:pPr>
                    <w:pStyle w:val="58"/>
                    <w:snapToGrid w:val="0"/>
                    <w:spacing w:line="240" w:lineRule="auto"/>
                    <w:ind w:firstLine="0" w:firstLineChars="0"/>
                    <w:jc w:val="center"/>
                    <w:rPr>
                      <w:rFonts w:hint="eastAsia" w:asciiTheme="minorEastAsia" w:hAnsiTheme="minorEastAsia" w:eastAsiaTheme="minorEastAsia" w:cstheme="minorEastAsia"/>
                      <w:color w:val="auto"/>
                      <w:spacing w:val="0"/>
                      <w:kern w:val="24"/>
                      <w:position w:val="0"/>
                      <w:sz w:val="21"/>
                      <w:szCs w:val="21"/>
                      <w:shd w:val="clear" w:fill="auto"/>
                      <w:lang w:val="en-US" w:eastAsia="zh-CN" w:bidi="ar-SA"/>
                    </w:rPr>
                  </w:pPr>
                  <w:r>
                    <w:rPr>
                      <w:rFonts w:hint="eastAsia" w:asciiTheme="minorEastAsia" w:hAnsiTheme="minorEastAsia" w:eastAsiaTheme="minorEastAsia" w:cstheme="minorEastAsia"/>
                      <w:color w:val="auto"/>
                      <w:kern w:val="0"/>
                      <w:sz w:val="21"/>
                      <w:szCs w:val="21"/>
                      <w:lang w:val="en-US" w:eastAsia="zh-CN" w:bidi="ar"/>
                    </w:rPr>
                    <w:t>园区</w:t>
                  </w:r>
                  <w:r>
                    <w:rPr>
                      <w:rFonts w:hint="eastAsia" w:asciiTheme="minorEastAsia" w:hAnsiTheme="minorEastAsia" w:eastAsiaTheme="minorEastAsia" w:cstheme="minorEastAsia"/>
                      <w:color w:val="auto"/>
                      <w:kern w:val="0"/>
                      <w:sz w:val="21"/>
                      <w:szCs w:val="21"/>
                      <w:lang w:bidi="ar"/>
                    </w:rPr>
                    <w:t>自来水供给</w:t>
                  </w:r>
                </w:p>
              </w:tc>
            </w:tr>
          </w:tbl>
          <w:p w14:paraId="61AE7040">
            <w:pPr>
              <w:bidi w:val="0"/>
              <w:rPr>
                <w:rFonts w:hint="eastAsia"/>
                <w:color w:val="auto"/>
                <w:lang w:val="en-US" w:eastAsia="zh-CN"/>
              </w:rPr>
            </w:pPr>
            <w:r>
              <w:rPr>
                <w:rFonts w:hint="eastAsia"/>
                <w:color w:val="auto"/>
                <w:lang w:val="en-US" w:eastAsia="zh-CN"/>
              </w:rPr>
              <w:t>本项目原辅材料理化性质见下表：</w:t>
            </w:r>
          </w:p>
          <w:p w14:paraId="1320B782">
            <w:pPr>
              <w:bidi w:val="0"/>
              <w:jc w:val="center"/>
              <w:rPr>
                <w:rFonts w:hint="eastAsia" w:ascii="Times New Roman" w:hAnsi="Times New Roman" w:eastAsia="宋体" w:cs="Times New Roman"/>
                <w:b/>
                <w:color w:val="auto"/>
                <w:kern w:val="2"/>
                <w:sz w:val="21"/>
                <w:szCs w:val="24"/>
                <w:highlight w:val="none"/>
                <w:lang w:val="en-US" w:eastAsia="zh-CN" w:bidi="ar-SA"/>
              </w:rPr>
            </w:pPr>
            <w:r>
              <w:rPr>
                <w:rFonts w:hint="eastAsia" w:ascii="Times New Roman" w:hAnsi="Times New Roman" w:eastAsia="宋体" w:cs="Times New Roman"/>
                <w:b/>
                <w:color w:val="auto"/>
                <w:kern w:val="2"/>
                <w:sz w:val="21"/>
                <w:szCs w:val="24"/>
                <w:highlight w:val="none"/>
                <w:lang w:val="en-US" w:eastAsia="zh-CN" w:bidi="ar-SA"/>
              </w:rPr>
              <w:t>表2-7  原辅料理化性质一览表</w:t>
            </w:r>
          </w:p>
          <w:tbl>
            <w:tblPr>
              <w:tblStyle w:val="24"/>
              <w:tblW w:w="7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7"/>
              <w:gridCol w:w="1339"/>
              <w:gridCol w:w="4413"/>
              <w:gridCol w:w="857"/>
            </w:tblGrid>
            <w:tr w14:paraId="0949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643762C8">
                  <w:pPr>
                    <w:pStyle w:val="29"/>
                    <w:bidi w:val="0"/>
                    <w:rPr>
                      <w:rFonts w:hint="default"/>
                      <w:color w:val="auto"/>
                      <w:lang w:val="en-US" w:eastAsia="zh-CN"/>
                    </w:rPr>
                  </w:pPr>
                  <w:r>
                    <w:rPr>
                      <w:rFonts w:hint="eastAsia"/>
                      <w:color w:val="auto"/>
                      <w:lang w:val="en-US" w:eastAsia="zh-CN"/>
                    </w:rPr>
                    <w:t>名称</w:t>
                  </w:r>
                </w:p>
              </w:tc>
              <w:tc>
                <w:tcPr>
                  <w:tcW w:w="1339" w:type="dxa"/>
                  <w:vAlign w:val="center"/>
                </w:tcPr>
                <w:p w14:paraId="5F65A8A6">
                  <w:pPr>
                    <w:pStyle w:val="29"/>
                    <w:bidi w:val="0"/>
                    <w:rPr>
                      <w:rFonts w:hint="default"/>
                      <w:color w:val="auto"/>
                      <w:lang w:val="en-US" w:eastAsia="zh-CN"/>
                    </w:rPr>
                  </w:pPr>
                  <w:r>
                    <w:rPr>
                      <w:rFonts w:hint="eastAsia"/>
                      <w:color w:val="auto"/>
                      <w:lang w:val="en-US" w:eastAsia="zh-CN"/>
                    </w:rPr>
                    <w:t>CAS号</w:t>
                  </w:r>
                </w:p>
              </w:tc>
              <w:tc>
                <w:tcPr>
                  <w:tcW w:w="4413" w:type="dxa"/>
                  <w:vAlign w:val="center"/>
                </w:tcPr>
                <w:p w14:paraId="32C21CF2">
                  <w:pPr>
                    <w:pStyle w:val="29"/>
                    <w:bidi w:val="0"/>
                    <w:rPr>
                      <w:rFonts w:hint="default"/>
                      <w:color w:val="auto"/>
                      <w:lang w:val="en-US" w:eastAsia="zh-CN"/>
                    </w:rPr>
                  </w:pPr>
                  <w:r>
                    <w:rPr>
                      <w:rFonts w:hint="eastAsia"/>
                      <w:color w:val="auto"/>
                      <w:lang w:val="en-US" w:eastAsia="zh-CN"/>
                    </w:rPr>
                    <w:t>理化性质</w:t>
                  </w:r>
                </w:p>
              </w:tc>
              <w:tc>
                <w:tcPr>
                  <w:tcW w:w="857" w:type="dxa"/>
                  <w:vAlign w:val="center"/>
                </w:tcPr>
                <w:p w14:paraId="09E009F9">
                  <w:pPr>
                    <w:pStyle w:val="29"/>
                    <w:bidi w:val="0"/>
                    <w:rPr>
                      <w:rFonts w:hint="default"/>
                      <w:color w:val="auto"/>
                      <w:lang w:val="en-US" w:eastAsia="zh-CN"/>
                    </w:rPr>
                  </w:pPr>
                  <w:r>
                    <w:rPr>
                      <w:rFonts w:hint="eastAsia"/>
                      <w:color w:val="auto"/>
                      <w:lang w:val="en-US" w:eastAsia="zh-CN"/>
                    </w:rPr>
                    <w:t>危险性</w:t>
                  </w:r>
                </w:p>
              </w:tc>
            </w:tr>
            <w:tr w14:paraId="7340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2CA174C1">
                  <w:pPr>
                    <w:pStyle w:val="29"/>
                    <w:bidi w:val="0"/>
                    <w:rPr>
                      <w:rFonts w:hint="default"/>
                      <w:color w:val="auto"/>
                      <w:lang w:val="en-US" w:eastAsia="zh-CN"/>
                    </w:rPr>
                  </w:pPr>
                  <w:r>
                    <w:rPr>
                      <w:rFonts w:hint="eastAsia"/>
                      <w:color w:val="auto"/>
                      <w:lang w:val="en-US" w:eastAsia="zh-CN"/>
                    </w:rPr>
                    <w:t>麦芽</w:t>
                  </w:r>
                </w:p>
              </w:tc>
              <w:tc>
                <w:tcPr>
                  <w:tcW w:w="1339" w:type="dxa"/>
                  <w:vAlign w:val="center"/>
                </w:tcPr>
                <w:p w14:paraId="25649523">
                  <w:pPr>
                    <w:pStyle w:val="29"/>
                    <w:bidi w:val="0"/>
                    <w:rPr>
                      <w:rFonts w:hint="default"/>
                      <w:color w:val="auto"/>
                      <w:lang w:val="en-US" w:eastAsia="zh-CN"/>
                    </w:rPr>
                  </w:pPr>
                  <w:r>
                    <w:rPr>
                      <w:rFonts w:hint="eastAsia"/>
                      <w:color w:val="auto"/>
                      <w:lang w:val="en-US" w:eastAsia="zh-CN"/>
                    </w:rPr>
                    <w:t>/</w:t>
                  </w:r>
                </w:p>
              </w:tc>
              <w:tc>
                <w:tcPr>
                  <w:tcW w:w="4413" w:type="dxa"/>
                  <w:vAlign w:val="center"/>
                </w:tcPr>
                <w:p w14:paraId="716E441D">
                  <w:pPr>
                    <w:pStyle w:val="29"/>
                    <w:bidi w:val="0"/>
                    <w:rPr>
                      <w:rFonts w:hint="default"/>
                      <w:color w:val="auto"/>
                      <w:lang w:val="en-US" w:eastAsia="zh-CN"/>
                    </w:rPr>
                  </w:pPr>
                  <w:r>
                    <w:rPr>
                      <w:rFonts w:hint="default"/>
                      <w:color w:val="auto"/>
                      <w:lang w:val="en-US" w:eastAsia="zh-CN"/>
                    </w:rPr>
                    <w:t>项目所用麦芽为颗粒麦芽，是啤酒酿造主要原料，浸出物≥79%，夹杂物0.9%</w:t>
                  </w:r>
                  <w:r>
                    <w:rPr>
                      <w:rFonts w:hint="eastAsia"/>
                      <w:color w:val="auto"/>
                      <w:lang w:val="en-US" w:eastAsia="zh-CN"/>
                    </w:rPr>
                    <w:t>，</w:t>
                  </w:r>
                  <w:r>
                    <w:rPr>
                      <w:rFonts w:hint="default"/>
                      <w:color w:val="auto"/>
                      <w:lang w:val="en-US" w:eastAsia="zh-CN"/>
                    </w:rPr>
                    <w:t>糖力≥260WK</w:t>
                  </w:r>
                  <w:r>
                    <w:rPr>
                      <w:rFonts w:hint="eastAsia"/>
                      <w:color w:val="auto"/>
                      <w:lang w:val="en-US" w:eastAsia="zh-CN"/>
                    </w:rPr>
                    <w:t>。</w:t>
                  </w:r>
                </w:p>
              </w:tc>
              <w:tc>
                <w:tcPr>
                  <w:tcW w:w="857" w:type="dxa"/>
                  <w:vAlign w:val="center"/>
                </w:tcPr>
                <w:p w14:paraId="49850C8B">
                  <w:pPr>
                    <w:pStyle w:val="29"/>
                    <w:bidi w:val="0"/>
                    <w:rPr>
                      <w:rFonts w:hint="default"/>
                      <w:color w:val="auto"/>
                      <w:lang w:val="en-US" w:eastAsia="zh-CN"/>
                    </w:rPr>
                  </w:pPr>
                  <w:r>
                    <w:rPr>
                      <w:rFonts w:hint="eastAsia"/>
                      <w:color w:val="auto"/>
                      <w:lang w:val="en-US" w:eastAsia="zh-CN"/>
                    </w:rPr>
                    <w:t>无</w:t>
                  </w:r>
                </w:p>
              </w:tc>
            </w:tr>
            <w:tr w14:paraId="67CF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7FFBCC71">
                  <w:pPr>
                    <w:pStyle w:val="29"/>
                    <w:bidi w:val="0"/>
                    <w:rPr>
                      <w:rFonts w:hint="default"/>
                      <w:color w:val="auto"/>
                      <w:lang w:val="en-US" w:eastAsia="zh-CN"/>
                    </w:rPr>
                  </w:pPr>
                  <w:r>
                    <w:rPr>
                      <w:rFonts w:hint="eastAsia"/>
                      <w:color w:val="auto"/>
                      <w:lang w:val="en-US" w:eastAsia="zh-CN"/>
                    </w:rPr>
                    <w:t>啤酒花</w:t>
                  </w:r>
                </w:p>
              </w:tc>
              <w:tc>
                <w:tcPr>
                  <w:tcW w:w="1339" w:type="dxa"/>
                  <w:vAlign w:val="center"/>
                </w:tcPr>
                <w:p w14:paraId="1836E0D1">
                  <w:pPr>
                    <w:pStyle w:val="29"/>
                    <w:bidi w:val="0"/>
                    <w:rPr>
                      <w:rFonts w:hint="default"/>
                      <w:color w:val="auto"/>
                      <w:lang w:val="en-US" w:eastAsia="zh-CN"/>
                    </w:rPr>
                  </w:pPr>
                  <w:r>
                    <w:rPr>
                      <w:rFonts w:hint="eastAsia"/>
                      <w:color w:val="auto"/>
                      <w:lang w:val="en-US" w:eastAsia="zh-CN"/>
                    </w:rPr>
                    <w:t>/</w:t>
                  </w:r>
                </w:p>
              </w:tc>
              <w:tc>
                <w:tcPr>
                  <w:tcW w:w="4413" w:type="dxa"/>
                  <w:vAlign w:val="center"/>
                </w:tcPr>
                <w:p w14:paraId="4D456991">
                  <w:pPr>
                    <w:pStyle w:val="29"/>
                    <w:bidi w:val="0"/>
                    <w:rPr>
                      <w:rFonts w:hint="default"/>
                      <w:color w:val="auto"/>
                      <w:lang w:val="en-US" w:eastAsia="zh-CN"/>
                    </w:rPr>
                  </w:pPr>
                  <w:r>
                    <w:rPr>
                      <w:rFonts w:hint="default"/>
                      <w:color w:val="auto"/>
                      <w:lang w:val="en-US" w:eastAsia="zh-CN"/>
                    </w:rPr>
                    <w:t>植物啤酒花的雌花。啤酒花腺体中含有的芳香油，可使啤酒具有一种特殊的啤酒花清香味。啤酒花的主要化学成分已知有200多种，包括蛋白质、脂肪、蜡、无氮浸出物，纤维素和无机物质等一般的植物成分；特有的化学成分包括酒花精油，苦味物质和多酚。啤酒花特殊的功能源于特殊的成分，这些物质系双键类分子，性质活性，较难测出和分离。</w:t>
                  </w:r>
                </w:p>
              </w:tc>
              <w:tc>
                <w:tcPr>
                  <w:tcW w:w="857" w:type="dxa"/>
                  <w:vAlign w:val="center"/>
                </w:tcPr>
                <w:p w14:paraId="164446E2">
                  <w:pPr>
                    <w:pStyle w:val="29"/>
                    <w:bidi w:val="0"/>
                    <w:rPr>
                      <w:rFonts w:hint="default"/>
                      <w:color w:val="auto"/>
                      <w:lang w:val="en-US" w:eastAsia="zh-CN"/>
                    </w:rPr>
                  </w:pPr>
                  <w:r>
                    <w:rPr>
                      <w:rFonts w:hint="eastAsia"/>
                      <w:color w:val="auto"/>
                      <w:lang w:val="en-US" w:eastAsia="zh-CN"/>
                    </w:rPr>
                    <w:t>无</w:t>
                  </w:r>
                </w:p>
              </w:tc>
            </w:tr>
            <w:tr w14:paraId="2826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0E60360D">
                  <w:pPr>
                    <w:pStyle w:val="29"/>
                    <w:bidi w:val="0"/>
                    <w:rPr>
                      <w:rFonts w:hint="default"/>
                      <w:color w:val="auto"/>
                      <w:lang w:val="en-US" w:eastAsia="zh-CN"/>
                    </w:rPr>
                  </w:pPr>
                  <w:r>
                    <w:rPr>
                      <w:rFonts w:hint="eastAsia"/>
                      <w:color w:val="auto"/>
                      <w:lang w:val="en-US" w:eastAsia="zh-CN"/>
                    </w:rPr>
                    <w:t>酵母</w:t>
                  </w:r>
                </w:p>
              </w:tc>
              <w:tc>
                <w:tcPr>
                  <w:tcW w:w="1339" w:type="dxa"/>
                  <w:vAlign w:val="center"/>
                </w:tcPr>
                <w:p w14:paraId="1C658134">
                  <w:pPr>
                    <w:pStyle w:val="29"/>
                    <w:bidi w:val="0"/>
                    <w:rPr>
                      <w:rFonts w:hint="default"/>
                      <w:color w:val="auto"/>
                      <w:lang w:val="en-US" w:eastAsia="zh-CN"/>
                    </w:rPr>
                  </w:pPr>
                  <w:r>
                    <w:rPr>
                      <w:rFonts w:hint="eastAsia"/>
                      <w:color w:val="auto"/>
                      <w:lang w:val="en-US" w:eastAsia="zh-CN"/>
                    </w:rPr>
                    <w:t>/</w:t>
                  </w:r>
                </w:p>
              </w:tc>
              <w:tc>
                <w:tcPr>
                  <w:tcW w:w="4413" w:type="dxa"/>
                  <w:vAlign w:val="center"/>
                </w:tcPr>
                <w:p w14:paraId="2ABA0DA2">
                  <w:pPr>
                    <w:pStyle w:val="29"/>
                    <w:bidi w:val="0"/>
                    <w:rPr>
                      <w:rFonts w:hint="default"/>
                      <w:color w:val="auto"/>
                      <w:lang w:val="en-US" w:eastAsia="zh-CN"/>
                    </w:rPr>
                  </w:pPr>
                  <w:r>
                    <w:rPr>
                      <w:rFonts w:hint="default"/>
                      <w:color w:val="auto"/>
                      <w:lang w:val="en-US" w:eastAsia="zh-CN"/>
                    </w:rPr>
                    <w:t>一种单细胞真菌，在有氧和无氧环境下都能生存，属于兼性厌氧菌。</w:t>
                  </w:r>
                </w:p>
              </w:tc>
              <w:tc>
                <w:tcPr>
                  <w:tcW w:w="857" w:type="dxa"/>
                  <w:vAlign w:val="center"/>
                </w:tcPr>
                <w:p w14:paraId="1BBFD560">
                  <w:pPr>
                    <w:pStyle w:val="29"/>
                    <w:bidi w:val="0"/>
                    <w:rPr>
                      <w:rFonts w:hint="default"/>
                      <w:color w:val="auto"/>
                      <w:lang w:val="en-US" w:eastAsia="zh-CN"/>
                    </w:rPr>
                  </w:pPr>
                  <w:r>
                    <w:rPr>
                      <w:rFonts w:hint="eastAsia"/>
                      <w:color w:val="auto"/>
                      <w:lang w:val="en-US" w:eastAsia="zh-CN"/>
                    </w:rPr>
                    <w:t>无</w:t>
                  </w:r>
                </w:p>
              </w:tc>
            </w:tr>
            <w:tr w14:paraId="0445E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5E5473C2">
                  <w:pPr>
                    <w:pStyle w:val="29"/>
                    <w:bidi w:val="0"/>
                    <w:rPr>
                      <w:rFonts w:hint="default"/>
                      <w:color w:val="auto"/>
                      <w:lang w:val="en-US" w:eastAsia="zh-CN"/>
                    </w:rPr>
                  </w:pPr>
                  <w:r>
                    <w:rPr>
                      <w:rFonts w:hint="eastAsia"/>
                      <w:color w:val="auto"/>
                      <w:lang w:val="en-US" w:eastAsia="zh-CN"/>
                    </w:rPr>
                    <w:t>卡拉胶</w:t>
                  </w:r>
                </w:p>
              </w:tc>
              <w:tc>
                <w:tcPr>
                  <w:tcW w:w="1339" w:type="dxa"/>
                  <w:vAlign w:val="center"/>
                </w:tcPr>
                <w:p w14:paraId="61966FA0">
                  <w:pPr>
                    <w:pStyle w:val="29"/>
                    <w:bidi w:val="0"/>
                    <w:rPr>
                      <w:rFonts w:hint="default"/>
                      <w:color w:val="auto"/>
                      <w:lang w:val="en-US" w:eastAsia="zh-CN"/>
                    </w:rPr>
                  </w:pPr>
                  <w:r>
                    <w:rPr>
                      <w:rFonts w:hint="eastAsia"/>
                      <w:color w:val="auto"/>
                      <w:lang w:val="en-US" w:eastAsia="zh-CN"/>
                    </w:rPr>
                    <w:t>/</w:t>
                  </w:r>
                </w:p>
              </w:tc>
              <w:tc>
                <w:tcPr>
                  <w:tcW w:w="4413" w:type="dxa"/>
                  <w:vAlign w:val="center"/>
                </w:tcPr>
                <w:p w14:paraId="62700E42">
                  <w:pPr>
                    <w:pStyle w:val="29"/>
                    <w:bidi w:val="0"/>
                    <w:rPr>
                      <w:rFonts w:hint="default"/>
                      <w:color w:val="auto"/>
                      <w:lang w:val="en-US" w:eastAsia="zh-CN"/>
                    </w:rPr>
                  </w:pPr>
                  <w:r>
                    <w:rPr>
                      <w:rFonts w:hint="eastAsia"/>
                      <w:color w:val="auto"/>
                      <w:lang w:val="en-US" w:eastAsia="zh-CN"/>
                    </w:rPr>
                    <w:t>白色或浅黄色粉末，无臭，无味，口感粘滑，有的产品稍带海藻味。密度（g/mL，25/4℃）。不溶于甲醇、乙醇、丙醇、异丙醇和丙酮等有机溶剂。</w:t>
                  </w:r>
                </w:p>
              </w:tc>
              <w:tc>
                <w:tcPr>
                  <w:tcW w:w="857" w:type="dxa"/>
                  <w:vAlign w:val="center"/>
                </w:tcPr>
                <w:p w14:paraId="5E0E055F">
                  <w:pPr>
                    <w:pStyle w:val="29"/>
                    <w:bidi w:val="0"/>
                    <w:rPr>
                      <w:rFonts w:hint="default"/>
                      <w:color w:val="auto"/>
                      <w:lang w:val="en-US" w:eastAsia="zh-CN"/>
                    </w:rPr>
                  </w:pPr>
                  <w:r>
                    <w:rPr>
                      <w:rFonts w:hint="eastAsia"/>
                      <w:color w:val="auto"/>
                      <w:lang w:val="en-US" w:eastAsia="zh-CN"/>
                    </w:rPr>
                    <w:t>无</w:t>
                  </w:r>
                </w:p>
              </w:tc>
            </w:tr>
            <w:tr w14:paraId="52FC6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72E95C14">
                  <w:pPr>
                    <w:pStyle w:val="29"/>
                    <w:bidi w:val="0"/>
                    <w:rPr>
                      <w:rFonts w:hint="default"/>
                      <w:color w:val="auto"/>
                      <w:lang w:val="en-US" w:eastAsia="zh-CN"/>
                    </w:rPr>
                  </w:pPr>
                  <w:r>
                    <w:rPr>
                      <w:rFonts w:hint="eastAsia"/>
                      <w:color w:val="auto"/>
                      <w:lang w:val="en-US" w:eastAsia="zh-CN"/>
                    </w:rPr>
                    <w:t>制冷剂</w:t>
                  </w:r>
                </w:p>
              </w:tc>
              <w:tc>
                <w:tcPr>
                  <w:tcW w:w="1339" w:type="dxa"/>
                  <w:vAlign w:val="center"/>
                </w:tcPr>
                <w:p w14:paraId="4BF00285">
                  <w:pPr>
                    <w:pStyle w:val="29"/>
                    <w:bidi w:val="0"/>
                    <w:rPr>
                      <w:rFonts w:hint="default"/>
                      <w:color w:val="auto"/>
                      <w:lang w:val="en-US" w:eastAsia="zh-CN"/>
                    </w:rPr>
                  </w:pPr>
                  <w:r>
                    <w:rPr>
                      <w:rFonts w:hint="eastAsia"/>
                      <w:color w:val="auto"/>
                      <w:lang w:val="en-US" w:eastAsia="zh-CN"/>
                    </w:rPr>
                    <w:t>75-45-6</w:t>
                  </w:r>
                </w:p>
              </w:tc>
              <w:tc>
                <w:tcPr>
                  <w:tcW w:w="4413" w:type="dxa"/>
                  <w:vAlign w:val="center"/>
                </w:tcPr>
                <w:p w14:paraId="3F0CD0E1">
                  <w:pPr>
                    <w:pStyle w:val="29"/>
                    <w:bidi w:val="0"/>
                    <w:rPr>
                      <w:rFonts w:hint="default"/>
                      <w:color w:val="auto"/>
                      <w:lang w:val="en-US" w:eastAsia="zh-CN"/>
                    </w:rPr>
                  </w:pPr>
                  <w:r>
                    <w:rPr>
                      <w:rFonts w:hint="eastAsia"/>
                      <w:color w:val="auto"/>
                      <w:lang w:val="en-US" w:eastAsia="zh-CN"/>
                    </w:rPr>
                    <w:t>本项目制冷机组所使用的R-22制冷剂，分子式为CHClF</w:t>
                  </w:r>
                  <w:r>
                    <w:rPr>
                      <w:rFonts w:hint="eastAsia"/>
                      <w:color w:val="auto"/>
                      <w:vertAlign w:val="subscript"/>
                      <w:lang w:val="en-US" w:eastAsia="zh-CN"/>
                    </w:rPr>
                    <w:t>2</w:t>
                  </w:r>
                  <w:r>
                    <w:rPr>
                      <w:rFonts w:hint="eastAsia"/>
                      <w:color w:val="auto"/>
                      <w:lang w:val="en-US" w:eastAsia="zh-CN"/>
                    </w:rPr>
                    <w:t>，分子量86.48，CAS号75-45-6常规状态下是无色、带有轻微甜气味的气体，自身承压条件下为无色透明液体熔点-160℃，标准沸点-40.8℃，属于中温制冷剂，可稳定实现-80℃级别的制冷温度30℃时液态相对密度为1.174g/cm³，0℃时气态密度为3.94kg/m³，气态密度约为空气的3倍，泄漏后易在低洼区域聚集临界温度96.2℃，临界压力4.99MPa，和你铭牌上标注的2.8MPa设计压力、1.8MPa使用压力匹配，运行工况安全余量充足。属于过渡性氢氯氟烃类制冷剂。本项目仅将R22作为制冷系统的循环工质使用，不属于国家《消耗臭氧层物质管理条例》及相关管控文件中明令禁止的“新建生产使用含氢氯氟烃（HCFCs）的生产设施”范畴。当前我国仍处于HCFCs制冷剂用途的逐步淘汰过渡期，在2030年全面禁止制冷剂用途前，合规存量使用不属于明令禁止的违法情形</w:t>
                  </w:r>
                </w:p>
              </w:tc>
              <w:tc>
                <w:tcPr>
                  <w:tcW w:w="857" w:type="dxa"/>
                  <w:vAlign w:val="center"/>
                </w:tcPr>
                <w:p w14:paraId="3008F827">
                  <w:pPr>
                    <w:pStyle w:val="29"/>
                    <w:bidi w:val="0"/>
                    <w:rPr>
                      <w:rFonts w:hint="default"/>
                      <w:color w:val="auto"/>
                      <w:lang w:val="en-US" w:eastAsia="zh-CN"/>
                    </w:rPr>
                  </w:pPr>
                  <w:r>
                    <w:rPr>
                      <w:rFonts w:hint="eastAsia"/>
                      <w:color w:val="auto"/>
                      <w:lang w:val="en-US" w:eastAsia="zh-CN"/>
                    </w:rPr>
                    <w:t>无</w:t>
                  </w:r>
                </w:p>
              </w:tc>
            </w:tr>
            <w:tr w14:paraId="39CE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2927F74E">
                  <w:pPr>
                    <w:pStyle w:val="29"/>
                    <w:bidi w:val="0"/>
                    <w:rPr>
                      <w:rFonts w:hint="default"/>
                      <w:color w:val="auto"/>
                      <w:lang w:val="en-US" w:eastAsia="zh-CN"/>
                    </w:rPr>
                  </w:pPr>
                  <w:r>
                    <w:rPr>
                      <w:rFonts w:hint="eastAsia"/>
                      <w:color w:val="auto"/>
                      <w:lang w:val="en-US" w:eastAsia="zh-CN"/>
                    </w:rPr>
                    <w:t>氢氧化钠</w:t>
                  </w:r>
                </w:p>
              </w:tc>
              <w:tc>
                <w:tcPr>
                  <w:tcW w:w="1339" w:type="dxa"/>
                  <w:vAlign w:val="center"/>
                </w:tcPr>
                <w:p w14:paraId="7DE6F5EA">
                  <w:pPr>
                    <w:pStyle w:val="29"/>
                    <w:bidi w:val="0"/>
                    <w:rPr>
                      <w:rFonts w:hint="default"/>
                      <w:color w:val="auto"/>
                      <w:lang w:val="en-US" w:eastAsia="zh-CN"/>
                    </w:rPr>
                  </w:pPr>
                  <w:r>
                    <w:rPr>
                      <w:rFonts w:hint="default"/>
                      <w:color w:val="auto"/>
                      <w:lang w:val="en-US" w:eastAsia="zh-CN"/>
                    </w:rPr>
                    <w:t>1310-73-2</w:t>
                  </w:r>
                </w:p>
              </w:tc>
              <w:tc>
                <w:tcPr>
                  <w:tcW w:w="4413" w:type="dxa"/>
                  <w:vAlign w:val="center"/>
                </w:tcPr>
                <w:p w14:paraId="3684A03F">
                  <w:pPr>
                    <w:pStyle w:val="29"/>
                    <w:bidi w:val="0"/>
                    <w:rPr>
                      <w:rFonts w:hint="default"/>
                      <w:color w:val="auto"/>
                      <w:lang w:val="en-US" w:eastAsia="zh-CN"/>
                    </w:rPr>
                  </w:pPr>
                  <w:r>
                    <w:rPr>
                      <w:rFonts w:hint="default"/>
                      <w:color w:val="auto"/>
                      <w:lang w:val="en-US" w:eastAsia="zh-CN"/>
                    </w:rPr>
                    <w:t>苛性钠、烧碱、火碱，是一种无机化合物，化学式NaOH，氢氧化钠具有强碱性，腐蚀性极强，可作酸中和剂、配合掩蔽剂、沉淀剂、沉淀掩蔽剂、显色剂、皂化剂、去皮剂、洗涤剂等，用途非常广泛</w:t>
                  </w:r>
                  <w:r>
                    <w:rPr>
                      <w:rFonts w:hint="eastAsia"/>
                      <w:color w:val="auto"/>
                      <w:lang w:val="en-US" w:eastAsia="zh-CN"/>
                    </w:rPr>
                    <w:t>。</w:t>
                  </w:r>
                </w:p>
              </w:tc>
              <w:tc>
                <w:tcPr>
                  <w:tcW w:w="857" w:type="dxa"/>
                  <w:vAlign w:val="center"/>
                </w:tcPr>
                <w:p w14:paraId="710DCD1F">
                  <w:pPr>
                    <w:pStyle w:val="29"/>
                    <w:bidi w:val="0"/>
                    <w:rPr>
                      <w:rFonts w:hint="default"/>
                      <w:color w:val="auto"/>
                      <w:lang w:val="en-US" w:eastAsia="zh-CN"/>
                    </w:rPr>
                  </w:pPr>
                  <w:r>
                    <w:rPr>
                      <w:rFonts w:hint="eastAsia"/>
                      <w:color w:val="auto"/>
                      <w:lang w:val="en-US" w:eastAsia="zh-CN"/>
                    </w:rPr>
                    <w:t>腐蚀性</w:t>
                  </w:r>
                </w:p>
              </w:tc>
            </w:tr>
            <w:tr w14:paraId="3193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643DD2B5">
                  <w:pPr>
                    <w:pStyle w:val="29"/>
                    <w:bidi w:val="0"/>
                    <w:rPr>
                      <w:rFonts w:hint="default"/>
                      <w:color w:val="auto"/>
                      <w:lang w:val="en-US" w:eastAsia="zh-CN"/>
                    </w:rPr>
                  </w:pPr>
                  <w:r>
                    <w:rPr>
                      <w:rFonts w:hint="eastAsia"/>
                      <w:color w:val="auto"/>
                      <w:lang w:val="en-US" w:eastAsia="zh-CN"/>
                    </w:rPr>
                    <w:t>过氧乙酸</w:t>
                  </w:r>
                </w:p>
              </w:tc>
              <w:tc>
                <w:tcPr>
                  <w:tcW w:w="1339" w:type="dxa"/>
                  <w:vAlign w:val="center"/>
                </w:tcPr>
                <w:p w14:paraId="585039F7">
                  <w:pPr>
                    <w:pStyle w:val="29"/>
                    <w:bidi w:val="0"/>
                    <w:rPr>
                      <w:rFonts w:hint="default"/>
                      <w:color w:val="auto"/>
                      <w:lang w:val="en-US" w:eastAsia="zh-CN"/>
                    </w:rPr>
                  </w:pPr>
                  <w:r>
                    <w:rPr>
                      <w:rFonts w:hint="default"/>
                      <w:color w:val="auto"/>
                      <w:lang w:val="en-US" w:eastAsia="zh-CN"/>
                    </w:rPr>
                    <w:t>79-21-0</w:t>
                  </w:r>
                </w:p>
              </w:tc>
              <w:tc>
                <w:tcPr>
                  <w:tcW w:w="4413" w:type="dxa"/>
                  <w:vAlign w:val="center"/>
                </w:tcPr>
                <w:p w14:paraId="0B8B7995">
                  <w:pPr>
                    <w:pStyle w:val="29"/>
                    <w:bidi w:val="0"/>
                    <w:rPr>
                      <w:rFonts w:hint="default"/>
                      <w:color w:val="auto"/>
                      <w:lang w:val="en-US" w:eastAsia="zh-CN"/>
                    </w:rPr>
                  </w:pPr>
                  <w:r>
                    <w:rPr>
                      <w:rFonts w:hint="default"/>
                      <w:color w:val="auto"/>
                      <w:lang w:val="en-US" w:eastAsia="zh-CN"/>
                    </w:rPr>
                    <w:t>无色透明液体，具有刺鼻气味，易溶于水、乙醇和乙醚。过氧乙酸适用于啤酒生产中的设备、管道、容器、包装物及回收瓶罐的消毒杀菌。过氧乙酸是一种强氧化性有机化合物，分解产物为乙酸、水和氧气，对环境无持久污染。</w:t>
                  </w:r>
                </w:p>
              </w:tc>
              <w:tc>
                <w:tcPr>
                  <w:tcW w:w="857" w:type="dxa"/>
                  <w:vAlign w:val="center"/>
                </w:tcPr>
                <w:p w14:paraId="02366683">
                  <w:pPr>
                    <w:pStyle w:val="29"/>
                    <w:bidi w:val="0"/>
                    <w:rPr>
                      <w:rFonts w:hint="default"/>
                      <w:color w:val="auto"/>
                      <w:lang w:val="en-US" w:eastAsia="zh-CN"/>
                    </w:rPr>
                  </w:pPr>
                  <w:r>
                    <w:rPr>
                      <w:rFonts w:hint="default"/>
                      <w:color w:val="auto"/>
                      <w:lang w:val="en-US" w:eastAsia="zh-CN"/>
                    </w:rPr>
                    <w:t>强氧化性、腐蚀性、易燃易爆特性‌</w:t>
                  </w:r>
                  <w:r>
                    <w:rPr>
                      <w:rFonts w:hint="eastAsia"/>
                      <w:color w:val="auto"/>
                      <w:lang w:val="en-US" w:eastAsia="zh-CN"/>
                    </w:rPr>
                    <w:t>。</w:t>
                  </w:r>
                </w:p>
              </w:tc>
            </w:tr>
            <w:tr w14:paraId="4C72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253B6D5E">
                  <w:pPr>
                    <w:pStyle w:val="29"/>
                    <w:bidi w:val="0"/>
                    <w:rPr>
                      <w:rFonts w:hint="default"/>
                      <w:color w:val="auto"/>
                      <w:lang w:val="en-US" w:eastAsia="zh-CN"/>
                    </w:rPr>
                  </w:pPr>
                  <w:r>
                    <w:rPr>
                      <w:rFonts w:hint="eastAsia"/>
                      <w:color w:val="auto"/>
                      <w:lang w:val="en-US" w:eastAsia="zh-CN"/>
                    </w:rPr>
                    <w:t>天然气</w:t>
                  </w:r>
                </w:p>
              </w:tc>
              <w:tc>
                <w:tcPr>
                  <w:tcW w:w="1339" w:type="dxa"/>
                  <w:vAlign w:val="center"/>
                </w:tcPr>
                <w:p w14:paraId="11117F40">
                  <w:pPr>
                    <w:pStyle w:val="29"/>
                    <w:bidi w:val="0"/>
                    <w:rPr>
                      <w:rFonts w:hint="default"/>
                      <w:color w:val="auto"/>
                      <w:lang w:val="en-US" w:eastAsia="zh-CN"/>
                    </w:rPr>
                  </w:pPr>
                  <w:r>
                    <w:rPr>
                      <w:rFonts w:hint="default"/>
                      <w:color w:val="auto"/>
                      <w:lang w:val="en-US" w:eastAsia="zh-CN"/>
                    </w:rPr>
                    <w:t>8006-14-2‌</w:t>
                  </w:r>
                </w:p>
              </w:tc>
              <w:tc>
                <w:tcPr>
                  <w:tcW w:w="4413" w:type="dxa"/>
                  <w:vAlign w:val="center"/>
                </w:tcPr>
                <w:p w14:paraId="43A3FCC6">
                  <w:pPr>
                    <w:pStyle w:val="29"/>
                    <w:bidi w:val="0"/>
                    <w:rPr>
                      <w:rFonts w:hint="default"/>
                      <w:color w:val="auto"/>
                      <w:lang w:val="en-US" w:eastAsia="zh-CN"/>
                    </w:rPr>
                  </w:pPr>
                  <w:r>
                    <w:rPr>
                      <w:rFonts w:hint="default"/>
                      <w:color w:val="auto"/>
                      <w:lang w:val="en-US" w:eastAsia="zh-CN"/>
                    </w:rPr>
                    <w:t>天然气化学性质稳定，本身不会聚合，主要成分为烷烃（甲烷占比85%以上，另有少量乙烷、丙烷、丁烷），还含微量非烃类气体，常规工况下不会发生分解反应。‌可燃性与热值‌：属于易燃清洁能源，引燃温度482-632℃，燃点约650℃，燃烧时火焰呈淡蓝色；完全燃烧产物为二氧化碳和水，单位立方燃烧热值约为8000-8500大卡，不完全燃烧会产生一氧化碳。</w:t>
                  </w:r>
                </w:p>
                <w:p w14:paraId="24D5712B">
                  <w:pPr>
                    <w:pStyle w:val="29"/>
                    <w:bidi w:val="0"/>
                    <w:rPr>
                      <w:rFonts w:hint="default"/>
                      <w:color w:val="auto"/>
                      <w:lang w:val="en-US" w:eastAsia="zh-CN"/>
                    </w:rPr>
                  </w:pPr>
                  <w:r>
                    <w:rPr>
                      <w:rFonts w:hint="default"/>
                      <w:color w:val="auto"/>
                      <w:lang w:val="en-US" w:eastAsia="zh-CN"/>
                    </w:rPr>
                    <w:t>‌爆炸特性‌：天然气与空气混合可形成爆炸性混合物，爆炸极限（体积分数）为5%~15%，遇明火、高热会引发燃烧爆炸，最小点火能仅0.28mJ。‌禁忌物‌：化学性质稳定，禁忌物为强氧化剂、卤素，接触不会发生剧烈反应。</w:t>
                  </w:r>
                </w:p>
              </w:tc>
              <w:tc>
                <w:tcPr>
                  <w:tcW w:w="857" w:type="dxa"/>
                  <w:vAlign w:val="center"/>
                </w:tcPr>
                <w:p w14:paraId="531C31A0">
                  <w:pPr>
                    <w:pStyle w:val="29"/>
                    <w:bidi w:val="0"/>
                    <w:rPr>
                      <w:rFonts w:hint="default"/>
                      <w:color w:val="auto"/>
                      <w:lang w:val="en-US" w:eastAsia="zh-CN"/>
                    </w:rPr>
                  </w:pPr>
                  <w:r>
                    <w:rPr>
                      <w:rFonts w:hint="eastAsia"/>
                      <w:color w:val="auto"/>
                      <w:lang w:val="en-US" w:eastAsia="zh-CN"/>
                    </w:rPr>
                    <w:t>易燃性</w:t>
                  </w:r>
                </w:p>
              </w:tc>
            </w:tr>
            <w:tr w14:paraId="3CA3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7" w:type="dxa"/>
                  <w:vAlign w:val="center"/>
                </w:tcPr>
                <w:p w14:paraId="68EF522F">
                  <w:pPr>
                    <w:pStyle w:val="29"/>
                    <w:bidi w:val="0"/>
                    <w:rPr>
                      <w:rFonts w:hint="default"/>
                      <w:color w:val="auto"/>
                      <w:lang w:val="en-US" w:eastAsia="zh-CN"/>
                    </w:rPr>
                  </w:pPr>
                  <w:r>
                    <w:rPr>
                      <w:rFonts w:hint="eastAsia"/>
                      <w:color w:val="auto"/>
                      <w:lang w:val="en-US" w:eastAsia="zh-CN"/>
                    </w:rPr>
                    <w:t>乙醇</w:t>
                  </w:r>
                </w:p>
              </w:tc>
              <w:tc>
                <w:tcPr>
                  <w:tcW w:w="1339" w:type="dxa"/>
                  <w:vAlign w:val="center"/>
                </w:tcPr>
                <w:p w14:paraId="21946AFE">
                  <w:pPr>
                    <w:pStyle w:val="29"/>
                    <w:bidi w:val="0"/>
                    <w:rPr>
                      <w:rFonts w:hint="default"/>
                      <w:color w:val="auto"/>
                      <w:lang w:val="en-US" w:eastAsia="zh-CN"/>
                    </w:rPr>
                  </w:pPr>
                  <w:r>
                    <w:rPr>
                      <w:rFonts w:hint="default"/>
                      <w:color w:val="auto"/>
                      <w:lang w:val="en-US" w:eastAsia="zh-CN"/>
                    </w:rPr>
                    <w:t>64-17-5</w:t>
                  </w:r>
                </w:p>
              </w:tc>
              <w:tc>
                <w:tcPr>
                  <w:tcW w:w="4413" w:type="dxa"/>
                  <w:vAlign w:val="center"/>
                </w:tcPr>
                <w:p w14:paraId="64238EA6">
                  <w:pPr>
                    <w:pStyle w:val="29"/>
                    <w:bidi w:val="0"/>
                    <w:rPr>
                      <w:rFonts w:hint="default"/>
                      <w:color w:val="auto"/>
                      <w:lang w:val="en-US" w:eastAsia="zh-CN"/>
                    </w:rPr>
                  </w:pPr>
                  <w:r>
                    <w:rPr>
                      <w:rFonts w:hint="default"/>
                      <w:color w:val="auto"/>
                      <w:lang w:val="en-US" w:eastAsia="zh-CN"/>
                    </w:rPr>
                    <w:t>乙醇是一种无色透明、易挥发且易燃的液体，具有酒的气味和刺激的辛辣味。摩尔质量为46.07g/mol，密度为0.79g/cm</w:t>
                  </w:r>
                  <w:r>
                    <w:rPr>
                      <w:rFonts w:hint="eastAsia"/>
                      <w:color w:val="auto"/>
                      <w:vertAlign w:val="superscript"/>
                      <w:lang w:val="en-US" w:eastAsia="zh-CN"/>
                    </w:rPr>
                    <w:t>3</w:t>
                  </w:r>
                  <w:r>
                    <w:rPr>
                      <w:rFonts w:hint="eastAsia"/>
                      <w:color w:val="auto"/>
                      <w:lang w:val="en-US" w:eastAsia="zh-CN"/>
                    </w:rPr>
                    <w:t>，熔点为-114℃，沸点为78℃，闪点为12.78℃。乙醇易溶于水、甲醇、乙醚和氯仿等，能与水以任意比例混合，具有吸湿性，能与水混合形成共沸混合物。</w:t>
                  </w:r>
                </w:p>
              </w:tc>
              <w:tc>
                <w:tcPr>
                  <w:tcW w:w="857" w:type="dxa"/>
                  <w:vAlign w:val="center"/>
                </w:tcPr>
                <w:p w14:paraId="2701D0E8">
                  <w:pPr>
                    <w:pStyle w:val="29"/>
                    <w:bidi w:val="0"/>
                    <w:rPr>
                      <w:rFonts w:hint="default"/>
                      <w:color w:val="auto"/>
                      <w:lang w:val="en-US" w:eastAsia="zh-CN"/>
                    </w:rPr>
                  </w:pPr>
                  <w:r>
                    <w:rPr>
                      <w:rFonts w:hint="eastAsia"/>
                      <w:color w:val="auto"/>
                      <w:lang w:val="en-US" w:eastAsia="zh-CN"/>
                    </w:rPr>
                    <w:t>易燃性</w:t>
                  </w:r>
                </w:p>
              </w:tc>
            </w:tr>
          </w:tbl>
          <w:p w14:paraId="1C0D3FB7">
            <w:pPr>
              <w:bidi w:val="0"/>
              <w:rPr>
                <w:rFonts w:hint="default"/>
                <w:b w:val="0"/>
                <w:bCs w:val="0"/>
                <w:color w:val="auto"/>
                <w:lang w:val="en-US" w:eastAsia="zh-CN"/>
              </w:rPr>
            </w:pPr>
            <w:r>
              <w:rPr>
                <w:rFonts w:hint="eastAsia"/>
                <w:b w:val="0"/>
                <w:bCs w:val="0"/>
                <w:color w:val="auto"/>
                <w:lang w:val="en-US" w:eastAsia="zh-CN"/>
              </w:rPr>
              <w:t>根据建设单位提供天然气成分情况（详见附件15）如下表所示：</w:t>
            </w:r>
          </w:p>
          <w:p w14:paraId="588CBADE">
            <w:pPr>
              <w:pStyle w:val="30"/>
              <w:bidi w:val="0"/>
              <w:rPr>
                <w:rFonts w:hint="default"/>
                <w:color w:val="auto"/>
                <w:lang w:val="en-US" w:eastAsia="zh-CN"/>
              </w:rPr>
            </w:pPr>
            <w:r>
              <w:rPr>
                <w:rFonts w:hint="default"/>
                <w:color w:val="auto"/>
                <w:lang w:val="en-US" w:eastAsia="zh-CN"/>
              </w:rPr>
              <w:t>表2-</w:t>
            </w:r>
            <w:r>
              <w:rPr>
                <w:rFonts w:hint="eastAsia"/>
                <w:color w:val="auto"/>
                <w:lang w:val="en-US" w:eastAsia="zh-CN"/>
              </w:rPr>
              <w:t>8</w:t>
            </w:r>
            <w:r>
              <w:rPr>
                <w:rFonts w:hint="default"/>
                <w:color w:val="auto"/>
                <w:lang w:val="en-US" w:eastAsia="zh-CN"/>
              </w:rPr>
              <w:t xml:space="preserve">  </w:t>
            </w:r>
            <w:r>
              <w:rPr>
                <w:rFonts w:hint="eastAsia"/>
                <w:color w:val="auto"/>
                <w:lang w:val="en-US" w:eastAsia="zh-CN"/>
              </w:rPr>
              <w:t>天然气成分情况一览表</w:t>
            </w:r>
          </w:p>
          <w:tbl>
            <w:tblPr>
              <w:tblStyle w:val="24"/>
              <w:tblW w:w="7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1525"/>
              <w:gridCol w:w="1263"/>
              <w:gridCol w:w="2322"/>
              <w:gridCol w:w="1572"/>
            </w:tblGrid>
            <w:tr w14:paraId="3E05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Align w:val="center"/>
                </w:tcPr>
                <w:p w14:paraId="44114F5C">
                  <w:pPr>
                    <w:pStyle w:val="29"/>
                    <w:bidi w:val="0"/>
                    <w:rPr>
                      <w:rFonts w:hint="default"/>
                      <w:color w:val="auto"/>
                      <w:lang w:val="en-US" w:eastAsia="zh-CN"/>
                    </w:rPr>
                  </w:pPr>
                  <w:r>
                    <w:rPr>
                      <w:rFonts w:hint="eastAsia"/>
                      <w:color w:val="auto"/>
                      <w:lang w:val="en-US" w:eastAsia="zh-CN"/>
                    </w:rPr>
                    <w:t>原料名称</w:t>
                  </w:r>
                </w:p>
              </w:tc>
              <w:tc>
                <w:tcPr>
                  <w:tcW w:w="1525" w:type="dxa"/>
                  <w:vAlign w:val="center"/>
                </w:tcPr>
                <w:p w14:paraId="60B359DE">
                  <w:pPr>
                    <w:pStyle w:val="29"/>
                    <w:bidi w:val="0"/>
                    <w:rPr>
                      <w:rFonts w:hint="default"/>
                      <w:color w:val="auto"/>
                      <w:lang w:val="en-US" w:eastAsia="zh-CN"/>
                    </w:rPr>
                  </w:pPr>
                  <w:r>
                    <w:rPr>
                      <w:rFonts w:hint="eastAsia"/>
                      <w:color w:val="auto"/>
                      <w:lang w:val="en-US" w:eastAsia="zh-CN"/>
                    </w:rPr>
                    <w:t>组分</w:t>
                  </w:r>
                </w:p>
              </w:tc>
              <w:tc>
                <w:tcPr>
                  <w:tcW w:w="1263" w:type="dxa"/>
                  <w:vAlign w:val="center"/>
                </w:tcPr>
                <w:p w14:paraId="43739334">
                  <w:pPr>
                    <w:pStyle w:val="29"/>
                    <w:bidi w:val="0"/>
                    <w:rPr>
                      <w:rFonts w:hint="default"/>
                      <w:color w:val="auto"/>
                      <w:lang w:val="en-US" w:eastAsia="zh-CN"/>
                    </w:rPr>
                  </w:pPr>
                  <w:r>
                    <w:rPr>
                      <w:rFonts w:hint="eastAsia"/>
                      <w:color w:val="auto"/>
                      <w:lang w:val="en-US" w:eastAsia="zh-CN"/>
                    </w:rPr>
                    <w:t>占比%</w:t>
                  </w:r>
                </w:p>
              </w:tc>
              <w:tc>
                <w:tcPr>
                  <w:tcW w:w="2322" w:type="dxa"/>
                  <w:vAlign w:val="center"/>
                </w:tcPr>
                <w:p w14:paraId="3FC17510">
                  <w:pPr>
                    <w:pStyle w:val="29"/>
                    <w:bidi w:val="0"/>
                    <w:rPr>
                      <w:rFonts w:hint="default"/>
                      <w:color w:val="auto"/>
                      <w:lang w:val="en-US" w:eastAsia="zh-CN"/>
                    </w:rPr>
                  </w:pPr>
                  <w:r>
                    <w:rPr>
                      <w:rFonts w:hint="eastAsia"/>
                      <w:color w:val="auto"/>
                      <w:lang w:val="en-US" w:eastAsia="zh-CN"/>
                    </w:rPr>
                    <w:t>组分</w:t>
                  </w:r>
                </w:p>
              </w:tc>
              <w:tc>
                <w:tcPr>
                  <w:tcW w:w="1572" w:type="dxa"/>
                  <w:vAlign w:val="center"/>
                </w:tcPr>
                <w:p w14:paraId="655D7D5C">
                  <w:pPr>
                    <w:pStyle w:val="29"/>
                    <w:bidi w:val="0"/>
                    <w:rPr>
                      <w:rFonts w:hint="default"/>
                      <w:color w:val="auto"/>
                      <w:lang w:val="en-US" w:eastAsia="zh-CN"/>
                    </w:rPr>
                  </w:pPr>
                  <w:r>
                    <w:rPr>
                      <w:rFonts w:hint="eastAsia"/>
                      <w:color w:val="auto"/>
                      <w:lang w:val="en-US" w:eastAsia="zh-CN"/>
                    </w:rPr>
                    <w:t>占比%</w:t>
                  </w:r>
                </w:p>
              </w:tc>
            </w:tr>
            <w:tr w14:paraId="61C6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restart"/>
                  <w:vAlign w:val="center"/>
                </w:tcPr>
                <w:p w14:paraId="13D49AE6">
                  <w:pPr>
                    <w:pStyle w:val="29"/>
                    <w:bidi w:val="0"/>
                    <w:rPr>
                      <w:rFonts w:hint="default"/>
                      <w:color w:val="auto"/>
                      <w:lang w:val="en-US" w:eastAsia="zh-CN"/>
                    </w:rPr>
                  </w:pPr>
                  <w:r>
                    <w:rPr>
                      <w:rFonts w:hint="eastAsia"/>
                      <w:color w:val="auto"/>
                      <w:lang w:val="en-US" w:eastAsia="zh-CN"/>
                    </w:rPr>
                    <w:t>天然气</w:t>
                  </w:r>
                </w:p>
              </w:tc>
              <w:tc>
                <w:tcPr>
                  <w:tcW w:w="1525" w:type="dxa"/>
                  <w:vAlign w:val="center"/>
                </w:tcPr>
                <w:p w14:paraId="286637B1">
                  <w:pPr>
                    <w:pStyle w:val="29"/>
                    <w:bidi w:val="0"/>
                    <w:rPr>
                      <w:rFonts w:hint="default"/>
                      <w:color w:val="auto"/>
                      <w:lang w:val="en-US" w:eastAsia="zh-CN"/>
                    </w:rPr>
                  </w:pPr>
                  <w:r>
                    <w:rPr>
                      <w:rFonts w:hint="eastAsia"/>
                      <w:color w:val="auto"/>
                      <w:lang w:val="en-US" w:eastAsia="zh-CN"/>
                    </w:rPr>
                    <w:t>CH</w:t>
                  </w:r>
                  <w:r>
                    <w:rPr>
                      <w:rFonts w:hint="eastAsia"/>
                      <w:color w:val="auto"/>
                      <w:vertAlign w:val="subscript"/>
                      <w:lang w:val="en-US" w:eastAsia="zh-CN"/>
                    </w:rPr>
                    <w:t>4</w:t>
                  </w:r>
                </w:p>
              </w:tc>
              <w:tc>
                <w:tcPr>
                  <w:tcW w:w="1263" w:type="dxa"/>
                  <w:vAlign w:val="center"/>
                </w:tcPr>
                <w:p w14:paraId="0F6F1D29">
                  <w:pPr>
                    <w:pStyle w:val="29"/>
                    <w:bidi w:val="0"/>
                    <w:rPr>
                      <w:rFonts w:hint="default"/>
                      <w:color w:val="auto"/>
                      <w:lang w:val="en-US" w:eastAsia="zh-CN"/>
                    </w:rPr>
                  </w:pPr>
                  <w:r>
                    <w:rPr>
                      <w:rFonts w:hint="eastAsia"/>
                      <w:color w:val="auto"/>
                      <w:lang w:val="en-US" w:eastAsia="zh-CN"/>
                    </w:rPr>
                    <w:t>99.4392</w:t>
                  </w:r>
                </w:p>
              </w:tc>
              <w:tc>
                <w:tcPr>
                  <w:tcW w:w="2322" w:type="dxa"/>
                  <w:vAlign w:val="center"/>
                </w:tcPr>
                <w:p w14:paraId="665E1198">
                  <w:pPr>
                    <w:pStyle w:val="29"/>
                    <w:bidi w:val="0"/>
                    <w:rPr>
                      <w:rFonts w:hint="default"/>
                      <w:color w:val="auto"/>
                      <w:lang w:val="en-US" w:eastAsia="zh-CN"/>
                    </w:rPr>
                  </w:pPr>
                  <w:r>
                    <w:rPr>
                      <w:rFonts w:hint="eastAsia"/>
                      <w:color w:val="auto"/>
                      <w:lang w:val="en-US" w:eastAsia="zh-CN"/>
                    </w:rPr>
                    <w:t>N</w:t>
                  </w:r>
                  <w:r>
                    <w:rPr>
                      <w:rFonts w:hint="eastAsia"/>
                      <w:color w:val="auto"/>
                      <w:vertAlign w:val="subscript"/>
                      <w:lang w:val="en-US" w:eastAsia="zh-CN"/>
                    </w:rPr>
                    <w:t>2</w:t>
                  </w:r>
                </w:p>
              </w:tc>
              <w:tc>
                <w:tcPr>
                  <w:tcW w:w="1572" w:type="dxa"/>
                  <w:vAlign w:val="center"/>
                </w:tcPr>
                <w:p w14:paraId="29B523EA">
                  <w:pPr>
                    <w:pStyle w:val="29"/>
                    <w:bidi w:val="0"/>
                    <w:rPr>
                      <w:rFonts w:hint="default"/>
                      <w:color w:val="auto"/>
                      <w:lang w:val="en-US" w:eastAsia="zh-CN"/>
                    </w:rPr>
                  </w:pPr>
                  <w:r>
                    <w:rPr>
                      <w:rFonts w:hint="eastAsia"/>
                      <w:color w:val="auto"/>
                      <w:lang w:val="en-US" w:eastAsia="zh-CN"/>
                    </w:rPr>
                    <w:t>0.1618</w:t>
                  </w:r>
                </w:p>
              </w:tc>
            </w:tr>
            <w:tr w14:paraId="0B4A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4499D70A">
                  <w:pPr>
                    <w:pStyle w:val="29"/>
                    <w:bidi w:val="0"/>
                    <w:rPr>
                      <w:rFonts w:hint="default"/>
                      <w:color w:val="auto"/>
                      <w:lang w:val="en-US" w:eastAsia="zh-CN"/>
                    </w:rPr>
                  </w:pPr>
                </w:p>
              </w:tc>
              <w:tc>
                <w:tcPr>
                  <w:tcW w:w="1525" w:type="dxa"/>
                  <w:vAlign w:val="center"/>
                </w:tcPr>
                <w:p w14:paraId="4B8B393B">
                  <w:pPr>
                    <w:pStyle w:val="29"/>
                    <w:bidi w:val="0"/>
                    <w:rPr>
                      <w:rFonts w:hint="default"/>
                      <w:color w:val="auto"/>
                      <w:lang w:val="en-US" w:eastAsia="zh-CN"/>
                    </w:rPr>
                  </w:pPr>
                  <w:r>
                    <w:rPr>
                      <w:rFonts w:hint="eastAsia"/>
                      <w:color w:val="auto"/>
                      <w:lang w:val="en-US" w:eastAsia="zh-CN"/>
                    </w:rPr>
                    <w:t>C</w:t>
                  </w:r>
                  <w:r>
                    <w:rPr>
                      <w:rFonts w:hint="eastAsia"/>
                      <w:color w:val="auto"/>
                      <w:vertAlign w:val="subscript"/>
                      <w:lang w:val="en-US" w:eastAsia="zh-CN"/>
                    </w:rPr>
                    <w:t>2</w:t>
                  </w:r>
                  <w:r>
                    <w:rPr>
                      <w:rFonts w:hint="eastAsia"/>
                      <w:color w:val="auto"/>
                      <w:lang w:val="en-US" w:eastAsia="zh-CN"/>
                    </w:rPr>
                    <w:t>H</w:t>
                  </w:r>
                  <w:r>
                    <w:rPr>
                      <w:rFonts w:hint="eastAsia"/>
                      <w:color w:val="auto"/>
                      <w:vertAlign w:val="subscript"/>
                      <w:lang w:val="en-US" w:eastAsia="zh-CN"/>
                    </w:rPr>
                    <w:t>6</w:t>
                  </w:r>
                </w:p>
              </w:tc>
              <w:tc>
                <w:tcPr>
                  <w:tcW w:w="1263" w:type="dxa"/>
                  <w:vAlign w:val="center"/>
                </w:tcPr>
                <w:p w14:paraId="1F81D80E">
                  <w:pPr>
                    <w:pStyle w:val="29"/>
                    <w:bidi w:val="0"/>
                    <w:rPr>
                      <w:rFonts w:hint="default"/>
                      <w:color w:val="auto"/>
                      <w:lang w:val="en-US" w:eastAsia="zh-CN"/>
                    </w:rPr>
                  </w:pPr>
                  <w:r>
                    <w:rPr>
                      <w:rFonts w:hint="eastAsia"/>
                      <w:color w:val="auto"/>
                      <w:lang w:val="en-US" w:eastAsia="zh-CN"/>
                    </w:rPr>
                    <w:t>0.0916</w:t>
                  </w:r>
                </w:p>
              </w:tc>
              <w:tc>
                <w:tcPr>
                  <w:tcW w:w="2322" w:type="dxa"/>
                  <w:vAlign w:val="center"/>
                </w:tcPr>
                <w:p w14:paraId="2977928D">
                  <w:pPr>
                    <w:pStyle w:val="29"/>
                    <w:bidi w:val="0"/>
                    <w:rPr>
                      <w:rFonts w:hint="default"/>
                      <w:color w:val="auto"/>
                      <w:lang w:val="en-US" w:eastAsia="zh-CN"/>
                    </w:rPr>
                  </w:pPr>
                  <w:r>
                    <w:rPr>
                      <w:rFonts w:hint="eastAsia"/>
                      <w:color w:val="auto"/>
                      <w:lang w:val="en-US" w:eastAsia="zh-CN"/>
                    </w:rPr>
                    <w:t>CO</w:t>
                  </w:r>
                  <w:r>
                    <w:rPr>
                      <w:rFonts w:hint="eastAsia"/>
                      <w:color w:val="auto"/>
                      <w:vertAlign w:val="subscript"/>
                      <w:lang w:val="en-US" w:eastAsia="zh-CN"/>
                    </w:rPr>
                    <w:t>2</w:t>
                  </w:r>
                </w:p>
              </w:tc>
              <w:tc>
                <w:tcPr>
                  <w:tcW w:w="1572" w:type="dxa"/>
                  <w:vAlign w:val="center"/>
                </w:tcPr>
                <w:p w14:paraId="14A1D9AC">
                  <w:pPr>
                    <w:pStyle w:val="29"/>
                    <w:bidi w:val="0"/>
                    <w:rPr>
                      <w:rFonts w:hint="default"/>
                      <w:color w:val="auto"/>
                      <w:lang w:val="en-US" w:eastAsia="zh-CN"/>
                    </w:rPr>
                  </w:pPr>
                  <w:r>
                    <w:rPr>
                      <w:rFonts w:hint="eastAsia"/>
                      <w:color w:val="auto"/>
                      <w:lang w:val="en-US" w:eastAsia="zh-CN"/>
                    </w:rPr>
                    <w:t>0.2518</w:t>
                  </w:r>
                </w:p>
              </w:tc>
            </w:tr>
            <w:tr w14:paraId="5F3B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1E77253D">
                  <w:pPr>
                    <w:pStyle w:val="29"/>
                    <w:bidi w:val="0"/>
                    <w:rPr>
                      <w:rFonts w:hint="default"/>
                      <w:color w:val="auto"/>
                      <w:lang w:val="en-US" w:eastAsia="zh-CN"/>
                    </w:rPr>
                  </w:pPr>
                </w:p>
              </w:tc>
              <w:tc>
                <w:tcPr>
                  <w:tcW w:w="1525" w:type="dxa"/>
                  <w:vAlign w:val="center"/>
                </w:tcPr>
                <w:p w14:paraId="4F0F7F61">
                  <w:pPr>
                    <w:pStyle w:val="29"/>
                    <w:bidi w:val="0"/>
                    <w:rPr>
                      <w:rFonts w:hint="default"/>
                      <w:color w:val="auto"/>
                      <w:lang w:val="en-US" w:eastAsia="zh-CN"/>
                    </w:rPr>
                  </w:pPr>
                  <w:r>
                    <w:rPr>
                      <w:rFonts w:hint="eastAsia"/>
                      <w:color w:val="auto"/>
                      <w:lang w:val="en-US" w:eastAsia="zh-CN"/>
                    </w:rPr>
                    <w:t>C</w:t>
                  </w:r>
                  <w:r>
                    <w:rPr>
                      <w:rFonts w:hint="eastAsia"/>
                      <w:color w:val="auto"/>
                      <w:vertAlign w:val="subscript"/>
                      <w:lang w:val="en-US" w:eastAsia="zh-CN"/>
                    </w:rPr>
                    <w:t>3</w:t>
                  </w:r>
                  <w:r>
                    <w:rPr>
                      <w:rFonts w:hint="eastAsia"/>
                      <w:color w:val="auto"/>
                      <w:lang w:val="en-US" w:eastAsia="zh-CN"/>
                    </w:rPr>
                    <w:t>H</w:t>
                  </w:r>
                  <w:r>
                    <w:rPr>
                      <w:rFonts w:hint="eastAsia"/>
                      <w:color w:val="auto"/>
                      <w:vertAlign w:val="subscript"/>
                      <w:lang w:val="en-US" w:eastAsia="zh-CN"/>
                    </w:rPr>
                    <w:t>8</w:t>
                  </w:r>
                </w:p>
              </w:tc>
              <w:tc>
                <w:tcPr>
                  <w:tcW w:w="1263" w:type="dxa"/>
                  <w:vAlign w:val="center"/>
                </w:tcPr>
                <w:p w14:paraId="261DBDF0">
                  <w:pPr>
                    <w:pStyle w:val="29"/>
                    <w:bidi w:val="0"/>
                    <w:rPr>
                      <w:rFonts w:hint="default"/>
                      <w:color w:val="auto"/>
                      <w:lang w:val="en-US" w:eastAsia="zh-CN"/>
                    </w:rPr>
                  </w:pPr>
                  <w:r>
                    <w:rPr>
                      <w:rFonts w:hint="eastAsia"/>
                      <w:color w:val="auto"/>
                      <w:lang w:val="en-US" w:eastAsia="zh-CN"/>
                    </w:rPr>
                    <w:t>0.0238</w:t>
                  </w:r>
                </w:p>
              </w:tc>
              <w:tc>
                <w:tcPr>
                  <w:tcW w:w="2322" w:type="dxa"/>
                  <w:vAlign w:val="center"/>
                </w:tcPr>
                <w:p w14:paraId="606E8CAB">
                  <w:pPr>
                    <w:pStyle w:val="29"/>
                    <w:bidi w:val="0"/>
                    <w:rPr>
                      <w:rFonts w:hint="default"/>
                      <w:color w:val="auto"/>
                      <w:lang w:val="en-US" w:eastAsia="zh-CN"/>
                    </w:rPr>
                  </w:pPr>
                  <w:r>
                    <w:rPr>
                      <w:rFonts w:hint="eastAsia"/>
                      <w:color w:val="auto"/>
                      <w:lang w:val="en-US" w:eastAsia="zh-CN"/>
                    </w:rPr>
                    <w:t>H</w:t>
                  </w:r>
                  <w:r>
                    <w:rPr>
                      <w:rFonts w:hint="eastAsia"/>
                      <w:color w:val="auto"/>
                      <w:vertAlign w:val="subscript"/>
                      <w:lang w:val="en-US" w:eastAsia="zh-CN"/>
                    </w:rPr>
                    <w:t>2</w:t>
                  </w:r>
                </w:p>
              </w:tc>
              <w:tc>
                <w:tcPr>
                  <w:tcW w:w="1572" w:type="dxa"/>
                  <w:vAlign w:val="center"/>
                </w:tcPr>
                <w:p w14:paraId="5740C317">
                  <w:pPr>
                    <w:pStyle w:val="29"/>
                    <w:bidi w:val="0"/>
                    <w:rPr>
                      <w:rFonts w:hint="default"/>
                      <w:color w:val="auto"/>
                      <w:lang w:val="en-US" w:eastAsia="zh-CN"/>
                    </w:rPr>
                  </w:pPr>
                  <w:r>
                    <w:rPr>
                      <w:rFonts w:hint="eastAsia"/>
                      <w:color w:val="auto"/>
                      <w:lang w:val="en-US" w:eastAsia="zh-CN"/>
                    </w:rPr>
                    <w:t>——</w:t>
                  </w:r>
                </w:p>
              </w:tc>
            </w:tr>
            <w:tr w14:paraId="1CBD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7B61B053">
                  <w:pPr>
                    <w:pStyle w:val="29"/>
                    <w:bidi w:val="0"/>
                    <w:rPr>
                      <w:rFonts w:hint="default"/>
                      <w:color w:val="auto"/>
                      <w:lang w:val="en-US" w:eastAsia="zh-CN"/>
                    </w:rPr>
                  </w:pPr>
                </w:p>
              </w:tc>
              <w:tc>
                <w:tcPr>
                  <w:tcW w:w="1525" w:type="dxa"/>
                  <w:vAlign w:val="center"/>
                </w:tcPr>
                <w:p w14:paraId="39FC3C97">
                  <w:pPr>
                    <w:pStyle w:val="29"/>
                    <w:bidi w:val="0"/>
                    <w:rPr>
                      <w:rFonts w:hint="default"/>
                      <w:color w:val="auto"/>
                      <w:lang w:val="en-US" w:eastAsia="zh-CN"/>
                    </w:rPr>
                  </w:pPr>
                  <w:r>
                    <w:rPr>
                      <w:rFonts w:hint="eastAsia"/>
                      <w:color w:val="auto"/>
                      <w:lang w:val="en-US" w:eastAsia="zh-CN"/>
                    </w:rPr>
                    <w:t>n-C</w:t>
                  </w:r>
                  <w:r>
                    <w:rPr>
                      <w:rFonts w:hint="eastAsia"/>
                      <w:color w:val="auto"/>
                      <w:vertAlign w:val="subscript"/>
                      <w:lang w:val="en-US" w:eastAsia="zh-CN"/>
                    </w:rPr>
                    <w:t>4</w:t>
                  </w:r>
                  <w:r>
                    <w:rPr>
                      <w:rFonts w:hint="eastAsia"/>
                      <w:color w:val="auto"/>
                      <w:lang w:val="en-US" w:eastAsia="zh-CN"/>
                    </w:rPr>
                    <w:t>H</w:t>
                  </w:r>
                  <w:r>
                    <w:rPr>
                      <w:rFonts w:hint="eastAsia"/>
                      <w:color w:val="auto"/>
                      <w:vertAlign w:val="subscript"/>
                      <w:lang w:val="en-US" w:eastAsia="zh-CN"/>
                    </w:rPr>
                    <w:t>10</w:t>
                  </w:r>
                </w:p>
              </w:tc>
              <w:tc>
                <w:tcPr>
                  <w:tcW w:w="1263" w:type="dxa"/>
                  <w:vAlign w:val="center"/>
                </w:tcPr>
                <w:p w14:paraId="1233A334">
                  <w:pPr>
                    <w:pStyle w:val="29"/>
                    <w:bidi w:val="0"/>
                    <w:rPr>
                      <w:rFonts w:hint="default"/>
                      <w:color w:val="auto"/>
                      <w:lang w:val="en-US" w:eastAsia="zh-CN"/>
                    </w:rPr>
                  </w:pPr>
                  <w:r>
                    <w:rPr>
                      <w:rFonts w:hint="eastAsia"/>
                      <w:color w:val="auto"/>
                      <w:lang w:val="en-US" w:eastAsia="zh-CN"/>
                    </w:rPr>
                    <w:t>0.0022</w:t>
                  </w:r>
                </w:p>
              </w:tc>
              <w:tc>
                <w:tcPr>
                  <w:tcW w:w="2322" w:type="dxa"/>
                  <w:vAlign w:val="center"/>
                </w:tcPr>
                <w:p w14:paraId="51F966D2">
                  <w:pPr>
                    <w:pStyle w:val="29"/>
                    <w:bidi w:val="0"/>
                    <w:rPr>
                      <w:rFonts w:hint="default"/>
                      <w:color w:val="auto"/>
                      <w:lang w:val="en-US" w:eastAsia="zh-CN"/>
                    </w:rPr>
                  </w:pPr>
                  <w:r>
                    <w:rPr>
                      <w:rFonts w:hint="eastAsia"/>
                      <w:color w:val="auto"/>
                      <w:lang w:val="en-US" w:eastAsia="zh-CN"/>
                    </w:rPr>
                    <w:t>H</w:t>
                  </w:r>
                  <w:r>
                    <w:rPr>
                      <w:rFonts w:hint="eastAsia"/>
                      <w:color w:val="auto"/>
                      <w:vertAlign w:val="subscript"/>
                      <w:lang w:val="en-US" w:eastAsia="zh-CN"/>
                    </w:rPr>
                    <w:t>2</w:t>
                  </w:r>
                  <w:r>
                    <w:rPr>
                      <w:rFonts w:hint="eastAsia"/>
                      <w:color w:val="auto"/>
                      <w:lang w:val="en-US" w:eastAsia="zh-CN"/>
                    </w:rPr>
                    <w:t>S（mg/m</w:t>
                  </w:r>
                  <w:r>
                    <w:rPr>
                      <w:rFonts w:hint="eastAsia"/>
                      <w:color w:val="auto"/>
                      <w:vertAlign w:val="superscript"/>
                      <w:lang w:val="en-US" w:eastAsia="zh-CN"/>
                    </w:rPr>
                    <w:t>3</w:t>
                  </w:r>
                  <w:r>
                    <w:rPr>
                      <w:rFonts w:hint="eastAsia"/>
                      <w:color w:val="auto"/>
                      <w:lang w:val="en-US" w:eastAsia="zh-CN"/>
                    </w:rPr>
                    <w:t>）</w:t>
                  </w:r>
                </w:p>
              </w:tc>
              <w:tc>
                <w:tcPr>
                  <w:tcW w:w="1572" w:type="dxa"/>
                  <w:vAlign w:val="center"/>
                </w:tcPr>
                <w:p w14:paraId="6C75FE6B">
                  <w:pPr>
                    <w:pStyle w:val="29"/>
                    <w:bidi w:val="0"/>
                    <w:rPr>
                      <w:rFonts w:hint="default"/>
                      <w:color w:val="auto"/>
                      <w:lang w:val="en-US" w:eastAsia="zh-CN"/>
                    </w:rPr>
                  </w:pPr>
                  <w:r>
                    <w:rPr>
                      <w:rFonts w:hint="eastAsia"/>
                      <w:color w:val="auto"/>
                      <w:lang w:val="en-US" w:eastAsia="zh-CN"/>
                    </w:rPr>
                    <w:t>0.7000</w:t>
                  </w:r>
                </w:p>
              </w:tc>
            </w:tr>
            <w:tr w14:paraId="53D9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006E4400">
                  <w:pPr>
                    <w:pStyle w:val="29"/>
                    <w:bidi w:val="0"/>
                    <w:rPr>
                      <w:rFonts w:hint="default"/>
                      <w:color w:val="auto"/>
                      <w:lang w:val="en-US" w:eastAsia="zh-CN"/>
                    </w:rPr>
                  </w:pPr>
                </w:p>
              </w:tc>
              <w:tc>
                <w:tcPr>
                  <w:tcW w:w="1525" w:type="dxa"/>
                  <w:vAlign w:val="center"/>
                </w:tcPr>
                <w:p w14:paraId="0E18BF75">
                  <w:pPr>
                    <w:pStyle w:val="29"/>
                    <w:bidi w:val="0"/>
                    <w:rPr>
                      <w:rFonts w:hint="eastAsia"/>
                      <w:color w:val="auto"/>
                      <w:lang w:val="en-US" w:eastAsia="zh-CN"/>
                    </w:rPr>
                  </w:pPr>
                  <w:r>
                    <w:rPr>
                      <w:rFonts w:hint="eastAsia"/>
                      <w:color w:val="auto"/>
                      <w:lang w:val="en-US" w:eastAsia="zh-CN"/>
                    </w:rPr>
                    <w:t>i-C</w:t>
                  </w:r>
                  <w:r>
                    <w:rPr>
                      <w:rFonts w:hint="eastAsia"/>
                      <w:color w:val="auto"/>
                      <w:vertAlign w:val="subscript"/>
                      <w:lang w:val="en-US" w:eastAsia="zh-CN"/>
                    </w:rPr>
                    <w:t>4</w:t>
                  </w:r>
                  <w:r>
                    <w:rPr>
                      <w:rFonts w:hint="eastAsia"/>
                      <w:color w:val="auto"/>
                      <w:lang w:val="en-US" w:eastAsia="zh-CN"/>
                    </w:rPr>
                    <w:t>H</w:t>
                  </w:r>
                  <w:r>
                    <w:rPr>
                      <w:rFonts w:hint="eastAsia"/>
                      <w:color w:val="auto"/>
                      <w:vertAlign w:val="subscript"/>
                      <w:lang w:val="en-US" w:eastAsia="zh-CN"/>
                    </w:rPr>
                    <w:t>10</w:t>
                  </w:r>
                </w:p>
              </w:tc>
              <w:tc>
                <w:tcPr>
                  <w:tcW w:w="1263" w:type="dxa"/>
                  <w:vAlign w:val="center"/>
                </w:tcPr>
                <w:p w14:paraId="03E79F2E">
                  <w:pPr>
                    <w:pStyle w:val="29"/>
                    <w:bidi w:val="0"/>
                    <w:rPr>
                      <w:rFonts w:hint="eastAsia"/>
                      <w:color w:val="auto"/>
                      <w:lang w:val="en-US" w:eastAsia="zh-CN"/>
                    </w:rPr>
                  </w:pPr>
                  <w:r>
                    <w:rPr>
                      <w:rFonts w:hint="eastAsia"/>
                      <w:color w:val="auto"/>
                      <w:lang w:val="en-US" w:eastAsia="zh-CN"/>
                    </w:rPr>
                    <w:t>0.0095</w:t>
                  </w:r>
                </w:p>
              </w:tc>
              <w:tc>
                <w:tcPr>
                  <w:tcW w:w="2322" w:type="dxa"/>
                  <w:vAlign w:val="center"/>
                </w:tcPr>
                <w:p w14:paraId="1E2C0F82">
                  <w:pPr>
                    <w:pStyle w:val="29"/>
                    <w:bidi w:val="0"/>
                    <w:rPr>
                      <w:rFonts w:hint="default"/>
                      <w:color w:val="auto"/>
                      <w:lang w:val="en-US" w:eastAsia="zh-CN"/>
                    </w:rPr>
                  </w:pPr>
                  <w:r>
                    <w:rPr>
                      <w:rFonts w:hint="eastAsia"/>
                      <w:color w:val="auto"/>
                      <w:lang w:val="en-US" w:eastAsia="zh-CN"/>
                    </w:rPr>
                    <w:t>总硫（以硫计）（mg/m</w:t>
                  </w:r>
                  <w:r>
                    <w:rPr>
                      <w:rFonts w:hint="eastAsia"/>
                      <w:color w:val="auto"/>
                      <w:vertAlign w:val="superscript"/>
                      <w:lang w:val="en-US" w:eastAsia="zh-CN"/>
                    </w:rPr>
                    <w:t>3</w:t>
                  </w:r>
                  <w:r>
                    <w:rPr>
                      <w:rFonts w:hint="eastAsia"/>
                      <w:color w:val="auto"/>
                      <w:lang w:val="en-US" w:eastAsia="zh-CN"/>
                    </w:rPr>
                    <w:t>）</w:t>
                  </w:r>
                </w:p>
              </w:tc>
              <w:tc>
                <w:tcPr>
                  <w:tcW w:w="1572" w:type="dxa"/>
                  <w:vAlign w:val="center"/>
                </w:tcPr>
                <w:p w14:paraId="0D191CD9">
                  <w:pPr>
                    <w:pStyle w:val="29"/>
                    <w:bidi w:val="0"/>
                    <w:rPr>
                      <w:rFonts w:hint="default"/>
                      <w:color w:val="auto"/>
                      <w:lang w:val="en-US" w:eastAsia="zh-CN"/>
                    </w:rPr>
                  </w:pPr>
                  <w:r>
                    <w:rPr>
                      <w:rFonts w:hint="eastAsia"/>
                      <w:color w:val="auto"/>
                      <w:lang w:val="en-US" w:eastAsia="zh-CN"/>
                    </w:rPr>
                    <w:t>——</w:t>
                  </w:r>
                </w:p>
              </w:tc>
            </w:tr>
            <w:tr w14:paraId="6F173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19A316FC">
                  <w:pPr>
                    <w:pStyle w:val="29"/>
                    <w:bidi w:val="0"/>
                    <w:rPr>
                      <w:rFonts w:hint="default"/>
                      <w:color w:val="auto"/>
                      <w:lang w:val="en-US" w:eastAsia="zh-CN"/>
                    </w:rPr>
                  </w:pPr>
                </w:p>
              </w:tc>
              <w:tc>
                <w:tcPr>
                  <w:tcW w:w="1525" w:type="dxa"/>
                  <w:vAlign w:val="center"/>
                </w:tcPr>
                <w:p w14:paraId="34AF67CC">
                  <w:pPr>
                    <w:pStyle w:val="29"/>
                    <w:bidi w:val="0"/>
                    <w:rPr>
                      <w:rFonts w:hint="default"/>
                      <w:color w:val="auto"/>
                      <w:lang w:val="en-US" w:eastAsia="zh-CN"/>
                    </w:rPr>
                  </w:pPr>
                  <w:r>
                    <w:rPr>
                      <w:rFonts w:hint="eastAsia"/>
                      <w:color w:val="auto"/>
                      <w:lang w:val="en-US" w:eastAsia="zh-CN"/>
                    </w:rPr>
                    <w:t>C(CH</w:t>
                  </w:r>
                  <w:r>
                    <w:rPr>
                      <w:rFonts w:hint="eastAsia"/>
                      <w:color w:val="auto"/>
                      <w:vertAlign w:val="subscript"/>
                      <w:lang w:val="en-US" w:eastAsia="zh-CN"/>
                    </w:rPr>
                    <w:t>3</w:t>
                  </w:r>
                  <w:r>
                    <w:rPr>
                      <w:rFonts w:hint="eastAsia"/>
                      <w:color w:val="auto"/>
                      <w:lang w:val="en-US" w:eastAsia="zh-CN"/>
                    </w:rPr>
                    <w:t>)</w:t>
                  </w:r>
                  <w:r>
                    <w:rPr>
                      <w:rFonts w:hint="eastAsia"/>
                      <w:color w:val="auto"/>
                      <w:vertAlign w:val="subscript"/>
                      <w:lang w:val="en-US" w:eastAsia="zh-CN"/>
                    </w:rPr>
                    <w:t>4</w:t>
                  </w:r>
                </w:p>
              </w:tc>
              <w:tc>
                <w:tcPr>
                  <w:tcW w:w="1263" w:type="dxa"/>
                  <w:vAlign w:val="center"/>
                </w:tcPr>
                <w:p w14:paraId="2299054B">
                  <w:pPr>
                    <w:pStyle w:val="29"/>
                    <w:bidi w:val="0"/>
                    <w:rPr>
                      <w:rFonts w:hint="default"/>
                      <w:color w:val="auto"/>
                      <w:lang w:val="en-US" w:eastAsia="zh-CN"/>
                    </w:rPr>
                  </w:pPr>
                  <w:r>
                    <w:rPr>
                      <w:rFonts w:hint="eastAsia"/>
                      <w:color w:val="auto"/>
                      <w:lang w:val="en-US" w:eastAsia="zh-CN"/>
                    </w:rPr>
                    <w:t>——</w:t>
                  </w:r>
                </w:p>
              </w:tc>
              <w:tc>
                <w:tcPr>
                  <w:tcW w:w="2322" w:type="dxa"/>
                  <w:vAlign w:val="center"/>
                </w:tcPr>
                <w:p w14:paraId="4B7D0421">
                  <w:pPr>
                    <w:pStyle w:val="29"/>
                    <w:bidi w:val="0"/>
                    <w:rPr>
                      <w:rFonts w:hint="default"/>
                      <w:color w:val="auto"/>
                      <w:lang w:val="en-US" w:eastAsia="zh-CN"/>
                    </w:rPr>
                  </w:pPr>
                  <w:r>
                    <w:rPr>
                      <w:rFonts w:hint="eastAsia"/>
                      <w:color w:val="auto"/>
                      <w:lang w:val="en-US" w:eastAsia="zh-CN"/>
                    </w:rPr>
                    <w:t>水露点（℃）</w:t>
                  </w:r>
                </w:p>
              </w:tc>
              <w:tc>
                <w:tcPr>
                  <w:tcW w:w="1572" w:type="dxa"/>
                  <w:vAlign w:val="center"/>
                </w:tcPr>
                <w:p w14:paraId="50A4FA7F">
                  <w:pPr>
                    <w:pStyle w:val="29"/>
                    <w:bidi w:val="0"/>
                    <w:rPr>
                      <w:rFonts w:hint="default"/>
                      <w:color w:val="auto"/>
                      <w:lang w:val="en-US" w:eastAsia="zh-CN"/>
                    </w:rPr>
                  </w:pPr>
                  <w:r>
                    <w:rPr>
                      <w:rFonts w:hint="eastAsia"/>
                      <w:color w:val="auto"/>
                      <w:lang w:val="en-US" w:eastAsia="zh-CN"/>
                    </w:rPr>
                    <w:t>-13.4300</w:t>
                  </w:r>
                </w:p>
              </w:tc>
            </w:tr>
            <w:tr w14:paraId="078A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067CEBB4">
                  <w:pPr>
                    <w:pStyle w:val="29"/>
                    <w:bidi w:val="0"/>
                    <w:rPr>
                      <w:rFonts w:hint="default"/>
                      <w:color w:val="auto"/>
                      <w:lang w:val="en-US" w:eastAsia="zh-CN"/>
                    </w:rPr>
                  </w:pPr>
                </w:p>
              </w:tc>
              <w:tc>
                <w:tcPr>
                  <w:tcW w:w="1525" w:type="dxa"/>
                  <w:vAlign w:val="center"/>
                </w:tcPr>
                <w:p w14:paraId="11886BEC">
                  <w:pPr>
                    <w:pStyle w:val="29"/>
                    <w:bidi w:val="0"/>
                    <w:rPr>
                      <w:rFonts w:hint="eastAsia"/>
                      <w:color w:val="auto"/>
                      <w:lang w:val="en-US" w:eastAsia="zh-CN"/>
                    </w:rPr>
                  </w:pPr>
                  <w:r>
                    <w:rPr>
                      <w:rFonts w:hint="eastAsia"/>
                      <w:color w:val="auto"/>
                      <w:lang w:val="en-US" w:eastAsia="zh-CN"/>
                    </w:rPr>
                    <w:t>n-C</w:t>
                  </w:r>
                  <w:r>
                    <w:rPr>
                      <w:rFonts w:hint="eastAsia"/>
                      <w:color w:val="auto"/>
                      <w:vertAlign w:val="subscript"/>
                      <w:lang w:val="en-US" w:eastAsia="zh-CN"/>
                    </w:rPr>
                    <w:t>5</w:t>
                  </w:r>
                  <w:r>
                    <w:rPr>
                      <w:rFonts w:hint="eastAsia"/>
                      <w:color w:val="auto"/>
                      <w:lang w:val="en-US" w:eastAsia="zh-CN"/>
                    </w:rPr>
                    <w:t>H</w:t>
                  </w:r>
                  <w:r>
                    <w:rPr>
                      <w:rFonts w:hint="eastAsia"/>
                      <w:color w:val="auto"/>
                      <w:vertAlign w:val="subscript"/>
                      <w:lang w:val="en-US" w:eastAsia="zh-CN"/>
                    </w:rPr>
                    <w:t>12</w:t>
                  </w:r>
                </w:p>
              </w:tc>
              <w:tc>
                <w:tcPr>
                  <w:tcW w:w="1263" w:type="dxa"/>
                  <w:vAlign w:val="center"/>
                </w:tcPr>
                <w:p w14:paraId="03685113">
                  <w:pPr>
                    <w:pStyle w:val="29"/>
                    <w:bidi w:val="0"/>
                    <w:rPr>
                      <w:rFonts w:hint="default"/>
                      <w:color w:val="auto"/>
                      <w:lang w:val="en-US" w:eastAsia="zh-CN"/>
                    </w:rPr>
                  </w:pPr>
                  <w:r>
                    <w:rPr>
                      <w:rFonts w:hint="eastAsia"/>
                      <w:color w:val="auto"/>
                      <w:lang w:val="en-US" w:eastAsia="zh-CN"/>
                    </w:rPr>
                    <w:t>0.0000</w:t>
                  </w:r>
                </w:p>
              </w:tc>
              <w:tc>
                <w:tcPr>
                  <w:tcW w:w="2322" w:type="dxa"/>
                  <w:vAlign w:val="center"/>
                </w:tcPr>
                <w:p w14:paraId="28264FDB">
                  <w:pPr>
                    <w:pStyle w:val="29"/>
                    <w:bidi w:val="0"/>
                    <w:rPr>
                      <w:rFonts w:hint="default"/>
                      <w:color w:val="auto"/>
                      <w:lang w:val="en-US" w:eastAsia="zh-CN"/>
                    </w:rPr>
                  </w:pPr>
                  <w:r>
                    <w:rPr>
                      <w:rFonts w:hint="eastAsia"/>
                      <w:color w:val="auto"/>
                      <w:lang w:val="en-US" w:eastAsia="zh-CN"/>
                    </w:rPr>
                    <w:t>绝度密度（kg/m</w:t>
                  </w:r>
                  <w:r>
                    <w:rPr>
                      <w:rFonts w:hint="eastAsia"/>
                      <w:color w:val="auto"/>
                      <w:vertAlign w:val="superscript"/>
                      <w:lang w:val="en-US" w:eastAsia="zh-CN"/>
                    </w:rPr>
                    <w:t>3</w:t>
                  </w:r>
                  <w:r>
                    <w:rPr>
                      <w:rFonts w:hint="eastAsia"/>
                      <w:color w:val="auto"/>
                      <w:lang w:val="en-US" w:eastAsia="zh-CN"/>
                    </w:rPr>
                    <w:t>）</w:t>
                  </w:r>
                </w:p>
              </w:tc>
              <w:tc>
                <w:tcPr>
                  <w:tcW w:w="1572" w:type="dxa"/>
                  <w:vAlign w:val="center"/>
                </w:tcPr>
                <w:p w14:paraId="54CBB6C0">
                  <w:pPr>
                    <w:pStyle w:val="29"/>
                    <w:bidi w:val="0"/>
                    <w:rPr>
                      <w:rFonts w:hint="default"/>
                      <w:color w:val="auto"/>
                      <w:lang w:val="en-US" w:eastAsia="zh-CN"/>
                    </w:rPr>
                  </w:pPr>
                  <w:r>
                    <w:rPr>
                      <w:rFonts w:hint="eastAsia"/>
                      <w:color w:val="auto"/>
                      <w:lang w:val="en-US" w:eastAsia="zh-CN"/>
                    </w:rPr>
                    <w:t>0.6734</w:t>
                  </w:r>
                </w:p>
              </w:tc>
            </w:tr>
            <w:tr w14:paraId="615D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50B82927">
                  <w:pPr>
                    <w:pStyle w:val="29"/>
                    <w:bidi w:val="0"/>
                    <w:rPr>
                      <w:rFonts w:hint="default"/>
                      <w:color w:val="auto"/>
                      <w:lang w:val="en-US" w:eastAsia="zh-CN"/>
                    </w:rPr>
                  </w:pPr>
                </w:p>
              </w:tc>
              <w:tc>
                <w:tcPr>
                  <w:tcW w:w="1525" w:type="dxa"/>
                  <w:vAlign w:val="center"/>
                </w:tcPr>
                <w:p w14:paraId="4E995AE4">
                  <w:pPr>
                    <w:pStyle w:val="29"/>
                    <w:bidi w:val="0"/>
                    <w:rPr>
                      <w:rFonts w:hint="default"/>
                      <w:color w:val="auto"/>
                      <w:lang w:val="en-US" w:eastAsia="zh-CN"/>
                    </w:rPr>
                  </w:pPr>
                  <w:r>
                    <w:rPr>
                      <w:rFonts w:hint="eastAsia"/>
                      <w:color w:val="auto"/>
                      <w:lang w:val="en-US" w:eastAsia="zh-CN"/>
                    </w:rPr>
                    <w:t>i-C</w:t>
                  </w:r>
                  <w:r>
                    <w:rPr>
                      <w:rFonts w:hint="eastAsia"/>
                      <w:color w:val="auto"/>
                      <w:vertAlign w:val="subscript"/>
                      <w:lang w:val="en-US" w:eastAsia="zh-CN"/>
                    </w:rPr>
                    <w:t>5</w:t>
                  </w:r>
                  <w:r>
                    <w:rPr>
                      <w:rFonts w:hint="eastAsia"/>
                      <w:color w:val="auto"/>
                      <w:lang w:val="en-US" w:eastAsia="zh-CN"/>
                    </w:rPr>
                    <w:t>H</w:t>
                  </w:r>
                  <w:r>
                    <w:rPr>
                      <w:rFonts w:hint="eastAsia"/>
                      <w:color w:val="auto"/>
                      <w:vertAlign w:val="subscript"/>
                      <w:lang w:val="en-US" w:eastAsia="zh-CN"/>
                    </w:rPr>
                    <w:t>12</w:t>
                  </w:r>
                </w:p>
              </w:tc>
              <w:tc>
                <w:tcPr>
                  <w:tcW w:w="1263" w:type="dxa"/>
                  <w:vAlign w:val="center"/>
                </w:tcPr>
                <w:p w14:paraId="5C36802B">
                  <w:pPr>
                    <w:pStyle w:val="29"/>
                    <w:bidi w:val="0"/>
                    <w:rPr>
                      <w:rFonts w:hint="default"/>
                      <w:color w:val="auto"/>
                      <w:lang w:val="en-US" w:eastAsia="zh-CN"/>
                    </w:rPr>
                  </w:pPr>
                  <w:r>
                    <w:rPr>
                      <w:rFonts w:hint="eastAsia"/>
                      <w:color w:val="auto"/>
                      <w:lang w:val="en-US" w:eastAsia="zh-CN"/>
                    </w:rPr>
                    <w:t>0.0033</w:t>
                  </w:r>
                </w:p>
              </w:tc>
              <w:tc>
                <w:tcPr>
                  <w:tcW w:w="2322" w:type="dxa"/>
                  <w:vAlign w:val="center"/>
                </w:tcPr>
                <w:p w14:paraId="0FF76FC9">
                  <w:pPr>
                    <w:pStyle w:val="29"/>
                    <w:bidi w:val="0"/>
                    <w:rPr>
                      <w:rFonts w:hint="default"/>
                      <w:color w:val="auto"/>
                      <w:lang w:val="en-US" w:eastAsia="zh-CN"/>
                    </w:rPr>
                  </w:pPr>
                  <w:r>
                    <w:rPr>
                      <w:rFonts w:hint="eastAsia"/>
                      <w:color w:val="auto"/>
                      <w:lang w:val="en-US" w:eastAsia="zh-CN"/>
                    </w:rPr>
                    <w:t>高位发热量（MJ/m</w:t>
                  </w:r>
                  <w:r>
                    <w:rPr>
                      <w:rFonts w:hint="eastAsia"/>
                      <w:color w:val="auto"/>
                      <w:vertAlign w:val="superscript"/>
                      <w:lang w:val="en-US" w:eastAsia="zh-CN"/>
                    </w:rPr>
                    <w:t>3</w:t>
                  </w:r>
                  <w:r>
                    <w:rPr>
                      <w:rFonts w:hint="eastAsia"/>
                      <w:color w:val="auto"/>
                      <w:lang w:val="en-US" w:eastAsia="zh-CN"/>
                    </w:rPr>
                    <w:t>）</w:t>
                  </w:r>
                </w:p>
              </w:tc>
              <w:tc>
                <w:tcPr>
                  <w:tcW w:w="1572" w:type="dxa"/>
                  <w:vAlign w:val="center"/>
                </w:tcPr>
                <w:p w14:paraId="6EAA0218">
                  <w:pPr>
                    <w:pStyle w:val="29"/>
                    <w:bidi w:val="0"/>
                    <w:rPr>
                      <w:rFonts w:hint="default"/>
                      <w:color w:val="auto"/>
                      <w:lang w:val="en-US" w:eastAsia="zh-CN"/>
                    </w:rPr>
                  </w:pPr>
                  <w:r>
                    <w:rPr>
                      <w:rFonts w:hint="eastAsia"/>
                      <w:color w:val="auto"/>
                      <w:lang w:val="en-US" w:eastAsia="zh-CN"/>
                    </w:rPr>
                    <w:t>37.0312</w:t>
                  </w:r>
                </w:p>
              </w:tc>
            </w:tr>
            <w:tr w14:paraId="3B3D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4" w:type="dxa"/>
                  <w:vMerge w:val="continue"/>
                  <w:vAlign w:val="center"/>
                </w:tcPr>
                <w:p w14:paraId="45D03776">
                  <w:pPr>
                    <w:pStyle w:val="29"/>
                    <w:bidi w:val="0"/>
                    <w:rPr>
                      <w:rFonts w:hint="default"/>
                      <w:color w:val="auto"/>
                      <w:lang w:val="en-US" w:eastAsia="zh-CN"/>
                    </w:rPr>
                  </w:pPr>
                </w:p>
              </w:tc>
              <w:tc>
                <w:tcPr>
                  <w:tcW w:w="1525" w:type="dxa"/>
                  <w:vAlign w:val="center"/>
                </w:tcPr>
                <w:p w14:paraId="081CF34A">
                  <w:pPr>
                    <w:pStyle w:val="29"/>
                    <w:bidi w:val="0"/>
                    <w:rPr>
                      <w:rFonts w:hint="default"/>
                      <w:color w:val="auto"/>
                      <w:lang w:val="en-US" w:eastAsia="zh-CN"/>
                    </w:rPr>
                  </w:pPr>
                  <w:r>
                    <w:rPr>
                      <w:rFonts w:hint="eastAsia"/>
                      <w:color w:val="auto"/>
                      <w:lang w:val="en-US" w:eastAsia="zh-CN"/>
                    </w:rPr>
                    <w:t>C</w:t>
                  </w:r>
                  <w:r>
                    <w:rPr>
                      <w:rFonts w:hint="eastAsia"/>
                      <w:color w:val="auto"/>
                      <w:vertAlign w:val="subscript"/>
                      <w:lang w:val="en-US" w:eastAsia="zh-CN"/>
                    </w:rPr>
                    <w:t>6</w:t>
                  </w:r>
                  <w:r>
                    <w:rPr>
                      <w:rFonts w:hint="eastAsia"/>
                      <w:color w:val="auto"/>
                      <w:vertAlign w:val="superscript"/>
                      <w:lang w:val="en-US" w:eastAsia="zh-CN"/>
                    </w:rPr>
                    <w:t>+</w:t>
                  </w:r>
                </w:p>
              </w:tc>
              <w:tc>
                <w:tcPr>
                  <w:tcW w:w="1263" w:type="dxa"/>
                  <w:vAlign w:val="center"/>
                </w:tcPr>
                <w:p w14:paraId="23F8819B">
                  <w:pPr>
                    <w:pStyle w:val="29"/>
                    <w:bidi w:val="0"/>
                    <w:rPr>
                      <w:rFonts w:hint="default"/>
                      <w:color w:val="auto"/>
                      <w:lang w:val="en-US" w:eastAsia="zh-CN"/>
                    </w:rPr>
                  </w:pPr>
                  <w:r>
                    <w:rPr>
                      <w:rFonts w:hint="eastAsia"/>
                      <w:color w:val="auto"/>
                      <w:lang w:val="en-US" w:eastAsia="zh-CN"/>
                    </w:rPr>
                    <w:t>0.0168</w:t>
                  </w:r>
                </w:p>
              </w:tc>
              <w:tc>
                <w:tcPr>
                  <w:tcW w:w="2322" w:type="dxa"/>
                  <w:vAlign w:val="center"/>
                </w:tcPr>
                <w:p w14:paraId="6A129F11">
                  <w:pPr>
                    <w:pStyle w:val="29"/>
                    <w:bidi w:val="0"/>
                    <w:rPr>
                      <w:rFonts w:hint="default"/>
                      <w:color w:val="auto"/>
                      <w:lang w:val="en-US" w:eastAsia="zh-CN"/>
                    </w:rPr>
                  </w:pPr>
                  <w:r>
                    <w:rPr>
                      <w:rFonts w:hint="eastAsia"/>
                      <w:color w:val="auto"/>
                      <w:lang w:val="en-US" w:eastAsia="zh-CN"/>
                    </w:rPr>
                    <w:t>低位发热量（MJ/m</w:t>
                  </w:r>
                  <w:r>
                    <w:rPr>
                      <w:rFonts w:hint="eastAsia"/>
                      <w:color w:val="auto"/>
                      <w:vertAlign w:val="superscript"/>
                      <w:lang w:val="en-US" w:eastAsia="zh-CN"/>
                    </w:rPr>
                    <w:t>3</w:t>
                  </w:r>
                  <w:r>
                    <w:rPr>
                      <w:rFonts w:hint="eastAsia"/>
                      <w:color w:val="auto"/>
                      <w:lang w:val="en-US" w:eastAsia="zh-CN"/>
                    </w:rPr>
                    <w:t>）</w:t>
                  </w:r>
                </w:p>
              </w:tc>
              <w:tc>
                <w:tcPr>
                  <w:tcW w:w="1572" w:type="dxa"/>
                  <w:vAlign w:val="center"/>
                </w:tcPr>
                <w:p w14:paraId="090F4169">
                  <w:pPr>
                    <w:pStyle w:val="29"/>
                    <w:bidi w:val="0"/>
                    <w:rPr>
                      <w:rFonts w:hint="default"/>
                      <w:color w:val="auto"/>
                      <w:lang w:val="en-US" w:eastAsia="zh-CN"/>
                    </w:rPr>
                  </w:pPr>
                  <w:r>
                    <w:rPr>
                      <w:rFonts w:hint="eastAsia"/>
                      <w:color w:val="auto"/>
                      <w:lang w:val="en-US" w:eastAsia="zh-CN"/>
                    </w:rPr>
                    <w:t>33.3578</w:t>
                  </w:r>
                </w:p>
              </w:tc>
            </w:tr>
          </w:tbl>
          <w:p w14:paraId="48A08D1D">
            <w:pPr>
              <w:pStyle w:val="45"/>
              <w:rPr>
                <w:rFonts w:hint="eastAsia" w:eastAsia="宋体"/>
                <w:bCs/>
                <w:color w:val="auto"/>
                <w:lang w:eastAsia="zh-CN"/>
              </w:rPr>
            </w:pPr>
            <w:r>
              <w:rPr>
                <w:rFonts w:hint="eastAsia"/>
                <w:color w:val="auto"/>
                <w:lang w:val="en-US" w:eastAsia="zh-CN"/>
              </w:rPr>
              <w:t>5、</w:t>
            </w:r>
            <w:r>
              <w:rPr>
                <w:bCs/>
                <w:color w:val="auto"/>
              </w:rPr>
              <w:t>平衡</w:t>
            </w:r>
            <w:r>
              <w:rPr>
                <w:rFonts w:hint="eastAsia" w:eastAsia="宋体"/>
                <w:bCs/>
                <w:color w:val="auto"/>
                <w:lang w:eastAsia="zh-CN"/>
              </w:rPr>
              <w:t>分析</w:t>
            </w:r>
          </w:p>
          <w:p w14:paraId="55041880">
            <w:pPr>
              <w:bidi w:val="0"/>
              <w:rPr>
                <w:rFonts w:hint="eastAsia"/>
                <w:b/>
                <w:bCs/>
                <w:color w:val="auto"/>
                <w:lang w:val="en-US" w:eastAsia="zh-CN"/>
              </w:rPr>
            </w:pPr>
            <w:r>
              <w:rPr>
                <w:rFonts w:hint="eastAsia"/>
                <w:b/>
                <w:bCs/>
                <w:color w:val="auto"/>
                <w:lang w:val="en-US" w:eastAsia="zh-CN"/>
              </w:rPr>
              <w:t>（1）物料平衡</w:t>
            </w:r>
          </w:p>
          <w:p w14:paraId="2D3CA4F1">
            <w:pPr>
              <w:bidi w:val="0"/>
              <w:rPr>
                <w:rFonts w:hint="eastAsia"/>
                <w:color w:val="auto"/>
                <w:highlight w:val="none"/>
                <w:lang w:val="en-US" w:eastAsia="zh-CN"/>
              </w:rPr>
            </w:pPr>
            <w:r>
              <w:rPr>
                <w:rFonts w:hint="eastAsia"/>
                <w:b w:val="0"/>
                <w:bCs w:val="0"/>
                <w:color w:val="auto"/>
                <w:lang w:val="en-US" w:eastAsia="zh-CN"/>
              </w:rPr>
              <w:t>项目物料平衡见下表：</w:t>
            </w:r>
          </w:p>
          <w:p w14:paraId="4DE3D9DF">
            <w:pPr>
              <w:pStyle w:val="30"/>
              <w:bidi w:val="0"/>
              <w:rPr>
                <w:rFonts w:hint="eastAsia"/>
                <w:color w:val="auto"/>
                <w:highlight w:val="none"/>
                <w:lang w:val="en-US" w:eastAsia="zh-CN"/>
              </w:rPr>
            </w:pPr>
            <w:r>
              <w:rPr>
                <w:rFonts w:hint="eastAsia"/>
                <w:color w:val="auto"/>
                <w:highlight w:val="none"/>
                <w:lang w:val="en-US" w:eastAsia="zh-CN"/>
              </w:rPr>
              <w:t>表2-9  啤酒物料平衡  单位：t/a</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480"/>
              <w:gridCol w:w="1247"/>
              <w:gridCol w:w="1240"/>
              <w:gridCol w:w="1240"/>
              <w:gridCol w:w="1636"/>
            </w:tblGrid>
            <w:tr w14:paraId="3D29A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2376" w:type="pct"/>
                  <w:gridSpan w:val="2"/>
                  <w:tcBorders>
                    <w:tl2br w:val="nil"/>
                    <w:tr2bl w:val="nil"/>
                  </w:tcBorders>
                  <w:shd w:val="clear" w:color="auto" w:fill="auto"/>
                  <w:vAlign w:val="center"/>
                </w:tcPr>
                <w:p w14:paraId="44530F3E">
                  <w:pPr>
                    <w:pStyle w:val="29"/>
                    <w:bidi w:val="0"/>
                    <w:rPr>
                      <w:rFonts w:hint="eastAsia"/>
                      <w:color w:val="auto"/>
                      <w:lang w:val="en-US" w:eastAsia="zh-CN"/>
                    </w:rPr>
                  </w:pPr>
                  <w:r>
                    <w:rPr>
                      <w:rFonts w:hint="eastAsia"/>
                      <w:color w:val="auto"/>
                    </w:rPr>
                    <w:t>物料投入情况</w:t>
                  </w:r>
                </w:p>
              </w:tc>
              <w:tc>
                <w:tcPr>
                  <w:tcW w:w="2623" w:type="pct"/>
                  <w:gridSpan w:val="3"/>
                  <w:tcBorders>
                    <w:tl2br w:val="nil"/>
                    <w:tr2bl w:val="nil"/>
                  </w:tcBorders>
                  <w:shd w:val="clear" w:color="auto" w:fill="auto"/>
                  <w:vAlign w:val="center"/>
                </w:tcPr>
                <w:p w14:paraId="0CBDDE01">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rPr>
                    <w:t>物料产出情况</w:t>
                  </w:r>
                </w:p>
              </w:tc>
            </w:tr>
            <w:tr w14:paraId="39403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1BA6BD6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麦芽</w:t>
                  </w:r>
                </w:p>
              </w:tc>
              <w:tc>
                <w:tcPr>
                  <w:tcW w:w="794" w:type="pct"/>
                  <w:tcBorders>
                    <w:tl2br w:val="nil"/>
                    <w:tr2bl w:val="nil"/>
                  </w:tcBorders>
                  <w:shd w:val="clear" w:color="auto" w:fill="auto"/>
                  <w:vAlign w:val="center"/>
                </w:tcPr>
                <w:p w14:paraId="54A01D6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100</w:t>
                  </w:r>
                </w:p>
              </w:tc>
              <w:tc>
                <w:tcPr>
                  <w:tcW w:w="1581" w:type="pct"/>
                  <w:gridSpan w:val="2"/>
                  <w:tcBorders>
                    <w:tl2br w:val="nil"/>
                    <w:tr2bl w:val="nil"/>
                  </w:tcBorders>
                  <w:shd w:val="clear" w:color="auto" w:fill="auto"/>
                  <w:vAlign w:val="center"/>
                </w:tcPr>
                <w:p w14:paraId="67364725">
                  <w:pPr>
                    <w:pStyle w:val="29"/>
                    <w:bidi w:val="0"/>
                    <w:rPr>
                      <w:rFonts w:hint="default"/>
                      <w:color w:val="auto"/>
                      <w:lang w:val="en-US" w:eastAsia="zh-CN"/>
                    </w:rPr>
                  </w:pPr>
                  <w:r>
                    <w:rPr>
                      <w:rFonts w:hint="eastAsia"/>
                      <w:color w:val="auto"/>
                      <w:lang w:val="en-US" w:eastAsia="zh-CN"/>
                    </w:rPr>
                    <w:t>啤酒（产品）</w:t>
                  </w:r>
                </w:p>
              </w:tc>
              <w:tc>
                <w:tcPr>
                  <w:tcW w:w="1042" w:type="pct"/>
                  <w:tcBorders>
                    <w:tl2br w:val="nil"/>
                    <w:tr2bl w:val="nil"/>
                  </w:tcBorders>
                  <w:shd w:val="clear" w:color="auto" w:fill="auto"/>
                  <w:vAlign w:val="center"/>
                </w:tcPr>
                <w:p w14:paraId="09EC75B4">
                  <w:pPr>
                    <w:pStyle w:val="29"/>
                    <w:bidi w:val="0"/>
                    <w:rPr>
                      <w:rFonts w:hint="default"/>
                      <w:color w:val="auto"/>
                      <w:lang w:val="en-US" w:eastAsia="zh-CN"/>
                    </w:rPr>
                  </w:pPr>
                  <w:r>
                    <w:rPr>
                      <w:rFonts w:hint="eastAsia"/>
                      <w:color w:val="auto"/>
                      <w:lang w:val="en-US" w:eastAsia="zh-CN"/>
                    </w:rPr>
                    <w:t>500</w:t>
                  </w:r>
                </w:p>
              </w:tc>
            </w:tr>
            <w:tr w14:paraId="2E7EA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1581" w:type="pct"/>
                  <w:tcBorders>
                    <w:tl2br w:val="nil"/>
                    <w:tr2bl w:val="nil"/>
                  </w:tcBorders>
                  <w:shd w:val="clear" w:color="auto" w:fill="auto"/>
                  <w:vAlign w:val="center"/>
                </w:tcPr>
                <w:p w14:paraId="45CBC0C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啤酒花</w:t>
                  </w:r>
                </w:p>
              </w:tc>
              <w:tc>
                <w:tcPr>
                  <w:tcW w:w="794" w:type="pct"/>
                  <w:tcBorders>
                    <w:tl2br w:val="nil"/>
                    <w:tr2bl w:val="nil"/>
                  </w:tcBorders>
                  <w:shd w:val="clear" w:color="auto" w:fill="auto"/>
                  <w:vAlign w:val="center"/>
                </w:tcPr>
                <w:p w14:paraId="592A5CF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0.5</w:t>
                  </w:r>
                </w:p>
              </w:tc>
              <w:tc>
                <w:tcPr>
                  <w:tcW w:w="790" w:type="pct"/>
                  <w:vMerge w:val="restart"/>
                  <w:tcBorders>
                    <w:tl2br w:val="nil"/>
                    <w:tr2bl w:val="nil"/>
                  </w:tcBorders>
                  <w:shd w:val="clear" w:color="auto" w:fill="auto"/>
                  <w:vAlign w:val="center"/>
                </w:tcPr>
                <w:p w14:paraId="77A7B811">
                  <w:pPr>
                    <w:pStyle w:val="29"/>
                    <w:bidi w:val="0"/>
                    <w:rPr>
                      <w:rFonts w:hint="default"/>
                      <w:color w:val="auto"/>
                      <w:lang w:val="en-US" w:eastAsia="zh-CN"/>
                    </w:rPr>
                  </w:pPr>
                  <w:r>
                    <w:rPr>
                      <w:rFonts w:hint="eastAsia"/>
                      <w:color w:val="auto"/>
                      <w:lang w:val="en-US" w:eastAsia="zh-CN"/>
                    </w:rPr>
                    <w:t>粉尘</w:t>
                  </w:r>
                </w:p>
              </w:tc>
              <w:tc>
                <w:tcPr>
                  <w:tcW w:w="790" w:type="pct"/>
                  <w:tcBorders>
                    <w:tl2br w:val="nil"/>
                    <w:tr2bl w:val="nil"/>
                  </w:tcBorders>
                  <w:shd w:val="clear" w:color="auto" w:fill="auto"/>
                  <w:vAlign w:val="center"/>
                </w:tcPr>
                <w:p w14:paraId="527C4B33">
                  <w:pPr>
                    <w:pStyle w:val="29"/>
                    <w:bidi w:val="0"/>
                    <w:rPr>
                      <w:rFonts w:hint="default"/>
                      <w:color w:val="auto"/>
                      <w:lang w:val="en-US" w:eastAsia="zh-CN"/>
                    </w:rPr>
                  </w:pPr>
                  <w:r>
                    <w:rPr>
                      <w:rFonts w:hint="eastAsia"/>
                      <w:color w:val="auto"/>
                      <w:lang w:val="en-US" w:eastAsia="zh-CN"/>
                    </w:rPr>
                    <w:t>无组织</w:t>
                  </w:r>
                </w:p>
              </w:tc>
              <w:tc>
                <w:tcPr>
                  <w:tcW w:w="1042" w:type="pct"/>
                  <w:tcBorders>
                    <w:tl2br w:val="nil"/>
                    <w:tr2bl w:val="nil"/>
                  </w:tcBorders>
                  <w:shd w:val="clear" w:color="auto" w:fill="auto"/>
                  <w:vAlign w:val="center"/>
                </w:tcPr>
                <w:p w14:paraId="6B79E0A6">
                  <w:pPr>
                    <w:pStyle w:val="29"/>
                    <w:bidi w:val="0"/>
                    <w:rPr>
                      <w:rFonts w:hint="default"/>
                      <w:color w:val="auto"/>
                      <w:lang w:val="en-US" w:eastAsia="zh-CN"/>
                    </w:rPr>
                  </w:pPr>
                  <w:r>
                    <w:rPr>
                      <w:rFonts w:hint="eastAsia"/>
                      <w:color w:val="auto"/>
                      <w:lang w:val="en-US" w:eastAsia="zh-CN"/>
                    </w:rPr>
                    <w:t>0.0005</w:t>
                  </w:r>
                </w:p>
              </w:tc>
            </w:tr>
            <w:tr w14:paraId="7D4D7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22F9A82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卡拉胶</w:t>
                  </w:r>
                </w:p>
              </w:tc>
              <w:tc>
                <w:tcPr>
                  <w:tcW w:w="794" w:type="pct"/>
                  <w:tcBorders>
                    <w:tl2br w:val="nil"/>
                    <w:tr2bl w:val="nil"/>
                  </w:tcBorders>
                  <w:shd w:val="clear" w:color="auto" w:fill="auto"/>
                  <w:vAlign w:val="center"/>
                </w:tcPr>
                <w:p w14:paraId="51AAD2F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bCs w:val="0"/>
                      <w:color w:val="auto"/>
                      <w:lang w:val="en-US" w:eastAsia="zh-CN"/>
                    </w:rPr>
                    <w:t>0.05</w:t>
                  </w:r>
                </w:p>
              </w:tc>
              <w:tc>
                <w:tcPr>
                  <w:tcW w:w="790" w:type="pct"/>
                  <w:vMerge w:val="continue"/>
                  <w:tcBorders>
                    <w:tl2br w:val="nil"/>
                    <w:tr2bl w:val="nil"/>
                  </w:tcBorders>
                  <w:shd w:val="clear" w:color="auto" w:fill="auto"/>
                  <w:vAlign w:val="center"/>
                </w:tcPr>
                <w:p w14:paraId="51D18003">
                  <w:pPr>
                    <w:pStyle w:val="29"/>
                    <w:bidi w:val="0"/>
                    <w:rPr>
                      <w:rFonts w:hint="eastAsia"/>
                      <w:color w:val="auto"/>
                      <w:lang w:val="en-US" w:eastAsia="zh-CN"/>
                    </w:rPr>
                  </w:pPr>
                </w:p>
              </w:tc>
              <w:tc>
                <w:tcPr>
                  <w:tcW w:w="790" w:type="pct"/>
                  <w:tcBorders>
                    <w:tl2br w:val="nil"/>
                    <w:tr2bl w:val="nil"/>
                  </w:tcBorders>
                  <w:shd w:val="clear" w:color="auto" w:fill="auto"/>
                  <w:vAlign w:val="center"/>
                </w:tcPr>
                <w:p w14:paraId="6D5D0882">
                  <w:pPr>
                    <w:pStyle w:val="29"/>
                    <w:bidi w:val="0"/>
                    <w:rPr>
                      <w:rFonts w:hint="default"/>
                      <w:color w:val="auto"/>
                      <w:lang w:val="en-US" w:eastAsia="zh-CN"/>
                    </w:rPr>
                  </w:pPr>
                  <w:r>
                    <w:rPr>
                      <w:rFonts w:hint="eastAsia"/>
                      <w:color w:val="auto"/>
                      <w:lang w:val="en-US" w:eastAsia="zh-CN"/>
                    </w:rPr>
                    <w:t>有组织</w:t>
                  </w:r>
                </w:p>
              </w:tc>
              <w:tc>
                <w:tcPr>
                  <w:tcW w:w="1042" w:type="pct"/>
                  <w:tcBorders>
                    <w:tl2br w:val="nil"/>
                    <w:tr2bl w:val="nil"/>
                  </w:tcBorders>
                  <w:shd w:val="clear" w:color="auto" w:fill="auto"/>
                  <w:vAlign w:val="center"/>
                </w:tcPr>
                <w:p w14:paraId="50E3D93F">
                  <w:pPr>
                    <w:pStyle w:val="29"/>
                    <w:bidi w:val="0"/>
                    <w:rPr>
                      <w:rFonts w:hint="default"/>
                      <w:color w:val="auto"/>
                      <w:lang w:val="en-US" w:eastAsia="zh-CN"/>
                    </w:rPr>
                  </w:pPr>
                  <w:r>
                    <w:rPr>
                      <w:rFonts w:hint="eastAsia"/>
                      <w:color w:val="auto"/>
                      <w:lang w:val="en-US" w:eastAsia="zh-CN"/>
                    </w:rPr>
                    <w:t>0.0001</w:t>
                  </w:r>
                </w:p>
              </w:tc>
            </w:tr>
            <w:tr w14:paraId="06A57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1581" w:type="pct"/>
                  <w:tcBorders>
                    <w:tl2br w:val="nil"/>
                    <w:tr2bl w:val="nil"/>
                  </w:tcBorders>
                  <w:shd w:val="clear" w:color="auto" w:fill="auto"/>
                  <w:vAlign w:val="center"/>
                </w:tcPr>
                <w:p w14:paraId="303DA59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酵母</w:t>
                  </w:r>
                </w:p>
              </w:tc>
              <w:tc>
                <w:tcPr>
                  <w:tcW w:w="794" w:type="pct"/>
                  <w:tcBorders>
                    <w:tl2br w:val="nil"/>
                    <w:tr2bl w:val="nil"/>
                  </w:tcBorders>
                  <w:shd w:val="clear" w:color="auto" w:fill="auto"/>
                  <w:vAlign w:val="center"/>
                </w:tcPr>
                <w:p w14:paraId="2B61B75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0.25</w:t>
                  </w:r>
                </w:p>
              </w:tc>
              <w:tc>
                <w:tcPr>
                  <w:tcW w:w="790" w:type="pct"/>
                  <w:vMerge w:val="continue"/>
                  <w:tcBorders>
                    <w:tl2br w:val="nil"/>
                    <w:tr2bl w:val="nil"/>
                  </w:tcBorders>
                  <w:shd w:val="clear" w:color="auto" w:fill="auto"/>
                  <w:vAlign w:val="center"/>
                </w:tcPr>
                <w:p w14:paraId="626FAAD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0" w:type="pct"/>
                  <w:tcBorders>
                    <w:tl2br w:val="nil"/>
                    <w:tr2bl w:val="nil"/>
                  </w:tcBorders>
                  <w:shd w:val="clear" w:color="auto" w:fill="auto"/>
                  <w:vAlign w:val="center"/>
                </w:tcPr>
                <w:p w14:paraId="6883809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除尘灰</w:t>
                  </w:r>
                </w:p>
              </w:tc>
              <w:tc>
                <w:tcPr>
                  <w:tcW w:w="1042" w:type="pct"/>
                  <w:tcBorders>
                    <w:tl2br w:val="nil"/>
                    <w:tr2bl w:val="nil"/>
                  </w:tcBorders>
                  <w:shd w:val="clear" w:color="auto" w:fill="auto"/>
                  <w:vAlign w:val="center"/>
                </w:tcPr>
                <w:p w14:paraId="121BB931">
                  <w:pPr>
                    <w:pStyle w:val="29"/>
                    <w:bidi w:val="0"/>
                    <w:rPr>
                      <w:rFonts w:hint="default" w:eastAsia="宋体"/>
                      <w:color w:val="auto"/>
                      <w:lang w:val="en-US" w:eastAsia="zh-CN"/>
                    </w:rPr>
                  </w:pPr>
                  <w:r>
                    <w:rPr>
                      <w:rFonts w:hint="eastAsia"/>
                      <w:color w:val="auto"/>
                      <w:lang w:val="en-US" w:eastAsia="zh-CN"/>
                    </w:rPr>
                    <w:t>0.0079</w:t>
                  </w:r>
                </w:p>
              </w:tc>
            </w:tr>
            <w:tr w14:paraId="230D1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6052D97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水</w:t>
                  </w:r>
                </w:p>
              </w:tc>
              <w:tc>
                <w:tcPr>
                  <w:tcW w:w="794" w:type="pct"/>
                  <w:tcBorders>
                    <w:tl2br w:val="nil"/>
                    <w:tr2bl w:val="nil"/>
                  </w:tcBorders>
                  <w:shd w:val="clear" w:color="auto" w:fill="auto"/>
                  <w:vAlign w:val="center"/>
                </w:tcPr>
                <w:p w14:paraId="6ED9977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581.4955</w:t>
                  </w:r>
                </w:p>
              </w:tc>
              <w:tc>
                <w:tcPr>
                  <w:tcW w:w="1581" w:type="pct"/>
                  <w:gridSpan w:val="2"/>
                  <w:tcBorders>
                    <w:tl2br w:val="nil"/>
                    <w:tr2bl w:val="nil"/>
                  </w:tcBorders>
                  <w:shd w:val="clear" w:color="auto" w:fill="auto"/>
                  <w:vAlign w:val="center"/>
                </w:tcPr>
                <w:p w14:paraId="48B4AE2F">
                  <w:pPr>
                    <w:pStyle w:val="29"/>
                    <w:bidi w:val="0"/>
                    <w:rPr>
                      <w:rFonts w:hint="default"/>
                      <w:color w:val="auto"/>
                      <w:lang w:val="en-US" w:eastAsia="zh-CN"/>
                    </w:rPr>
                  </w:pPr>
                  <w:r>
                    <w:rPr>
                      <w:rFonts w:hint="eastAsia"/>
                      <w:color w:val="auto"/>
                      <w:lang w:val="en-US" w:eastAsia="zh-CN"/>
                    </w:rPr>
                    <w:t>麦糟</w:t>
                  </w:r>
                </w:p>
              </w:tc>
              <w:tc>
                <w:tcPr>
                  <w:tcW w:w="1042" w:type="pct"/>
                  <w:tcBorders>
                    <w:tl2br w:val="nil"/>
                    <w:tr2bl w:val="nil"/>
                  </w:tcBorders>
                  <w:shd w:val="clear" w:color="auto" w:fill="auto"/>
                  <w:vAlign w:val="center"/>
                </w:tcPr>
                <w:p w14:paraId="2C67CCDC">
                  <w:pPr>
                    <w:pStyle w:val="29"/>
                    <w:bidi w:val="0"/>
                    <w:rPr>
                      <w:rFonts w:hint="default" w:eastAsia="宋体"/>
                      <w:color w:val="auto"/>
                      <w:lang w:val="en-US" w:eastAsia="zh-CN"/>
                    </w:rPr>
                  </w:pPr>
                  <w:r>
                    <w:rPr>
                      <w:rFonts w:hint="eastAsia"/>
                      <w:color w:val="auto"/>
                      <w:lang w:val="en-US" w:eastAsia="zh-CN"/>
                    </w:rPr>
                    <w:t>137.5</w:t>
                  </w:r>
                </w:p>
              </w:tc>
            </w:tr>
            <w:tr w14:paraId="7B4D9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75B2771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4" w:type="pct"/>
                  <w:tcBorders>
                    <w:tl2br w:val="nil"/>
                    <w:tr2bl w:val="nil"/>
                  </w:tcBorders>
                  <w:shd w:val="clear" w:color="auto" w:fill="auto"/>
                  <w:vAlign w:val="center"/>
                </w:tcPr>
                <w:p w14:paraId="4092EE1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1581" w:type="pct"/>
                  <w:gridSpan w:val="2"/>
                  <w:tcBorders>
                    <w:tl2br w:val="nil"/>
                    <w:tr2bl w:val="nil"/>
                  </w:tcBorders>
                  <w:shd w:val="clear" w:color="auto" w:fill="auto"/>
                  <w:vAlign w:val="center"/>
                </w:tcPr>
                <w:p w14:paraId="7AA2456E">
                  <w:pPr>
                    <w:pStyle w:val="29"/>
                    <w:bidi w:val="0"/>
                    <w:rPr>
                      <w:rFonts w:hint="default"/>
                      <w:color w:val="auto"/>
                      <w:lang w:val="en-US" w:eastAsia="zh-CN"/>
                    </w:rPr>
                  </w:pPr>
                  <w:r>
                    <w:rPr>
                      <w:rFonts w:hint="eastAsia"/>
                      <w:color w:val="auto"/>
                      <w:lang w:val="en-US" w:eastAsia="zh-CN"/>
                    </w:rPr>
                    <w:t>酒花糟</w:t>
                  </w:r>
                </w:p>
              </w:tc>
              <w:tc>
                <w:tcPr>
                  <w:tcW w:w="1042" w:type="pct"/>
                  <w:tcBorders>
                    <w:tl2br w:val="nil"/>
                    <w:tr2bl w:val="nil"/>
                  </w:tcBorders>
                  <w:shd w:val="clear" w:color="auto" w:fill="auto"/>
                  <w:vAlign w:val="center"/>
                </w:tcPr>
                <w:p w14:paraId="4F26E5E6">
                  <w:pPr>
                    <w:pStyle w:val="29"/>
                    <w:bidi w:val="0"/>
                    <w:rPr>
                      <w:rFonts w:hint="default" w:eastAsia="宋体"/>
                      <w:color w:val="auto"/>
                      <w:lang w:val="en-US" w:eastAsia="zh-CN"/>
                    </w:rPr>
                  </w:pPr>
                  <w:r>
                    <w:rPr>
                      <w:rFonts w:hint="eastAsia"/>
                      <w:color w:val="auto"/>
                      <w:lang w:val="en-US" w:eastAsia="zh-CN"/>
                    </w:rPr>
                    <w:t>2.27</w:t>
                  </w:r>
                </w:p>
              </w:tc>
            </w:tr>
            <w:tr w14:paraId="34816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22634B6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794" w:type="pct"/>
                  <w:tcBorders>
                    <w:tl2br w:val="nil"/>
                    <w:tr2bl w:val="nil"/>
                  </w:tcBorders>
                  <w:shd w:val="clear" w:color="auto" w:fill="auto"/>
                  <w:vAlign w:val="center"/>
                </w:tcPr>
                <w:p w14:paraId="61F1F6F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1581" w:type="pct"/>
                  <w:gridSpan w:val="2"/>
                  <w:tcBorders>
                    <w:tl2br w:val="nil"/>
                    <w:tr2bl w:val="nil"/>
                  </w:tcBorders>
                  <w:shd w:val="clear" w:color="auto" w:fill="auto"/>
                  <w:vAlign w:val="center"/>
                </w:tcPr>
                <w:p w14:paraId="29596A07">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废酵母</w:t>
                  </w:r>
                </w:p>
              </w:tc>
              <w:tc>
                <w:tcPr>
                  <w:tcW w:w="1042" w:type="pct"/>
                  <w:tcBorders>
                    <w:tl2br w:val="nil"/>
                    <w:tr2bl w:val="nil"/>
                  </w:tcBorders>
                  <w:shd w:val="clear" w:color="auto" w:fill="auto"/>
                  <w:vAlign w:val="center"/>
                </w:tcPr>
                <w:p w14:paraId="3C0B806B">
                  <w:pPr>
                    <w:pStyle w:val="29"/>
                    <w:bidi w:val="0"/>
                    <w:rPr>
                      <w:rFonts w:hint="default"/>
                      <w:color w:val="auto"/>
                      <w:lang w:val="en-US" w:eastAsia="zh-CN"/>
                    </w:rPr>
                  </w:pPr>
                  <w:r>
                    <w:rPr>
                      <w:rFonts w:hint="eastAsia"/>
                      <w:color w:val="auto"/>
                      <w:lang w:val="en-US" w:eastAsia="zh-CN"/>
                    </w:rPr>
                    <w:t>6</w:t>
                  </w:r>
                </w:p>
              </w:tc>
            </w:tr>
            <w:tr w14:paraId="1B7C3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4018E4A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4" w:type="pct"/>
                  <w:tcBorders>
                    <w:tl2br w:val="nil"/>
                    <w:tr2bl w:val="nil"/>
                  </w:tcBorders>
                  <w:shd w:val="clear" w:color="auto" w:fill="auto"/>
                  <w:vAlign w:val="center"/>
                </w:tcPr>
                <w:p w14:paraId="5084D00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790" w:type="pct"/>
                  <w:vMerge w:val="restart"/>
                  <w:tcBorders>
                    <w:tl2br w:val="nil"/>
                    <w:tr2bl w:val="nil"/>
                  </w:tcBorders>
                  <w:shd w:val="clear" w:color="auto" w:fill="auto"/>
                  <w:vAlign w:val="center"/>
                </w:tcPr>
                <w:p w14:paraId="0FB3666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发酵废气</w:t>
                  </w:r>
                </w:p>
              </w:tc>
              <w:tc>
                <w:tcPr>
                  <w:tcW w:w="790" w:type="pct"/>
                  <w:tcBorders>
                    <w:tl2br w:val="nil"/>
                    <w:tr2bl w:val="nil"/>
                  </w:tcBorders>
                  <w:shd w:val="clear" w:color="auto" w:fill="auto"/>
                  <w:vAlign w:val="center"/>
                </w:tcPr>
                <w:p w14:paraId="613C5F72">
                  <w:pPr>
                    <w:pStyle w:val="29"/>
                    <w:bidi w:val="0"/>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CO</w:t>
                  </w:r>
                  <w:r>
                    <w:rPr>
                      <w:rFonts w:hint="eastAsia" w:cs="Times New Roman"/>
                      <w:b w:val="0"/>
                      <w:color w:val="auto"/>
                      <w:kern w:val="2"/>
                      <w:sz w:val="21"/>
                      <w:szCs w:val="21"/>
                      <w:vertAlign w:val="subscript"/>
                      <w:lang w:val="en-US" w:eastAsia="zh-CN" w:bidi="ar-SA"/>
                    </w:rPr>
                    <w:t>2</w:t>
                  </w:r>
                </w:p>
              </w:tc>
              <w:tc>
                <w:tcPr>
                  <w:tcW w:w="1042" w:type="pct"/>
                  <w:tcBorders>
                    <w:tl2br w:val="nil"/>
                    <w:tr2bl w:val="nil"/>
                  </w:tcBorders>
                  <w:shd w:val="clear" w:color="auto" w:fill="auto"/>
                  <w:vAlign w:val="center"/>
                </w:tcPr>
                <w:p w14:paraId="4D7204B1">
                  <w:pPr>
                    <w:pStyle w:val="29"/>
                    <w:bidi w:val="0"/>
                    <w:rPr>
                      <w:rFonts w:hint="default"/>
                      <w:color w:val="auto"/>
                      <w:lang w:val="en-US" w:eastAsia="zh-CN"/>
                    </w:rPr>
                  </w:pPr>
                  <w:r>
                    <w:rPr>
                      <w:rFonts w:hint="eastAsia"/>
                      <w:color w:val="auto"/>
                      <w:lang w:val="en-US" w:eastAsia="zh-CN"/>
                    </w:rPr>
                    <w:t>20.346</w:t>
                  </w:r>
                </w:p>
              </w:tc>
            </w:tr>
            <w:tr w14:paraId="7790A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059CA40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4" w:type="pct"/>
                  <w:tcBorders>
                    <w:tl2br w:val="nil"/>
                    <w:tr2bl w:val="nil"/>
                  </w:tcBorders>
                  <w:shd w:val="clear" w:color="auto" w:fill="auto"/>
                  <w:vAlign w:val="center"/>
                </w:tcPr>
                <w:p w14:paraId="36A1A3C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790" w:type="pct"/>
                  <w:vMerge w:val="continue"/>
                  <w:tcBorders>
                    <w:tl2br w:val="nil"/>
                    <w:tr2bl w:val="nil"/>
                  </w:tcBorders>
                  <w:shd w:val="clear" w:color="auto" w:fill="auto"/>
                  <w:vAlign w:val="center"/>
                </w:tcPr>
                <w:p w14:paraId="5954B03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0" w:type="pct"/>
                  <w:tcBorders>
                    <w:tl2br w:val="nil"/>
                    <w:tr2bl w:val="nil"/>
                  </w:tcBorders>
                  <w:shd w:val="clear" w:color="auto" w:fill="auto"/>
                  <w:vAlign w:val="center"/>
                </w:tcPr>
                <w:p w14:paraId="0C0C250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NMHC</w:t>
                  </w:r>
                </w:p>
              </w:tc>
              <w:tc>
                <w:tcPr>
                  <w:tcW w:w="1042" w:type="pct"/>
                  <w:tcBorders>
                    <w:tl2br w:val="nil"/>
                    <w:tr2bl w:val="nil"/>
                  </w:tcBorders>
                  <w:shd w:val="clear" w:color="auto" w:fill="auto"/>
                  <w:vAlign w:val="center"/>
                </w:tcPr>
                <w:p w14:paraId="4A43CA13">
                  <w:pPr>
                    <w:pStyle w:val="29"/>
                    <w:bidi w:val="0"/>
                    <w:rPr>
                      <w:rFonts w:hint="default"/>
                      <w:color w:val="auto"/>
                      <w:lang w:val="en-US" w:eastAsia="zh-CN"/>
                    </w:rPr>
                  </w:pPr>
                  <w:r>
                    <w:rPr>
                      <w:rFonts w:hint="eastAsia"/>
                      <w:color w:val="auto"/>
                      <w:lang w:val="en-US" w:eastAsia="zh-CN"/>
                    </w:rPr>
                    <w:t>0.021</w:t>
                  </w:r>
                </w:p>
              </w:tc>
            </w:tr>
            <w:tr w14:paraId="5F652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6F1FE8B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4" w:type="pct"/>
                  <w:tcBorders>
                    <w:tl2br w:val="nil"/>
                    <w:tr2bl w:val="nil"/>
                  </w:tcBorders>
                  <w:shd w:val="clear" w:color="auto" w:fill="auto"/>
                  <w:vAlign w:val="center"/>
                </w:tcPr>
                <w:p w14:paraId="7B802E7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1581" w:type="pct"/>
                  <w:gridSpan w:val="2"/>
                  <w:tcBorders>
                    <w:tl2br w:val="nil"/>
                    <w:tr2bl w:val="nil"/>
                  </w:tcBorders>
                  <w:shd w:val="clear" w:color="auto" w:fill="auto"/>
                  <w:vAlign w:val="center"/>
                </w:tcPr>
                <w:p w14:paraId="2B48F296">
                  <w:pPr>
                    <w:pStyle w:val="29"/>
                    <w:bidi w:val="0"/>
                    <w:ind w:firstLine="0" w:firstLineChars="0"/>
                    <w:rPr>
                      <w:rFonts w:hint="eastAsia"/>
                      <w:color w:val="auto"/>
                      <w:lang w:val="en-US" w:eastAsia="zh-CN"/>
                    </w:rPr>
                  </w:pPr>
                  <w:r>
                    <w:rPr>
                      <w:rFonts w:hint="eastAsia"/>
                      <w:color w:val="auto"/>
                      <w:lang w:val="en-US" w:eastAsia="zh-CN"/>
                    </w:rPr>
                    <w:t>蒸发损失水量</w:t>
                  </w:r>
                </w:p>
              </w:tc>
              <w:tc>
                <w:tcPr>
                  <w:tcW w:w="1042" w:type="pct"/>
                  <w:tcBorders>
                    <w:tl2br w:val="nil"/>
                    <w:tr2bl w:val="nil"/>
                  </w:tcBorders>
                  <w:shd w:val="clear" w:color="auto" w:fill="auto"/>
                  <w:vAlign w:val="center"/>
                </w:tcPr>
                <w:p w14:paraId="1BBC2904">
                  <w:pPr>
                    <w:pStyle w:val="29"/>
                    <w:bidi w:val="0"/>
                    <w:rPr>
                      <w:rFonts w:hint="default" w:eastAsia="宋体"/>
                      <w:color w:val="auto"/>
                      <w:lang w:val="en-US" w:eastAsia="zh-CN"/>
                    </w:rPr>
                  </w:pPr>
                  <w:r>
                    <w:rPr>
                      <w:rFonts w:hint="eastAsia" w:cs="Times New Roman"/>
                      <w:b w:val="0"/>
                      <w:bCs w:val="0"/>
                      <w:color w:val="auto"/>
                      <w:lang w:val="en-US" w:eastAsia="zh-CN"/>
                    </w:rPr>
                    <w:t>16.15</w:t>
                  </w:r>
                </w:p>
              </w:tc>
            </w:tr>
            <w:tr w14:paraId="72613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2E9BC4D8">
                  <w:pPr>
                    <w:pStyle w:val="29"/>
                    <w:bidi w:val="0"/>
                    <w:rPr>
                      <w:rFonts w:hint="eastAsia"/>
                      <w:color w:val="auto"/>
                      <w:lang w:val="en-US" w:eastAsia="zh-CN"/>
                    </w:rPr>
                  </w:pPr>
                  <w:r>
                    <w:rPr>
                      <w:rFonts w:hint="eastAsia"/>
                      <w:color w:val="auto"/>
                    </w:rPr>
                    <w:t>合计</w:t>
                  </w:r>
                </w:p>
              </w:tc>
              <w:tc>
                <w:tcPr>
                  <w:tcW w:w="794" w:type="pct"/>
                  <w:tcBorders>
                    <w:tl2br w:val="nil"/>
                    <w:tr2bl w:val="nil"/>
                  </w:tcBorders>
                  <w:shd w:val="clear" w:color="auto" w:fill="auto"/>
                  <w:vAlign w:val="center"/>
                </w:tcPr>
                <w:p w14:paraId="47D4109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Times New Roman" w:hAnsi="Times New Roman" w:eastAsia="宋体" w:cs="Times New Roman"/>
                      <w:b w:val="0"/>
                      <w:color w:val="auto"/>
                      <w:kern w:val="2"/>
                      <w:sz w:val="21"/>
                      <w:szCs w:val="21"/>
                      <w:lang w:val="en-US" w:eastAsia="zh-CN" w:bidi="ar-SA"/>
                    </w:rPr>
                    <w:t>682.2955</w:t>
                  </w:r>
                </w:p>
              </w:tc>
              <w:tc>
                <w:tcPr>
                  <w:tcW w:w="1581" w:type="pct"/>
                  <w:gridSpan w:val="2"/>
                  <w:tcBorders>
                    <w:tl2br w:val="nil"/>
                    <w:tr2bl w:val="nil"/>
                  </w:tcBorders>
                  <w:shd w:val="clear" w:color="auto" w:fill="auto"/>
                  <w:vAlign w:val="center"/>
                </w:tcPr>
                <w:p w14:paraId="75C70B00">
                  <w:pPr>
                    <w:pStyle w:val="29"/>
                    <w:bidi w:val="0"/>
                    <w:rPr>
                      <w:rFonts w:hint="eastAsia"/>
                      <w:color w:val="auto"/>
                      <w:lang w:val="en-US" w:eastAsia="zh-CN"/>
                    </w:rPr>
                  </w:pPr>
                  <w:r>
                    <w:rPr>
                      <w:rFonts w:hint="eastAsia"/>
                      <w:color w:val="auto"/>
                    </w:rPr>
                    <w:t>合计</w:t>
                  </w:r>
                </w:p>
              </w:tc>
              <w:tc>
                <w:tcPr>
                  <w:tcW w:w="1042" w:type="pct"/>
                  <w:tcBorders>
                    <w:tl2br w:val="nil"/>
                    <w:tr2bl w:val="nil"/>
                  </w:tcBorders>
                  <w:shd w:val="clear" w:color="auto" w:fill="auto"/>
                  <w:vAlign w:val="center"/>
                </w:tcPr>
                <w:p w14:paraId="49F848B1">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682.2955</w:t>
                  </w:r>
                </w:p>
              </w:tc>
            </w:tr>
            <w:tr w14:paraId="5B4F6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5000" w:type="pct"/>
                  <w:gridSpan w:val="5"/>
                  <w:tcBorders>
                    <w:tl2br w:val="nil"/>
                    <w:tr2bl w:val="nil"/>
                  </w:tcBorders>
                  <w:shd w:val="clear" w:color="auto" w:fill="auto"/>
                  <w:vAlign w:val="center"/>
                </w:tcPr>
                <w:p w14:paraId="34F2CB65">
                  <w:pPr>
                    <w:pStyle w:val="29"/>
                    <w:bidi w:val="0"/>
                    <w:jc w:val="left"/>
                    <w:rPr>
                      <w:rFonts w:hint="eastAsia"/>
                      <w:color w:val="auto"/>
                      <w:lang w:val="en-US" w:eastAsia="zh-CN"/>
                    </w:rPr>
                  </w:pPr>
                  <w:r>
                    <w:rPr>
                      <w:rFonts w:hint="eastAsia"/>
                      <w:color w:val="auto"/>
                      <w:lang w:val="en-US" w:eastAsia="zh-CN"/>
                    </w:rPr>
                    <w:t>注：本项目物料平衡不将车辆运输扬尘产生的颗粒物计算在内。</w:t>
                  </w:r>
                </w:p>
              </w:tc>
            </w:tr>
          </w:tbl>
          <w:p w14:paraId="79D4772F">
            <w:pPr>
              <w:pStyle w:val="30"/>
              <w:bidi w:val="0"/>
              <w:rPr>
                <w:rFonts w:hint="default"/>
                <w:color w:val="auto"/>
                <w:lang w:val="en-US" w:eastAsia="zh-CN"/>
              </w:rPr>
            </w:pPr>
            <w:r>
              <w:rPr>
                <w:rFonts w:hint="eastAsia"/>
                <w:color w:val="auto"/>
                <w:lang w:val="en-US" w:eastAsia="zh-CN"/>
              </w:rPr>
              <w:t>表2-10 发酵酒物料平衡一览表</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480"/>
              <w:gridCol w:w="1247"/>
              <w:gridCol w:w="1240"/>
              <w:gridCol w:w="1240"/>
              <w:gridCol w:w="1636"/>
            </w:tblGrid>
            <w:tr w14:paraId="15ADD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76" w:type="pct"/>
                  <w:gridSpan w:val="2"/>
                  <w:tcBorders>
                    <w:tl2br w:val="nil"/>
                    <w:tr2bl w:val="nil"/>
                  </w:tcBorders>
                  <w:shd w:val="clear" w:color="auto" w:fill="auto"/>
                  <w:vAlign w:val="center"/>
                </w:tcPr>
                <w:p w14:paraId="3E46D640">
                  <w:pPr>
                    <w:pStyle w:val="29"/>
                    <w:bidi w:val="0"/>
                    <w:rPr>
                      <w:rFonts w:hint="eastAsia"/>
                      <w:color w:val="auto"/>
                      <w:lang w:val="en-US" w:eastAsia="zh-CN"/>
                    </w:rPr>
                  </w:pPr>
                  <w:r>
                    <w:rPr>
                      <w:rFonts w:hint="eastAsia"/>
                      <w:color w:val="auto"/>
                    </w:rPr>
                    <w:t>物料投入情况</w:t>
                  </w:r>
                </w:p>
              </w:tc>
              <w:tc>
                <w:tcPr>
                  <w:tcW w:w="2623" w:type="pct"/>
                  <w:gridSpan w:val="3"/>
                  <w:tcBorders>
                    <w:tl2br w:val="nil"/>
                    <w:tr2bl w:val="nil"/>
                  </w:tcBorders>
                  <w:shd w:val="clear" w:color="auto" w:fill="auto"/>
                  <w:vAlign w:val="center"/>
                </w:tcPr>
                <w:p w14:paraId="3E57C257">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rPr>
                    <w:t>物料产出情况</w:t>
                  </w:r>
                </w:p>
              </w:tc>
            </w:tr>
            <w:tr w14:paraId="6004F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7F1A0E5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茶叶</w:t>
                  </w:r>
                </w:p>
              </w:tc>
              <w:tc>
                <w:tcPr>
                  <w:tcW w:w="794" w:type="pct"/>
                  <w:tcBorders>
                    <w:tl2br w:val="nil"/>
                    <w:tr2bl w:val="nil"/>
                  </w:tcBorders>
                  <w:shd w:val="clear" w:color="auto" w:fill="auto"/>
                  <w:vAlign w:val="center"/>
                </w:tcPr>
                <w:p w14:paraId="6031DBB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1581" w:type="pct"/>
                  <w:gridSpan w:val="2"/>
                  <w:tcBorders>
                    <w:tl2br w:val="nil"/>
                    <w:tr2bl w:val="nil"/>
                  </w:tcBorders>
                  <w:shd w:val="clear" w:color="auto" w:fill="auto"/>
                  <w:vAlign w:val="center"/>
                </w:tcPr>
                <w:p w14:paraId="15EFAED7">
                  <w:pPr>
                    <w:pStyle w:val="29"/>
                    <w:bidi w:val="0"/>
                    <w:rPr>
                      <w:rFonts w:hint="eastAsia"/>
                      <w:color w:val="auto"/>
                      <w:lang w:val="en-US" w:eastAsia="zh-CN"/>
                    </w:rPr>
                  </w:pPr>
                  <w:r>
                    <w:rPr>
                      <w:rFonts w:hint="eastAsia"/>
                      <w:color w:val="auto"/>
                      <w:lang w:val="en-US" w:eastAsia="zh-CN"/>
                    </w:rPr>
                    <w:t>发酵酒（产品）</w:t>
                  </w:r>
                </w:p>
              </w:tc>
              <w:tc>
                <w:tcPr>
                  <w:tcW w:w="1042" w:type="pct"/>
                  <w:tcBorders>
                    <w:tl2br w:val="nil"/>
                    <w:tr2bl w:val="nil"/>
                  </w:tcBorders>
                  <w:shd w:val="clear" w:color="auto" w:fill="auto"/>
                  <w:vAlign w:val="center"/>
                </w:tcPr>
                <w:p w14:paraId="48B078EA">
                  <w:pPr>
                    <w:pStyle w:val="29"/>
                    <w:bidi w:val="0"/>
                    <w:rPr>
                      <w:rFonts w:hint="default"/>
                      <w:color w:val="auto"/>
                      <w:lang w:val="en-US" w:eastAsia="zh-CN"/>
                    </w:rPr>
                  </w:pPr>
                  <w:r>
                    <w:rPr>
                      <w:rFonts w:hint="eastAsia"/>
                      <w:color w:val="auto"/>
                      <w:lang w:val="en-US" w:eastAsia="zh-CN"/>
                    </w:rPr>
                    <w:t>100</w:t>
                  </w:r>
                </w:p>
              </w:tc>
            </w:tr>
            <w:tr w14:paraId="7B557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01DAB37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红糖</w:t>
                  </w:r>
                </w:p>
              </w:tc>
              <w:tc>
                <w:tcPr>
                  <w:tcW w:w="794" w:type="pct"/>
                  <w:tcBorders>
                    <w:tl2br w:val="nil"/>
                    <w:tr2bl w:val="nil"/>
                  </w:tcBorders>
                  <w:shd w:val="clear" w:color="auto" w:fill="auto"/>
                  <w:vAlign w:val="center"/>
                </w:tcPr>
                <w:p w14:paraId="0F93876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w:t>
                  </w:r>
                </w:p>
              </w:tc>
              <w:tc>
                <w:tcPr>
                  <w:tcW w:w="1581" w:type="pct"/>
                  <w:gridSpan w:val="2"/>
                  <w:tcBorders>
                    <w:tl2br w:val="nil"/>
                    <w:tr2bl w:val="nil"/>
                  </w:tcBorders>
                  <w:shd w:val="clear" w:color="auto" w:fill="auto"/>
                  <w:vAlign w:val="center"/>
                </w:tcPr>
                <w:p w14:paraId="098F3F73">
                  <w:pPr>
                    <w:pStyle w:val="29"/>
                    <w:bidi w:val="0"/>
                    <w:rPr>
                      <w:rFonts w:hint="eastAsia"/>
                      <w:color w:val="auto"/>
                      <w:lang w:val="en-US" w:eastAsia="zh-CN"/>
                    </w:rPr>
                  </w:pPr>
                  <w:r>
                    <w:rPr>
                      <w:rFonts w:hint="eastAsia"/>
                      <w:color w:val="auto"/>
                      <w:lang w:val="en-US" w:eastAsia="zh-CN"/>
                    </w:rPr>
                    <w:t>沉淀渣</w:t>
                  </w:r>
                </w:p>
              </w:tc>
              <w:tc>
                <w:tcPr>
                  <w:tcW w:w="1042" w:type="pct"/>
                  <w:tcBorders>
                    <w:tl2br w:val="nil"/>
                    <w:tr2bl w:val="nil"/>
                  </w:tcBorders>
                  <w:shd w:val="clear" w:color="auto" w:fill="auto"/>
                  <w:vAlign w:val="center"/>
                </w:tcPr>
                <w:p w14:paraId="30209781">
                  <w:pPr>
                    <w:pStyle w:val="29"/>
                    <w:bidi w:val="0"/>
                    <w:rPr>
                      <w:rFonts w:hint="default"/>
                      <w:color w:val="auto"/>
                      <w:lang w:val="en-US" w:eastAsia="zh-CN"/>
                    </w:rPr>
                  </w:pPr>
                  <w:r>
                    <w:rPr>
                      <w:rFonts w:hint="eastAsia"/>
                      <w:color w:val="auto"/>
                      <w:lang w:val="en-US" w:eastAsia="zh-CN"/>
                    </w:rPr>
                    <w:t>3.25</w:t>
                  </w:r>
                </w:p>
              </w:tc>
            </w:tr>
            <w:tr w14:paraId="6D1BF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1581" w:type="pct"/>
                  <w:tcBorders>
                    <w:tl2br w:val="nil"/>
                    <w:tr2bl w:val="nil"/>
                  </w:tcBorders>
                  <w:shd w:val="clear" w:color="auto" w:fill="auto"/>
                  <w:vAlign w:val="center"/>
                </w:tcPr>
                <w:p w14:paraId="2AF1F60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水果浓缩汁</w:t>
                  </w:r>
                </w:p>
              </w:tc>
              <w:tc>
                <w:tcPr>
                  <w:tcW w:w="794" w:type="pct"/>
                  <w:tcBorders>
                    <w:tl2br w:val="nil"/>
                    <w:tr2bl w:val="nil"/>
                  </w:tcBorders>
                  <w:shd w:val="clear" w:color="auto" w:fill="auto"/>
                  <w:vAlign w:val="center"/>
                </w:tcPr>
                <w:p w14:paraId="0C27AF5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17</w:t>
                  </w:r>
                </w:p>
              </w:tc>
              <w:tc>
                <w:tcPr>
                  <w:tcW w:w="1581" w:type="pct"/>
                  <w:gridSpan w:val="2"/>
                  <w:tcBorders>
                    <w:tl2br w:val="nil"/>
                    <w:tr2bl w:val="nil"/>
                  </w:tcBorders>
                  <w:shd w:val="clear" w:color="auto" w:fill="auto"/>
                  <w:vAlign w:val="center"/>
                </w:tcPr>
                <w:p w14:paraId="514DD96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废酵母</w:t>
                  </w:r>
                </w:p>
              </w:tc>
              <w:tc>
                <w:tcPr>
                  <w:tcW w:w="1042" w:type="pct"/>
                  <w:tcBorders>
                    <w:tl2br w:val="nil"/>
                    <w:tr2bl w:val="nil"/>
                  </w:tcBorders>
                  <w:shd w:val="clear" w:color="auto" w:fill="auto"/>
                  <w:vAlign w:val="center"/>
                </w:tcPr>
                <w:p w14:paraId="3FF51182">
                  <w:pPr>
                    <w:pStyle w:val="29"/>
                    <w:bidi w:val="0"/>
                    <w:rPr>
                      <w:rFonts w:hint="default"/>
                      <w:color w:val="auto"/>
                      <w:lang w:val="en-US" w:eastAsia="zh-CN"/>
                    </w:rPr>
                  </w:pPr>
                  <w:r>
                    <w:rPr>
                      <w:rFonts w:hint="eastAsia"/>
                      <w:color w:val="auto"/>
                      <w:lang w:val="en-US" w:eastAsia="zh-CN"/>
                    </w:rPr>
                    <w:t>1.5</w:t>
                  </w:r>
                </w:p>
              </w:tc>
            </w:tr>
            <w:tr w14:paraId="7B3D7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65" w:hRule="atLeast"/>
              </w:trPr>
              <w:tc>
                <w:tcPr>
                  <w:tcW w:w="1581" w:type="pct"/>
                  <w:tcBorders>
                    <w:tl2br w:val="nil"/>
                    <w:tr2bl w:val="nil"/>
                  </w:tcBorders>
                  <w:shd w:val="clear" w:color="auto" w:fill="auto"/>
                  <w:vAlign w:val="center"/>
                </w:tcPr>
                <w:p w14:paraId="1AFEBBE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酵母</w:t>
                  </w:r>
                </w:p>
              </w:tc>
              <w:tc>
                <w:tcPr>
                  <w:tcW w:w="794" w:type="pct"/>
                  <w:tcBorders>
                    <w:tl2br w:val="nil"/>
                    <w:tr2bl w:val="nil"/>
                  </w:tcBorders>
                  <w:shd w:val="clear" w:color="auto" w:fill="auto"/>
                  <w:vAlign w:val="center"/>
                </w:tcPr>
                <w:p w14:paraId="4025EF8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0.25</w:t>
                  </w:r>
                </w:p>
              </w:tc>
              <w:tc>
                <w:tcPr>
                  <w:tcW w:w="790" w:type="pct"/>
                  <w:vMerge w:val="restart"/>
                  <w:tcBorders>
                    <w:tl2br w:val="nil"/>
                    <w:tr2bl w:val="nil"/>
                  </w:tcBorders>
                  <w:shd w:val="clear" w:color="auto" w:fill="auto"/>
                  <w:vAlign w:val="center"/>
                </w:tcPr>
                <w:p w14:paraId="76F8D81C">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发酵废气</w:t>
                  </w:r>
                </w:p>
              </w:tc>
              <w:tc>
                <w:tcPr>
                  <w:tcW w:w="790" w:type="pct"/>
                  <w:tcBorders>
                    <w:tl2br w:val="nil"/>
                    <w:tr2bl w:val="nil"/>
                  </w:tcBorders>
                  <w:shd w:val="clear" w:color="auto" w:fill="auto"/>
                  <w:vAlign w:val="center"/>
                </w:tcPr>
                <w:p w14:paraId="74688D8E">
                  <w:pPr>
                    <w:pStyle w:val="29"/>
                    <w:bidi w:val="0"/>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CO</w:t>
                  </w:r>
                  <w:r>
                    <w:rPr>
                      <w:rFonts w:hint="eastAsia" w:cs="Times New Roman"/>
                      <w:b w:val="0"/>
                      <w:color w:val="auto"/>
                      <w:kern w:val="2"/>
                      <w:sz w:val="21"/>
                      <w:szCs w:val="21"/>
                      <w:vertAlign w:val="subscript"/>
                      <w:lang w:val="en-US" w:eastAsia="zh-CN" w:bidi="ar-SA"/>
                    </w:rPr>
                    <w:t>2</w:t>
                  </w:r>
                </w:p>
              </w:tc>
              <w:tc>
                <w:tcPr>
                  <w:tcW w:w="1042" w:type="pct"/>
                  <w:tcBorders>
                    <w:tl2br w:val="nil"/>
                    <w:tr2bl w:val="nil"/>
                  </w:tcBorders>
                  <w:shd w:val="clear" w:color="auto" w:fill="auto"/>
                  <w:vAlign w:val="center"/>
                </w:tcPr>
                <w:p w14:paraId="010EA2E4">
                  <w:pPr>
                    <w:pStyle w:val="29"/>
                    <w:bidi w:val="0"/>
                    <w:rPr>
                      <w:rFonts w:hint="default"/>
                      <w:color w:val="auto"/>
                      <w:lang w:val="en-US" w:eastAsia="zh-CN"/>
                    </w:rPr>
                  </w:pPr>
                  <w:r>
                    <w:rPr>
                      <w:rFonts w:hint="eastAsia"/>
                      <w:color w:val="auto"/>
                      <w:lang w:val="en-US" w:eastAsia="zh-CN"/>
                    </w:rPr>
                    <w:t>6.626</w:t>
                  </w:r>
                </w:p>
              </w:tc>
            </w:tr>
            <w:tr w14:paraId="7866B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322E60D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水</w:t>
                  </w:r>
                </w:p>
              </w:tc>
              <w:tc>
                <w:tcPr>
                  <w:tcW w:w="794" w:type="pct"/>
                  <w:tcBorders>
                    <w:tl2br w:val="nil"/>
                    <w:tr2bl w:val="nil"/>
                  </w:tcBorders>
                  <w:shd w:val="clear" w:color="auto" w:fill="auto"/>
                  <w:vAlign w:val="center"/>
                </w:tcPr>
                <w:p w14:paraId="3D1116D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bCs w:val="0"/>
                      <w:color w:val="auto"/>
                      <w:lang w:val="en-US" w:eastAsia="zh-CN"/>
                    </w:rPr>
                    <w:t>90.133</w:t>
                  </w:r>
                </w:p>
              </w:tc>
              <w:tc>
                <w:tcPr>
                  <w:tcW w:w="790" w:type="pct"/>
                  <w:vMerge w:val="continue"/>
                  <w:tcBorders>
                    <w:tl2br w:val="nil"/>
                    <w:tr2bl w:val="nil"/>
                  </w:tcBorders>
                  <w:shd w:val="clear" w:color="auto" w:fill="auto"/>
                  <w:vAlign w:val="center"/>
                </w:tcPr>
                <w:p w14:paraId="48BB3C9C">
                  <w:pPr>
                    <w:pStyle w:val="29"/>
                    <w:bidi w:val="0"/>
                    <w:rPr>
                      <w:rFonts w:hint="eastAsia"/>
                      <w:color w:val="auto"/>
                      <w:lang w:val="en-US" w:eastAsia="zh-CN"/>
                    </w:rPr>
                  </w:pPr>
                </w:p>
              </w:tc>
              <w:tc>
                <w:tcPr>
                  <w:tcW w:w="790" w:type="pct"/>
                  <w:tcBorders>
                    <w:tl2br w:val="nil"/>
                    <w:tr2bl w:val="nil"/>
                  </w:tcBorders>
                  <w:shd w:val="clear" w:color="auto" w:fill="auto"/>
                  <w:vAlign w:val="center"/>
                </w:tcPr>
                <w:p w14:paraId="5273E2D2">
                  <w:pPr>
                    <w:pStyle w:val="29"/>
                    <w:bidi w:val="0"/>
                    <w:rPr>
                      <w:rFonts w:hint="default"/>
                      <w:color w:val="auto"/>
                      <w:lang w:val="en-US" w:eastAsia="zh-CN"/>
                    </w:rPr>
                  </w:pPr>
                  <w:r>
                    <w:rPr>
                      <w:rFonts w:hint="eastAsia"/>
                      <w:color w:val="auto"/>
                      <w:lang w:val="en-US" w:eastAsia="zh-CN"/>
                    </w:rPr>
                    <w:t>NMHC</w:t>
                  </w:r>
                </w:p>
              </w:tc>
              <w:tc>
                <w:tcPr>
                  <w:tcW w:w="1042" w:type="pct"/>
                  <w:tcBorders>
                    <w:tl2br w:val="nil"/>
                    <w:tr2bl w:val="nil"/>
                  </w:tcBorders>
                  <w:shd w:val="clear" w:color="auto" w:fill="auto"/>
                  <w:vAlign w:val="center"/>
                </w:tcPr>
                <w:p w14:paraId="008A7ADF">
                  <w:pPr>
                    <w:pStyle w:val="29"/>
                    <w:bidi w:val="0"/>
                    <w:rPr>
                      <w:rFonts w:hint="default"/>
                      <w:color w:val="auto"/>
                      <w:lang w:val="en-US" w:eastAsia="zh-CN"/>
                    </w:rPr>
                  </w:pPr>
                  <w:r>
                    <w:rPr>
                      <w:rFonts w:hint="eastAsia"/>
                      <w:color w:val="auto"/>
                      <w:lang w:val="en-US" w:eastAsia="zh-CN"/>
                    </w:rPr>
                    <w:t>0.007</w:t>
                  </w:r>
                </w:p>
              </w:tc>
            </w:tr>
            <w:tr w14:paraId="49DC7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2E83574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794" w:type="pct"/>
                  <w:tcBorders>
                    <w:tl2br w:val="nil"/>
                    <w:tr2bl w:val="nil"/>
                  </w:tcBorders>
                  <w:shd w:val="clear" w:color="auto" w:fill="auto"/>
                  <w:vAlign w:val="center"/>
                </w:tcPr>
                <w:p w14:paraId="3D67195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1581" w:type="pct"/>
                  <w:gridSpan w:val="2"/>
                  <w:tcBorders>
                    <w:tl2br w:val="nil"/>
                    <w:tr2bl w:val="nil"/>
                  </w:tcBorders>
                  <w:shd w:val="clear" w:color="auto" w:fill="auto"/>
                  <w:vAlign w:val="center"/>
                </w:tcPr>
                <w:p w14:paraId="288D5A15">
                  <w:pPr>
                    <w:pStyle w:val="29"/>
                    <w:bidi w:val="0"/>
                    <w:rPr>
                      <w:rFonts w:hint="eastAsia"/>
                      <w:color w:val="auto"/>
                      <w:lang w:val="en-US" w:eastAsia="zh-CN"/>
                    </w:rPr>
                  </w:pPr>
                  <w:r>
                    <w:rPr>
                      <w:rFonts w:hint="eastAsia"/>
                      <w:color w:val="auto"/>
                      <w:lang w:val="en-US" w:eastAsia="zh-CN"/>
                    </w:rPr>
                    <w:t>蒸发损失水量</w:t>
                  </w:r>
                </w:p>
              </w:tc>
              <w:tc>
                <w:tcPr>
                  <w:tcW w:w="1042" w:type="pct"/>
                  <w:tcBorders>
                    <w:tl2br w:val="nil"/>
                    <w:tr2bl w:val="nil"/>
                  </w:tcBorders>
                  <w:shd w:val="clear" w:color="auto" w:fill="auto"/>
                  <w:vAlign w:val="center"/>
                </w:tcPr>
                <w:p w14:paraId="569AC590">
                  <w:pPr>
                    <w:pStyle w:val="29"/>
                    <w:bidi w:val="0"/>
                    <w:rPr>
                      <w:rFonts w:hint="default" w:eastAsia="宋体"/>
                      <w:color w:val="auto"/>
                      <w:lang w:val="en-US" w:eastAsia="zh-CN"/>
                    </w:rPr>
                  </w:pPr>
                  <w:r>
                    <w:rPr>
                      <w:rFonts w:hint="eastAsia"/>
                      <w:color w:val="auto"/>
                      <w:lang w:val="en-US" w:eastAsia="zh-CN"/>
                    </w:rPr>
                    <w:t>2</w:t>
                  </w:r>
                </w:p>
              </w:tc>
            </w:tr>
            <w:tr w14:paraId="2450F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17B49B41">
                  <w:pPr>
                    <w:pStyle w:val="29"/>
                    <w:bidi w:val="0"/>
                    <w:jc w:val="center"/>
                    <w:rPr>
                      <w:rFonts w:hint="eastAsia"/>
                      <w:color w:val="auto"/>
                      <w:lang w:val="en-US" w:eastAsia="zh-CN"/>
                    </w:rPr>
                  </w:pPr>
                  <w:r>
                    <w:rPr>
                      <w:rFonts w:hint="eastAsia"/>
                      <w:color w:val="auto"/>
                    </w:rPr>
                    <w:t>合计</w:t>
                  </w:r>
                </w:p>
              </w:tc>
              <w:tc>
                <w:tcPr>
                  <w:tcW w:w="794" w:type="pct"/>
                  <w:tcBorders>
                    <w:tl2br w:val="nil"/>
                    <w:tr2bl w:val="nil"/>
                  </w:tcBorders>
                  <w:shd w:val="clear" w:color="auto" w:fill="auto"/>
                  <w:vAlign w:val="center"/>
                </w:tcPr>
                <w:p w14:paraId="43B6339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Times New Roman" w:hAnsi="Times New Roman" w:eastAsia="宋体" w:cs="Times New Roman"/>
                      <w:b w:val="0"/>
                      <w:bCs w:val="0"/>
                      <w:color w:val="auto"/>
                      <w:kern w:val="2"/>
                      <w:sz w:val="21"/>
                      <w:szCs w:val="21"/>
                      <w:lang w:val="en-US" w:eastAsia="zh-CN" w:bidi="ar-SA"/>
                    </w:rPr>
                    <w:t>113.383</w:t>
                  </w:r>
                </w:p>
              </w:tc>
              <w:tc>
                <w:tcPr>
                  <w:tcW w:w="1581" w:type="pct"/>
                  <w:gridSpan w:val="2"/>
                  <w:tcBorders>
                    <w:tl2br w:val="nil"/>
                    <w:tr2bl w:val="nil"/>
                  </w:tcBorders>
                  <w:shd w:val="clear" w:color="auto" w:fill="auto"/>
                  <w:vAlign w:val="center"/>
                </w:tcPr>
                <w:p w14:paraId="223033F8">
                  <w:pPr>
                    <w:pStyle w:val="29"/>
                    <w:bidi w:val="0"/>
                    <w:rPr>
                      <w:rFonts w:hint="eastAsia"/>
                      <w:color w:val="auto"/>
                      <w:lang w:val="en-US" w:eastAsia="zh-CN"/>
                    </w:rPr>
                  </w:pPr>
                  <w:r>
                    <w:rPr>
                      <w:rFonts w:hint="eastAsia"/>
                      <w:color w:val="auto"/>
                    </w:rPr>
                    <w:t>合计</w:t>
                  </w:r>
                </w:p>
              </w:tc>
              <w:tc>
                <w:tcPr>
                  <w:tcW w:w="1042" w:type="pct"/>
                  <w:tcBorders>
                    <w:tl2br w:val="nil"/>
                    <w:tr2bl w:val="nil"/>
                  </w:tcBorders>
                  <w:shd w:val="clear" w:color="auto" w:fill="auto"/>
                  <w:vAlign w:val="center"/>
                </w:tcPr>
                <w:p w14:paraId="2CB4560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113.383</w:t>
                  </w:r>
                </w:p>
              </w:tc>
            </w:tr>
          </w:tbl>
          <w:p w14:paraId="64E979FD">
            <w:pPr>
              <w:pStyle w:val="30"/>
              <w:bidi w:val="0"/>
              <w:rPr>
                <w:rFonts w:hint="eastAsia"/>
                <w:color w:val="auto"/>
                <w:lang w:val="en-US" w:eastAsia="zh-CN"/>
              </w:rPr>
            </w:pPr>
            <w:r>
              <w:rPr>
                <w:rFonts w:hint="eastAsia"/>
                <w:color w:val="auto"/>
                <w:lang w:val="en-US" w:eastAsia="zh-CN"/>
              </w:rPr>
              <w:t>表2-11 饮料物料平衡一览表</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480"/>
              <w:gridCol w:w="1247"/>
              <w:gridCol w:w="2480"/>
              <w:gridCol w:w="1636"/>
            </w:tblGrid>
            <w:tr w14:paraId="3FC77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76" w:type="pct"/>
                  <w:gridSpan w:val="2"/>
                  <w:tcBorders>
                    <w:tl2br w:val="nil"/>
                    <w:tr2bl w:val="nil"/>
                  </w:tcBorders>
                  <w:shd w:val="clear" w:color="auto" w:fill="auto"/>
                  <w:vAlign w:val="center"/>
                </w:tcPr>
                <w:p w14:paraId="650EE2AB">
                  <w:pPr>
                    <w:pStyle w:val="29"/>
                    <w:bidi w:val="0"/>
                    <w:rPr>
                      <w:rFonts w:hint="eastAsia"/>
                      <w:color w:val="auto"/>
                      <w:lang w:val="en-US" w:eastAsia="zh-CN"/>
                    </w:rPr>
                  </w:pPr>
                  <w:r>
                    <w:rPr>
                      <w:rFonts w:hint="eastAsia"/>
                      <w:color w:val="auto"/>
                    </w:rPr>
                    <w:t>物料投入情况</w:t>
                  </w:r>
                </w:p>
              </w:tc>
              <w:tc>
                <w:tcPr>
                  <w:tcW w:w="2623" w:type="pct"/>
                  <w:gridSpan w:val="2"/>
                  <w:tcBorders>
                    <w:tl2br w:val="nil"/>
                    <w:tr2bl w:val="nil"/>
                  </w:tcBorders>
                  <w:shd w:val="clear" w:color="auto" w:fill="auto"/>
                  <w:vAlign w:val="center"/>
                </w:tcPr>
                <w:p w14:paraId="65BAE09F">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rPr>
                    <w:t>物料产出情况</w:t>
                  </w:r>
                </w:p>
              </w:tc>
            </w:tr>
            <w:tr w14:paraId="1E819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3D5EE77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苹果浓缩汁</w:t>
                  </w:r>
                </w:p>
              </w:tc>
              <w:tc>
                <w:tcPr>
                  <w:tcW w:w="794" w:type="pct"/>
                  <w:tcBorders>
                    <w:tl2br w:val="nil"/>
                    <w:tr2bl w:val="nil"/>
                  </w:tcBorders>
                  <w:shd w:val="clear" w:color="auto" w:fill="auto"/>
                  <w:vAlign w:val="center"/>
                </w:tcPr>
                <w:p w14:paraId="373E937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16.25</w:t>
                  </w:r>
                </w:p>
              </w:tc>
              <w:tc>
                <w:tcPr>
                  <w:tcW w:w="1581" w:type="pct"/>
                  <w:tcBorders>
                    <w:tl2br w:val="nil"/>
                    <w:tr2bl w:val="nil"/>
                  </w:tcBorders>
                  <w:shd w:val="clear" w:color="auto" w:fill="auto"/>
                  <w:vAlign w:val="center"/>
                </w:tcPr>
                <w:p w14:paraId="5C75BA1E">
                  <w:pPr>
                    <w:pStyle w:val="29"/>
                    <w:bidi w:val="0"/>
                    <w:rPr>
                      <w:rFonts w:hint="eastAsia"/>
                      <w:color w:val="auto"/>
                      <w:lang w:val="en-US" w:eastAsia="zh-CN"/>
                    </w:rPr>
                  </w:pPr>
                  <w:r>
                    <w:rPr>
                      <w:rFonts w:hint="eastAsia"/>
                      <w:color w:val="auto"/>
                      <w:lang w:val="en-US" w:eastAsia="zh-CN"/>
                    </w:rPr>
                    <w:t>饮料（产品）</w:t>
                  </w:r>
                </w:p>
              </w:tc>
              <w:tc>
                <w:tcPr>
                  <w:tcW w:w="1042" w:type="pct"/>
                  <w:tcBorders>
                    <w:tl2br w:val="nil"/>
                    <w:tr2bl w:val="nil"/>
                  </w:tcBorders>
                  <w:shd w:val="clear" w:color="auto" w:fill="auto"/>
                  <w:vAlign w:val="center"/>
                </w:tcPr>
                <w:p w14:paraId="14A2EE56">
                  <w:pPr>
                    <w:pStyle w:val="29"/>
                    <w:bidi w:val="0"/>
                    <w:rPr>
                      <w:rFonts w:hint="default"/>
                      <w:color w:val="auto"/>
                      <w:lang w:val="en-US" w:eastAsia="zh-CN"/>
                    </w:rPr>
                  </w:pPr>
                  <w:r>
                    <w:rPr>
                      <w:rFonts w:hint="eastAsia"/>
                      <w:color w:val="auto"/>
                      <w:lang w:val="en-US" w:eastAsia="zh-CN"/>
                    </w:rPr>
                    <w:t>100</w:t>
                  </w:r>
                </w:p>
              </w:tc>
            </w:tr>
            <w:tr w14:paraId="7B72B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758826B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酸角浓缩汁</w:t>
                  </w:r>
                </w:p>
              </w:tc>
              <w:tc>
                <w:tcPr>
                  <w:tcW w:w="794" w:type="pct"/>
                  <w:tcBorders>
                    <w:tl2br w:val="nil"/>
                    <w:tr2bl w:val="nil"/>
                  </w:tcBorders>
                  <w:shd w:val="clear" w:color="auto" w:fill="auto"/>
                  <w:vAlign w:val="center"/>
                </w:tcPr>
                <w:p w14:paraId="7371B1D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4</w:t>
                  </w:r>
                </w:p>
              </w:tc>
              <w:tc>
                <w:tcPr>
                  <w:tcW w:w="1581" w:type="pct"/>
                  <w:tcBorders>
                    <w:tl2br w:val="nil"/>
                    <w:tr2bl w:val="nil"/>
                  </w:tcBorders>
                  <w:shd w:val="clear" w:color="auto" w:fill="auto"/>
                  <w:vAlign w:val="center"/>
                </w:tcPr>
                <w:p w14:paraId="4196FE25">
                  <w:pPr>
                    <w:pStyle w:val="29"/>
                    <w:bidi w:val="0"/>
                    <w:rPr>
                      <w:rFonts w:hint="eastAsia"/>
                      <w:color w:val="auto"/>
                      <w:lang w:val="en-US" w:eastAsia="zh-CN"/>
                    </w:rPr>
                  </w:pPr>
                </w:p>
              </w:tc>
              <w:tc>
                <w:tcPr>
                  <w:tcW w:w="1042" w:type="pct"/>
                  <w:tcBorders>
                    <w:tl2br w:val="nil"/>
                    <w:tr2bl w:val="nil"/>
                  </w:tcBorders>
                  <w:shd w:val="clear" w:color="auto" w:fill="auto"/>
                  <w:vAlign w:val="center"/>
                </w:tcPr>
                <w:p w14:paraId="0FF5EDD3">
                  <w:pPr>
                    <w:pStyle w:val="29"/>
                    <w:bidi w:val="0"/>
                    <w:rPr>
                      <w:rFonts w:hint="default"/>
                      <w:color w:val="auto"/>
                      <w:lang w:val="en-US" w:eastAsia="zh-CN"/>
                    </w:rPr>
                  </w:pPr>
                </w:p>
              </w:tc>
            </w:tr>
            <w:tr w14:paraId="6112D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1581" w:type="pct"/>
                  <w:tcBorders>
                    <w:tl2br w:val="nil"/>
                    <w:tr2bl w:val="nil"/>
                  </w:tcBorders>
                  <w:shd w:val="clear" w:color="auto" w:fill="auto"/>
                  <w:vAlign w:val="center"/>
                </w:tcPr>
                <w:p w14:paraId="1AF7D06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水</w:t>
                  </w:r>
                </w:p>
              </w:tc>
              <w:tc>
                <w:tcPr>
                  <w:tcW w:w="794" w:type="pct"/>
                  <w:tcBorders>
                    <w:tl2br w:val="nil"/>
                    <w:tr2bl w:val="nil"/>
                  </w:tcBorders>
                  <w:shd w:val="clear" w:color="auto" w:fill="auto"/>
                  <w:vAlign w:val="center"/>
                </w:tcPr>
                <w:p w14:paraId="0BF47C3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79.75</w:t>
                  </w:r>
                </w:p>
              </w:tc>
              <w:tc>
                <w:tcPr>
                  <w:tcW w:w="1581" w:type="pct"/>
                  <w:tcBorders>
                    <w:tl2br w:val="nil"/>
                    <w:tr2bl w:val="nil"/>
                  </w:tcBorders>
                  <w:shd w:val="clear" w:color="auto" w:fill="auto"/>
                  <w:vAlign w:val="center"/>
                </w:tcPr>
                <w:p w14:paraId="649E3E9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1042" w:type="pct"/>
                  <w:tcBorders>
                    <w:tl2br w:val="nil"/>
                    <w:tr2bl w:val="nil"/>
                  </w:tcBorders>
                  <w:shd w:val="clear" w:color="auto" w:fill="auto"/>
                  <w:vAlign w:val="center"/>
                </w:tcPr>
                <w:p w14:paraId="56BA5262">
                  <w:pPr>
                    <w:pStyle w:val="29"/>
                    <w:bidi w:val="0"/>
                    <w:rPr>
                      <w:rFonts w:hint="default"/>
                      <w:color w:val="auto"/>
                      <w:lang w:val="en-US" w:eastAsia="zh-CN"/>
                    </w:rPr>
                  </w:pPr>
                </w:p>
              </w:tc>
            </w:tr>
            <w:tr w14:paraId="0D578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16768F77">
                  <w:pPr>
                    <w:pStyle w:val="29"/>
                    <w:bidi w:val="0"/>
                    <w:rPr>
                      <w:rFonts w:hint="eastAsia"/>
                      <w:color w:val="auto"/>
                      <w:lang w:val="en-US" w:eastAsia="zh-CN"/>
                    </w:rPr>
                  </w:pPr>
                  <w:r>
                    <w:rPr>
                      <w:rFonts w:hint="eastAsia"/>
                      <w:color w:val="auto"/>
                    </w:rPr>
                    <w:t>合计</w:t>
                  </w:r>
                </w:p>
              </w:tc>
              <w:tc>
                <w:tcPr>
                  <w:tcW w:w="794" w:type="pct"/>
                  <w:tcBorders>
                    <w:tl2br w:val="nil"/>
                    <w:tr2bl w:val="nil"/>
                  </w:tcBorders>
                  <w:shd w:val="clear" w:color="auto" w:fill="auto"/>
                  <w:vAlign w:val="center"/>
                </w:tcPr>
                <w:p w14:paraId="5CE3A7BF">
                  <w:pPr>
                    <w:pStyle w:val="29"/>
                    <w:bidi w:val="0"/>
                    <w:rPr>
                      <w:rFonts w:hint="default"/>
                      <w:color w:val="auto"/>
                      <w:lang w:val="en-US" w:eastAsia="zh-CN"/>
                    </w:rPr>
                  </w:pPr>
                  <w:r>
                    <w:rPr>
                      <w:rFonts w:hint="eastAsia"/>
                      <w:color w:val="auto"/>
                      <w:lang w:val="en-US" w:eastAsia="zh-CN"/>
                    </w:rPr>
                    <w:t>100</w:t>
                  </w:r>
                </w:p>
              </w:tc>
              <w:tc>
                <w:tcPr>
                  <w:tcW w:w="1581" w:type="pct"/>
                  <w:tcBorders>
                    <w:tl2br w:val="nil"/>
                    <w:tr2bl w:val="nil"/>
                  </w:tcBorders>
                  <w:shd w:val="clear" w:color="auto" w:fill="auto"/>
                  <w:vAlign w:val="center"/>
                </w:tcPr>
                <w:p w14:paraId="49C4F976">
                  <w:pPr>
                    <w:pStyle w:val="29"/>
                    <w:bidi w:val="0"/>
                    <w:rPr>
                      <w:rFonts w:hint="eastAsia"/>
                      <w:color w:val="auto"/>
                      <w:lang w:val="en-US" w:eastAsia="zh-CN"/>
                    </w:rPr>
                  </w:pPr>
                  <w:r>
                    <w:rPr>
                      <w:rFonts w:hint="eastAsia"/>
                      <w:color w:val="auto"/>
                    </w:rPr>
                    <w:t>合计</w:t>
                  </w:r>
                </w:p>
              </w:tc>
              <w:tc>
                <w:tcPr>
                  <w:tcW w:w="1042" w:type="pct"/>
                  <w:tcBorders>
                    <w:tl2br w:val="nil"/>
                    <w:tr2bl w:val="nil"/>
                  </w:tcBorders>
                  <w:shd w:val="clear" w:color="auto" w:fill="auto"/>
                  <w:vAlign w:val="center"/>
                </w:tcPr>
                <w:p w14:paraId="337223E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100</w:t>
                  </w:r>
                </w:p>
              </w:tc>
            </w:tr>
          </w:tbl>
          <w:p w14:paraId="6C384964">
            <w:pPr>
              <w:pStyle w:val="30"/>
              <w:bidi w:val="0"/>
              <w:rPr>
                <w:rFonts w:hint="eastAsia"/>
                <w:color w:val="auto"/>
                <w:lang w:val="en-US" w:eastAsia="zh-CN"/>
              </w:rPr>
            </w:pPr>
            <w:r>
              <w:rPr>
                <w:rFonts w:hint="eastAsia"/>
                <w:color w:val="auto"/>
                <w:lang w:val="en-US" w:eastAsia="zh-CN"/>
              </w:rPr>
              <w:t>表2-12 配制酒物料平衡一览表</w:t>
            </w:r>
          </w:p>
          <w:tbl>
            <w:tblPr>
              <w:tblStyle w:val="23"/>
              <w:tblW w:w="4998"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480"/>
              <w:gridCol w:w="1247"/>
              <w:gridCol w:w="2480"/>
              <w:gridCol w:w="1636"/>
            </w:tblGrid>
            <w:tr w14:paraId="329303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 w:hRule="atLeast"/>
              </w:trPr>
              <w:tc>
                <w:tcPr>
                  <w:tcW w:w="2376" w:type="pct"/>
                  <w:gridSpan w:val="2"/>
                  <w:tcBorders>
                    <w:tl2br w:val="nil"/>
                    <w:tr2bl w:val="nil"/>
                  </w:tcBorders>
                  <w:shd w:val="clear" w:color="auto" w:fill="auto"/>
                  <w:vAlign w:val="center"/>
                </w:tcPr>
                <w:p w14:paraId="3164D2DB">
                  <w:pPr>
                    <w:pStyle w:val="29"/>
                    <w:bidi w:val="0"/>
                    <w:rPr>
                      <w:rFonts w:hint="eastAsia"/>
                      <w:color w:val="auto"/>
                      <w:lang w:val="en-US" w:eastAsia="zh-CN"/>
                    </w:rPr>
                  </w:pPr>
                  <w:r>
                    <w:rPr>
                      <w:rFonts w:hint="eastAsia"/>
                      <w:color w:val="auto"/>
                    </w:rPr>
                    <w:t>物料投入情况</w:t>
                  </w:r>
                </w:p>
              </w:tc>
              <w:tc>
                <w:tcPr>
                  <w:tcW w:w="2623" w:type="pct"/>
                  <w:gridSpan w:val="2"/>
                  <w:tcBorders>
                    <w:tl2br w:val="nil"/>
                    <w:tr2bl w:val="nil"/>
                  </w:tcBorders>
                  <w:shd w:val="clear" w:color="auto" w:fill="auto"/>
                  <w:vAlign w:val="center"/>
                </w:tcPr>
                <w:p w14:paraId="32E5493B">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rPr>
                    <w:t>物料产出情况</w:t>
                  </w:r>
                </w:p>
              </w:tc>
            </w:tr>
            <w:tr w14:paraId="50AD7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47D231F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水果浓缩汁</w:t>
                  </w:r>
                </w:p>
              </w:tc>
              <w:tc>
                <w:tcPr>
                  <w:tcW w:w="794" w:type="pct"/>
                  <w:tcBorders>
                    <w:tl2br w:val="nil"/>
                    <w:tr2bl w:val="nil"/>
                  </w:tcBorders>
                  <w:shd w:val="clear" w:color="auto" w:fill="auto"/>
                  <w:vAlign w:val="center"/>
                </w:tcPr>
                <w:p w14:paraId="385B1F7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1581" w:type="pct"/>
                  <w:tcBorders>
                    <w:tl2br w:val="nil"/>
                    <w:tr2bl w:val="nil"/>
                  </w:tcBorders>
                  <w:shd w:val="clear" w:color="auto" w:fill="auto"/>
                  <w:vAlign w:val="center"/>
                </w:tcPr>
                <w:p w14:paraId="500E1EE7">
                  <w:pPr>
                    <w:pStyle w:val="29"/>
                    <w:bidi w:val="0"/>
                    <w:rPr>
                      <w:rFonts w:hint="eastAsia"/>
                      <w:color w:val="auto"/>
                      <w:lang w:val="en-US" w:eastAsia="zh-CN"/>
                    </w:rPr>
                  </w:pPr>
                  <w:r>
                    <w:rPr>
                      <w:rFonts w:hint="eastAsia"/>
                      <w:color w:val="auto"/>
                      <w:lang w:val="en-US" w:eastAsia="zh-CN"/>
                    </w:rPr>
                    <w:t>配制酒（产品）</w:t>
                  </w:r>
                </w:p>
              </w:tc>
              <w:tc>
                <w:tcPr>
                  <w:tcW w:w="1042" w:type="pct"/>
                  <w:tcBorders>
                    <w:tl2br w:val="nil"/>
                    <w:tr2bl w:val="nil"/>
                  </w:tcBorders>
                  <w:shd w:val="clear" w:color="auto" w:fill="auto"/>
                  <w:vAlign w:val="center"/>
                </w:tcPr>
                <w:p w14:paraId="436B7FA7">
                  <w:pPr>
                    <w:pStyle w:val="29"/>
                    <w:bidi w:val="0"/>
                    <w:rPr>
                      <w:rFonts w:hint="default"/>
                      <w:color w:val="auto"/>
                      <w:lang w:val="en-US" w:eastAsia="zh-CN"/>
                    </w:rPr>
                  </w:pPr>
                  <w:r>
                    <w:rPr>
                      <w:rFonts w:hint="eastAsia"/>
                      <w:color w:val="auto"/>
                      <w:lang w:val="en-US" w:eastAsia="zh-CN"/>
                    </w:rPr>
                    <w:t>200</w:t>
                  </w:r>
                </w:p>
              </w:tc>
            </w:tr>
            <w:tr w14:paraId="67EDF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2F14C7E1">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原酒</w:t>
                  </w:r>
                </w:p>
              </w:tc>
              <w:tc>
                <w:tcPr>
                  <w:tcW w:w="794" w:type="pct"/>
                  <w:tcBorders>
                    <w:tl2br w:val="nil"/>
                    <w:tr2bl w:val="nil"/>
                  </w:tcBorders>
                  <w:shd w:val="clear" w:color="auto" w:fill="auto"/>
                  <w:vAlign w:val="center"/>
                </w:tcPr>
                <w:p w14:paraId="29CAE1E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20</w:t>
                  </w:r>
                </w:p>
              </w:tc>
              <w:tc>
                <w:tcPr>
                  <w:tcW w:w="1581" w:type="pct"/>
                  <w:tcBorders>
                    <w:tl2br w:val="nil"/>
                    <w:tr2bl w:val="nil"/>
                  </w:tcBorders>
                  <w:shd w:val="clear" w:color="auto" w:fill="auto"/>
                  <w:vAlign w:val="center"/>
                </w:tcPr>
                <w:p w14:paraId="3CBC66C8">
                  <w:pPr>
                    <w:pStyle w:val="29"/>
                    <w:bidi w:val="0"/>
                    <w:rPr>
                      <w:rFonts w:hint="eastAsia"/>
                      <w:color w:val="auto"/>
                      <w:lang w:val="en-US" w:eastAsia="zh-CN"/>
                    </w:rPr>
                  </w:pPr>
                </w:p>
              </w:tc>
              <w:tc>
                <w:tcPr>
                  <w:tcW w:w="1042" w:type="pct"/>
                  <w:tcBorders>
                    <w:tl2br w:val="nil"/>
                    <w:tr2bl w:val="nil"/>
                  </w:tcBorders>
                  <w:shd w:val="clear" w:color="auto" w:fill="auto"/>
                  <w:vAlign w:val="center"/>
                </w:tcPr>
                <w:p w14:paraId="0549654E">
                  <w:pPr>
                    <w:pStyle w:val="29"/>
                    <w:bidi w:val="0"/>
                    <w:rPr>
                      <w:rFonts w:hint="default"/>
                      <w:color w:val="auto"/>
                      <w:lang w:val="en-US" w:eastAsia="zh-CN"/>
                    </w:rPr>
                  </w:pPr>
                </w:p>
              </w:tc>
            </w:tr>
            <w:tr w14:paraId="7A155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581" w:type="pct"/>
                  <w:tcBorders>
                    <w:tl2br w:val="nil"/>
                    <w:tr2bl w:val="nil"/>
                  </w:tcBorders>
                  <w:shd w:val="clear" w:color="auto" w:fill="auto"/>
                  <w:vAlign w:val="center"/>
                </w:tcPr>
                <w:p w14:paraId="4C64394C">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水</w:t>
                  </w:r>
                </w:p>
              </w:tc>
              <w:tc>
                <w:tcPr>
                  <w:tcW w:w="794" w:type="pct"/>
                  <w:tcBorders>
                    <w:tl2br w:val="nil"/>
                    <w:tr2bl w:val="nil"/>
                  </w:tcBorders>
                  <w:shd w:val="clear" w:color="auto" w:fill="auto"/>
                  <w:vAlign w:val="center"/>
                </w:tcPr>
                <w:p w14:paraId="16F02A11">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170</w:t>
                  </w:r>
                </w:p>
              </w:tc>
              <w:tc>
                <w:tcPr>
                  <w:tcW w:w="1581" w:type="pct"/>
                  <w:tcBorders>
                    <w:tl2br w:val="nil"/>
                    <w:tr2bl w:val="nil"/>
                  </w:tcBorders>
                  <w:shd w:val="clear" w:color="auto" w:fill="auto"/>
                  <w:vAlign w:val="center"/>
                </w:tcPr>
                <w:p w14:paraId="234110B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1042" w:type="pct"/>
                  <w:tcBorders>
                    <w:tl2br w:val="nil"/>
                    <w:tr2bl w:val="nil"/>
                  </w:tcBorders>
                  <w:shd w:val="clear" w:color="auto" w:fill="auto"/>
                  <w:vAlign w:val="center"/>
                </w:tcPr>
                <w:p w14:paraId="4060B42B">
                  <w:pPr>
                    <w:pStyle w:val="29"/>
                    <w:bidi w:val="0"/>
                    <w:rPr>
                      <w:rFonts w:hint="default"/>
                      <w:color w:val="auto"/>
                      <w:lang w:val="en-US" w:eastAsia="zh-CN"/>
                    </w:rPr>
                  </w:pPr>
                </w:p>
              </w:tc>
            </w:tr>
            <w:tr w14:paraId="1C7E9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1581" w:type="pct"/>
                  <w:tcBorders>
                    <w:tl2br w:val="nil"/>
                    <w:tr2bl w:val="nil"/>
                  </w:tcBorders>
                  <w:shd w:val="clear" w:color="auto" w:fill="auto"/>
                  <w:vAlign w:val="center"/>
                </w:tcPr>
                <w:p w14:paraId="4CE1A5D4">
                  <w:pPr>
                    <w:pStyle w:val="29"/>
                    <w:bidi w:val="0"/>
                    <w:rPr>
                      <w:rFonts w:hint="eastAsia"/>
                      <w:color w:val="auto"/>
                      <w:lang w:val="en-US" w:eastAsia="zh-CN"/>
                    </w:rPr>
                  </w:pPr>
                  <w:r>
                    <w:rPr>
                      <w:rFonts w:hint="eastAsia"/>
                      <w:color w:val="auto"/>
                    </w:rPr>
                    <w:t>合计</w:t>
                  </w:r>
                </w:p>
              </w:tc>
              <w:tc>
                <w:tcPr>
                  <w:tcW w:w="794" w:type="pct"/>
                  <w:tcBorders>
                    <w:tl2br w:val="nil"/>
                    <w:tr2bl w:val="nil"/>
                  </w:tcBorders>
                  <w:shd w:val="clear" w:color="auto" w:fill="auto"/>
                  <w:vAlign w:val="center"/>
                </w:tcPr>
                <w:p w14:paraId="2D04694C">
                  <w:pPr>
                    <w:pStyle w:val="29"/>
                    <w:bidi w:val="0"/>
                    <w:rPr>
                      <w:rFonts w:hint="default"/>
                      <w:color w:val="auto"/>
                      <w:lang w:val="en-US" w:eastAsia="zh-CN"/>
                    </w:rPr>
                  </w:pPr>
                  <w:r>
                    <w:rPr>
                      <w:rFonts w:hint="eastAsia"/>
                      <w:color w:val="auto"/>
                      <w:lang w:val="en-US" w:eastAsia="zh-CN"/>
                    </w:rPr>
                    <w:t>200</w:t>
                  </w:r>
                </w:p>
              </w:tc>
              <w:tc>
                <w:tcPr>
                  <w:tcW w:w="1581" w:type="pct"/>
                  <w:tcBorders>
                    <w:tl2br w:val="nil"/>
                    <w:tr2bl w:val="nil"/>
                  </w:tcBorders>
                  <w:shd w:val="clear" w:color="auto" w:fill="auto"/>
                  <w:vAlign w:val="center"/>
                </w:tcPr>
                <w:p w14:paraId="158D541C">
                  <w:pPr>
                    <w:pStyle w:val="29"/>
                    <w:bidi w:val="0"/>
                    <w:rPr>
                      <w:rFonts w:hint="eastAsia"/>
                      <w:color w:val="auto"/>
                      <w:lang w:val="en-US" w:eastAsia="zh-CN"/>
                    </w:rPr>
                  </w:pPr>
                  <w:r>
                    <w:rPr>
                      <w:rFonts w:hint="eastAsia"/>
                      <w:color w:val="auto"/>
                    </w:rPr>
                    <w:t>合计</w:t>
                  </w:r>
                </w:p>
              </w:tc>
              <w:tc>
                <w:tcPr>
                  <w:tcW w:w="1042" w:type="pct"/>
                  <w:tcBorders>
                    <w:tl2br w:val="nil"/>
                    <w:tr2bl w:val="nil"/>
                  </w:tcBorders>
                  <w:shd w:val="clear" w:color="auto" w:fill="auto"/>
                  <w:vAlign w:val="center"/>
                </w:tcPr>
                <w:p w14:paraId="2AB2FB7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w:t>
                  </w:r>
                </w:p>
              </w:tc>
            </w:tr>
          </w:tbl>
          <w:p w14:paraId="3680441A">
            <w:pPr>
              <w:pStyle w:val="13"/>
              <w:rPr>
                <w:rFonts w:hint="eastAsia"/>
                <w:color w:val="auto"/>
                <w:lang w:val="en-US" w:eastAsia="zh-CN"/>
              </w:rPr>
            </w:pPr>
            <w:r>
              <w:rPr>
                <w:rFonts w:hint="eastAsia"/>
                <w:color w:val="auto"/>
                <w:lang w:val="en-US" w:eastAsia="zh-CN"/>
              </w:rPr>
              <w:t>本项目物料平衡图如下：</w:t>
            </w:r>
          </w:p>
          <w:p w14:paraId="446D83B6">
            <w:pPr>
              <w:jc w:val="center"/>
              <w:rPr>
                <w:rFonts w:hint="default"/>
                <w:color w:val="auto"/>
                <w:lang w:val="en-US" w:eastAsia="zh-CN"/>
              </w:rPr>
            </w:pPr>
            <w:r>
              <w:rPr>
                <w:rFonts w:hint="default"/>
                <w:color w:val="auto"/>
                <w:lang w:val="en-US" w:eastAsia="zh-CN"/>
              </w:rPr>
              <w:drawing>
                <wp:inline distT="0" distB="0" distL="114300" distR="114300">
                  <wp:extent cx="2903220" cy="6428105"/>
                  <wp:effectExtent l="0" t="0" r="0" b="0"/>
                  <wp:docPr id="14" name="ECB019B1-382A-4266-B25C-5B523AA43C14-1" descr="C:/Users/Administrator/AppData/Local/Temp/wps.eafpvK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CB019B1-382A-4266-B25C-5B523AA43C14-1" descr="C:/Users/Administrator/AppData/Local/Temp/wps.eafpvKwps"/>
                          <pic:cNvPicPr>
                            <a:picLocks noChangeAspect="1"/>
                          </pic:cNvPicPr>
                        </pic:nvPicPr>
                        <pic:blipFill>
                          <a:blip r:embed="rId9"/>
                          <a:stretch>
                            <a:fillRect/>
                          </a:stretch>
                        </pic:blipFill>
                        <pic:spPr>
                          <a:xfrm>
                            <a:off x="0" y="0"/>
                            <a:ext cx="2903220" cy="6428105"/>
                          </a:xfrm>
                          <a:prstGeom prst="rect">
                            <a:avLst/>
                          </a:prstGeom>
                        </pic:spPr>
                      </pic:pic>
                    </a:graphicData>
                  </a:graphic>
                </wp:inline>
              </w:drawing>
            </w:r>
          </w:p>
          <w:p w14:paraId="4869F3B1">
            <w:pPr>
              <w:pStyle w:val="30"/>
              <w:bidi w:val="0"/>
              <w:rPr>
                <w:rFonts w:hint="default"/>
                <w:color w:val="auto"/>
                <w:lang w:val="en-US" w:eastAsia="zh-CN"/>
              </w:rPr>
            </w:pPr>
            <w:r>
              <w:rPr>
                <w:rFonts w:hint="default"/>
                <w:color w:val="auto"/>
                <w:lang w:val="en-US" w:eastAsia="zh-CN"/>
              </w:rPr>
              <w:t>图2-</w:t>
            </w:r>
            <w:r>
              <w:rPr>
                <w:rFonts w:hint="eastAsia"/>
                <w:color w:val="auto"/>
                <w:lang w:val="en-US" w:eastAsia="zh-CN"/>
              </w:rPr>
              <w:t>1啤</w:t>
            </w:r>
            <w:r>
              <w:rPr>
                <w:rFonts w:hint="default"/>
                <w:color w:val="auto"/>
                <w:lang w:val="en-US" w:eastAsia="zh-CN"/>
              </w:rPr>
              <w:t>酒物料平衡图</w:t>
            </w:r>
          </w:p>
          <w:p w14:paraId="76E4575C">
            <w:pPr>
              <w:bidi w:val="0"/>
              <w:rPr>
                <w:rFonts w:hint="eastAsia"/>
                <w:b/>
                <w:bCs/>
                <w:color w:val="auto"/>
                <w:lang w:val="en-US" w:eastAsia="zh-CN"/>
              </w:rPr>
            </w:pPr>
            <w:r>
              <w:rPr>
                <w:rFonts w:hint="eastAsia"/>
                <w:b/>
                <w:bCs/>
                <w:color w:val="auto"/>
                <w:lang w:val="en-US" w:eastAsia="zh-CN"/>
              </w:rPr>
              <w:drawing>
                <wp:inline distT="0" distB="0" distL="114300" distR="114300">
                  <wp:extent cx="3462020" cy="5132070"/>
                  <wp:effectExtent l="0" t="0" r="0" b="0"/>
                  <wp:docPr id="10" name="ECB019B1-382A-4266-B25C-5B523AA43C14-2" descr="C:/Users/Administrator/AppData/Local/Temp/wps.ouAopA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CB019B1-382A-4266-B25C-5B523AA43C14-2" descr="C:/Users/Administrator/AppData/Local/Temp/wps.ouAopAwps"/>
                          <pic:cNvPicPr>
                            <a:picLocks noChangeAspect="1"/>
                          </pic:cNvPicPr>
                        </pic:nvPicPr>
                        <pic:blipFill>
                          <a:blip r:embed="rId10"/>
                          <a:stretch>
                            <a:fillRect/>
                          </a:stretch>
                        </pic:blipFill>
                        <pic:spPr>
                          <a:xfrm>
                            <a:off x="0" y="0"/>
                            <a:ext cx="3462020" cy="5132070"/>
                          </a:xfrm>
                          <a:prstGeom prst="rect">
                            <a:avLst/>
                          </a:prstGeom>
                        </pic:spPr>
                      </pic:pic>
                    </a:graphicData>
                  </a:graphic>
                </wp:inline>
              </w:drawing>
            </w:r>
          </w:p>
          <w:p w14:paraId="3E6A8FED">
            <w:pPr>
              <w:pStyle w:val="30"/>
              <w:bidi w:val="0"/>
              <w:rPr>
                <w:rFonts w:hint="default"/>
                <w:color w:val="auto"/>
                <w:lang w:val="en-US" w:eastAsia="zh-CN"/>
              </w:rPr>
            </w:pPr>
            <w:r>
              <w:rPr>
                <w:rFonts w:hint="eastAsia"/>
                <w:color w:val="auto"/>
                <w:lang w:val="en-US" w:eastAsia="zh-CN"/>
              </w:rPr>
              <w:t>图2-2发酵酒物料平衡图</w:t>
            </w:r>
          </w:p>
          <w:p w14:paraId="08104EBD">
            <w:pPr>
              <w:bidi w:val="0"/>
              <w:ind w:left="0" w:leftChars="0" w:firstLine="0" w:firstLineChars="0"/>
              <w:jc w:val="center"/>
              <w:rPr>
                <w:rFonts w:hint="eastAsia"/>
                <w:b/>
                <w:bCs/>
                <w:color w:val="auto"/>
                <w:lang w:val="en-US" w:eastAsia="zh-CN"/>
              </w:rPr>
            </w:pPr>
            <w:r>
              <w:rPr>
                <w:rFonts w:hint="eastAsia"/>
                <w:b/>
                <w:bCs/>
                <w:color w:val="auto"/>
                <w:lang w:val="en-US" w:eastAsia="zh-CN"/>
              </w:rPr>
              <w:drawing>
                <wp:inline distT="0" distB="0" distL="114300" distR="114300">
                  <wp:extent cx="2458720" cy="4223385"/>
                  <wp:effectExtent l="0" t="0" r="0" b="0"/>
                  <wp:docPr id="12" name="ECB019B1-382A-4266-B25C-5B523AA43C14-3" descr="C:/Users/Administrator/AppData/Local/Temp/wps.npfgMc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CB019B1-382A-4266-B25C-5B523AA43C14-3" descr="C:/Users/Administrator/AppData/Local/Temp/wps.npfgMcwps"/>
                          <pic:cNvPicPr>
                            <a:picLocks noChangeAspect="1"/>
                          </pic:cNvPicPr>
                        </pic:nvPicPr>
                        <pic:blipFill>
                          <a:blip r:embed="rId11"/>
                          <a:stretch>
                            <a:fillRect/>
                          </a:stretch>
                        </pic:blipFill>
                        <pic:spPr>
                          <a:xfrm>
                            <a:off x="0" y="0"/>
                            <a:ext cx="2458720" cy="4223385"/>
                          </a:xfrm>
                          <a:prstGeom prst="rect">
                            <a:avLst/>
                          </a:prstGeom>
                        </pic:spPr>
                      </pic:pic>
                    </a:graphicData>
                  </a:graphic>
                </wp:inline>
              </w:drawing>
            </w:r>
          </w:p>
          <w:p w14:paraId="649F2C4F">
            <w:pPr>
              <w:pStyle w:val="30"/>
              <w:bidi w:val="0"/>
              <w:rPr>
                <w:rFonts w:hint="eastAsia"/>
                <w:color w:val="auto"/>
                <w:lang w:val="en-US" w:eastAsia="zh-CN"/>
              </w:rPr>
            </w:pPr>
            <w:r>
              <w:rPr>
                <w:rFonts w:hint="eastAsia"/>
                <w:color w:val="auto"/>
                <w:lang w:val="en-US" w:eastAsia="zh-CN"/>
              </w:rPr>
              <w:t>图2-3饮料物料平衡图</w:t>
            </w:r>
          </w:p>
          <w:p w14:paraId="67D2DD3C">
            <w:pPr>
              <w:bidi w:val="0"/>
              <w:jc w:val="center"/>
              <w:rPr>
                <w:rFonts w:hint="eastAsia"/>
                <w:b/>
                <w:bCs/>
                <w:color w:val="auto"/>
                <w:lang w:val="en-US" w:eastAsia="zh-CN"/>
              </w:rPr>
            </w:pPr>
            <w:r>
              <w:rPr>
                <w:rFonts w:hint="eastAsia"/>
                <w:b/>
                <w:bCs/>
                <w:color w:val="auto"/>
                <w:lang w:val="en-US" w:eastAsia="zh-CN"/>
              </w:rPr>
              <w:drawing>
                <wp:inline distT="0" distB="0" distL="114300" distR="114300">
                  <wp:extent cx="2491740" cy="3633470"/>
                  <wp:effectExtent l="0" t="0" r="0" b="0"/>
                  <wp:docPr id="13" name="ECB019B1-382A-4266-B25C-5B523AA43C14-4" descr="C:/Users/Administrator/AppData/Local/Temp/wps.mexzea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CB019B1-382A-4266-B25C-5B523AA43C14-4" descr="C:/Users/Administrator/AppData/Local/Temp/wps.mexzeawps"/>
                          <pic:cNvPicPr>
                            <a:picLocks noChangeAspect="1"/>
                          </pic:cNvPicPr>
                        </pic:nvPicPr>
                        <pic:blipFill>
                          <a:blip r:embed="rId12"/>
                          <a:stretch>
                            <a:fillRect/>
                          </a:stretch>
                        </pic:blipFill>
                        <pic:spPr>
                          <a:xfrm>
                            <a:off x="0" y="0"/>
                            <a:ext cx="2491740" cy="3633470"/>
                          </a:xfrm>
                          <a:prstGeom prst="rect">
                            <a:avLst/>
                          </a:prstGeom>
                        </pic:spPr>
                      </pic:pic>
                    </a:graphicData>
                  </a:graphic>
                </wp:inline>
              </w:drawing>
            </w:r>
          </w:p>
          <w:p w14:paraId="292699D5">
            <w:pPr>
              <w:pStyle w:val="30"/>
              <w:bidi w:val="0"/>
              <w:rPr>
                <w:rFonts w:hint="eastAsia"/>
                <w:color w:val="auto"/>
                <w:lang w:val="en-US" w:eastAsia="zh-CN"/>
              </w:rPr>
            </w:pPr>
            <w:r>
              <w:rPr>
                <w:rFonts w:hint="eastAsia"/>
                <w:color w:val="auto"/>
                <w:lang w:val="en-US" w:eastAsia="zh-CN"/>
              </w:rPr>
              <w:t>图2-4配制酒物料平衡图</w:t>
            </w:r>
          </w:p>
          <w:p w14:paraId="13BFD1CD">
            <w:pPr>
              <w:bidi w:val="0"/>
              <w:rPr>
                <w:rFonts w:hint="default"/>
                <w:b/>
                <w:bCs/>
                <w:color w:val="auto"/>
                <w:lang w:val="en-US" w:eastAsia="zh-CN"/>
              </w:rPr>
            </w:pPr>
            <w:r>
              <w:rPr>
                <w:rFonts w:hint="eastAsia"/>
                <w:b/>
                <w:bCs/>
                <w:color w:val="auto"/>
                <w:lang w:val="en-US" w:eastAsia="zh-CN"/>
              </w:rPr>
              <w:t>（2）水平衡</w:t>
            </w:r>
          </w:p>
          <w:p w14:paraId="5347721F">
            <w:pPr>
              <w:keepNext w:val="0"/>
              <w:keepLines w:val="0"/>
              <w:pageBreakBefore w:val="0"/>
              <w:widowControl w:val="0"/>
              <w:kinsoku/>
              <w:wordWrap/>
              <w:overflowPunct/>
              <w:topLinePunct w:val="0"/>
              <w:autoSpaceDE/>
              <w:autoSpaceDN/>
              <w:bidi w:val="0"/>
              <w:adjustRightInd/>
              <w:snapToGrid/>
              <w:spacing w:line="240" w:lineRule="atLeast"/>
              <w:ind w:firstLine="480"/>
              <w:textAlignment w:val="auto"/>
              <w:rPr>
                <w:color w:val="auto"/>
              </w:rPr>
            </w:pPr>
            <w:r>
              <w:rPr>
                <w:rFonts w:hint="eastAsia"/>
                <w:color w:val="auto"/>
              </w:rPr>
              <w:t>项目水平衡图见图2-1。</w:t>
            </w:r>
          </w:p>
          <w:p w14:paraId="00BD25BB">
            <w:pPr>
              <w:keepNext w:val="0"/>
              <w:keepLines w:val="0"/>
              <w:pageBreakBefore w:val="0"/>
              <w:widowControl w:val="0"/>
              <w:kinsoku/>
              <w:wordWrap/>
              <w:overflowPunct/>
              <w:topLinePunct w:val="0"/>
              <w:autoSpaceDE/>
              <w:autoSpaceDN/>
              <w:bidi w:val="0"/>
              <w:adjustRightInd/>
              <w:snapToGrid/>
              <w:spacing w:line="240" w:lineRule="atLeast"/>
              <w:ind w:firstLine="0" w:firstLineChars="0"/>
              <w:textAlignment w:val="auto"/>
              <w:rPr>
                <w:rFonts w:hint="eastAsia" w:eastAsia="宋体" w:cs="Times New Roman"/>
                <w:color w:val="auto"/>
                <w:lang w:eastAsia="zh-CN"/>
              </w:rPr>
            </w:pPr>
            <w:r>
              <w:rPr>
                <w:rFonts w:hint="eastAsia" w:eastAsia="宋体" w:cs="Times New Roman"/>
                <w:color w:val="auto"/>
                <w:lang w:eastAsia="zh-CN"/>
              </w:rPr>
              <w:drawing>
                <wp:inline distT="0" distB="0" distL="114300" distR="114300">
                  <wp:extent cx="5020310" cy="6003925"/>
                  <wp:effectExtent l="0" t="0" r="8890" b="0"/>
                  <wp:docPr id="17" name="ECB019B1-382A-4266-B25C-5B523AA43C14-5" descr="C:/Users/Administrator/AppData/Local/Temp/wps.rWkZwC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CB019B1-382A-4266-B25C-5B523AA43C14-5" descr="C:/Users/Administrator/AppData/Local/Temp/wps.rWkZwCwps"/>
                          <pic:cNvPicPr>
                            <a:picLocks noChangeAspect="1"/>
                          </pic:cNvPicPr>
                        </pic:nvPicPr>
                        <pic:blipFill>
                          <a:blip r:embed="rId13"/>
                          <a:stretch>
                            <a:fillRect/>
                          </a:stretch>
                        </pic:blipFill>
                        <pic:spPr>
                          <a:xfrm>
                            <a:off x="0" y="0"/>
                            <a:ext cx="5020310" cy="6003925"/>
                          </a:xfrm>
                          <a:prstGeom prst="rect">
                            <a:avLst/>
                          </a:prstGeom>
                        </pic:spPr>
                      </pic:pic>
                    </a:graphicData>
                  </a:graphic>
                </wp:inline>
              </w:drawing>
            </w:r>
          </w:p>
          <w:p w14:paraId="5A07438A">
            <w:pPr>
              <w:pStyle w:val="30"/>
              <w:rPr>
                <w:rFonts w:hint="eastAsia" w:eastAsia="宋体"/>
                <w:color w:val="auto"/>
                <w:highlight w:val="yellow"/>
                <w:lang w:val="en-US" w:eastAsia="zh-CN"/>
              </w:rPr>
            </w:pPr>
            <w:r>
              <w:rPr>
                <w:rFonts w:hint="eastAsia"/>
                <w:color w:val="auto"/>
                <w:highlight w:val="none"/>
                <w:lang w:val="en-US" w:eastAsia="zh-CN"/>
              </w:rPr>
              <w:t>图</w:t>
            </w:r>
            <w:r>
              <w:rPr>
                <w:color w:val="auto"/>
                <w:highlight w:val="none"/>
              </w:rPr>
              <w:t>2-</w:t>
            </w:r>
            <w:r>
              <w:rPr>
                <w:rFonts w:hint="eastAsia"/>
                <w:color w:val="auto"/>
                <w:highlight w:val="none"/>
                <w:lang w:val="en-US" w:eastAsia="zh-CN"/>
              </w:rPr>
              <w:t>5</w:t>
            </w:r>
            <w:r>
              <w:rPr>
                <w:color w:val="auto"/>
                <w:highlight w:val="none"/>
              </w:rPr>
              <w:t xml:space="preserve">  项目水平衡图  单位：m</w:t>
            </w:r>
            <w:r>
              <w:rPr>
                <w:color w:val="auto"/>
                <w:highlight w:val="none"/>
                <w:vertAlign w:val="superscript"/>
              </w:rPr>
              <w:t>3</w:t>
            </w:r>
            <w:r>
              <w:rPr>
                <w:color w:val="auto"/>
                <w:highlight w:val="none"/>
              </w:rPr>
              <w:t>/</w:t>
            </w:r>
            <w:r>
              <w:rPr>
                <w:rFonts w:hint="eastAsia"/>
                <w:color w:val="auto"/>
                <w:highlight w:val="none"/>
                <w:lang w:val="en-US" w:eastAsia="zh-CN"/>
              </w:rPr>
              <w:t>a</w:t>
            </w:r>
          </w:p>
          <w:p w14:paraId="3C2BF390">
            <w:pPr>
              <w:bidi w:val="0"/>
              <w:rPr>
                <w:rFonts w:hint="eastAsia"/>
                <w:b/>
                <w:bCs/>
                <w:color w:val="auto"/>
                <w:lang w:val="en-US" w:eastAsia="zh-CN"/>
              </w:rPr>
            </w:pPr>
            <w:r>
              <w:rPr>
                <w:rFonts w:hint="eastAsia"/>
                <w:b/>
                <w:bCs/>
                <w:color w:val="auto"/>
                <w:lang w:val="en-US" w:eastAsia="zh-CN"/>
              </w:rPr>
              <w:t>（3）蒸汽平衡</w:t>
            </w:r>
          </w:p>
          <w:p w14:paraId="07909FDE">
            <w:pPr>
              <w:bidi w:val="0"/>
              <w:rPr>
                <w:rFonts w:hint="default"/>
                <w:color w:val="auto"/>
                <w:lang w:val="en-US" w:eastAsia="zh-CN"/>
              </w:rPr>
            </w:pPr>
            <w:r>
              <w:rPr>
                <w:rFonts w:hint="eastAsia"/>
                <w:color w:val="auto"/>
                <w:lang w:eastAsia="zh-CN"/>
              </w:rPr>
              <w:t>本项目</w:t>
            </w:r>
            <w:r>
              <w:rPr>
                <w:rFonts w:hint="eastAsia"/>
                <w:color w:val="auto"/>
                <w:lang w:val="en-US" w:eastAsia="zh-CN"/>
              </w:rPr>
              <w:t>燃气锅炉</w:t>
            </w:r>
            <w:r>
              <w:rPr>
                <w:rFonts w:hint="eastAsia"/>
                <w:color w:val="auto"/>
                <w:lang w:eastAsia="zh-CN"/>
              </w:rPr>
              <w:t>产生的蒸汽先汇集到分汽缸，由分汽缸引出的供汽总管分为两个并联回路，一路经减压后与另一路汇集后再接至各用汽单位。各用汽单位根据设备需要自行设置减压装置，其中啤酒吸收的蒸汽通过锅炉配套的冷凝水回收装置回流到锅炉后循环使用，</w:t>
            </w:r>
            <w:r>
              <w:rPr>
                <w:rFonts w:hint="eastAsia"/>
                <w:color w:val="auto"/>
                <w:lang w:val="en-US" w:eastAsia="zh-CN"/>
              </w:rPr>
              <w:t>循环水量为3.92</w:t>
            </w:r>
            <w:r>
              <w:rPr>
                <w:rFonts w:hint="eastAsia"/>
                <w:color w:val="auto"/>
                <w:lang w:eastAsia="zh-CN"/>
              </w:rPr>
              <w:t>m</w:t>
            </w:r>
            <w:r>
              <w:rPr>
                <w:rFonts w:hint="eastAsia"/>
                <w:color w:val="auto"/>
                <w:vertAlign w:val="superscript"/>
                <w:lang w:eastAsia="zh-CN"/>
              </w:rPr>
              <w:t>3</w:t>
            </w:r>
            <w:r>
              <w:rPr>
                <w:rFonts w:hint="eastAsia"/>
                <w:color w:val="auto"/>
                <w:lang w:eastAsia="zh-CN"/>
              </w:rPr>
              <w:t>/d、</w:t>
            </w:r>
            <w:r>
              <w:rPr>
                <w:rFonts w:hint="eastAsia"/>
                <w:color w:val="auto"/>
                <w:lang w:val="en-US" w:eastAsia="zh-CN"/>
              </w:rPr>
              <w:t>1176</w:t>
            </w:r>
            <w:r>
              <w:rPr>
                <w:rFonts w:hint="eastAsia"/>
                <w:color w:val="auto"/>
                <w:lang w:eastAsia="zh-CN"/>
              </w:rPr>
              <w:t>m</w:t>
            </w:r>
            <w:r>
              <w:rPr>
                <w:rFonts w:hint="eastAsia"/>
                <w:color w:val="auto"/>
                <w:vertAlign w:val="superscript"/>
                <w:lang w:eastAsia="zh-CN"/>
              </w:rPr>
              <w:t>3</w:t>
            </w:r>
            <w:r>
              <w:rPr>
                <w:rFonts w:hint="eastAsia"/>
                <w:color w:val="auto"/>
                <w:lang w:eastAsia="zh-CN"/>
              </w:rPr>
              <w:t>/a。</w:t>
            </w:r>
          </w:p>
          <w:p w14:paraId="39D07783">
            <w:pPr>
              <w:bidi w:val="0"/>
              <w:rPr>
                <w:rFonts w:hint="eastAsia"/>
                <w:color w:val="auto"/>
                <w:lang w:eastAsia="zh-CN"/>
              </w:rPr>
            </w:pPr>
            <w:r>
              <w:rPr>
                <w:rFonts w:hint="eastAsia"/>
                <w:color w:val="auto"/>
                <w:lang w:eastAsia="zh-CN"/>
              </w:rPr>
              <w:t>项目设置</w:t>
            </w:r>
            <w:r>
              <w:rPr>
                <w:rFonts w:hint="eastAsia"/>
                <w:color w:val="auto"/>
                <w:lang w:val="en-US" w:eastAsia="zh-CN"/>
              </w:rPr>
              <w:t>2台（一备一用）</w:t>
            </w:r>
            <w:r>
              <w:rPr>
                <w:rFonts w:hint="eastAsia"/>
                <w:color w:val="auto"/>
                <w:lang w:eastAsia="zh-CN"/>
              </w:rPr>
              <w:t>额定蒸发量为</w:t>
            </w:r>
            <w:r>
              <w:rPr>
                <w:rFonts w:hint="eastAsia"/>
                <w:color w:val="auto"/>
                <w:lang w:val="en-US" w:eastAsia="zh-CN"/>
              </w:rPr>
              <w:t>0.5</w:t>
            </w:r>
            <w:r>
              <w:rPr>
                <w:rFonts w:hint="eastAsia"/>
                <w:color w:val="auto"/>
                <w:lang w:eastAsia="zh-CN"/>
              </w:rPr>
              <w:t>t/h的</w:t>
            </w:r>
            <w:r>
              <w:rPr>
                <w:rFonts w:hint="eastAsia"/>
                <w:color w:val="auto"/>
                <w:lang w:val="en-US" w:eastAsia="zh-CN"/>
              </w:rPr>
              <w:t>燃气锅炉</w:t>
            </w:r>
            <w:r>
              <w:rPr>
                <w:rFonts w:hint="eastAsia"/>
                <w:color w:val="auto"/>
                <w:lang w:eastAsia="zh-CN"/>
              </w:rPr>
              <w:t>，</w:t>
            </w:r>
            <w:r>
              <w:rPr>
                <w:rFonts w:hint="eastAsia"/>
                <w:color w:val="auto"/>
                <w:lang w:val="en-US" w:eastAsia="zh-CN"/>
              </w:rPr>
              <w:t>根据0.5t/h燃气锅炉每小时平均耗气在40Nm³/h‌，全年共生产2400h，</w:t>
            </w:r>
            <w:r>
              <w:rPr>
                <w:rFonts w:hint="eastAsia"/>
                <w:color w:val="auto"/>
                <w:lang w:eastAsia="zh-CN"/>
              </w:rPr>
              <w:t>运营期蒸汽主要用于糖化工段、煮沸工段、CIP系统清洗</w:t>
            </w:r>
            <w:r>
              <w:rPr>
                <w:rFonts w:hint="eastAsia"/>
                <w:color w:val="auto"/>
                <w:lang w:val="en-US" w:eastAsia="zh-CN"/>
              </w:rPr>
              <w:t>和杀菌</w:t>
            </w:r>
            <w:r>
              <w:rPr>
                <w:rFonts w:hint="eastAsia"/>
                <w:color w:val="auto"/>
                <w:lang w:eastAsia="zh-CN"/>
              </w:rPr>
              <w:t>，其蒸汽耗用量分别占40%、</w:t>
            </w:r>
            <w:r>
              <w:rPr>
                <w:rFonts w:hint="eastAsia"/>
                <w:color w:val="auto"/>
                <w:lang w:val="en-US" w:eastAsia="zh-CN"/>
              </w:rPr>
              <w:t>30</w:t>
            </w:r>
            <w:r>
              <w:rPr>
                <w:rFonts w:hint="eastAsia"/>
                <w:color w:val="auto"/>
                <w:lang w:eastAsia="zh-CN"/>
              </w:rPr>
              <w:t>%、8%、</w:t>
            </w:r>
            <w:r>
              <w:rPr>
                <w:rFonts w:hint="eastAsia"/>
                <w:color w:val="auto"/>
                <w:lang w:val="en-US" w:eastAsia="zh-CN"/>
              </w:rPr>
              <w:t>20%</w:t>
            </w:r>
            <w:r>
              <w:rPr>
                <w:rFonts w:hint="eastAsia"/>
                <w:color w:val="auto"/>
                <w:lang w:eastAsia="zh-CN"/>
              </w:rPr>
              <w:t>，损耗约2%。蒸汽平衡如下表所示：</w:t>
            </w:r>
          </w:p>
          <w:p w14:paraId="45E821F2">
            <w:pPr>
              <w:pStyle w:val="30"/>
              <w:bidi w:val="0"/>
              <w:rPr>
                <w:rFonts w:hint="eastAsia"/>
                <w:color w:val="auto"/>
                <w:lang w:val="en-US" w:eastAsia="zh-CN"/>
              </w:rPr>
            </w:pPr>
            <w:r>
              <w:rPr>
                <w:rFonts w:hint="eastAsia"/>
                <w:color w:val="auto"/>
                <w:lang w:val="en-US" w:eastAsia="zh-CN"/>
              </w:rPr>
              <w:t>表2-9 项目全厂蒸汽用量一览表</w:t>
            </w:r>
          </w:p>
          <w:tbl>
            <w:tblPr>
              <w:tblStyle w:val="24"/>
              <w:tblW w:w="7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1054"/>
              <w:gridCol w:w="1363"/>
              <w:gridCol w:w="1675"/>
              <w:gridCol w:w="1187"/>
              <w:gridCol w:w="1006"/>
            </w:tblGrid>
            <w:tr w14:paraId="4113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Merge w:val="restart"/>
                  <w:vAlign w:val="center"/>
                </w:tcPr>
                <w:p w14:paraId="218F896C">
                  <w:pPr>
                    <w:pStyle w:val="29"/>
                    <w:bidi w:val="0"/>
                    <w:rPr>
                      <w:rFonts w:hint="default"/>
                      <w:color w:val="auto"/>
                      <w:lang w:val="en-US" w:eastAsia="zh-CN"/>
                    </w:rPr>
                  </w:pPr>
                  <w:r>
                    <w:rPr>
                      <w:rFonts w:hint="eastAsia"/>
                      <w:color w:val="auto"/>
                      <w:lang w:val="en-US" w:eastAsia="zh-CN"/>
                    </w:rPr>
                    <w:t>序号</w:t>
                  </w:r>
                </w:p>
              </w:tc>
              <w:tc>
                <w:tcPr>
                  <w:tcW w:w="1054" w:type="dxa"/>
                  <w:vMerge w:val="restart"/>
                  <w:vAlign w:val="center"/>
                </w:tcPr>
                <w:p w14:paraId="108BEFCB">
                  <w:pPr>
                    <w:pStyle w:val="29"/>
                    <w:bidi w:val="0"/>
                    <w:rPr>
                      <w:rFonts w:hint="default"/>
                      <w:color w:val="auto"/>
                      <w:lang w:val="en-US" w:eastAsia="zh-CN"/>
                    </w:rPr>
                  </w:pPr>
                  <w:r>
                    <w:rPr>
                      <w:rFonts w:hint="eastAsia"/>
                      <w:color w:val="auto"/>
                      <w:lang w:val="en-US" w:eastAsia="zh-CN"/>
                    </w:rPr>
                    <w:t>设备</w:t>
                  </w:r>
                </w:p>
              </w:tc>
              <w:tc>
                <w:tcPr>
                  <w:tcW w:w="1363" w:type="dxa"/>
                  <w:vMerge w:val="restart"/>
                  <w:vAlign w:val="center"/>
                </w:tcPr>
                <w:p w14:paraId="3712962B">
                  <w:pPr>
                    <w:pStyle w:val="29"/>
                    <w:bidi w:val="0"/>
                    <w:rPr>
                      <w:rFonts w:hint="default"/>
                      <w:color w:val="auto"/>
                      <w:lang w:val="en-US" w:eastAsia="zh-CN"/>
                    </w:rPr>
                  </w:pPr>
                  <w:r>
                    <w:rPr>
                      <w:rFonts w:hint="eastAsia"/>
                      <w:color w:val="auto"/>
                      <w:lang w:val="en-US" w:eastAsia="zh-CN"/>
                    </w:rPr>
                    <w:t>蒸汽产生量t/d</w:t>
                  </w:r>
                </w:p>
              </w:tc>
              <w:tc>
                <w:tcPr>
                  <w:tcW w:w="1675" w:type="dxa"/>
                  <w:vMerge w:val="restart"/>
                  <w:vAlign w:val="center"/>
                </w:tcPr>
                <w:p w14:paraId="79B2EFAA">
                  <w:pPr>
                    <w:pStyle w:val="29"/>
                    <w:bidi w:val="0"/>
                    <w:rPr>
                      <w:rFonts w:hint="default"/>
                      <w:color w:val="auto"/>
                      <w:lang w:val="en-US" w:eastAsia="zh-CN"/>
                    </w:rPr>
                  </w:pPr>
                  <w:r>
                    <w:rPr>
                      <w:rFonts w:hint="eastAsia"/>
                      <w:color w:val="auto"/>
                      <w:lang w:val="en-US" w:eastAsia="zh-CN"/>
                    </w:rPr>
                    <w:t>用气单位</w:t>
                  </w:r>
                </w:p>
              </w:tc>
              <w:tc>
                <w:tcPr>
                  <w:tcW w:w="2193" w:type="dxa"/>
                  <w:gridSpan w:val="2"/>
                  <w:vAlign w:val="center"/>
                </w:tcPr>
                <w:p w14:paraId="3D3DD37E">
                  <w:pPr>
                    <w:pStyle w:val="29"/>
                    <w:bidi w:val="0"/>
                    <w:rPr>
                      <w:rFonts w:hint="eastAsia"/>
                      <w:color w:val="auto"/>
                      <w:lang w:val="en-US" w:eastAsia="zh-CN"/>
                    </w:rPr>
                  </w:pPr>
                  <w:r>
                    <w:rPr>
                      <w:rFonts w:hint="eastAsia"/>
                      <w:color w:val="auto"/>
                      <w:lang w:val="en-US" w:eastAsia="zh-CN"/>
                    </w:rPr>
                    <w:t>蒸汽用量</w:t>
                  </w:r>
                </w:p>
              </w:tc>
            </w:tr>
            <w:tr w14:paraId="78BC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Merge w:val="continue"/>
                  <w:vAlign w:val="center"/>
                </w:tcPr>
                <w:p w14:paraId="6F992FC7">
                  <w:pPr>
                    <w:pStyle w:val="29"/>
                    <w:bidi w:val="0"/>
                    <w:rPr>
                      <w:rFonts w:hint="eastAsia"/>
                      <w:color w:val="auto"/>
                      <w:lang w:val="en-US" w:eastAsia="zh-CN"/>
                    </w:rPr>
                  </w:pPr>
                </w:p>
              </w:tc>
              <w:tc>
                <w:tcPr>
                  <w:tcW w:w="1054" w:type="dxa"/>
                  <w:vMerge w:val="continue"/>
                  <w:vAlign w:val="center"/>
                </w:tcPr>
                <w:p w14:paraId="61E2635C">
                  <w:pPr>
                    <w:pStyle w:val="29"/>
                    <w:bidi w:val="0"/>
                    <w:rPr>
                      <w:rFonts w:hint="eastAsia"/>
                      <w:color w:val="auto"/>
                      <w:lang w:val="en-US" w:eastAsia="zh-CN"/>
                    </w:rPr>
                  </w:pPr>
                </w:p>
              </w:tc>
              <w:tc>
                <w:tcPr>
                  <w:tcW w:w="1363" w:type="dxa"/>
                  <w:vMerge w:val="continue"/>
                  <w:vAlign w:val="center"/>
                </w:tcPr>
                <w:p w14:paraId="3272A770">
                  <w:pPr>
                    <w:pStyle w:val="29"/>
                    <w:bidi w:val="0"/>
                    <w:rPr>
                      <w:rFonts w:hint="eastAsia"/>
                      <w:color w:val="auto"/>
                      <w:lang w:val="en-US" w:eastAsia="zh-CN"/>
                    </w:rPr>
                  </w:pPr>
                </w:p>
              </w:tc>
              <w:tc>
                <w:tcPr>
                  <w:tcW w:w="1675" w:type="dxa"/>
                  <w:vMerge w:val="continue"/>
                  <w:vAlign w:val="center"/>
                </w:tcPr>
                <w:p w14:paraId="185E5C2E">
                  <w:pPr>
                    <w:pStyle w:val="29"/>
                    <w:bidi w:val="0"/>
                    <w:rPr>
                      <w:rFonts w:hint="eastAsia"/>
                      <w:color w:val="auto"/>
                      <w:lang w:val="en-US" w:eastAsia="zh-CN"/>
                    </w:rPr>
                  </w:pPr>
                </w:p>
              </w:tc>
              <w:tc>
                <w:tcPr>
                  <w:tcW w:w="1187" w:type="dxa"/>
                  <w:vAlign w:val="center"/>
                </w:tcPr>
                <w:p w14:paraId="52D93BF8">
                  <w:pPr>
                    <w:pStyle w:val="29"/>
                    <w:bidi w:val="0"/>
                    <w:rPr>
                      <w:rFonts w:hint="default"/>
                      <w:color w:val="auto"/>
                      <w:lang w:val="en-US" w:eastAsia="zh-CN"/>
                    </w:rPr>
                  </w:pPr>
                  <w:r>
                    <w:rPr>
                      <w:rFonts w:hint="eastAsia"/>
                      <w:color w:val="auto"/>
                      <w:lang w:val="en-US" w:eastAsia="zh-CN"/>
                    </w:rPr>
                    <w:t>t/d</w:t>
                  </w:r>
                </w:p>
              </w:tc>
              <w:tc>
                <w:tcPr>
                  <w:tcW w:w="1006" w:type="dxa"/>
                  <w:vAlign w:val="center"/>
                </w:tcPr>
                <w:p w14:paraId="7F447716">
                  <w:pPr>
                    <w:pStyle w:val="29"/>
                    <w:bidi w:val="0"/>
                    <w:rPr>
                      <w:rFonts w:hint="default"/>
                      <w:color w:val="auto"/>
                      <w:lang w:val="en-US" w:eastAsia="zh-CN"/>
                    </w:rPr>
                  </w:pPr>
                  <w:r>
                    <w:rPr>
                      <w:rFonts w:hint="eastAsia"/>
                      <w:color w:val="auto"/>
                      <w:lang w:val="en-US" w:eastAsia="zh-CN"/>
                    </w:rPr>
                    <w:t>t/a</w:t>
                  </w:r>
                </w:p>
              </w:tc>
            </w:tr>
            <w:tr w14:paraId="39984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Align w:val="center"/>
                </w:tcPr>
                <w:p w14:paraId="782445DB">
                  <w:pPr>
                    <w:pStyle w:val="29"/>
                    <w:bidi w:val="0"/>
                    <w:rPr>
                      <w:rFonts w:hint="default"/>
                      <w:color w:val="auto"/>
                      <w:lang w:val="en-US" w:eastAsia="zh-CN"/>
                    </w:rPr>
                  </w:pPr>
                  <w:r>
                    <w:rPr>
                      <w:rFonts w:hint="eastAsia"/>
                      <w:color w:val="auto"/>
                      <w:lang w:val="en-US" w:eastAsia="zh-CN"/>
                    </w:rPr>
                    <w:t>1</w:t>
                  </w:r>
                </w:p>
              </w:tc>
              <w:tc>
                <w:tcPr>
                  <w:tcW w:w="1054" w:type="dxa"/>
                  <w:vMerge w:val="restart"/>
                  <w:vAlign w:val="center"/>
                </w:tcPr>
                <w:p w14:paraId="6A46E1E3">
                  <w:pPr>
                    <w:pStyle w:val="29"/>
                    <w:bidi w:val="0"/>
                    <w:rPr>
                      <w:rFonts w:hint="default"/>
                      <w:color w:val="auto"/>
                      <w:lang w:val="en-US" w:eastAsia="zh-CN"/>
                    </w:rPr>
                  </w:pPr>
                  <w:r>
                    <w:rPr>
                      <w:rFonts w:hint="eastAsia"/>
                      <w:color w:val="auto"/>
                      <w:lang w:val="en-US" w:eastAsia="zh-CN"/>
                    </w:rPr>
                    <w:t>燃气锅炉</w:t>
                  </w:r>
                </w:p>
              </w:tc>
              <w:tc>
                <w:tcPr>
                  <w:tcW w:w="1363" w:type="dxa"/>
                  <w:vMerge w:val="restart"/>
                  <w:vAlign w:val="center"/>
                </w:tcPr>
                <w:p w14:paraId="6DF70280">
                  <w:pPr>
                    <w:pStyle w:val="29"/>
                    <w:bidi w:val="0"/>
                    <w:rPr>
                      <w:rFonts w:hint="default"/>
                      <w:color w:val="auto"/>
                      <w:lang w:val="en-US" w:eastAsia="zh-CN"/>
                    </w:rPr>
                  </w:pPr>
                  <w:r>
                    <w:rPr>
                      <w:rFonts w:hint="eastAsia"/>
                      <w:color w:val="auto"/>
                      <w:lang w:val="en-US" w:eastAsia="zh-CN"/>
                    </w:rPr>
                    <w:t>4</w:t>
                  </w:r>
                </w:p>
              </w:tc>
              <w:tc>
                <w:tcPr>
                  <w:tcW w:w="1675" w:type="dxa"/>
                  <w:vAlign w:val="center"/>
                </w:tcPr>
                <w:p w14:paraId="20420041">
                  <w:pPr>
                    <w:pStyle w:val="29"/>
                    <w:bidi w:val="0"/>
                    <w:rPr>
                      <w:rFonts w:hint="default"/>
                      <w:color w:val="auto"/>
                      <w:lang w:val="en-US" w:eastAsia="zh-CN"/>
                    </w:rPr>
                  </w:pPr>
                  <w:r>
                    <w:rPr>
                      <w:rFonts w:hint="eastAsia"/>
                      <w:color w:val="auto"/>
                      <w:lang w:val="en-US" w:eastAsia="zh-CN"/>
                    </w:rPr>
                    <w:t>糖化工段</w:t>
                  </w:r>
                </w:p>
              </w:tc>
              <w:tc>
                <w:tcPr>
                  <w:tcW w:w="1187" w:type="dxa"/>
                  <w:vAlign w:val="center"/>
                </w:tcPr>
                <w:p w14:paraId="37948CF2">
                  <w:pPr>
                    <w:pStyle w:val="29"/>
                    <w:bidi w:val="0"/>
                    <w:rPr>
                      <w:rFonts w:hint="default"/>
                      <w:color w:val="auto"/>
                      <w:lang w:val="en-US" w:eastAsia="zh-CN"/>
                    </w:rPr>
                  </w:pPr>
                  <w:r>
                    <w:rPr>
                      <w:rFonts w:hint="eastAsia"/>
                      <w:color w:val="auto"/>
                      <w:lang w:val="en-US" w:eastAsia="zh-CN"/>
                    </w:rPr>
                    <w:t>1.6</w:t>
                  </w:r>
                </w:p>
              </w:tc>
              <w:tc>
                <w:tcPr>
                  <w:tcW w:w="1006" w:type="dxa"/>
                  <w:vAlign w:val="center"/>
                </w:tcPr>
                <w:p w14:paraId="1B6B7266">
                  <w:pPr>
                    <w:pStyle w:val="29"/>
                    <w:bidi w:val="0"/>
                    <w:rPr>
                      <w:rFonts w:hint="default"/>
                      <w:color w:val="auto"/>
                      <w:lang w:val="en-US" w:eastAsia="zh-CN"/>
                    </w:rPr>
                  </w:pPr>
                  <w:r>
                    <w:rPr>
                      <w:rFonts w:hint="eastAsia"/>
                      <w:color w:val="auto"/>
                      <w:lang w:val="en-US" w:eastAsia="zh-CN"/>
                    </w:rPr>
                    <w:t>480</w:t>
                  </w:r>
                </w:p>
              </w:tc>
            </w:tr>
            <w:tr w14:paraId="1163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Align w:val="center"/>
                </w:tcPr>
                <w:p w14:paraId="1FEF86FF">
                  <w:pPr>
                    <w:pStyle w:val="29"/>
                    <w:bidi w:val="0"/>
                    <w:rPr>
                      <w:rFonts w:hint="default"/>
                      <w:color w:val="auto"/>
                      <w:lang w:val="en-US" w:eastAsia="zh-CN"/>
                    </w:rPr>
                  </w:pPr>
                  <w:r>
                    <w:rPr>
                      <w:rFonts w:hint="eastAsia"/>
                      <w:color w:val="auto"/>
                      <w:lang w:val="en-US" w:eastAsia="zh-CN"/>
                    </w:rPr>
                    <w:t>2</w:t>
                  </w:r>
                </w:p>
              </w:tc>
              <w:tc>
                <w:tcPr>
                  <w:tcW w:w="1054" w:type="dxa"/>
                  <w:vMerge w:val="continue"/>
                  <w:vAlign w:val="center"/>
                </w:tcPr>
                <w:p w14:paraId="0563B17A">
                  <w:pPr>
                    <w:pStyle w:val="29"/>
                    <w:bidi w:val="0"/>
                    <w:rPr>
                      <w:rFonts w:hint="default"/>
                      <w:color w:val="auto"/>
                      <w:lang w:val="en-US" w:eastAsia="zh-CN"/>
                    </w:rPr>
                  </w:pPr>
                </w:p>
              </w:tc>
              <w:tc>
                <w:tcPr>
                  <w:tcW w:w="1363" w:type="dxa"/>
                  <w:vMerge w:val="continue"/>
                  <w:vAlign w:val="center"/>
                </w:tcPr>
                <w:p w14:paraId="0C21BF3C">
                  <w:pPr>
                    <w:pStyle w:val="29"/>
                    <w:bidi w:val="0"/>
                    <w:rPr>
                      <w:rFonts w:hint="default"/>
                      <w:color w:val="auto"/>
                      <w:lang w:val="en-US" w:eastAsia="zh-CN"/>
                    </w:rPr>
                  </w:pPr>
                </w:p>
              </w:tc>
              <w:tc>
                <w:tcPr>
                  <w:tcW w:w="1675" w:type="dxa"/>
                  <w:vAlign w:val="center"/>
                </w:tcPr>
                <w:p w14:paraId="131B8FD5">
                  <w:pPr>
                    <w:pStyle w:val="29"/>
                    <w:bidi w:val="0"/>
                    <w:rPr>
                      <w:rFonts w:hint="default"/>
                      <w:color w:val="auto"/>
                      <w:lang w:val="en-US" w:eastAsia="zh-CN"/>
                    </w:rPr>
                  </w:pPr>
                  <w:r>
                    <w:rPr>
                      <w:rFonts w:hint="eastAsia"/>
                      <w:color w:val="auto"/>
                      <w:lang w:val="en-US" w:eastAsia="zh-CN"/>
                    </w:rPr>
                    <w:t>煮沸工段</w:t>
                  </w:r>
                </w:p>
              </w:tc>
              <w:tc>
                <w:tcPr>
                  <w:tcW w:w="1187" w:type="dxa"/>
                  <w:vAlign w:val="center"/>
                </w:tcPr>
                <w:p w14:paraId="448C9302">
                  <w:pPr>
                    <w:pStyle w:val="29"/>
                    <w:bidi w:val="0"/>
                    <w:rPr>
                      <w:rFonts w:hint="default"/>
                      <w:color w:val="auto"/>
                      <w:lang w:val="en-US" w:eastAsia="zh-CN"/>
                    </w:rPr>
                  </w:pPr>
                  <w:r>
                    <w:rPr>
                      <w:rFonts w:hint="eastAsia"/>
                      <w:color w:val="auto"/>
                      <w:lang w:val="en-US" w:eastAsia="zh-CN"/>
                    </w:rPr>
                    <w:t>1.2</w:t>
                  </w:r>
                </w:p>
              </w:tc>
              <w:tc>
                <w:tcPr>
                  <w:tcW w:w="1006" w:type="dxa"/>
                  <w:vAlign w:val="center"/>
                </w:tcPr>
                <w:p w14:paraId="5AB7117B">
                  <w:pPr>
                    <w:pStyle w:val="29"/>
                    <w:bidi w:val="0"/>
                    <w:rPr>
                      <w:rFonts w:hint="default"/>
                      <w:color w:val="auto"/>
                      <w:lang w:val="en-US" w:eastAsia="zh-CN"/>
                    </w:rPr>
                  </w:pPr>
                  <w:r>
                    <w:rPr>
                      <w:rFonts w:hint="eastAsia"/>
                      <w:color w:val="auto"/>
                      <w:lang w:val="en-US" w:eastAsia="zh-CN"/>
                    </w:rPr>
                    <w:t>360</w:t>
                  </w:r>
                </w:p>
              </w:tc>
            </w:tr>
            <w:tr w14:paraId="5A2D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71" w:type="dxa"/>
                  <w:vAlign w:val="center"/>
                </w:tcPr>
                <w:p w14:paraId="10AB58DA">
                  <w:pPr>
                    <w:pStyle w:val="29"/>
                    <w:bidi w:val="0"/>
                    <w:rPr>
                      <w:rFonts w:hint="default"/>
                      <w:color w:val="auto"/>
                      <w:lang w:val="en-US" w:eastAsia="zh-CN"/>
                    </w:rPr>
                  </w:pPr>
                  <w:r>
                    <w:rPr>
                      <w:rFonts w:hint="eastAsia"/>
                      <w:color w:val="auto"/>
                      <w:lang w:val="en-US" w:eastAsia="zh-CN"/>
                    </w:rPr>
                    <w:t>3</w:t>
                  </w:r>
                </w:p>
              </w:tc>
              <w:tc>
                <w:tcPr>
                  <w:tcW w:w="1054" w:type="dxa"/>
                  <w:vMerge w:val="continue"/>
                  <w:vAlign w:val="center"/>
                </w:tcPr>
                <w:p w14:paraId="1CB45B49">
                  <w:pPr>
                    <w:pStyle w:val="29"/>
                    <w:bidi w:val="0"/>
                    <w:rPr>
                      <w:rFonts w:hint="default"/>
                      <w:color w:val="auto"/>
                      <w:lang w:val="en-US" w:eastAsia="zh-CN"/>
                    </w:rPr>
                  </w:pPr>
                </w:p>
              </w:tc>
              <w:tc>
                <w:tcPr>
                  <w:tcW w:w="1363" w:type="dxa"/>
                  <w:vMerge w:val="continue"/>
                  <w:vAlign w:val="center"/>
                </w:tcPr>
                <w:p w14:paraId="154E89F1">
                  <w:pPr>
                    <w:pStyle w:val="29"/>
                    <w:bidi w:val="0"/>
                    <w:rPr>
                      <w:rFonts w:hint="default"/>
                      <w:color w:val="auto"/>
                      <w:lang w:val="en-US" w:eastAsia="zh-CN"/>
                    </w:rPr>
                  </w:pPr>
                </w:p>
              </w:tc>
              <w:tc>
                <w:tcPr>
                  <w:tcW w:w="1675" w:type="dxa"/>
                  <w:vAlign w:val="center"/>
                </w:tcPr>
                <w:p w14:paraId="7D2B3D3F">
                  <w:pPr>
                    <w:pStyle w:val="29"/>
                    <w:bidi w:val="0"/>
                    <w:rPr>
                      <w:rFonts w:hint="default"/>
                      <w:color w:val="auto"/>
                      <w:lang w:val="en-US" w:eastAsia="zh-CN"/>
                    </w:rPr>
                  </w:pPr>
                  <w:r>
                    <w:rPr>
                      <w:rFonts w:hint="eastAsia"/>
                      <w:color w:val="auto"/>
                      <w:lang w:val="en-US" w:eastAsia="zh-CN"/>
                    </w:rPr>
                    <w:t>CIP系统清洗</w:t>
                  </w:r>
                </w:p>
              </w:tc>
              <w:tc>
                <w:tcPr>
                  <w:tcW w:w="1187" w:type="dxa"/>
                  <w:vAlign w:val="center"/>
                </w:tcPr>
                <w:p w14:paraId="1E31BAFC">
                  <w:pPr>
                    <w:pStyle w:val="29"/>
                    <w:bidi w:val="0"/>
                    <w:rPr>
                      <w:rFonts w:hint="default"/>
                      <w:color w:val="auto"/>
                      <w:lang w:val="en-US" w:eastAsia="zh-CN"/>
                    </w:rPr>
                  </w:pPr>
                  <w:r>
                    <w:rPr>
                      <w:rFonts w:hint="eastAsia"/>
                      <w:color w:val="auto"/>
                      <w:lang w:val="en-US" w:eastAsia="zh-CN"/>
                    </w:rPr>
                    <w:t>0.32</w:t>
                  </w:r>
                </w:p>
              </w:tc>
              <w:tc>
                <w:tcPr>
                  <w:tcW w:w="1006" w:type="dxa"/>
                  <w:vAlign w:val="center"/>
                </w:tcPr>
                <w:p w14:paraId="6062CCA9">
                  <w:pPr>
                    <w:pStyle w:val="29"/>
                    <w:bidi w:val="0"/>
                    <w:rPr>
                      <w:rFonts w:hint="default"/>
                      <w:color w:val="auto"/>
                      <w:lang w:val="en-US" w:eastAsia="zh-CN"/>
                    </w:rPr>
                  </w:pPr>
                  <w:r>
                    <w:rPr>
                      <w:rFonts w:hint="eastAsia"/>
                      <w:color w:val="auto"/>
                      <w:lang w:val="en-US" w:eastAsia="zh-CN"/>
                    </w:rPr>
                    <w:t>96</w:t>
                  </w:r>
                </w:p>
              </w:tc>
            </w:tr>
            <w:tr w14:paraId="42E9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Align w:val="center"/>
                </w:tcPr>
                <w:p w14:paraId="30C3A0F6">
                  <w:pPr>
                    <w:pStyle w:val="29"/>
                    <w:bidi w:val="0"/>
                    <w:rPr>
                      <w:rFonts w:hint="default"/>
                      <w:color w:val="auto"/>
                      <w:lang w:val="en-US" w:eastAsia="zh-CN"/>
                    </w:rPr>
                  </w:pPr>
                  <w:r>
                    <w:rPr>
                      <w:rFonts w:hint="eastAsia"/>
                      <w:color w:val="auto"/>
                      <w:lang w:val="en-US" w:eastAsia="zh-CN"/>
                    </w:rPr>
                    <w:t>4</w:t>
                  </w:r>
                </w:p>
              </w:tc>
              <w:tc>
                <w:tcPr>
                  <w:tcW w:w="1054" w:type="dxa"/>
                  <w:vMerge w:val="continue"/>
                  <w:vAlign w:val="center"/>
                </w:tcPr>
                <w:p w14:paraId="11C95A87">
                  <w:pPr>
                    <w:pStyle w:val="29"/>
                    <w:bidi w:val="0"/>
                    <w:rPr>
                      <w:rFonts w:hint="default"/>
                      <w:color w:val="auto"/>
                      <w:lang w:val="en-US" w:eastAsia="zh-CN"/>
                    </w:rPr>
                  </w:pPr>
                </w:p>
              </w:tc>
              <w:tc>
                <w:tcPr>
                  <w:tcW w:w="1363" w:type="dxa"/>
                  <w:vMerge w:val="continue"/>
                  <w:vAlign w:val="center"/>
                </w:tcPr>
                <w:p w14:paraId="03FA7EE3">
                  <w:pPr>
                    <w:pStyle w:val="29"/>
                    <w:bidi w:val="0"/>
                    <w:rPr>
                      <w:rFonts w:hint="default"/>
                      <w:color w:val="auto"/>
                      <w:lang w:val="en-US" w:eastAsia="zh-CN"/>
                    </w:rPr>
                  </w:pPr>
                </w:p>
              </w:tc>
              <w:tc>
                <w:tcPr>
                  <w:tcW w:w="1675" w:type="dxa"/>
                  <w:vAlign w:val="center"/>
                </w:tcPr>
                <w:p w14:paraId="2112D9AC">
                  <w:pPr>
                    <w:pStyle w:val="29"/>
                    <w:bidi w:val="0"/>
                    <w:rPr>
                      <w:rFonts w:hint="default"/>
                      <w:color w:val="auto"/>
                      <w:lang w:val="en-US" w:eastAsia="zh-CN"/>
                    </w:rPr>
                  </w:pPr>
                  <w:r>
                    <w:rPr>
                      <w:rFonts w:hint="eastAsia"/>
                      <w:color w:val="auto"/>
                      <w:lang w:val="en-US" w:eastAsia="zh-CN"/>
                    </w:rPr>
                    <w:t>杀菌</w:t>
                  </w:r>
                </w:p>
              </w:tc>
              <w:tc>
                <w:tcPr>
                  <w:tcW w:w="1187" w:type="dxa"/>
                  <w:vAlign w:val="center"/>
                </w:tcPr>
                <w:p w14:paraId="48C2DD12">
                  <w:pPr>
                    <w:pStyle w:val="29"/>
                    <w:bidi w:val="0"/>
                    <w:rPr>
                      <w:rFonts w:hint="default"/>
                      <w:color w:val="auto"/>
                      <w:lang w:val="en-US" w:eastAsia="zh-CN"/>
                    </w:rPr>
                  </w:pPr>
                  <w:r>
                    <w:rPr>
                      <w:rFonts w:hint="eastAsia"/>
                      <w:color w:val="auto"/>
                      <w:lang w:val="en-US" w:eastAsia="zh-CN"/>
                    </w:rPr>
                    <w:t>0.8</w:t>
                  </w:r>
                </w:p>
              </w:tc>
              <w:tc>
                <w:tcPr>
                  <w:tcW w:w="1006" w:type="dxa"/>
                  <w:vAlign w:val="center"/>
                </w:tcPr>
                <w:p w14:paraId="6199219C">
                  <w:pPr>
                    <w:pStyle w:val="29"/>
                    <w:bidi w:val="0"/>
                    <w:rPr>
                      <w:rFonts w:hint="eastAsia"/>
                      <w:color w:val="auto"/>
                      <w:lang w:val="en-US" w:eastAsia="zh-CN"/>
                    </w:rPr>
                  </w:pPr>
                  <w:r>
                    <w:rPr>
                      <w:rFonts w:hint="eastAsia"/>
                      <w:color w:val="auto"/>
                      <w:lang w:val="en-US" w:eastAsia="zh-CN"/>
                    </w:rPr>
                    <w:t>240</w:t>
                  </w:r>
                </w:p>
              </w:tc>
            </w:tr>
            <w:tr w14:paraId="5BD1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1" w:type="dxa"/>
                  <w:vAlign w:val="center"/>
                </w:tcPr>
                <w:p w14:paraId="7A98D173">
                  <w:pPr>
                    <w:pStyle w:val="29"/>
                    <w:bidi w:val="0"/>
                    <w:rPr>
                      <w:rFonts w:hint="default"/>
                      <w:color w:val="auto"/>
                      <w:lang w:val="en-US" w:eastAsia="zh-CN"/>
                    </w:rPr>
                  </w:pPr>
                  <w:r>
                    <w:rPr>
                      <w:rFonts w:hint="eastAsia"/>
                      <w:color w:val="auto"/>
                      <w:lang w:val="en-US" w:eastAsia="zh-CN"/>
                    </w:rPr>
                    <w:t>5</w:t>
                  </w:r>
                </w:p>
              </w:tc>
              <w:tc>
                <w:tcPr>
                  <w:tcW w:w="1054" w:type="dxa"/>
                  <w:vMerge w:val="continue"/>
                  <w:vAlign w:val="center"/>
                </w:tcPr>
                <w:p w14:paraId="4E75BCF3">
                  <w:pPr>
                    <w:pStyle w:val="29"/>
                    <w:bidi w:val="0"/>
                    <w:rPr>
                      <w:rFonts w:hint="default"/>
                      <w:color w:val="auto"/>
                      <w:lang w:val="en-US" w:eastAsia="zh-CN"/>
                    </w:rPr>
                  </w:pPr>
                </w:p>
              </w:tc>
              <w:tc>
                <w:tcPr>
                  <w:tcW w:w="1363" w:type="dxa"/>
                  <w:vMerge w:val="continue"/>
                  <w:vAlign w:val="center"/>
                </w:tcPr>
                <w:p w14:paraId="718AA894">
                  <w:pPr>
                    <w:pStyle w:val="29"/>
                    <w:bidi w:val="0"/>
                    <w:rPr>
                      <w:rFonts w:hint="default"/>
                      <w:color w:val="auto"/>
                      <w:lang w:val="en-US" w:eastAsia="zh-CN"/>
                    </w:rPr>
                  </w:pPr>
                </w:p>
              </w:tc>
              <w:tc>
                <w:tcPr>
                  <w:tcW w:w="1675" w:type="dxa"/>
                  <w:vAlign w:val="center"/>
                </w:tcPr>
                <w:p w14:paraId="7359390D">
                  <w:pPr>
                    <w:pStyle w:val="29"/>
                    <w:bidi w:val="0"/>
                    <w:rPr>
                      <w:rFonts w:hint="default"/>
                      <w:color w:val="auto"/>
                      <w:lang w:val="en-US" w:eastAsia="zh-CN"/>
                    </w:rPr>
                  </w:pPr>
                  <w:r>
                    <w:rPr>
                      <w:rFonts w:hint="eastAsia"/>
                      <w:color w:val="auto"/>
                      <w:lang w:val="en-US" w:eastAsia="zh-CN"/>
                    </w:rPr>
                    <w:t>损失</w:t>
                  </w:r>
                </w:p>
              </w:tc>
              <w:tc>
                <w:tcPr>
                  <w:tcW w:w="1187" w:type="dxa"/>
                  <w:vAlign w:val="center"/>
                </w:tcPr>
                <w:p w14:paraId="603BFDDE">
                  <w:pPr>
                    <w:pStyle w:val="29"/>
                    <w:bidi w:val="0"/>
                    <w:rPr>
                      <w:rFonts w:hint="default"/>
                      <w:color w:val="auto"/>
                      <w:lang w:val="en-US" w:eastAsia="zh-CN"/>
                    </w:rPr>
                  </w:pPr>
                  <w:r>
                    <w:rPr>
                      <w:rFonts w:hint="eastAsia"/>
                      <w:color w:val="auto"/>
                      <w:lang w:val="en-US" w:eastAsia="zh-CN"/>
                    </w:rPr>
                    <w:t>0.08</w:t>
                  </w:r>
                </w:p>
              </w:tc>
              <w:tc>
                <w:tcPr>
                  <w:tcW w:w="1006" w:type="dxa"/>
                  <w:vAlign w:val="center"/>
                </w:tcPr>
                <w:p w14:paraId="0309786F">
                  <w:pPr>
                    <w:pStyle w:val="29"/>
                    <w:bidi w:val="0"/>
                    <w:rPr>
                      <w:rFonts w:hint="default"/>
                      <w:color w:val="auto"/>
                      <w:lang w:val="en-US" w:eastAsia="zh-CN"/>
                    </w:rPr>
                  </w:pPr>
                  <w:r>
                    <w:rPr>
                      <w:rFonts w:hint="eastAsia"/>
                      <w:color w:val="auto"/>
                      <w:lang w:val="en-US" w:eastAsia="zh-CN"/>
                    </w:rPr>
                    <w:t>24</w:t>
                  </w:r>
                </w:p>
              </w:tc>
            </w:tr>
            <w:tr w14:paraId="4B8A1651">
              <w:tblPrEx>
                <w:tblCellMar>
                  <w:top w:w="0" w:type="dxa"/>
                  <w:left w:w="108" w:type="dxa"/>
                  <w:bottom w:w="0" w:type="dxa"/>
                  <w:right w:w="108" w:type="dxa"/>
                </w:tblCellMar>
              </w:tblPrEx>
              <w:tc>
                <w:tcPr>
                  <w:tcW w:w="1571" w:type="dxa"/>
                  <w:vAlign w:val="center"/>
                </w:tcPr>
                <w:p w14:paraId="75193268">
                  <w:pPr>
                    <w:pStyle w:val="29"/>
                    <w:bidi w:val="0"/>
                    <w:rPr>
                      <w:rFonts w:hint="default"/>
                      <w:color w:val="auto"/>
                      <w:lang w:val="en-US" w:eastAsia="zh-CN"/>
                    </w:rPr>
                  </w:pPr>
                  <w:r>
                    <w:rPr>
                      <w:rFonts w:hint="eastAsia"/>
                      <w:color w:val="auto"/>
                      <w:lang w:val="en-US" w:eastAsia="zh-CN"/>
                    </w:rPr>
                    <w:t>合计</w:t>
                  </w:r>
                </w:p>
              </w:tc>
              <w:tc>
                <w:tcPr>
                  <w:tcW w:w="1054" w:type="dxa"/>
                  <w:vAlign w:val="center"/>
                </w:tcPr>
                <w:p w14:paraId="32985DC8">
                  <w:pPr>
                    <w:pStyle w:val="29"/>
                    <w:bidi w:val="0"/>
                    <w:rPr>
                      <w:rFonts w:hint="default"/>
                      <w:color w:val="auto"/>
                      <w:lang w:val="en-US" w:eastAsia="zh-CN"/>
                    </w:rPr>
                  </w:pPr>
                  <w:r>
                    <w:rPr>
                      <w:rFonts w:hint="eastAsia"/>
                      <w:color w:val="auto"/>
                      <w:lang w:val="en-US" w:eastAsia="zh-CN"/>
                    </w:rPr>
                    <w:t>/</w:t>
                  </w:r>
                </w:p>
              </w:tc>
              <w:tc>
                <w:tcPr>
                  <w:tcW w:w="1363" w:type="dxa"/>
                  <w:vAlign w:val="center"/>
                </w:tcPr>
                <w:p w14:paraId="0F4C69C8">
                  <w:pPr>
                    <w:pStyle w:val="29"/>
                    <w:bidi w:val="0"/>
                    <w:rPr>
                      <w:rFonts w:hint="default"/>
                      <w:color w:val="auto"/>
                      <w:lang w:val="en-US" w:eastAsia="zh-CN"/>
                    </w:rPr>
                  </w:pPr>
                  <w:r>
                    <w:rPr>
                      <w:rFonts w:hint="eastAsia"/>
                      <w:color w:val="auto"/>
                      <w:lang w:val="en-US" w:eastAsia="zh-CN"/>
                    </w:rPr>
                    <w:t>4</w:t>
                  </w:r>
                </w:p>
              </w:tc>
              <w:tc>
                <w:tcPr>
                  <w:tcW w:w="1675" w:type="dxa"/>
                  <w:vAlign w:val="center"/>
                </w:tcPr>
                <w:p w14:paraId="783A4673">
                  <w:pPr>
                    <w:pStyle w:val="29"/>
                    <w:bidi w:val="0"/>
                    <w:rPr>
                      <w:rFonts w:hint="default"/>
                      <w:color w:val="auto"/>
                      <w:lang w:val="en-US" w:eastAsia="zh-CN"/>
                    </w:rPr>
                  </w:pPr>
                  <w:r>
                    <w:rPr>
                      <w:rFonts w:hint="eastAsia"/>
                      <w:color w:val="auto"/>
                      <w:lang w:val="en-US" w:eastAsia="zh-CN"/>
                    </w:rPr>
                    <w:t>/</w:t>
                  </w:r>
                </w:p>
              </w:tc>
              <w:tc>
                <w:tcPr>
                  <w:tcW w:w="1187" w:type="dxa"/>
                  <w:vAlign w:val="center"/>
                </w:tcPr>
                <w:p w14:paraId="14C7D239">
                  <w:pPr>
                    <w:pStyle w:val="29"/>
                    <w:bidi w:val="0"/>
                    <w:rPr>
                      <w:rFonts w:hint="default"/>
                      <w:color w:val="auto"/>
                      <w:lang w:val="en-US" w:eastAsia="zh-CN"/>
                    </w:rPr>
                  </w:pPr>
                  <w:r>
                    <w:rPr>
                      <w:rFonts w:hint="eastAsia"/>
                      <w:color w:val="auto"/>
                      <w:lang w:val="en-US" w:eastAsia="zh-CN"/>
                    </w:rPr>
                    <w:t>4</w:t>
                  </w:r>
                </w:p>
              </w:tc>
              <w:tc>
                <w:tcPr>
                  <w:tcW w:w="1006" w:type="dxa"/>
                  <w:vAlign w:val="center"/>
                </w:tcPr>
                <w:p w14:paraId="668ED468">
                  <w:pPr>
                    <w:pStyle w:val="29"/>
                    <w:bidi w:val="0"/>
                    <w:rPr>
                      <w:rFonts w:hint="default"/>
                      <w:color w:val="auto"/>
                      <w:lang w:val="en-US" w:eastAsia="zh-CN"/>
                    </w:rPr>
                  </w:pPr>
                  <w:r>
                    <w:rPr>
                      <w:rFonts w:hint="eastAsia"/>
                      <w:color w:val="auto"/>
                      <w:lang w:val="en-US" w:eastAsia="zh-CN"/>
                    </w:rPr>
                    <w:t>1200</w:t>
                  </w:r>
                </w:p>
              </w:tc>
            </w:tr>
          </w:tbl>
          <w:p w14:paraId="795024C2">
            <w:pPr>
              <w:pStyle w:val="45"/>
              <w:rPr>
                <w:rFonts w:hint="eastAsia"/>
                <w:color w:val="auto"/>
                <w:lang w:val="en-US" w:eastAsia="zh-CN"/>
              </w:rPr>
            </w:pPr>
            <w:r>
              <w:rPr>
                <w:rFonts w:hint="eastAsia"/>
                <w:color w:val="auto"/>
                <w:lang w:val="en-US" w:eastAsia="zh-CN"/>
              </w:rPr>
              <w:drawing>
                <wp:inline distT="0" distB="0" distL="114300" distR="114300">
                  <wp:extent cx="4930775" cy="3044825"/>
                  <wp:effectExtent l="0" t="0" r="0" b="0"/>
                  <wp:docPr id="30" name="ECB019B1-382A-4266-B25C-5B523AA43C14-6" descr="C:/Users/Administrator/AppData/Local/Temp/wps.IypcmP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CB019B1-382A-4266-B25C-5B523AA43C14-6" descr="C:/Users/Administrator/AppData/Local/Temp/wps.IypcmPwps"/>
                          <pic:cNvPicPr>
                            <a:picLocks noChangeAspect="1"/>
                          </pic:cNvPicPr>
                        </pic:nvPicPr>
                        <pic:blipFill>
                          <a:blip r:embed="rId14"/>
                          <a:stretch>
                            <a:fillRect/>
                          </a:stretch>
                        </pic:blipFill>
                        <pic:spPr>
                          <a:xfrm>
                            <a:off x="0" y="0"/>
                            <a:ext cx="4930775" cy="3044825"/>
                          </a:xfrm>
                          <a:prstGeom prst="rect">
                            <a:avLst/>
                          </a:prstGeom>
                        </pic:spPr>
                      </pic:pic>
                    </a:graphicData>
                  </a:graphic>
                </wp:inline>
              </w:drawing>
            </w:r>
          </w:p>
          <w:p w14:paraId="53FDA7AB">
            <w:pPr>
              <w:pStyle w:val="30"/>
              <w:bidi w:val="0"/>
              <w:rPr>
                <w:rFonts w:hint="eastAsia"/>
                <w:color w:val="auto"/>
                <w:lang w:val="en-US" w:eastAsia="zh-CN"/>
              </w:rPr>
            </w:pPr>
            <w:r>
              <w:rPr>
                <w:rFonts w:hint="eastAsia"/>
                <w:color w:val="auto"/>
                <w:lang w:val="en-US" w:eastAsia="zh-CN"/>
              </w:rPr>
              <w:t>图2-5  项目全厂蒸汽平衡图  单位：t/a</w:t>
            </w:r>
          </w:p>
          <w:p w14:paraId="034D9BAF">
            <w:pPr>
              <w:pStyle w:val="45"/>
              <w:rPr>
                <w:rFonts w:hint="default"/>
                <w:color w:val="auto"/>
              </w:rPr>
            </w:pPr>
            <w:r>
              <w:rPr>
                <w:rFonts w:hint="eastAsia"/>
                <w:color w:val="auto"/>
                <w:lang w:val="en-US" w:eastAsia="zh-CN"/>
              </w:rPr>
              <w:t>6、</w:t>
            </w:r>
            <w:r>
              <w:rPr>
                <w:color w:val="auto"/>
              </w:rPr>
              <w:t>劳动定员及工作制度</w:t>
            </w:r>
          </w:p>
          <w:p w14:paraId="7AE59655">
            <w:pPr>
              <w:ind w:firstLine="480"/>
              <w:rPr>
                <w:rFonts w:hint="eastAsia"/>
                <w:color w:val="auto"/>
                <w:szCs w:val="22"/>
                <w:lang w:val="zh-CN"/>
              </w:rPr>
            </w:pPr>
            <w:r>
              <w:rPr>
                <w:rFonts w:hint="eastAsia"/>
                <w:color w:val="auto"/>
                <w:lang w:eastAsia="zh-CN"/>
              </w:rPr>
              <w:t>项目区设置</w:t>
            </w:r>
            <w:r>
              <w:rPr>
                <w:rFonts w:hint="eastAsia"/>
                <w:color w:val="auto"/>
              </w:rPr>
              <w:t>劳动定员</w:t>
            </w:r>
            <w:r>
              <w:rPr>
                <w:rFonts w:hint="eastAsia"/>
                <w:color w:val="auto"/>
                <w:lang w:val="en-US" w:eastAsia="zh-CN"/>
              </w:rPr>
              <w:t>5</w:t>
            </w:r>
            <w:r>
              <w:rPr>
                <w:rFonts w:hint="eastAsia"/>
                <w:color w:val="auto"/>
              </w:rPr>
              <w:t>人，</w:t>
            </w:r>
            <w:r>
              <w:rPr>
                <w:rFonts w:hint="eastAsia"/>
                <w:color w:val="auto"/>
                <w:lang w:val="en-US" w:eastAsia="zh-CN"/>
              </w:rPr>
              <w:t>均不在项目厂区食宿，厂区实行一班制</w:t>
            </w:r>
            <w:r>
              <w:rPr>
                <w:rFonts w:hint="eastAsia"/>
                <w:color w:val="auto"/>
                <w:szCs w:val="22"/>
                <w:lang w:val="zh-CN"/>
              </w:rPr>
              <w:t>，每班</w:t>
            </w:r>
            <w:r>
              <w:rPr>
                <w:rFonts w:hint="eastAsia"/>
                <w:color w:val="auto"/>
                <w:szCs w:val="22"/>
                <w:lang w:val="en-US" w:eastAsia="zh-CN"/>
              </w:rPr>
              <w:t>8</w:t>
            </w:r>
            <w:r>
              <w:rPr>
                <w:rFonts w:hint="eastAsia"/>
                <w:color w:val="auto"/>
                <w:szCs w:val="22"/>
                <w:lang w:val="zh-CN"/>
              </w:rPr>
              <w:t>小时，年运营天数为300天。</w:t>
            </w:r>
            <w:r>
              <w:rPr>
                <w:rFonts w:hint="eastAsia"/>
                <w:color w:val="auto"/>
                <w:szCs w:val="22"/>
                <w:lang w:val="en-US" w:eastAsia="zh-CN"/>
              </w:rPr>
              <w:t>根据备案内容，项目</w:t>
            </w:r>
            <w:r>
              <w:rPr>
                <w:rFonts w:hint="eastAsia"/>
                <w:color w:val="auto"/>
                <w:szCs w:val="22"/>
                <w:lang w:val="zh-CN"/>
              </w:rPr>
              <w:t>啤酒生产线柔性开展多品类共线生产，所有品类全年总产量严格控制在900吨的备案产能范围内，具体产品错峰生产安排如下：</w:t>
            </w:r>
          </w:p>
          <w:p w14:paraId="7B4504CA">
            <w:pPr>
              <w:ind w:firstLine="480"/>
              <w:rPr>
                <w:rFonts w:hint="eastAsia"/>
                <w:color w:val="auto"/>
                <w:szCs w:val="22"/>
                <w:lang w:val="zh-CN"/>
              </w:rPr>
            </w:pPr>
            <w:r>
              <w:rPr>
                <w:rFonts w:hint="eastAsia"/>
                <w:color w:val="auto"/>
                <w:szCs w:val="22"/>
                <w:lang w:val="zh-CN"/>
              </w:rPr>
              <w:t>（</w:t>
            </w:r>
            <w:r>
              <w:rPr>
                <w:rFonts w:hint="eastAsia"/>
                <w:color w:val="auto"/>
                <w:szCs w:val="22"/>
                <w:lang w:val="en-US" w:eastAsia="zh-CN"/>
              </w:rPr>
              <w:t>1</w:t>
            </w:r>
            <w:r>
              <w:rPr>
                <w:rFonts w:hint="eastAsia"/>
                <w:color w:val="auto"/>
                <w:szCs w:val="22"/>
                <w:lang w:val="zh-CN"/>
              </w:rPr>
              <w:t>）啤酒品类生产安排</w:t>
            </w:r>
          </w:p>
          <w:p w14:paraId="6A4B16FD">
            <w:pPr>
              <w:ind w:firstLine="480"/>
              <w:rPr>
                <w:rFonts w:hint="eastAsia"/>
                <w:color w:val="auto"/>
                <w:szCs w:val="22"/>
                <w:lang w:val="zh-CN"/>
              </w:rPr>
            </w:pPr>
            <w:r>
              <w:rPr>
                <w:rFonts w:hint="eastAsia"/>
                <w:color w:val="auto"/>
                <w:szCs w:val="22"/>
                <w:lang w:val="zh-CN"/>
              </w:rPr>
              <w:t>‌鲜啤（400t/a）‌：鲜啤需要0-4℃低温储存，且保质期较短，优先对接市场订单灵活安排生产，原则上每周安排2-3个生产日集中生产，避开其他品类换线频繁带来的交叉污染风险；因发酵需要一定周期，生产班次内优先预留完整时段完成糖化、发酵工序，保障啤酒风味稳定。</w:t>
            </w:r>
          </w:p>
          <w:p w14:paraId="04C9AB5E">
            <w:pPr>
              <w:ind w:firstLine="480"/>
              <w:rPr>
                <w:rFonts w:hint="eastAsia"/>
                <w:color w:val="auto"/>
                <w:szCs w:val="22"/>
                <w:lang w:val="zh-CN"/>
              </w:rPr>
            </w:pPr>
            <w:r>
              <w:rPr>
                <w:rFonts w:hint="eastAsia"/>
                <w:color w:val="auto"/>
                <w:szCs w:val="22"/>
                <w:lang w:val="zh-CN"/>
              </w:rPr>
              <w:t>‌熟啤（100t/a）‌：熟啤为常温储存，可在鲜啤生产间隙错峰安排，原则上每周安排1个生产日完成，优先与鲜啤同类灌装规格批次连续生产，减少灌装设备换型调整时长。</w:t>
            </w:r>
          </w:p>
          <w:p w14:paraId="2720F507">
            <w:pPr>
              <w:ind w:firstLine="480"/>
              <w:rPr>
                <w:rFonts w:hint="eastAsia"/>
                <w:color w:val="auto"/>
                <w:szCs w:val="22"/>
                <w:lang w:val="zh-CN"/>
              </w:rPr>
            </w:pPr>
            <w:r>
              <w:rPr>
                <w:rFonts w:hint="eastAsia"/>
                <w:color w:val="auto"/>
                <w:szCs w:val="22"/>
                <w:lang w:val="zh-CN"/>
              </w:rPr>
              <w:t>（</w:t>
            </w:r>
            <w:r>
              <w:rPr>
                <w:rFonts w:hint="eastAsia"/>
                <w:color w:val="auto"/>
                <w:szCs w:val="22"/>
                <w:lang w:val="en-US" w:eastAsia="zh-CN"/>
              </w:rPr>
              <w:t>2</w:t>
            </w:r>
            <w:r>
              <w:rPr>
                <w:rFonts w:hint="eastAsia"/>
                <w:color w:val="auto"/>
                <w:szCs w:val="22"/>
                <w:lang w:val="zh-CN"/>
              </w:rPr>
              <w:t>）饮料品类生产安排（合计100t/a）</w:t>
            </w:r>
          </w:p>
          <w:p w14:paraId="195594AC">
            <w:pPr>
              <w:ind w:firstLine="480"/>
              <w:rPr>
                <w:rFonts w:hint="eastAsia"/>
                <w:color w:val="auto"/>
                <w:szCs w:val="22"/>
                <w:lang w:val="zh-CN"/>
              </w:rPr>
            </w:pPr>
            <w:r>
              <w:rPr>
                <w:rFonts w:hint="eastAsia"/>
                <w:color w:val="auto"/>
                <w:szCs w:val="22"/>
                <w:lang w:val="zh-CN"/>
              </w:rPr>
              <w:t>本项目饮料包含果汁、碳酸饮料两类，所有原辅料均为外购成品，仅利用现有生产线完成调配灌装，安排原则为：</w:t>
            </w:r>
          </w:p>
          <w:p w14:paraId="21F7D475">
            <w:pPr>
              <w:ind w:firstLine="480"/>
              <w:rPr>
                <w:rFonts w:hint="eastAsia"/>
                <w:color w:val="auto"/>
                <w:szCs w:val="22"/>
                <w:lang w:val="zh-CN"/>
              </w:rPr>
            </w:pPr>
            <w:r>
              <w:rPr>
                <w:rFonts w:hint="eastAsia"/>
                <w:color w:val="auto"/>
                <w:szCs w:val="22"/>
                <w:lang w:val="zh-CN"/>
              </w:rPr>
              <w:t>‌穿插在啤酒生产转换间隙集中批量生产‌，原则上每两周安排1个生产日，优先将同包装规格（500ml易拉罐装）的饮料批次，安排在同规格啤酒生产完成后立即转产，仅需完成管路CIP清洗即可启动生产，无需大幅度调整设备参数，提升生产效率。</w:t>
            </w:r>
          </w:p>
          <w:p w14:paraId="75DD9232">
            <w:pPr>
              <w:ind w:firstLine="480"/>
              <w:rPr>
                <w:rFonts w:hint="eastAsia"/>
                <w:color w:val="auto"/>
                <w:szCs w:val="22"/>
                <w:lang w:val="zh-CN"/>
              </w:rPr>
            </w:pPr>
            <w:r>
              <w:rPr>
                <w:rFonts w:hint="eastAsia"/>
                <w:color w:val="auto"/>
                <w:szCs w:val="22"/>
                <w:lang w:val="zh-CN"/>
              </w:rPr>
              <w:t>（</w:t>
            </w:r>
            <w:r>
              <w:rPr>
                <w:rFonts w:hint="eastAsia"/>
                <w:color w:val="auto"/>
                <w:szCs w:val="22"/>
                <w:lang w:val="en-US" w:eastAsia="zh-CN"/>
              </w:rPr>
              <w:t>3</w:t>
            </w:r>
            <w:r>
              <w:rPr>
                <w:rFonts w:hint="eastAsia"/>
                <w:color w:val="auto"/>
                <w:szCs w:val="22"/>
                <w:lang w:val="zh-CN"/>
              </w:rPr>
              <w:t>）配制酒品类生产安排（100t/a）</w:t>
            </w:r>
          </w:p>
          <w:p w14:paraId="20D90914">
            <w:pPr>
              <w:ind w:firstLine="480"/>
              <w:rPr>
                <w:rFonts w:hint="eastAsia"/>
                <w:color w:val="auto"/>
                <w:szCs w:val="22"/>
                <w:lang w:val="zh-CN"/>
              </w:rPr>
            </w:pPr>
            <w:r>
              <w:rPr>
                <w:rFonts w:hint="eastAsia"/>
                <w:color w:val="auto"/>
                <w:szCs w:val="22"/>
                <w:lang w:val="zh-CN"/>
              </w:rPr>
              <w:t>配制酒原辅料均为外购成品，仅开展调配灌装，适配本项目生产线的两种包装规格，生产安排为：</w:t>
            </w:r>
          </w:p>
          <w:p w14:paraId="47CC7EBA">
            <w:pPr>
              <w:ind w:firstLine="480"/>
              <w:rPr>
                <w:rFonts w:hint="eastAsia"/>
                <w:color w:val="auto"/>
                <w:szCs w:val="22"/>
                <w:lang w:val="zh-CN"/>
              </w:rPr>
            </w:pPr>
            <w:r>
              <w:rPr>
                <w:rFonts w:hint="eastAsia"/>
                <w:color w:val="auto"/>
                <w:szCs w:val="22"/>
                <w:lang w:val="zh-CN"/>
              </w:rPr>
              <w:t>原则上每两周安排1个生产日，优先跟随同包装规格的饮料/啤酒批次安排生产：500ml易拉罐装配制酒跟随饮料批次转产，玻璃瓶装配制酒根据订单需求灵活插班生产，生产前严格执行管路、灌装头清洗消毒，避免风味交叉干扰。</w:t>
            </w:r>
          </w:p>
          <w:p w14:paraId="743601E6">
            <w:pPr>
              <w:ind w:firstLine="480"/>
              <w:rPr>
                <w:rFonts w:hint="eastAsia"/>
                <w:color w:val="auto"/>
                <w:szCs w:val="22"/>
                <w:lang w:val="zh-CN"/>
              </w:rPr>
            </w:pPr>
            <w:r>
              <w:rPr>
                <w:rFonts w:hint="eastAsia"/>
                <w:color w:val="auto"/>
                <w:szCs w:val="22"/>
                <w:lang w:val="zh-CN"/>
              </w:rPr>
              <w:t>（</w:t>
            </w:r>
            <w:r>
              <w:rPr>
                <w:rFonts w:hint="eastAsia"/>
                <w:color w:val="auto"/>
                <w:szCs w:val="22"/>
                <w:lang w:val="en-US" w:eastAsia="zh-CN"/>
              </w:rPr>
              <w:t>4</w:t>
            </w:r>
            <w:r>
              <w:rPr>
                <w:rFonts w:hint="eastAsia"/>
                <w:color w:val="auto"/>
                <w:szCs w:val="22"/>
                <w:lang w:val="zh-CN"/>
              </w:rPr>
              <w:t>）发酵酒品类生产安排（200t/a）</w:t>
            </w:r>
          </w:p>
          <w:p w14:paraId="25B9E3AB">
            <w:pPr>
              <w:ind w:firstLine="480"/>
              <w:rPr>
                <w:rFonts w:hint="eastAsia"/>
                <w:color w:val="auto"/>
                <w:szCs w:val="22"/>
                <w:lang w:val="zh-CN"/>
              </w:rPr>
            </w:pPr>
            <w:r>
              <w:rPr>
                <w:rFonts w:hint="eastAsia"/>
                <w:color w:val="auto"/>
                <w:szCs w:val="22"/>
                <w:lang w:val="zh-CN"/>
              </w:rPr>
              <w:t>发酵酒包含茶饮料、水果发酵酒两类，以外购半成品为原料，仅利用现有杀菌、灌装设备完成最终加工，生产安排为：</w:t>
            </w:r>
          </w:p>
          <w:p w14:paraId="4E0864B3">
            <w:pPr>
              <w:ind w:firstLine="480"/>
              <w:rPr>
                <w:color w:val="auto"/>
              </w:rPr>
            </w:pPr>
            <w:r>
              <w:rPr>
                <w:rFonts w:hint="eastAsia"/>
                <w:color w:val="auto"/>
                <w:szCs w:val="22"/>
                <w:lang w:val="zh-CN"/>
              </w:rPr>
              <w:t>采用“集中排产、整批加工”模式，原则上每周安排1个生产日，优先安排在啤酒批次生产完成后、换产饮料前集中生产，借助现有杀菌设备完成半成品灭菌后直接灌装，无需新增额外工序，适配一班制的生产节奏。</w:t>
            </w:r>
          </w:p>
          <w:p w14:paraId="0CC279F4">
            <w:pPr>
              <w:pStyle w:val="45"/>
              <w:rPr>
                <w:rFonts w:hint="default"/>
                <w:color w:val="auto"/>
              </w:rPr>
            </w:pPr>
            <w:r>
              <w:rPr>
                <w:rFonts w:hint="eastAsia"/>
                <w:color w:val="auto"/>
                <w:lang w:val="en-US" w:eastAsia="zh-CN"/>
              </w:rPr>
              <w:t>7、</w:t>
            </w:r>
            <w:r>
              <w:rPr>
                <w:color w:val="auto"/>
              </w:rPr>
              <w:t>厂区平面布置</w:t>
            </w:r>
          </w:p>
          <w:p w14:paraId="0D46C802">
            <w:pPr>
              <w:ind w:firstLine="480"/>
              <w:rPr>
                <w:rFonts w:hint="eastAsia" w:ascii="Times New Roman" w:hAnsi="Times New Roman" w:eastAsia="宋体" w:cs="Times New Roman"/>
                <w:color w:val="auto"/>
                <w:kern w:val="0"/>
                <w:szCs w:val="20"/>
              </w:rPr>
            </w:pPr>
            <w:r>
              <w:rPr>
                <w:rFonts w:hint="eastAsia" w:ascii="Times New Roman" w:hAnsi="Times New Roman" w:eastAsia="宋体" w:cs="Times New Roman"/>
                <w:color w:val="auto"/>
                <w:kern w:val="0"/>
                <w:szCs w:val="20"/>
              </w:rPr>
              <w:t>本项目结合场地条件、生产工艺、区域风向及环保安全要求开展平面布置，总体符合相关规范，合理性如下：</w:t>
            </w:r>
          </w:p>
          <w:p w14:paraId="4F0F786A">
            <w:pPr>
              <w:ind w:firstLine="480"/>
              <w:rPr>
                <w:rFonts w:hint="eastAsia" w:ascii="Times New Roman" w:hAnsi="Times New Roman" w:eastAsia="宋体" w:cs="Times New Roman"/>
                <w:color w:val="auto"/>
                <w:kern w:val="0"/>
                <w:szCs w:val="20"/>
              </w:rPr>
            </w:pPr>
            <w:r>
              <w:rPr>
                <w:rFonts w:hint="eastAsia" w:ascii="Times New Roman" w:hAnsi="Times New Roman" w:eastAsia="宋体" w:cs="Times New Roman"/>
                <w:color w:val="auto"/>
                <w:kern w:val="0"/>
                <w:szCs w:val="20"/>
              </w:rPr>
              <w:t>功能与工艺布局合理‌：项目依托现有规整厂房空间，清晰划分为办公生活区、原料仓储预处理区、核心生产区、成品仓储区、环保处理区，实现明确动静分区，办公与生产相对隔离，降低生产干扰。物料运输遵循“原料入库→预处理→糖化发酵→杀菌灌装→成品仓储”的生产逻辑，路线顺直无交叉，提升转运效率且降低污染扩散风险；污水处理设施集中布置于厂区东侧，便于废水统一收集运维，符合污染管控要求。</w:t>
            </w:r>
          </w:p>
          <w:p w14:paraId="1C5DCD2F">
            <w:pPr>
              <w:ind w:firstLine="480"/>
              <w:rPr>
                <w:rFonts w:hint="eastAsia" w:ascii="Times New Roman" w:hAnsi="Times New Roman" w:eastAsia="宋体" w:cs="Times New Roman"/>
                <w:color w:val="auto"/>
                <w:kern w:val="0"/>
                <w:szCs w:val="20"/>
              </w:rPr>
            </w:pPr>
            <w:r>
              <w:rPr>
                <w:rFonts w:hint="eastAsia" w:ascii="Times New Roman" w:hAnsi="Times New Roman" w:eastAsia="宋体" w:cs="Times New Roman"/>
                <w:color w:val="auto"/>
                <w:kern w:val="0"/>
                <w:szCs w:val="20"/>
              </w:rPr>
              <w:t>环境防护适配风向‌：项目区域主导风向为西南风，办公区布置于厂区西南侧（上风向），生产区、产污环保设施布置于东北侧（下风向），生产废气对办公区影响极小，满足食品生产卫生防护要求；场地四周设置雨水收集沟，可实现雨水统一收集排放，避免场地积水，排水布局合理。</w:t>
            </w:r>
          </w:p>
          <w:p w14:paraId="2B53B8D7">
            <w:pPr>
              <w:ind w:firstLine="480"/>
              <w:rPr>
                <w:rFonts w:hint="eastAsia" w:ascii="Times New Roman" w:hAnsi="Times New Roman" w:eastAsia="宋体" w:cs="Times New Roman"/>
                <w:color w:val="auto"/>
                <w:kern w:val="0"/>
                <w:szCs w:val="20"/>
              </w:rPr>
            </w:pPr>
            <w:r>
              <w:rPr>
                <w:rFonts w:hint="eastAsia" w:ascii="Times New Roman" w:hAnsi="Times New Roman" w:eastAsia="宋体" w:cs="Times New Roman"/>
                <w:color w:val="auto"/>
                <w:kern w:val="0"/>
                <w:szCs w:val="20"/>
              </w:rPr>
              <w:t>物流与用地高效集约‌：主出入口设于厂区西北角，对接园区进场道路，实现人流、物流分流无交叉，进出便捷；项目充分利用现有厂房空间，建构筑物紧凑布置，在满足防火、卫生间距要求的前提下，符合工业园区节约集约用地要求。</w:t>
            </w:r>
          </w:p>
          <w:p w14:paraId="7F3A2386">
            <w:pPr>
              <w:ind w:firstLine="480"/>
              <w:rPr>
                <w:rFonts w:hint="eastAsia" w:ascii="Times New Roman" w:hAnsi="Times New Roman" w:eastAsia="宋体" w:cs="Times New Roman"/>
                <w:color w:val="auto"/>
                <w:kern w:val="0"/>
                <w:szCs w:val="20"/>
              </w:rPr>
            </w:pPr>
            <w:r>
              <w:rPr>
                <w:rFonts w:hint="eastAsia" w:ascii="Times New Roman" w:hAnsi="Times New Roman" w:eastAsia="宋体" w:cs="Times New Roman"/>
                <w:color w:val="auto"/>
                <w:kern w:val="0"/>
                <w:szCs w:val="20"/>
              </w:rPr>
              <w:t>消防布局合规达标‌：项目南侧设置贯通全场的消防通道，净宽、净高满足消防车通行作业要求；各功能分区均设置独立安全出口，出口间距满足防火规范，疏散通道宽度满足人员疏散与消防救援要求；锅炉房、污水处理设施等重点区域临近消防通道布置，便于应急救援开展。</w:t>
            </w:r>
          </w:p>
          <w:p w14:paraId="27A02B5D">
            <w:pPr>
              <w:ind w:firstLine="480"/>
              <w:rPr>
                <w:rFonts w:hint="eastAsia" w:ascii="Times New Roman" w:hAnsi="Times New Roman" w:eastAsia="宋体" w:cs="Times New Roman"/>
                <w:color w:val="auto"/>
                <w:kern w:val="0"/>
                <w:szCs w:val="20"/>
              </w:rPr>
            </w:pPr>
            <w:r>
              <w:rPr>
                <w:rFonts w:hint="eastAsia" w:ascii="Times New Roman" w:hAnsi="Times New Roman" w:eastAsia="宋体" w:cs="Times New Roman"/>
                <w:color w:val="auto"/>
                <w:kern w:val="0"/>
                <w:szCs w:val="20"/>
              </w:rPr>
              <w:t>综上，本项目平面布置契合场地条件、生产需求与区域环境特征，功能清晰、流程顺向、防护到位、消防合规，从环境影响角度分析，项目平面布置合理。</w:t>
            </w:r>
          </w:p>
          <w:p w14:paraId="175B49FB">
            <w:pPr>
              <w:ind w:firstLine="480"/>
              <w:rPr>
                <w:color w:val="auto"/>
              </w:rPr>
            </w:pPr>
            <w:r>
              <w:rPr>
                <w:rFonts w:hint="eastAsia"/>
                <w:color w:val="auto"/>
              </w:rPr>
              <w:t>本项目平面布置示意图见附图</w:t>
            </w:r>
            <w:r>
              <w:rPr>
                <w:rFonts w:hint="eastAsia"/>
                <w:color w:val="auto"/>
                <w:lang w:val="en-US" w:eastAsia="zh-CN"/>
              </w:rPr>
              <w:t>5</w:t>
            </w:r>
            <w:r>
              <w:rPr>
                <w:rFonts w:hint="eastAsia"/>
                <w:color w:val="auto"/>
              </w:rPr>
              <w:t>。</w:t>
            </w:r>
          </w:p>
          <w:p w14:paraId="35BCE68D">
            <w:pPr>
              <w:tabs>
                <w:tab w:val="left" w:pos="932"/>
                <w:tab w:val="center" w:pos="4535"/>
              </w:tabs>
              <w:ind w:firstLine="0" w:firstLineChars="0"/>
              <w:rPr>
                <w:b/>
                <w:bCs/>
                <w:color w:val="auto"/>
              </w:rPr>
            </w:pPr>
            <w:r>
              <w:rPr>
                <w:rFonts w:hint="eastAsia"/>
                <w:b/>
                <w:bCs/>
                <w:color w:val="auto"/>
                <w:lang w:val="en-US" w:eastAsia="zh-CN"/>
              </w:rPr>
              <w:t>8、</w:t>
            </w:r>
            <w:r>
              <w:rPr>
                <w:b/>
                <w:bCs/>
                <w:color w:val="auto"/>
              </w:rPr>
              <w:t>环保投资</w:t>
            </w:r>
          </w:p>
          <w:p w14:paraId="23EB22ED">
            <w:pPr>
              <w:tabs>
                <w:tab w:val="left" w:pos="932"/>
                <w:tab w:val="center" w:pos="4535"/>
              </w:tabs>
              <w:ind w:firstLine="480"/>
              <w:rPr>
                <w:bCs/>
                <w:color w:val="auto"/>
              </w:rPr>
            </w:pPr>
            <w:r>
              <w:rPr>
                <w:bCs/>
                <w:color w:val="auto"/>
              </w:rPr>
              <w:t>本项目总投资</w:t>
            </w:r>
            <w:r>
              <w:rPr>
                <w:rFonts w:hint="eastAsia"/>
                <w:bCs/>
                <w:color w:val="auto"/>
                <w:lang w:val="en-US" w:eastAsia="zh-CN"/>
              </w:rPr>
              <w:t>1000</w:t>
            </w:r>
            <w:r>
              <w:rPr>
                <w:bCs/>
                <w:color w:val="auto"/>
              </w:rPr>
              <w:t>万元，其中环保投资估算为</w:t>
            </w:r>
            <w:r>
              <w:rPr>
                <w:rFonts w:hint="eastAsia"/>
                <w:bCs/>
                <w:color w:val="auto"/>
                <w:lang w:val="en-US" w:eastAsia="zh-CN"/>
              </w:rPr>
              <w:t>98.6</w:t>
            </w:r>
            <w:r>
              <w:rPr>
                <w:bCs/>
                <w:color w:val="auto"/>
              </w:rPr>
              <w:t>万元，占总投资</w:t>
            </w:r>
            <w:r>
              <w:rPr>
                <w:rFonts w:hint="eastAsia"/>
                <w:bCs/>
                <w:color w:val="auto"/>
                <w:lang w:val="en-US" w:eastAsia="zh-CN"/>
              </w:rPr>
              <w:t>9.86%</w:t>
            </w:r>
            <w:r>
              <w:rPr>
                <w:bCs/>
                <w:color w:val="auto"/>
              </w:rPr>
              <w:t>，具体见下表。</w:t>
            </w:r>
          </w:p>
          <w:p w14:paraId="1D05AC94">
            <w:pPr>
              <w:pStyle w:val="30"/>
              <w:bidi w:val="0"/>
              <w:rPr>
                <w:color w:val="auto"/>
              </w:rPr>
            </w:pPr>
            <w:r>
              <w:rPr>
                <w:color w:val="auto"/>
              </w:rPr>
              <w:t>表2</w:t>
            </w:r>
            <w:r>
              <w:rPr>
                <w:rFonts w:hint="default"/>
                <w:color w:val="auto"/>
              </w:rPr>
              <w:t>-</w:t>
            </w:r>
            <w:r>
              <w:rPr>
                <w:rFonts w:hint="eastAsia"/>
                <w:color w:val="auto"/>
                <w:lang w:val="en-US" w:eastAsia="zh-CN"/>
              </w:rPr>
              <w:t>10</w:t>
            </w:r>
            <w:r>
              <w:rPr>
                <w:color w:val="auto"/>
              </w:rPr>
              <w:t xml:space="preserve">  环保投资估算表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702"/>
              <w:gridCol w:w="1585"/>
              <w:gridCol w:w="3883"/>
              <w:gridCol w:w="1198"/>
            </w:tblGrid>
            <w:tr w14:paraId="3B87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Align w:val="center"/>
                </w:tcPr>
                <w:p w14:paraId="20B2E1B3">
                  <w:pPr>
                    <w:pStyle w:val="29"/>
                    <w:bidi w:val="0"/>
                    <w:rPr>
                      <w:rFonts w:hint="eastAsia"/>
                      <w:color w:val="auto"/>
                      <w:lang w:eastAsia="zh-CN"/>
                    </w:rPr>
                  </w:pPr>
                  <w:r>
                    <w:rPr>
                      <w:rFonts w:hint="eastAsia"/>
                      <w:color w:val="auto"/>
                      <w:lang w:eastAsia="zh-CN"/>
                    </w:rPr>
                    <w:t>时段</w:t>
                  </w:r>
                </w:p>
              </w:tc>
              <w:tc>
                <w:tcPr>
                  <w:tcW w:w="1457" w:type="pct"/>
                  <w:gridSpan w:val="2"/>
                  <w:vAlign w:val="center"/>
                </w:tcPr>
                <w:p w14:paraId="5CEB8D13">
                  <w:pPr>
                    <w:pStyle w:val="29"/>
                    <w:bidi w:val="0"/>
                    <w:rPr>
                      <w:rFonts w:hint="default"/>
                      <w:color w:val="auto"/>
                    </w:rPr>
                  </w:pPr>
                  <w:r>
                    <w:rPr>
                      <w:rFonts w:hint="default"/>
                      <w:color w:val="auto"/>
                    </w:rPr>
                    <w:t>工程名称</w:t>
                  </w:r>
                </w:p>
              </w:tc>
              <w:tc>
                <w:tcPr>
                  <w:tcW w:w="2474" w:type="pct"/>
                  <w:vAlign w:val="center"/>
                </w:tcPr>
                <w:p w14:paraId="67FBF94C">
                  <w:pPr>
                    <w:pStyle w:val="29"/>
                    <w:bidi w:val="0"/>
                    <w:rPr>
                      <w:rFonts w:hint="default"/>
                      <w:color w:val="auto"/>
                    </w:rPr>
                  </w:pPr>
                  <w:r>
                    <w:rPr>
                      <w:rFonts w:hint="default"/>
                      <w:color w:val="auto"/>
                    </w:rPr>
                    <w:t>本项目环保设施</w:t>
                  </w:r>
                </w:p>
              </w:tc>
              <w:tc>
                <w:tcPr>
                  <w:tcW w:w="763" w:type="pct"/>
                  <w:vAlign w:val="center"/>
                </w:tcPr>
                <w:p w14:paraId="30253EEE">
                  <w:pPr>
                    <w:pStyle w:val="29"/>
                    <w:bidi w:val="0"/>
                    <w:rPr>
                      <w:rFonts w:hint="default"/>
                      <w:color w:val="auto"/>
                    </w:rPr>
                  </w:pPr>
                  <w:r>
                    <w:rPr>
                      <w:rFonts w:hint="default"/>
                      <w:color w:val="auto"/>
                    </w:rPr>
                    <w:t>投资(万元)</w:t>
                  </w:r>
                </w:p>
              </w:tc>
            </w:tr>
            <w:tr w14:paraId="45FB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restart"/>
                  <w:vAlign w:val="center"/>
                </w:tcPr>
                <w:p w14:paraId="364F373D">
                  <w:pPr>
                    <w:pStyle w:val="29"/>
                    <w:bidi w:val="0"/>
                    <w:rPr>
                      <w:rFonts w:hint="eastAsia"/>
                      <w:color w:val="auto"/>
                      <w:lang w:eastAsia="zh-CN"/>
                    </w:rPr>
                  </w:pPr>
                  <w:r>
                    <w:rPr>
                      <w:rFonts w:hint="eastAsia"/>
                      <w:color w:val="auto"/>
                      <w:lang w:eastAsia="zh-CN"/>
                    </w:rPr>
                    <w:t>施工期</w:t>
                  </w:r>
                </w:p>
              </w:tc>
              <w:tc>
                <w:tcPr>
                  <w:tcW w:w="447" w:type="pct"/>
                  <w:vAlign w:val="center"/>
                </w:tcPr>
                <w:p w14:paraId="5201E3E7">
                  <w:pPr>
                    <w:pStyle w:val="29"/>
                    <w:bidi w:val="0"/>
                    <w:rPr>
                      <w:rFonts w:hint="eastAsia"/>
                      <w:color w:val="auto"/>
                      <w:lang w:eastAsia="zh-CN"/>
                    </w:rPr>
                  </w:pPr>
                  <w:r>
                    <w:rPr>
                      <w:rFonts w:hint="eastAsia"/>
                      <w:color w:val="auto"/>
                      <w:lang w:eastAsia="zh-CN"/>
                    </w:rPr>
                    <w:t>废气</w:t>
                  </w:r>
                </w:p>
              </w:tc>
              <w:tc>
                <w:tcPr>
                  <w:tcW w:w="1010" w:type="pct"/>
                  <w:vAlign w:val="center"/>
                </w:tcPr>
                <w:p w14:paraId="417FE8EA">
                  <w:pPr>
                    <w:pStyle w:val="29"/>
                    <w:bidi w:val="0"/>
                    <w:rPr>
                      <w:rFonts w:hint="eastAsia"/>
                      <w:color w:val="auto"/>
                      <w:lang w:eastAsia="zh-CN"/>
                    </w:rPr>
                  </w:pPr>
                  <w:r>
                    <w:rPr>
                      <w:rFonts w:hint="eastAsia"/>
                      <w:color w:val="auto"/>
                      <w:lang w:eastAsia="zh-CN"/>
                    </w:rPr>
                    <w:t>粉尘</w:t>
                  </w:r>
                </w:p>
              </w:tc>
              <w:tc>
                <w:tcPr>
                  <w:tcW w:w="2474" w:type="pct"/>
                  <w:vAlign w:val="center"/>
                </w:tcPr>
                <w:p w14:paraId="1FEC96EB">
                  <w:pPr>
                    <w:pStyle w:val="29"/>
                    <w:bidi w:val="0"/>
                    <w:rPr>
                      <w:rFonts w:hint="default"/>
                      <w:color w:val="auto"/>
                      <w:lang w:val="en-US" w:eastAsia="zh-CN"/>
                    </w:rPr>
                  </w:pPr>
                  <w:r>
                    <w:rPr>
                      <w:rFonts w:hint="eastAsia"/>
                      <w:color w:val="auto"/>
                      <w:lang w:eastAsia="zh-CN"/>
                    </w:rPr>
                    <w:t>篷布遮盖、人工洒水。</w:t>
                  </w:r>
                </w:p>
              </w:tc>
              <w:tc>
                <w:tcPr>
                  <w:tcW w:w="763" w:type="pct"/>
                  <w:vAlign w:val="center"/>
                </w:tcPr>
                <w:p w14:paraId="0C134DB2">
                  <w:pPr>
                    <w:pStyle w:val="29"/>
                    <w:bidi w:val="0"/>
                    <w:rPr>
                      <w:rFonts w:hint="default"/>
                      <w:color w:val="auto"/>
                      <w:lang w:val="en-US" w:eastAsia="zh-CN"/>
                    </w:rPr>
                  </w:pPr>
                  <w:r>
                    <w:rPr>
                      <w:rFonts w:hint="eastAsia"/>
                      <w:color w:val="auto"/>
                      <w:lang w:val="en-US" w:eastAsia="zh-CN"/>
                    </w:rPr>
                    <w:t>0.8</w:t>
                  </w:r>
                </w:p>
              </w:tc>
            </w:tr>
            <w:tr w14:paraId="35D8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081FD0ED">
                  <w:pPr>
                    <w:pStyle w:val="29"/>
                    <w:bidi w:val="0"/>
                    <w:rPr>
                      <w:color w:val="auto"/>
                    </w:rPr>
                  </w:pPr>
                </w:p>
              </w:tc>
              <w:tc>
                <w:tcPr>
                  <w:tcW w:w="447" w:type="pct"/>
                  <w:vAlign w:val="center"/>
                </w:tcPr>
                <w:p w14:paraId="63469B2B">
                  <w:pPr>
                    <w:pStyle w:val="29"/>
                    <w:bidi w:val="0"/>
                    <w:rPr>
                      <w:rFonts w:hint="eastAsia"/>
                      <w:color w:val="auto"/>
                      <w:lang w:eastAsia="zh-CN"/>
                    </w:rPr>
                  </w:pPr>
                  <w:r>
                    <w:rPr>
                      <w:rFonts w:hint="eastAsia"/>
                      <w:color w:val="auto"/>
                      <w:lang w:eastAsia="zh-CN"/>
                    </w:rPr>
                    <w:t>废水</w:t>
                  </w:r>
                </w:p>
              </w:tc>
              <w:tc>
                <w:tcPr>
                  <w:tcW w:w="1010" w:type="pct"/>
                  <w:vAlign w:val="center"/>
                </w:tcPr>
                <w:p w14:paraId="0CF8E43A">
                  <w:pPr>
                    <w:pStyle w:val="29"/>
                    <w:bidi w:val="0"/>
                    <w:rPr>
                      <w:rFonts w:hint="eastAsia"/>
                      <w:color w:val="auto"/>
                      <w:lang w:eastAsia="zh-CN"/>
                    </w:rPr>
                  </w:pPr>
                  <w:r>
                    <w:rPr>
                      <w:rFonts w:hint="eastAsia"/>
                      <w:color w:val="auto"/>
                      <w:lang w:eastAsia="zh-CN"/>
                    </w:rPr>
                    <w:t>施工废水</w:t>
                  </w:r>
                </w:p>
              </w:tc>
              <w:tc>
                <w:tcPr>
                  <w:tcW w:w="2474" w:type="pct"/>
                  <w:vAlign w:val="center"/>
                </w:tcPr>
                <w:p w14:paraId="4CFF10B1">
                  <w:pPr>
                    <w:pStyle w:val="29"/>
                    <w:bidi w:val="0"/>
                    <w:rPr>
                      <w:rFonts w:hint="default"/>
                      <w:color w:val="auto"/>
                      <w:lang w:val="en-US" w:eastAsia="zh-CN"/>
                    </w:rPr>
                  </w:pPr>
                  <w:r>
                    <w:rPr>
                      <w:rFonts w:hint="eastAsia"/>
                      <w:color w:val="auto"/>
                      <w:lang w:val="en-US" w:eastAsia="zh-CN"/>
                    </w:rPr>
                    <w:t>依托园区化粪</w:t>
                  </w:r>
                  <w:r>
                    <w:rPr>
                      <w:rFonts w:hint="eastAsia"/>
                      <w:color w:val="auto"/>
                      <w:lang w:eastAsia="zh-CN"/>
                    </w:rPr>
                    <w:t>池，</w:t>
                  </w:r>
                  <w:r>
                    <w:rPr>
                      <w:rFonts w:hint="eastAsia"/>
                      <w:color w:val="auto"/>
                      <w:lang w:val="en-US" w:eastAsia="zh-CN"/>
                    </w:rPr>
                    <w:t>30m</w:t>
                  </w:r>
                  <w:r>
                    <w:rPr>
                      <w:rFonts w:hint="eastAsia"/>
                      <w:color w:val="auto"/>
                      <w:vertAlign w:val="superscript"/>
                      <w:lang w:val="en-US" w:eastAsia="zh-CN"/>
                    </w:rPr>
                    <w:t>3</w:t>
                  </w:r>
                  <w:r>
                    <w:rPr>
                      <w:rFonts w:hint="eastAsia"/>
                      <w:color w:val="auto"/>
                      <w:vertAlign w:val="baseline"/>
                      <w:lang w:val="en-US" w:eastAsia="zh-CN"/>
                    </w:rPr>
                    <w:t>。</w:t>
                  </w:r>
                </w:p>
              </w:tc>
              <w:tc>
                <w:tcPr>
                  <w:tcW w:w="763" w:type="pct"/>
                  <w:vAlign w:val="center"/>
                </w:tcPr>
                <w:p w14:paraId="749AD38D">
                  <w:pPr>
                    <w:pStyle w:val="29"/>
                    <w:bidi w:val="0"/>
                    <w:rPr>
                      <w:rFonts w:hint="default"/>
                      <w:color w:val="auto"/>
                      <w:lang w:val="en-US" w:eastAsia="zh-CN"/>
                    </w:rPr>
                  </w:pPr>
                  <w:r>
                    <w:rPr>
                      <w:rFonts w:hint="eastAsia"/>
                      <w:color w:val="auto"/>
                      <w:lang w:val="en-US" w:eastAsia="zh-CN"/>
                    </w:rPr>
                    <w:t>0</w:t>
                  </w:r>
                </w:p>
              </w:tc>
            </w:tr>
            <w:tr w14:paraId="4DDC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1EE1D3E7">
                  <w:pPr>
                    <w:pStyle w:val="29"/>
                    <w:bidi w:val="0"/>
                    <w:rPr>
                      <w:color w:val="auto"/>
                    </w:rPr>
                  </w:pPr>
                </w:p>
              </w:tc>
              <w:tc>
                <w:tcPr>
                  <w:tcW w:w="447" w:type="pct"/>
                  <w:vAlign w:val="center"/>
                </w:tcPr>
                <w:p w14:paraId="0067C22C">
                  <w:pPr>
                    <w:pStyle w:val="29"/>
                    <w:bidi w:val="0"/>
                    <w:rPr>
                      <w:rFonts w:hint="eastAsia"/>
                      <w:color w:val="auto"/>
                      <w:lang w:eastAsia="zh-CN"/>
                    </w:rPr>
                  </w:pPr>
                  <w:r>
                    <w:rPr>
                      <w:rFonts w:hint="eastAsia"/>
                      <w:color w:val="auto"/>
                      <w:lang w:eastAsia="zh-CN"/>
                    </w:rPr>
                    <w:t>固废</w:t>
                  </w:r>
                </w:p>
              </w:tc>
              <w:tc>
                <w:tcPr>
                  <w:tcW w:w="1010" w:type="pct"/>
                  <w:vAlign w:val="center"/>
                </w:tcPr>
                <w:p w14:paraId="5B90B123">
                  <w:pPr>
                    <w:pStyle w:val="29"/>
                    <w:bidi w:val="0"/>
                    <w:rPr>
                      <w:rFonts w:hint="eastAsia"/>
                      <w:color w:val="auto"/>
                      <w:lang w:eastAsia="zh-CN"/>
                    </w:rPr>
                  </w:pPr>
                  <w:r>
                    <w:rPr>
                      <w:rFonts w:hint="eastAsia"/>
                      <w:color w:val="auto"/>
                      <w:lang w:eastAsia="zh-CN"/>
                    </w:rPr>
                    <w:t>建筑垃圾</w:t>
                  </w:r>
                </w:p>
              </w:tc>
              <w:tc>
                <w:tcPr>
                  <w:tcW w:w="2474" w:type="pct"/>
                  <w:vAlign w:val="center"/>
                </w:tcPr>
                <w:p w14:paraId="1E861315">
                  <w:pPr>
                    <w:pStyle w:val="29"/>
                    <w:bidi w:val="0"/>
                    <w:rPr>
                      <w:rFonts w:hint="eastAsia"/>
                      <w:color w:val="auto"/>
                      <w:lang w:eastAsia="zh-CN"/>
                    </w:rPr>
                  </w:pPr>
                  <w:r>
                    <w:rPr>
                      <w:rFonts w:hint="eastAsia"/>
                      <w:color w:val="auto"/>
                      <w:lang w:eastAsia="zh-CN"/>
                    </w:rPr>
                    <w:t>垃圾桶若干。</w:t>
                  </w:r>
                </w:p>
              </w:tc>
              <w:tc>
                <w:tcPr>
                  <w:tcW w:w="763" w:type="pct"/>
                  <w:vAlign w:val="center"/>
                </w:tcPr>
                <w:p w14:paraId="0954B0E1">
                  <w:pPr>
                    <w:pStyle w:val="29"/>
                    <w:bidi w:val="0"/>
                    <w:rPr>
                      <w:rFonts w:hint="default"/>
                      <w:color w:val="auto"/>
                      <w:lang w:val="en-US" w:eastAsia="zh-CN"/>
                    </w:rPr>
                  </w:pPr>
                  <w:r>
                    <w:rPr>
                      <w:rFonts w:hint="eastAsia"/>
                      <w:color w:val="auto"/>
                      <w:lang w:val="en-US" w:eastAsia="zh-CN"/>
                    </w:rPr>
                    <w:t>0.2</w:t>
                  </w:r>
                </w:p>
              </w:tc>
            </w:tr>
            <w:tr w14:paraId="309B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restart"/>
                  <w:vAlign w:val="center"/>
                </w:tcPr>
                <w:p w14:paraId="3CD6E558">
                  <w:pPr>
                    <w:pStyle w:val="29"/>
                    <w:bidi w:val="0"/>
                    <w:rPr>
                      <w:rFonts w:hint="default"/>
                      <w:color w:val="auto"/>
                      <w:lang w:val="en-US" w:eastAsia="zh-CN"/>
                    </w:rPr>
                  </w:pPr>
                  <w:r>
                    <w:rPr>
                      <w:rFonts w:hint="eastAsia"/>
                      <w:color w:val="auto"/>
                      <w:lang w:val="en-US" w:eastAsia="zh-CN"/>
                    </w:rPr>
                    <w:t>运营期</w:t>
                  </w:r>
                </w:p>
              </w:tc>
              <w:tc>
                <w:tcPr>
                  <w:tcW w:w="447" w:type="pct"/>
                  <w:vMerge w:val="restart"/>
                  <w:vAlign w:val="center"/>
                </w:tcPr>
                <w:p w14:paraId="76972E7D">
                  <w:pPr>
                    <w:pStyle w:val="29"/>
                    <w:bidi w:val="0"/>
                    <w:rPr>
                      <w:rFonts w:hint="eastAsia"/>
                      <w:color w:val="auto"/>
                      <w:lang w:eastAsia="zh-CN"/>
                    </w:rPr>
                  </w:pPr>
                  <w:r>
                    <w:rPr>
                      <w:rFonts w:hint="eastAsia"/>
                      <w:color w:val="auto"/>
                      <w:lang w:eastAsia="zh-CN"/>
                    </w:rPr>
                    <w:t>废气</w:t>
                  </w:r>
                </w:p>
              </w:tc>
              <w:tc>
                <w:tcPr>
                  <w:tcW w:w="1010" w:type="pct"/>
                  <w:shd w:val="clear" w:color="auto" w:fill="auto"/>
                  <w:vAlign w:val="center"/>
                </w:tcPr>
                <w:p w14:paraId="7310AEAF">
                  <w:pPr>
                    <w:pStyle w:val="29"/>
                    <w:bidi w:val="0"/>
                    <w:rPr>
                      <w:rFonts w:hint="eastAsia"/>
                      <w:color w:val="auto"/>
                      <w:lang w:val="en-US" w:eastAsia="zh-CN"/>
                    </w:rPr>
                  </w:pPr>
                  <w:r>
                    <w:rPr>
                      <w:rFonts w:hint="eastAsia"/>
                      <w:color w:val="auto"/>
                      <w:lang w:val="en-US" w:eastAsia="zh-CN"/>
                    </w:rPr>
                    <w:t>锅炉废气</w:t>
                  </w:r>
                </w:p>
              </w:tc>
              <w:tc>
                <w:tcPr>
                  <w:tcW w:w="2474" w:type="pct"/>
                  <w:shd w:val="clear" w:color="auto" w:fill="auto"/>
                  <w:vAlign w:val="center"/>
                </w:tcPr>
                <w:p w14:paraId="4298D8F4">
                  <w:pPr>
                    <w:pStyle w:val="29"/>
                    <w:bidi w:val="0"/>
                    <w:rPr>
                      <w:rFonts w:hint="default"/>
                      <w:color w:val="auto"/>
                      <w:lang w:val="en-US" w:eastAsia="zh-CN"/>
                    </w:rPr>
                  </w:pPr>
                  <w:r>
                    <w:rPr>
                      <w:rFonts w:hint="eastAsia"/>
                      <w:color w:val="auto"/>
                      <w:lang w:val="en-US" w:eastAsia="zh-CN"/>
                    </w:rPr>
                    <w:t>低氮燃烧装置+18m高排气筒排放。</w:t>
                  </w:r>
                </w:p>
              </w:tc>
              <w:tc>
                <w:tcPr>
                  <w:tcW w:w="763" w:type="pct"/>
                  <w:vAlign w:val="center"/>
                </w:tcPr>
                <w:p w14:paraId="245C4E94">
                  <w:pPr>
                    <w:pStyle w:val="29"/>
                    <w:bidi w:val="0"/>
                    <w:rPr>
                      <w:rFonts w:hint="default"/>
                      <w:color w:val="auto"/>
                      <w:lang w:val="en-US" w:eastAsia="zh-CN"/>
                    </w:rPr>
                  </w:pPr>
                  <w:r>
                    <w:rPr>
                      <w:rFonts w:hint="eastAsia"/>
                      <w:color w:val="auto"/>
                      <w:lang w:val="en-US" w:eastAsia="zh-CN"/>
                    </w:rPr>
                    <w:t>15</w:t>
                  </w:r>
                </w:p>
              </w:tc>
            </w:tr>
            <w:tr w14:paraId="3E5F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1DBA092D">
                  <w:pPr>
                    <w:pStyle w:val="29"/>
                    <w:bidi w:val="0"/>
                    <w:rPr>
                      <w:rFonts w:hint="default"/>
                      <w:color w:val="auto"/>
                    </w:rPr>
                  </w:pPr>
                </w:p>
              </w:tc>
              <w:tc>
                <w:tcPr>
                  <w:tcW w:w="447" w:type="pct"/>
                  <w:vMerge w:val="continue"/>
                  <w:vAlign w:val="center"/>
                </w:tcPr>
                <w:p w14:paraId="660D68D4">
                  <w:pPr>
                    <w:pStyle w:val="29"/>
                    <w:bidi w:val="0"/>
                    <w:rPr>
                      <w:rFonts w:hint="default"/>
                      <w:color w:val="auto"/>
                    </w:rPr>
                  </w:pPr>
                </w:p>
              </w:tc>
              <w:tc>
                <w:tcPr>
                  <w:tcW w:w="1010" w:type="pct"/>
                  <w:shd w:val="clear" w:color="auto" w:fill="auto"/>
                  <w:vAlign w:val="center"/>
                </w:tcPr>
                <w:p w14:paraId="1AC0575E">
                  <w:pPr>
                    <w:pStyle w:val="29"/>
                    <w:bidi w:val="0"/>
                    <w:rPr>
                      <w:rFonts w:hint="default"/>
                      <w:color w:val="auto"/>
                      <w:lang w:val="en-US" w:eastAsia="zh-CN"/>
                    </w:rPr>
                  </w:pPr>
                  <w:r>
                    <w:rPr>
                      <w:rFonts w:hint="eastAsia"/>
                      <w:color w:val="auto"/>
                      <w:lang w:val="en-US" w:eastAsia="zh-CN"/>
                    </w:rPr>
                    <w:t>破碎粉尘</w:t>
                  </w:r>
                </w:p>
              </w:tc>
              <w:tc>
                <w:tcPr>
                  <w:tcW w:w="2474" w:type="pct"/>
                  <w:shd w:val="clear" w:color="auto" w:fill="auto"/>
                  <w:vAlign w:val="center"/>
                </w:tcPr>
                <w:p w14:paraId="7C1DF15A">
                  <w:pPr>
                    <w:pStyle w:val="29"/>
                    <w:bidi w:val="0"/>
                    <w:rPr>
                      <w:rFonts w:hint="default"/>
                      <w:color w:val="auto"/>
                      <w:lang w:val="en-US" w:eastAsia="zh-CN"/>
                    </w:rPr>
                  </w:pPr>
                  <w:r>
                    <w:rPr>
                      <w:rFonts w:hint="eastAsia"/>
                      <w:color w:val="auto"/>
                      <w:lang w:val="en-US" w:eastAsia="zh-CN"/>
                    </w:rPr>
                    <w:t>布袋除尘器+20m高排气筒排放。</w:t>
                  </w:r>
                </w:p>
              </w:tc>
              <w:tc>
                <w:tcPr>
                  <w:tcW w:w="763" w:type="pct"/>
                  <w:vAlign w:val="center"/>
                </w:tcPr>
                <w:p w14:paraId="57B283EF">
                  <w:pPr>
                    <w:pStyle w:val="29"/>
                    <w:bidi w:val="0"/>
                    <w:rPr>
                      <w:rFonts w:hint="default"/>
                      <w:color w:val="auto"/>
                      <w:lang w:val="en-US" w:eastAsia="zh-CN"/>
                    </w:rPr>
                  </w:pPr>
                  <w:r>
                    <w:rPr>
                      <w:rFonts w:hint="eastAsia"/>
                      <w:color w:val="auto"/>
                      <w:lang w:val="en-US" w:eastAsia="zh-CN"/>
                    </w:rPr>
                    <w:t>10</w:t>
                  </w:r>
                </w:p>
              </w:tc>
            </w:tr>
            <w:tr w14:paraId="64E4C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BC18A0D">
                  <w:pPr>
                    <w:pStyle w:val="29"/>
                    <w:bidi w:val="0"/>
                    <w:rPr>
                      <w:rFonts w:hint="eastAsia"/>
                      <w:color w:val="auto"/>
                      <w:lang w:eastAsia="zh-CN"/>
                    </w:rPr>
                  </w:pPr>
                </w:p>
              </w:tc>
              <w:tc>
                <w:tcPr>
                  <w:tcW w:w="447" w:type="pct"/>
                  <w:vMerge w:val="continue"/>
                  <w:vAlign w:val="center"/>
                </w:tcPr>
                <w:p w14:paraId="085F8DC2">
                  <w:pPr>
                    <w:pStyle w:val="29"/>
                    <w:bidi w:val="0"/>
                    <w:rPr>
                      <w:rFonts w:hint="default"/>
                      <w:color w:val="auto"/>
                    </w:rPr>
                  </w:pPr>
                </w:p>
              </w:tc>
              <w:tc>
                <w:tcPr>
                  <w:tcW w:w="1010" w:type="pct"/>
                  <w:shd w:val="clear" w:color="auto" w:fill="auto"/>
                  <w:vAlign w:val="center"/>
                </w:tcPr>
                <w:p w14:paraId="04074825">
                  <w:pPr>
                    <w:pStyle w:val="29"/>
                    <w:bidi w:val="0"/>
                    <w:rPr>
                      <w:rFonts w:hint="default"/>
                      <w:color w:val="auto"/>
                      <w:lang w:val="en-US" w:eastAsia="zh-CN"/>
                    </w:rPr>
                  </w:pPr>
                  <w:r>
                    <w:rPr>
                      <w:rFonts w:hint="eastAsia"/>
                      <w:color w:val="auto"/>
                      <w:lang w:val="en-US" w:eastAsia="zh-CN"/>
                    </w:rPr>
                    <w:t>发酵废气</w:t>
                  </w:r>
                </w:p>
              </w:tc>
              <w:tc>
                <w:tcPr>
                  <w:tcW w:w="2474" w:type="pct"/>
                  <w:vMerge w:val="restart"/>
                  <w:shd w:val="clear" w:color="auto" w:fill="auto"/>
                  <w:vAlign w:val="center"/>
                </w:tcPr>
                <w:p w14:paraId="6CBDFF05">
                  <w:pPr>
                    <w:pStyle w:val="29"/>
                    <w:bidi w:val="0"/>
                    <w:rPr>
                      <w:rFonts w:hint="default"/>
                      <w:color w:val="auto"/>
                      <w:lang w:val="en-US" w:eastAsia="zh-CN"/>
                    </w:rPr>
                  </w:pPr>
                  <w:r>
                    <w:rPr>
                      <w:rFonts w:hint="eastAsia"/>
                      <w:color w:val="auto"/>
                      <w:lang w:val="en-US" w:eastAsia="zh-CN"/>
                    </w:rPr>
                    <w:t>车间阻隔，自然扩散。</w:t>
                  </w:r>
                </w:p>
                <w:p w14:paraId="6A03DA8C">
                  <w:pPr>
                    <w:pStyle w:val="29"/>
                    <w:bidi w:val="0"/>
                    <w:rPr>
                      <w:rFonts w:hint="default"/>
                      <w:color w:val="auto"/>
                      <w:lang w:val="en-US" w:eastAsia="zh-CN"/>
                    </w:rPr>
                  </w:pPr>
                  <w:r>
                    <w:rPr>
                      <w:rFonts w:hint="eastAsia"/>
                      <w:color w:val="auto"/>
                      <w:lang w:val="en-US" w:eastAsia="zh-CN"/>
                    </w:rPr>
                    <w:t>密封桶暂存，定期喷洒除臭剂。</w:t>
                  </w:r>
                </w:p>
              </w:tc>
              <w:tc>
                <w:tcPr>
                  <w:tcW w:w="763" w:type="pct"/>
                  <w:vMerge w:val="restart"/>
                  <w:vAlign w:val="center"/>
                </w:tcPr>
                <w:p w14:paraId="79287FE8">
                  <w:pPr>
                    <w:pStyle w:val="29"/>
                    <w:bidi w:val="0"/>
                    <w:rPr>
                      <w:rFonts w:hint="default"/>
                      <w:color w:val="auto"/>
                      <w:lang w:val="en-US" w:eastAsia="zh-CN"/>
                    </w:rPr>
                  </w:pPr>
                  <w:r>
                    <w:rPr>
                      <w:rFonts w:hint="eastAsia"/>
                      <w:color w:val="auto"/>
                      <w:lang w:val="en-US" w:eastAsia="zh-CN"/>
                    </w:rPr>
                    <w:t>2</w:t>
                  </w:r>
                </w:p>
              </w:tc>
            </w:tr>
            <w:tr w14:paraId="5C156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52B8E9C6">
                  <w:pPr>
                    <w:pStyle w:val="29"/>
                    <w:bidi w:val="0"/>
                    <w:rPr>
                      <w:rFonts w:hint="eastAsia"/>
                      <w:color w:val="auto"/>
                      <w:lang w:eastAsia="zh-CN"/>
                    </w:rPr>
                  </w:pPr>
                </w:p>
              </w:tc>
              <w:tc>
                <w:tcPr>
                  <w:tcW w:w="447" w:type="pct"/>
                  <w:vMerge w:val="continue"/>
                  <w:vAlign w:val="center"/>
                </w:tcPr>
                <w:p w14:paraId="2A97A405">
                  <w:pPr>
                    <w:pStyle w:val="29"/>
                    <w:bidi w:val="0"/>
                    <w:rPr>
                      <w:rFonts w:hint="default"/>
                      <w:color w:val="auto"/>
                    </w:rPr>
                  </w:pPr>
                </w:p>
              </w:tc>
              <w:tc>
                <w:tcPr>
                  <w:tcW w:w="1010" w:type="pct"/>
                  <w:shd w:val="clear" w:color="auto" w:fill="auto"/>
                  <w:vAlign w:val="center"/>
                </w:tcPr>
                <w:p w14:paraId="4A92BFAE">
                  <w:pPr>
                    <w:pStyle w:val="29"/>
                    <w:bidi w:val="0"/>
                    <w:rPr>
                      <w:rFonts w:hint="default"/>
                      <w:color w:val="auto"/>
                      <w:lang w:val="en-US" w:eastAsia="zh-CN"/>
                    </w:rPr>
                  </w:pPr>
                  <w:r>
                    <w:rPr>
                      <w:rFonts w:hint="eastAsia"/>
                      <w:color w:val="auto"/>
                    </w:rPr>
                    <w:t>固废暂存废气</w:t>
                  </w:r>
                </w:p>
              </w:tc>
              <w:tc>
                <w:tcPr>
                  <w:tcW w:w="2474" w:type="pct"/>
                  <w:vMerge w:val="continue"/>
                  <w:shd w:val="clear" w:color="auto" w:fill="auto"/>
                  <w:vAlign w:val="center"/>
                </w:tcPr>
                <w:p w14:paraId="78B9061B">
                  <w:pPr>
                    <w:pStyle w:val="29"/>
                    <w:bidi w:val="0"/>
                    <w:rPr>
                      <w:rFonts w:hint="eastAsia"/>
                      <w:color w:val="auto"/>
                      <w:lang w:val="en-US" w:eastAsia="zh-CN"/>
                    </w:rPr>
                  </w:pPr>
                </w:p>
              </w:tc>
              <w:tc>
                <w:tcPr>
                  <w:tcW w:w="763" w:type="pct"/>
                  <w:vMerge w:val="continue"/>
                  <w:vAlign w:val="center"/>
                </w:tcPr>
                <w:p w14:paraId="1718FC4D">
                  <w:pPr>
                    <w:pStyle w:val="29"/>
                    <w:bidi w:val="0"/>
                    <w:rPr>
                      <w:rFonts w:hint="eastAsia"/>
                      <w:color w:val="auto"/>
                      <w:lang w:val="en-US" w:eastAsia="zh-CN"/>
                    </w:rPr>
                  </w:pPr>
                </w:p>
              </w:tc>
            </w:tr>
            <w:tr w14:paraId="4652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961F806">
                  <w:pPr>
                    <w:pStyle w:val="29"/>
                    <w:bidi w:val="0"/>
                    <w:rPr>
                      <w:rFonts w:hint="eastAsia"/>
                      <w:color w:val="auto"/>
                      <w:lang w:eastAsia="zh-CN"/>
                    </w:rPr>
                  </w:pPr>
                </w:p>
              </w:tc>
              <w:tc>
                <w:tcPr>
                  <w:tcW w:w="447" w:type="pct"/>
                  <w:vMerge w:val="continue"/>
                  <w:vAlign w:val="center"/>
                </w:tcPr>
                <w:p w14:paraId="4A0D5490">
                  <w:pPr>
                    <w:pStyle w:val="29"/>
                    <w:bidi w:val="0"/>
                    <w:rPr>
                      <w:rFonts w:hint="default"/>
                      <w:color w:val="auto"/>
                    </w:rPr>
                  </w:pPr>
                </w:p>
              </w:tc>
              <w:tc>
                <w:tcPr>
                  <w:tcW w:w="1010" w:type="pct"/>
                  <w:shd w:val="clear" w:color="auto" w:fill="auto"/>
                  <w:vAlign w:val="center"/>
                </w:tcPr>
                <w:p w14:paraId="43278C4C">
                  <w:pPr>
                    <w:pStyle w:val="29"/>
                    <w:bidi w:val="0"/>
                    <w:rPr>
                      <w:rFonts w:hint="default"/>
                      <w:color w:val="auto"/>
                      <w:lang w:val="en-US" w:eastAsia="zh-CN"/>
                    </w:rPr>
                  </w:pPr>
                  <w:r>
                    <w:rPr>
                      <w:rFonts w:hint="eastAsia"/>
                      <w:color w:val="auto"/>
                    </w:rPr>
                    <w:t>污水处理恶臭</w:t>
                  </w:r>
                </w:p>
              </w:tc>
              <w:tc>
                <w:tcPr>
                  <w:tcW w:w="2474" w:type="pct"/>
                  <w:shd w:val="clear" w:color="auto" w:fill="auto"/>
                  <w:vAlign w:val="center"/>
                </w:tcPr>
                <w:p w14:paraId="37750DAB">
                  <w:pPr>
                    <w:pStyle w:val="29"/>
                    <w:bidi w:val="0"/>
                    <w:rPr>
                      <w:rFonts w:hint="eastAsia"/>
                      <w:color w:val="auto"/>
                      <w:lang w:val="en-US" w:eastAsia="zh-CN"/>
                    </w:rPr>
                  </w:pPr>
                  <w:r>
                    <w:rPr>
                      <w:rFonts w:hint="eastAsia"/>
                      <w:color w:val="auto"/>
                      <w:lang w:val="en-US" w:eastAsia="zh-CN"/>
                    </w:rPr>
                    <w:t>定期喷洒除臭剂。</w:t>
                  </w:r>
                </w:p>
              </w:tc>
              <w:tc>
                <w:tcPr>
                  <w:tcW w:w="763" w:type="pct"/>
                  <w:vMerge w:val="restart"/>
                  <w:vAlign w:val="center"/>
                </w:tcPr>
                <w:p w14:paraId="3314A463">
                  <w:pPr>
                    <w:pStyle w:val="29"/>
                    <w:bidi w:val="0"/>
                    <w:rPr>
                      <w:rFonts w:hint="default"/>
                      <w:color w:val="auto"/>
                      <w:lang w:val="en-US" w:eastAsia="zh-CN"/>
                    </w:rPr>
                  </w:pPr>
                  <w:r>
                    <w:rPr>
                      <w:rFonts w:hint="eastAsia"/>
                      <w:color w:val="auto"/>
                      <w:lang w:val="en-US" w:eastAsia="zh-CN"/>
                    </w:rPr>
                    <w:t>1</w:t>
                  </w:r>
                </w:p>
              </w:tc>
            </w:tr>
            <w:tr w14:paraId="0ECE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A600EC1">
                  <w:pPr>
                    <w:pStyle w:val="29"/>
                    <w:bidi w:val="0"/>
                    <w:rPr>
                      <w:rFonts w:hint="eastAsia"/>
                      <w:color w:val="auto"/>
                      <w:lang w:eastAsia="zh-CN"/>
                    </w:rPr>
                  </w:pPr>
                </w:p>
              </w:tc>
              <w:tc>
                <w:tcPr>
                  <w:tcW w:w="447" w:type="pct"/>
                  <w:vMerge w:val="continue"/>
                  <w:vAlign w:val="center"/>
                </w:tcPr>
                <w:p w14:paraId="341449C4">
                  <w:pPr>
                    <w:pStyle w:val="29"/>
                    <w:bidi w:val="0"/>
                    <w:rPr>
                      <w:rFonts w:hint="default"/>
                      <w:color w:val="auto"/>
                    </w:rPr>
                  </w:pPr>
                </w:p>
              </w:tc>
              <w:tc>
                <w:tcPr>
                  <w:tcW w:w="1010" w:type="pct"/>
                  <w:shd w:val="clear" w:color="auto" w:fill="auto"/>
                  <w:vAlign w:val="center"/>
                </w:tcPr>
                <w:p w14:paraId="43FD8D60">
                  <w:pPr>
                    <w:pStyle w:val="29"/>
                    <w:bidi w:val="0"/>
                    <w:rPr>
                      <w:rFonts w:hint="default"/>
                      <w:color w:val="auto"/>
                      <w:lang w:val="en-US" w:eastAsia="zh-CN"/>
                    </w:rPr>
                  </w:pPr>
                  <w:r>
                    <w:rPr>
                      <w:rFonts w:hint="eastAsia"/>
                      <w:color w:val="auto"/>
                    </w:rPr>
                    <w:t>车辆运输扬尘</w:t>
                  </w:r>
                </w:p>
              </w:tc>
              <w:tc>
                <w:tcPr>
                  <w:tcW w:w="2474" w:type="pct"/>
                  <w:shd w:val="clear" w:color="auto" w:fill="auto"/>
                  <w:vAlign w:val="center"/>
                </w:tcPr>
                <w:p w14:paraId="017DEFAA">
                  <w:pPr>
                    <w:pStyle w:val="29"/>
                    <w:bidi w:val="0"/>
                    <w:rPr>
                      <w:rFonts w:hint="eastAsia"/>
                      <w:color w:val="auto"/>
                      <w:lang w:val="en-US" w:eastAsia="zh-CN"/>
                    </w:rPr>
                  </w:pPr>
                  <w:r>
                    <w:rPr>
                      <w:rFonts w:hint="eastAsia"/>
                      <w:color w:val="auto"/>
                      <w:lang w:val="en-US" w:eastAsia="zh-CN"/>
                    </w:rPr>
                    <w:t>厂区道路硬化、路面遗撒及时清扫，运输车辆进行遮盖并采用洒水车进行降尘。</w:t>
                  </w:r>
                </w:p>
              </w:tc>
              <w:tc>
                <w:tcPr>
                  <w:tcW w:w="763" w:type="pct"/>
                  <w:vMerge w:val="continue"/>
                  <w:vAlign w:val="center"/>
                </w:tcPr>
                <w:p w14:paraId="352308E4">
                  <w:pPr>
                    <w:pStyle w:val="29"/>
                    <w:bidi w:val="0"/>
                    <w:rPr>
                      <w:rFonts w:hint="eastAsia"/>
                      <w:color w:val="auto"/>
                      <w:lang w:val="en-US" w:eastAsia="zh-CN"/>
                    </w:rPr>
                  </w:pPr>
                </w:p>
              </w:tc>
            </w:tr>
            <w:tr w14:paraId="1B51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32FAA0C9">
                  <w:pPr>
                    <w:pStyle w:val="29"/>
                    <w:bidi w:val="0"/>
                    <w:rPr>
                      <w:rFonts w:hint="default"/>
                      <w:color w:val="auto"/>
                    </w:rPr>
                  </w:pPr>
                </w:p>
              </w:tc>
              <w:tc>
                <w:tcPr>
                  <w:tcW w:w="447" w:type="pct"/>
                  <w:vMerge w:val="continue"/>
                  <w:vAlign w:val="center"/>
                </w:tcPr>
                <w:p w14:paraId="132EF151">
                  <w:pPr>
                    <w:pStyle w:val="29"/>
                    <w:bidi w:val="0"/>
                    <w:rPr>
                      <w:rFonts w:hint="default"/>
                      <w:color w:val="auto"/>
                    </w:rPr>
                  </w:pPr>
                </w:p>
              </w:tc>
              <w:tc>
                <w:tcPr>
                  <w:tcW w:w="1010" w:type="pct"/>
                  <w:shd w:val="clear" w:color="auto" w:fill="auto"/>
                  <w:vAlign w:val="center"/>
                </w:tcPr>
                <w:p w14:paraId="5A2F7E98">
                  <w:pPr>
                    <w:pStyle w:val="29"/>
                    <w:bidi w:val="0"/>
                    <w:rPr>
                      <w:rFonts w:hint="default"/>
                      <w:color w:val="auto"/>
                      <w:lang w:val="en-US" w:eastAsia="zh-CN"/>
                    </w:rPr>
                  </w:pPr>
                  <w:r>
                    <w:rPr>
                      <w:rFonts w:hint="eastAsia"/>
                      <w:color w:val="auto"/>
                      <w:lang w:eastAsia="zh-CN"/>
                    </w:rPr>
                    <w:t>未捕集粉尘</w:t>
                  </w:r>
                </w:p>
              </w:tc>
              <w:tc>
                <w:tcPr>
                  <w:tcW w:w="2474" w:type="pct"/>
                  <w:vMerge w:val="restart"/>
                  <w:shd w:val="clear" w:color="auto" w:fill="auto"/>
                  <w:vAlign w:val="center"/>
                </w:tcPr>
                <w:p w14:paraId="676DA153">
                  <w:pPr>
                    <w:pStyle w:val="29"/>
                    <w:bidi w:val="0"/>
                    <w:rPr>
                      <w:rFonts w:hint="default"/>
                      <w:color w:val="auto"/>
                      <w:lang w:val="en-US" w:eastAsia="zh-CN"/>
                    </w:rPr>
                  </w:pPr>
                  <w:r>
                    <w:rPr>
                      <w:rFonts w:hint="eastAsia"/>
                      <w:color w:val="auto"/>
                      <w:lang w:eastAsia="zh-CN"/>
                    </w:rPr>
                    <w:t>在厂房内自由扩散，以无组织形式排放。</w:t>
                  </w:r>
                </w:p>
              </w:tc>
              <w:tc>
                <w:tcPr>
                  <w:tcW w:w="763" w:type="pct"/>
                  <w:vMerge w:val="restart"/>
                  <w:vAlign w:val="center"/>
                </w:tcPr>
                <w:p w14:paraId="5A3DDEEE">
                  <w:pPr>
                    <w:pStyle w:val="29"/>
                    <w:bidi w:val="0"/>
                    <w:rPr>
                      <w:rFonts w:hint="default"/>
                      <w:color w:val="auto"/>
                      <w:lang w:val="en-US" w:eastAsia="zh-CN"/>
                    </w:rPr>
                  </w:pPr>
                  <w:r>
                    <w:rPr>
                      <w:rFonts w:hint="eastAsia"/>
                      <w:color w:val="auto"/>
                      <w:lang w:val="en-US" w:eastAsia="zh-CN"/>
                    </w:rPr>
                    <w:t>0</w:t>
                  </w:r>
                </w:p>
              </w:tc>
            </w:tr>
            <w:tr w14:paraId="27E7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6AFBEAB7">
                  <w:pPr>
                    <w:pStyle w:val="29"/>
                    <w:bidi w:val="0"/>
                    <w:rPr>
                      <w:rFonts w:hint="default"/>
                      <w:color w:val="auto"/>
                    </w:rPr>
                  </w:pPr>
                </w:p>
              </w:tc>
              <w:tc>
                <w:tcPr>
                  <w:tcW w:w="447" w:type="pct"/>
                  <w:vMerge w:val="continue"/>
                  <w:vAlign w:val="center"/>
                </w:tcPr>
                <w:p w14:paraId="554D629F">
                  <w:pPr>
                    <w:pStyle w:val="29"/>
                    <w:bidi w:val="0"/>
                    <w:rPr>
                      <w:rFonts w:hint="default"/>
                      <w:color w:val="auto"/>
                    </w:rPr>
                  </w:pPr>
                </w:p>
              </w:tc>
              <w:tc>
                <w:tcPr>
                  <w:tcW w:w="1010" w:type="pct"/>
                  <w:shd w:val="clear" w:color="auto" w:fill="auto"/>
                  <w:vAlign w:val="center"/>
                </w:tcPr>
                <w:p w14:paraId="4711CE4D">
                  <w:pPr>
                    <w:pStyle w:val="29"/>
                    <w:bidi w:val="0"/>
                    <w:rPr>
                      <w:rFonts w:hint="default"/>
                      <w:color w:val="auto"/>
                      <w:lang w:val="en-US" w:eastAsia="zh-CN"/>
                    </w:rPr>
                  </w:pPr>
                  <w:r>
                    <w:rPr>
                      <w:rFonts w:hint="eastAsia"/>
                      <w:color w:val="auto"/>
                      <w:lang w:val="en-US" w:eastAsia="zh-CN"/>
                    </w:rPr>
                    <w:t>制冷废气</w:t>
                  </w:r>
                </w:p>
              </w:tc>
              <w:tc>
                <w:tcPr>
                  <w:tcW w:w="2474" w:type="pct"/>
                  <w:vMerge w:val="continue"/>
                  <w:shd w:val="clear" w:color="auto" w:fill="auto"/>
                  <w:vAlign w:val="center"/>
                </w:tcPr>
                <w:p w14:paraId="0DA17FA6">
                  <w:pPr>
                    <w:pStyle w:val="29"/>
                    <w:bidi w:val="0"/>
                    <w:rPr>
                      <w:rFonts w:hint="eastAsia"/>
                      <w:color w:val="auto"/>
                      <w:lang w:eastAsia="zh-CN"/>
                    </w:rPr>
                  </w:pPr>
                </w:p>
              </w:tc>
              <w:tc>
                <w:tcPr>
                  <w:tcW w:w="763" w:type="pct"/>
                  <w:vMerge w:val="continue"/>
                  <w:vAlign w:val="center"/>
                </w:tcPr>
                <w:p w14:paraId="17F085C8">
                  <w:pPr>
                    <w:pStyle w:val="29"/>
                    <w:bidi w:val="0"/>
                    <w:rPr>
                      <w:rFonts w:hint="eastAsia"/>
                      <w:color w:val="auto"/>
                      <w:lang w:val="en-US" w:eastAsia="zh-CN"/>
                    </w:rPr>
                  </w:pPr>
                </w:p>
              </w:tc>
            </w:tr>
            <w:tr w14:paraId="4F56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793D88C8">
                  <w:pPr>
                    <w:pStyle w:val="29"/>
                    <w:bidi w:val="0"/>
                    <w:rPr>
                      <w:rFonts w:hint="eastAsia"/>
                      <w:color w:val="auto"/>
                      <w:lang w:eastAsia="zh-CN"/>
                    </w:rPr>
                  </w:pPr>
                </w:p>
              </w:tc>
              <w:tc>
                <w:tcPr>
                  <w:tcW w:w="447" w:type="pct"/>
                  <w:vMerge w:val="restart"/>
                  <w:vAlign w:val="center"/>
                </w:tcPr>
                <w:p w14:paraId="29BF7D23">
                  <w:pPr>
                    <w:pStyle w:val="29"/>
                    <w:bidi w:val="0"/>
                    <w:rPr>
                      <w:rFonts w:hint="default"/>
                      <w:color w:val="auto"/>
                    </w:rPr>
                  </w:pPr>
                  <w:r>
                    <w:rPr>
                      <w:rFonts w:hint="default"/>
                      <w:color w:val="auto"/>
                    </w:rPr>
                    <w:t>废水</w:t>
                  </w:r>
                </w:p>
              </w:tc>
              <w:tc>
                <w:tcPr>
                  <w:tcW w:w="1010" w:type="pct"/>
                  <w:vAlign w:val="center"/>
                </w:tcPr>
                <w:p w14:paraId="4A8216A2">
                  <w:pPr>
                    <w:pStyle w:val="29"/>
                    <w:bidi w:val="0"/>
                    <w:rPr>
                      <w:rFonts w:hint="default"/>
                      <w:color w:val="auto"/>
                    </w:rPr>
                  </w:pPr>
                  <w:r>
                    <w:rPr>
                      <w:rFonts w:hint="eastAsia"/>
                      <w:color w:val="auto"/>
                      <w:lang w:eastAsia="zh-CN"/>
                    </w:rPr>
                    <w:t>化粪</w:t>
                  </w:r>
                  <w:r>
                    <w:rPr>
                      <w:rFonts w:hint="default"/>
                      <w:color w:val="auto"/>
                    </w:rPr>
                    <w:t>池</w:t>
                  </w:r>
                </w:p>
              </w:tc>
              <w:tc>
                <w:tcPr>
                  <w:tcW w:w="2474" w:type="pct"/>
                  <w:vAlign w:val="center"/>
                </w:tcPr>
                <w:p w14:paraId="69775C4F">
                  <w:pPr>
                    <w:pStyle w:val="29"/>
                    <w:bidi w:val="0"/>
                    <w:rPr>
                      <w:rFonts w:hint="eastAsia" w:eastAsia="宋体"/>
                      <w:color w:val="auto"/>
                      <w:lang w:eastAsia="zh-CN"/>
                    </w:rPr>
                  </w:pPr>
                  <w:r>
                    <w:rPr>
                      <w:rFonts w:hint="eastAsia"/>
                      <w:color w:val="auto"/>
                      <w:lang w:val="en-US" w:eastAsia="zh-CN"/>
                    </w:rPr>
                    <w:t>已建</w:t>
                  </w:r>
                  <w:r>
                    <w:rPr>
                      <w:rFonts w:hint="default"/>
                      <w:color w:val="auto"/>
                    </w:rPr>
                    <w:t>1个容积为</w:t>
                  </w:r>
                  <w:r>
                    <w:rPr>
                      <w:rFonts w:hint="eastAsia"/>
                      <w:color w:val="auto"/>
                      <w:lang w:val="en-US" w:eastAsia="zh-CN"/>
                    </w:rPr>
                    <w:t>30</w:t>
                  </w:r>
                  <w:r>
                    <w:rPr>
                      <w:rFonts w:hint="default"/>
                      <w:color w:val="auto"/>
                    </w:rPr>
                    <w:t>m</w:t>
                  </w:r>
                  <w:r>
                    <w:rPr>
                      <w:rFonts w:hint="default"/>
                      <w:color w:val="auto"/>
                      <w:vertAlign w:val="superscript"/>
                    </w:rPr>
                    <w:t>3</w:t>
                  </w:r>
                  <w:r>
                    <w:rPr>
                      <w:rFonts w:hint="eastAsia"/>
                      <w:color w:val="auto"/>
                      <w:vertAlign w:val="baseline"/>
                      <w:lang w:eastAsia="zh-CN"/>
                    </w:rPr>
                    <w:t>。</w:t>
                  </w:r>
                </w:p>
              </w:tc>
              <w:tc>
                <w:tcPr>
                  <w:tcW w:w="763" w:type="pct"/>
                  <w:vAlign w:val="center"/>
                </w:tcPr>
                <w:p w14:paraId="42F737C5">
                  <w:pPr>
                    <w:pStyle w:val="29"/>
                    <w:bidi w:val="0"/>
                    <w:rPr>
                      <w:rFonts w:hint="default"/>
                      <w:color w:val="auto"/>
                      <w:lang w:val="en-US"/>
                    </w:rPr>
                  </w:pPr>
                  <w:r>
                    <w:rPr>
                      <w:rFonts w:hint="eastAsia"/>
                      <w:color w:val="auto"/>
                      <w:lang w:val="en-US" w:eastAsia="zh-CN"/>
                    </w:rPr>
                    <w:t>0</w:t>
                  </w:r>
                </w:p>
              </w:tc>
            </w:tr>
            <w:tr w14:paraId="5E94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626B86E2">
                  <w:pPr>
                    <w:pStyle w:val="29"/>
                    <w:bidi w:val="0"/>
                    <w:rPr>
                      <w:rFonts w:hint="eastAsia"/>
                      <w:color w:val="auto"/>
                      <w:lang w:eastAsia="zh-CN"/>
                    </w:rPr>
                  </w:pPr>
                </w:p>
              </w:tc>
              <w:tc>
                <w:tcPr>
                  <w:tcW w:w="447" w:type="pct"/>
                  <w:vMerge w:val="continue"/>
                  <w:vAlign w:val="center"/>
                </w:tcPr>
                <w:p w14:paraId="0068E05C">
                  <w:pPr>
                    <w:pStyle w:val="29"/>
                    <w:bidi w:val="0"/>
                    <w:rPr>
                      <w:rFonts w:hint="default"/>
                      <w:color w:val="auto"/>
                    </w:rPr>
                  </w:pPr>
                </w:p>
              </w:tc>
              <w:tc>
                <w:tcPr>
                  <w:tcW w:w="1010" w:type="pct"/>
                  <w:vAlign w:val="center"/>
                </w:tcPr>
                <w:p w14:paraId="32F9D8AE">
                  <w:pPr>
                    <w:pStyle w:val="29"/>
                    <w:bidi w:val="0"/>
                    <w:rPr>
                      <w:rFonts w:hint="default"/>
                      <w:color w:val="auto"/>
                      <w:lang w:val="en-US" w:eastAsia="zh-CN"/>
                    </w:rPr>
                  </w:pPr>
                  <w:r>
                    <w:rPr>
                      <w:rFonts w:hint="eastAsia"/>
                      <w:color w:val="auto"/>
                      <w:lang w:val="en-US" w:eastAsia="zh-CN"/>
                    </w:rPr>
                    <w:t>三级沉淀池</w:t>
                  </w:r>
                </w:p>
              </w:tc>
              <w:tc>
                <w:tcPr>
                  <w:tcW w:w="2474" w:type="pct"/>
                  <w:vAlign w:val="center"/>
                </w:tcPr>
                <w:p w14:paraId="7DDD9BB9">
                  <w:pPr>
                    <w:pStyle w:val="29"/>
                    <w:bidi w:val="0"/>
                    <w:rPr>
                      <w:rFonts w:hint="default"/>
                      <w:color w:val="auto"/>
                      <w:lang w:val="en-US" w:eastAsia="zh-CN"/>
                    </w:rPr>
                  </w:pPr>
                  <w:r>
                    <w:rPr>
                      <w:rFonts w:hint="eastAsia"/>
                      <w:color w:val="auto"/>
                      <w:lang w:val="en-US" w:eastAsia="zh-CN"/>
                    </w:rPr>
                    <w:t>3个共计9.51m</w:t>
                  </w:r>
                  <w:r>
                    <w:rPr>
                      <w:rFonts w:hint="eastAsia"/>
                      <w:color w:val="auto"/>
                      <w:vertAlign w:val="superscript"/>
                      <w:lang w:val="en-US" w:eastAsia="zh-CN"/>
                    </w:rPr>
                    <w:t>3</w:t>
                  </w:r>
                  <w:r>
                    <w:rPr>
                      <w:rFonts w:hint="eastAsia"/>
                      <w:color w:val="auto"/>
                      <w:vertAlign w:val="baseline"/>
                      <w:lang w:val="en-US" w:eastAsia="zh-CN"/>
                    </w:rPr>
                    <w:t>。</w:t>
                  </w:r>
                </w:p>
              </w:tc>
              <w:tc>
                <w:tcPr>
                  <w:tcW w:w="763" w:type="pct"/>
                  <w:vAlign w:val="center"/>
                </w:tcPr>
                <w:p w14:paraId="1151E5C7">
                  <w:pPr>
                    <w:pStyle w:val="29"/>
                    <w:bidi w:val="0"/>
                    <w:rPr>
                      <w:rFonts w:hint="default"/>
                      <w:color w:val="auto"/>
                      <w:lang w:val="en-US" w:eastAsia="zh-CN"/>
                    </w:rPr>
                  </w:pPr>
                  <w:r>
                    <w:rPr>
                      <w:rFonts w:hint="eastAsia"/>
                      <w:color w:val="auto"/>
                      <w:lang w:val="en-US" w:eastAsia="zh-CN"/>
                    </w:rPr>
                    <w:t>8</w:t>
                  </w:r>
                </w:p>
              </w:tc>
            </w:tr>
            <w:tr w14:paraId="20BB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56D22295">
                  <w:pPr>
                    <w:pStyle w:val="29"/>
                    <w:bidi w:val="0"/>
                    <w:rPr>
                      <w:rFonts w:hint="eastAsia"/>
                      <w:color w:val="auto"/>
                      <w:lang w:eastAsia="zh-CN"/>
                    </w:rPr>
                  </w:pPr>
                </w:p>
              </w:tc>
              <w:tc>
                <w:tcPr>
                  <w:tcW w:w="447" w:type="pct"/>
                  <w:vMerge w:val="continue"/>
                  <w:vAlign w:val="center"/>
                </w:tcPr>
                <w:p w14:paraId="5E7440DA">
                  <w:pPr>
                    <w:pStyle w:val="29"/>
                    <w:bidi w:val="0"/>
                    <w:rPr>
                      <w:rFonts w:hint="default"/>
                      <w:color w:val="auto"/>
                    </w:rPr>
                  </w:pPr>
                </w:p>
              </w:tc>
              <w:tc>
                <w:tcPr>
                  <w:tcW w:w="1010" w:type="pct"/>
                  <w:vAlign w:val="center"/>
                </w:tcPr>
                <w:p w14:paraId="08EF1073">
                  <w:pPr>
                    <w:pStyle w:val="29"/>
                    <w:bidi w:val="0"/>
                    <w:rPr>
                      <w:rFonts w:hint="default"/>
                      <w:color w:val="auto"/>
                      <w:lang w:val="en-US" w:eastAsia="zh-CN"/>
                    </w:rPr>
                  </w:pPr>
                  <w:r>
                    <w:rPr>
                      <w:rFonts w:hint="eastAsia"/>
                      <w:color w:val="auto"/>
                      <w:lang w:val="en-US" w:eastAsia="zh-CN"/>
                    </w:rPr>
                    <w:t>一体化污水处理设施</w:t>
                  </w:r>
                </w:p>
              </w:tc>
              <w:tc>
                <w:tcPr>
                  <w:tcW w:w="2474" w:type="pct"/>
                  <w:vAlign w:val="center"/>
                </w:tcPr>
                <w:p w14:paraId="356506C2">
                  <w:pPr>
                    <w:pStyle w:val="29"/>
                    <w:bidi w:val="0"/>
                    <w:rPr>
                      <w:rFonts w:hint="default"/>
                      <w:color w:val="auto"/>
                      <w:lang w:val="en-US" w:eastAsia="zh-CN"/>
                    </w:rPr>
                  </w:pPr>
                  <w:r>
                    <w:rPr>
                      <w:rFonts w:hint="eastAsia"/>
                      <w:color w:val="auto"/>
                      <w:lang w:val="en-US" w:eastAsia="zh-CN"/>
                    </w:rPr>
                    <w:t>1套（15m</w:t>
                  </w:r>
                  <w:r>
                    <w:rPr>
                      <w:rFonts w:hint="eastAsia"/>
                      <w:color w:val="auto"/>
                      <w:vertAlign w:val="superscript"/>
                      <w:lang w:val="en-US" w:eastAsia="zh-CN"/>
                    </w:rPr>
                    <w:t>3</w:t>
                  </w:r>
                  <w:r>
                    <w:rPr>
                      <w:rFonts w:hint="eastAsia"/>
                      <w:color w:val="auto"/>
                      <w:lang w:val="en-US" w:eastAsia="zh-CN"/>
                    </w:rPr>
                    <w:t>/d）。</w:t>
                  </w:r>
                </w:p>
              </w:tc>
              <w:tc>
                <w:tcPr>
                  <w:tcW w:w="763" w:type="pct"/>
                  <w:vAlign w:val="center"/>
                </w:tcPr>
                <w:p w14:paraId="14C894E8">
                  <w:pPr>
                    <w:pStyle w:val="29"/>
                    <w:bidi w:val="0"/>
                    <w:rPr>
                      <w:rFonts w:hint="default"/>
                      <w:color w:val="auto"/>
                      <w:lang w:val="en-US" w:eastAsia="zh-CN"/>
                    </w:rPr>
                  </w:pPr>
                  <w:r>
                    <w:rPr>
                      <w:rFonts w:hint="eastAsia"/>
                      <w:color w:val="auto"/>
                      <w:lang w:val="en-US" w:eastAsia="zh-CN"/>
                    </w:rPr>
                    <w:t>28</w:t>
                  </w:r>
                </w:p>
              </w:tc>
            </w:tr>
            <w:tr w14:paraId="27B8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2E90A24A">
                  <w:pPr>
                    <w:pStyle w:val="29"/>
                    <w:bidi w:val="0"/>
                    <w:rPr>
                      <w:rFonts w:hint="default"/>
                      <w:color w:val="auto"/>
                      <w:lang w:val="en-US" w:eastAsia="zh-CN"/>
                    </w:rPr>
                  </w:pPr>
                </w:p>
              </w:tc>
              <w:tc>
                <w:tcPr>
                  <w:tcW w:w="447" w:type="pct"/>
                  <w:vMerge w:val="continue"/>
                  <w:vAlign w:val="center"/>
                </w:tcPr>
                <w:p w14:paraId="56A04EE1">
                  <w:pPr>
                    <w:pStyle w:val="29"/>
                    <w:bidi w:val="0"/>
                    <w:rPr>
                      <w:rFonts w:hint="default"/>
                      <w:color w:val="auto"/>
                    </w:rPr>
                  </w:pPr>
                </w:p>
              </w:tc>
              <w:tc>
                <w:tcPr>
                  <w:tcW w:w="1010" w:type="pct"/>
                  <w:vAlign w:val="center"/>
                </w:tcPr>
                <w:p w14:paraId="0AA28858">
                  <w:pPr>
                    <w:pStyle w:val="29"/>
                    <w:bidi w:val="0"/>
                    <w:rPr>
                      <w:rFonts w:hint="default"/>
                      <w:color w:val="auto"/>
                      <w:lang w:val="en-US" w:eastAsia="zh-CN"/>
                    </w:rPr>
                  </w:pPr>
                  <w:r>
                    <w:rPr>
                      <w:rFonts w:hint="eastAsia"/>
                      <w:color w:val="auto"/>
                      <w:lang w:val="en-US" w:eastAsia="zh-CN"/>
                    </w:rPr>
                    <w:t>事故应急池</w:t>
                  </w:r>
                </w:p>
              </w:tc>
              <w:tc>
                <w:tcPr>
                  <w:tcW w:w="2474" w:type="pct"/>
                  <w:vAlign w:val="center"/>
                </w:tcPr>
                <w:p w14:paraId="69C6504C">
                  <w:pPr>
                    <w:pStyle w:val="29"/>
                    <w:bidi w:val="0"/>
                    <w:rPr>
                      <w:rFonts w:hint="eastAsia" w:eastAsia="宋体"/>
                      <w:color w:val="auto"/>
                      <w:lang w:eastAsia="zh-CN"/>
                    </w:rPr>
                  </w:pPr>
                  <w:r>
                    <w:rPr>
                      <w:rFonts w:hint="default"/>
                      <w:color w:val="auto"/>
                    </w:rPr>
                    <w:t>1个容积为</w:t>
                  </w:r>
                  <w:r>
                    <w:rPr>
                      <w:rFonts w:hint="eastAsia"/>
                      <w:color w:val="auto"/>
                      <w:lang w:val="en-US" w:eastAsia="zh-CN"/>
                    </w:rPr>
                    <w:t>15</w:t>
                  </w:r>
                  <w:r>
                    <w:rPr>
                      <w:rFonts w:hint="default"/>
                      <w:color w:val="auto"/>
                    </w:rPr>
                    <w:t>m</w:t>
                  </w:r>
                  <w:r>
                    <w:rPr>
                      <w:rFonts w:hint="default"/>
                      <w:color w:val="auto"/>
                      <w:vertAlign w:val="superscript"/>
                    </w:rPr>
                    <w:t>3</w:t>
                  </w:r>
                  <w:r>
                    <w:rPr>
                      <w:rFonts w:hint="eastAsia"/>
                      <w:color w:val="auto"/>
                      <w:vertAlign w:val="baseline"/>
                      <w:lang w:eastAsia="zh-CN"/>
                    </w:rPr>
                    <w:t>。</w:t>
                  </w:r>
                </w:p>
              </w:tc>
              <w:tc>
                <w:tcPr>
                  <w:tcW w:w="763" w:type="pct"/>
                  <w:vAlign w:val="center"/>
                </w:tcPr>
                <w:p w14:paraId="65A6E07C">
                  <w:pPr>
                    <w:pStyle w:val="29"/>
                    <w:bidi w:val="0"/>
                    <w:rPr>
                      <w:rFonts w:hint="default"/>
                      <w:color w:val="auto"/>
                      <w:lang w:val="en-US" w:eastAsia="zh-CN"/>
                    </w:rPr>
                  </w:pPr>
                  <w:r>
                    <w:rPr>
                      <w:rFonts w:hint="eastAsia"/>
                      <w:color w:val="auto"/>
                      <w:lang w:val="en-US" w:eastAsia="zh-CN"/>
                    </w:rPr>
                    <w:t>13</w:t>
                  </w:r>
                </w:p>
              </w:tc>
            </w:tr>
            <w:tr w14:paraId="7FE8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65DF034">
                  <w:pPr>
                    <w:pStyle w:val="29"/>
                    <w:bidi w:val="0"/>
                    <w:rPr>
                      <w:rFonts w:hint="default"/>
                      <w:color w:val="auto"/>
                      <w:lang w:val="en-US" w:eastAsia="zh-CN"/>
                    </w:rPr>
                  </w:pPr>
                </w:p>
              </w:tc>
              <w:tc>
                <w:tcPr>
                  <w:tcW w:w="1457" w:type="pct"/>
                  <w:gridSpan w:val="2"/>
                  <w:vAlign w:val="center"/>
                </w:tcPr>
                <w:p w14:paraId="584878B9">
                  <w:pPr>
                    <w:pStyle w:val="29"/>
                    <w:bidi w:val="0"/>
                    <w:rPr>
                      <w:rFonts w:hint="default"/>
                      <w:color w:val="auto"/>
                    </w:rPr>
                  </w:pPr>
                  <w:r>
                    <w:rPr>
                      <w:rFonts w:hint="default"/>
                      <w:color w:val="auto"/>
                    </w:rPr>
                    <w:t>噪声</w:t>
                  </w:r>
                </w:p>
              </w:tc>
              <w:tc>
                <w:tcPr>
                  <w:tcW w:w="2474" w:type="pct"/>
                  <w:vAlign w:val="center"/>
                </w:tcPr>
                <w:p w14:paraId="0E1183ED">
                  <w:pPr>
                    <w:pStyle w:val="29"/>
                    <w:bidi w:val="0"/>
                    <w:rPr>
                      <w:rFonts w:hint="eastAsia" w:eastAsia="宋体"/>
                      <w:color w:val="auto"/>
                      <w:lang w:eastAsia="zh-CN"/>
                    </w:rPr>
                  </w:pPr>
                  <w:r>
                    <w:rPr>
                      <w:rFonts w:hint="default"/>
                      <w:color w:val="auto"/>
                    </w:rPr>
                    <w:t>基础减震、</w:t>
                  </w:r>
                  <w:r>
                    <w:rPr>
                      <w:color w:val="auto"/>
                    </w:rPr>
                    <w:t>风机安装消声器</w:t>
                  </w:r>
                  <w:r>
                    <w:rPr>
                      <w:rFonts w:hint="eastAsia"/>
                      <w:color w:val="auto"/>
                      <w:lang w:eastAsia="zh-CN"/>
                    </w:rPr>
                    <w:t>。</w:t>
                  </w:r>
                </w:p>
              </w:tc>
              <w:tc>
                <w:tcPr>
                  <w:tcW w:w="763" w:type="pct"/>
                  <w:vAlign w:val="center"/>
                </w:tcPr>
                <w:p w14:paraId="25E9E595">
                  <w:pPr>
                    <w:pStyle w:val="29"/>
                    <w:bidi w:val="0"/>
                    <w:rPr>
                      <w:rFonts w:hint="default"/>
                      <w:color w:val="auto"/>
                      <w:lang w:val="en-US" w:eastAsia="zh-CN"/>
                    </w:rPr>
                  </w:pPr>
                  <w:r>
                    <w:rPr>
                      <w:rFonts w:hint="eastAsia"/>
                      <w:color w:val="auto"/>
                      <w:lang w:val="en-US" w:eastAsia="zh-CN"/>
                    </w:rPr>
                    <w:t>0.5</w:t>
                  </w:r>
                </w:p>
              </w:tc>
            </w:tr>
            <w:tr w14:paraId="0B46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4" w:type="pct"/>
                  <w:vMerge w:val="continue"/>
                  <w:vAlign w:val="center"/>
                </w:tcPr>
                <w:p w14:paraId="635E94D6">
                  <w:pPr>
                    <w:pStyle w:val="29"/>
                    <w:bidi w:val="0"/>
                    <w:rPr>
                      <w:rFonts w:hint="default"/>
                      <w:color w:val="auto"/>
                      <w:lang w:val="en-US" w:eastAsia="zh-CN"/>
                    </w:rPr>
                  </w:pPr>
                </w:p>
              </w:tc>
              <w:tc>
                <w:tcPr>
                  <w:tcW w:w="447" w:type="pct"/>
                  <w:vMerge w:val="restart"/>
                  <w:vAlign w:val="center"/>
                </w:tcPr>
                <w:p w14:paraId="388F8D36">
                  <w:pPr>
                    <w:pStyle w:val="29"/>
                    <w:bidi w:val="0"/>
                    <w:rPr>
                      <w:rFonts w:hint="default"/>
                      <w:color w:val="auto"/>
                    </w:rPr>
                  </w:pPr>
                  <w:r>
                    <w:rPr>
                      <w:rFonts w:hint="default"/>
                      <w:color w:val="auto"/>
                    </w:rPr>
                    <w:t>固废</w:t>
                  </w:r>
                </w:p>
              </w:tc>
              <w:tc>
                <w:tcPr>
                  <w:tcW w:w="1010" w:type="pct"/>
                  <w:shd w:val="clear" w:color="auto" w:fill="auto"/>
                  <w:vAlign w:val="center"/>
                </w:tcPr>
                <w:p w14:paraId="5881888F">
                  <w:pPr>
                    <w:pStyle w:val="29"/>
                    <w:bidi w:val="0"/>
                    <w:rPr>
                      <w:rFonts w:hint="eastAsia"/>
                      <w:color w:val="auto"/>
                      <w:lang w:val="en-US" w:eastAsia="zh-CN"/>
                    </w:rPr>
                  </w:pPr>
                  <w:r>
                    <w:rPr>
                      <w:color w:val="auto"/>
                    </w:rPr>
                    <w:t>生活垃圾</w:t>
                  </w:r>
                </w:p>
              </w:tc>
              <w:tc>
                <w:tcPr>
                  <w:tcW w:w="2474" w:type="pct"/>
                  <w:vAlign w:val="center"/>
                </w:tcPr>
                <w:p w14:paraId="7765DA09">
                  <w:pPr>
                    <w:pStyle w:val="29"/>
                    <w:bidi w:val="0"/>
                    <w:rPr>
                      <w:rFonts w:hint="eastAsia" w:eastAsia="宋体"/>
                      <w:color w:val="auto"/>
                      <w:lang w:eastAsia="zh-CN"/>
                    </w:rPr>
                  </w:pPr>
                  <w:r>
                    <w:rPr>
                      <w:rFonts w:hint="default"/>
                      <w:color w:val="auto"/>
                    </w:rPr>
                    <w:t>生活垃圾桶</w:t>
                  </w:r>
                  <w:r>
                    <w:rPr>
                      <w:rFonts w:hint="eastAsia"/>
                      <w:color w:val="auto"/>
                      <w:lang w:val="en-US" w:eastAsia="zh-CN"/>
                    </w:rPr>
                    <w:t>1</w:t>
                  </w:r>
                  <w:r>
                    <w:rPr>
                      <w:rFonts w:hint="default"/>
                      <w:color w:val="auto"/>
                    </w:rPr>
                    <w:t>个</w:t>
                  </w:r>
                  <w:r>
                    <w:rPr>
                      <w:rFonts w:hint="eastAsia"/>
                      <w:color w:val="auto"/>
                      <w:lang w:eastAsia="zh-CN"/>
                    </w:rPr>
                    <w:t>。</w:t>
                  </w:r>
                </w:p>
              </w:tc>
              <w:tc>
                <w:tcPr>
                  <w:tcW w:w="763" w:type="pct"/>
                  <w:vAlign w:val="center"/>
                </w:tcPr>
                <w:p w14:paraId="7965D667">
                  <w:pPr>
                    <w:pStyle w:val="29"/>
                    <w:bidi w:val="0"/>
                    <w:rPr>
                      <w:rFonts w:hint="default"/>
                      <w:color w:val="auto"/>
                      <w:lang w:val="en-US" w:eastAsia="zh-CN"/>
                    </w:rPr>
                  </w:pPr>
                  <w:r>
                    <w:rPr>
                      <w:rFonts w:hint="eastAsia"/>
                      <w:color w:val="auto"/>
                      <w:lang w:val="en-US" w:eastAsia="zh-CN"/>
                    </w:rPr>
                    <w:t>0.1</w:t>
                  </w:r>
                </w:p>
              </w:tc>
            </w:tr>
            <w:tr w14:paraId="540C6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A13253F">
                  <w:pPr>
                    <w:pStyle w:val="29"/>
                    <w:bidi w:val="0"/>
                    <w:rPr>
                      <w:rFonts w:hint="default"/>
                      <w:color w:val="auto"/>
                      <w:lang w:val="en-US" w:eastAsia="zh-CN"/>
                    </w:rPr>
                  </w:pPr>
                </w:p>
              </w:tc>
              <w:tc>
                <w:tcPr>
                  <w:tcW w:w="447" w:type="pct"/>
                  <w:vMerge w:val="continue"/>
                  <w:vAlign w:val="center"/>
                </w:tcPr>
                <w:p w14:paraId="2C509F00">
                  <w:pPr>
                    <w:pStyle w:val="29"/>
                    <w:bidi w:val="0"/>
                    <w:rPr>
                      <w:rFonts w:hint="default"/>
                      <w:color w:val="auto"/>
                    </w:rPr>
                  </w:pPr>
                </w:p>
              </w:tc>
              <w:tc>
                <w:tcPr>
                  <w:tcW w:w="1010" w:type="pct"/>
                  <w:shd w:val="clear" w:color="auto" w:fill="auto"/>
                  <w:vAlign w:val="center"/>
                </w:tcPr>
                <w:p w14:paraId="45DA83A2">
                  <w:pPr>
                    <w:pStyle w:val="29"/>
                    <w:bidi w:val="0"/>
                    <w:rPr>
                      <w:rFonts w:hint="eastAsia"/>
                      <w:color w:val="auto"/>
                      <w:lang w:val="en-US" w:eastAsia="zh-CN"/>
                    </w:rPr>
                  </w:pPr>
                  <w:r>
                    <w:rPr>
                      <w:rFonts w:hint="default"/>
                      <w:color w:val="auto"/>
                      <w:lang w:val="en-US" w:eastAsia="zh-CN"/>
                    </w:rPr>
                    <w:t>麦糟</w:t>
                  </w:r>
                </w:p>
              </w:tc>
              <w:tc>
                <w:tcPr>
                  <w:tcW w:w="2474" w:type="pct"/>
                  <w:vMerge w:val="restart"/>
                  <w:shd w:val="clear" w:color="auto" w:fill="auto"/>
                  <w:vAlign w:val="center"/>
                </w:tcPr>
                <w:p w14:paraId="3D2761DE">
                  <w:pPr>
                    <w:pStyle w:val="29"/>
                    <w:bidi w:val="0"/>
                    <w:rPr>
                      <w:rFonts w:hint="eastAsia"/>
                      <w:color w:val="auto"/>
                      <w:lang w:eastAsia="zh-CN"/>
                    </w:rPr>
                  </w:pPr>
                  <w:r>
                    <w:rPr>
                      <w:rFonts w:hint="eastAsia"/>
                      <w:color w:val="auto"/>
                      <w:lang w:val="en-US" w:eastAsia="zh-CN"/>
                    </w:rPr>
                    <w:t>进入密闭设计的麦槽罐贮存后定向外售至已取得饲料生产合法资质的饲料加工企业，或具备规模化养殖资质、配套合规饲料加工车间的养殖场，作为饲料生产原料实现全量资源化利用，不交由无资质散户零散收购处置，即产即清。</w:t>
                  </w:r>
                </w:p>
              </w:tc>
              <w:tc>
                <w:tcPr>
                  <w:tcW w:w="763" w:type="pct"/>
                  <w:vMerge w:val="restart"/>
                  <w:vAlign w:val="center"/>
                </w:tcPr>
                <w:p w14:paraId="29A9E96F">
                  <w:pPr>
                    <w:pStyle w:val="29"/>
                    <w:bidi w:val="0"/>
                    <w:rPr>
                      <w:rFonts w:hint="default"/>
                      <w:color w:val="auto"/>
                      <w:lang w:val="en-US" w:eastAsia="zh-CN"/>
                    </w:rPr>
                  </w:pPr>
                  <w:r>
                    <w:rPr>
                      <w:rFonts w:hint="eastAsia"/>
                      <w:color w:val="auto"/>
                      <w:lang w:val="en-US" w:eastAsia="zh-CN"/>
                    </w:rPr>
                    <w:t>0</w:t>
                  </w:r>
                </w:p>
              </w:tc>
            </w:tr>
            <w:tr w14:paraId="7125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3D51A852">
                  <w:pPr>
                    <w:pStyle w:val="29"/>
                    <w:bidi w:val="0"/>
                    <w:rPr>
                      <w:rFonts w:hint="default"/>
                      <w:color w:val="auto"/>
                      <w:lang w:val="en-US" w:eastAsia="zh-CN"/>
                    </w:rPr>
                  </w:pPr>
                </w:p>
              </w:tc>
              <w:tc>
                <w:tcPr>
                  <w:tcW w:w="447" w:type="pct"/>
                  <w:vMerge w:val="continue"/>
                  <w:vAlign w:val="center"/>
                </w:tcPr>
                <w:p w14:paraId="07A3884B">
                  <w:pPr>
                    <w:pStyle w:val="29"/>
                    <w:bidi w:val="0"/>
                    <w:rPr>
                      <w:rFonts w:hint="default"/>
                      <w:color w:val="auto"/>
                    </w:rPr>
                  </w:pPr>
                </w:p>
              </w:tc>
              <w:tc>
                <w:tcPr>
                  <w:tcW w:w="1010" w:type="pct"/>
                  <w:shd w:val="clear" w:color="auto" w:fill="auto"/>
                  <w:vAlign w:val="center"/>
                </w:tcPr>
                <w:p w14:paraId="5D56F0B4">
                  <w:pPr>
                    <w:pStyle w:val="29"/>
                    <w:bidi w:val="0"/>
                    <w:rPr>
                      <w:rFonts w:hint="eastAsia"/>
                      <w:color w:val="auto"/>
                      <w:lang w:val="en-US" w:eastAsia="zh-CN"/>
                    </w:rPr>
                  </w:pPr>
                  <w:r>
                    <w:rPr>
                      <w:rFonts w:hint="default"/>
                      <w:color w:val="auto"/>
                      <w:lang w:val="en-US" w:eastAsia="zh-CN"/>
                    </w:rPr>
                    <w:t>酒花槽</w:t>
                  </w:r>
                </w:p>
              </w:tc>
              <w:tc>
                <w:tcPr>
                  <w:tcW w:w="2474" w:type="pct"/>
                  <w:vMerge w:val="continue"/>
                  <w:vAlign w:val="center"/>
                </w:tcPr>
                <w:p w14:paraId="301A8CC2">
                  <w:pPr>
                    <w:pStyle w:val="29"/>
                    <w:bidi w:val="0"/>
                    <w:rPr>
                      <w:rFonts w:hint="eastAsia"/>
                      <w:color w:val="auto"/>
                      <w:lang w:val="en-US" w:eastAsia="zh-CN"/>
                    </w:rPr>
                  </w:pPr>
                </w:p>
              </w:tc>
              <w:tc>
                <w:tcPr>
                  <w:tcW w:w="763" w:type="pct"/>
                  <w:vMerge w:val="continue"/>
                  <w:vAlign w:val="center"/>
                </w:tcPr>
                <w:p w14:paraId="483A99F8">
                  <w:pPr>
                    <w:pStyle w:val="29"/>
                    <w:bidi w:val="0"/>
                    <w:rPr>
                      <w:rFonts w:hint="eastAsia"/>
                      <w:color w:val="auto"/>
                      <w:lang w:val="en-US" w:eastAsia="zh-CN"/>
                    </w:rPr>
                  </w:pPr>
                </w:p>
              </w:tc>
            </w:tr>
            <w:tr w14:paraId="3C1B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6FD6E18D">
                  <w:pPr>
                    <w:pStyle w:val="29"/>
                    <w:bidi w:val="0"/>
                    <w:rPr>
                      <w:rFonts w:hint="default"/>
                      <w:color w:val="auto"/>
                      <w:lang w:val="en-US" w:eastAsia="zh-CN"/>
                    </w:rPr>
                  </w:pPr>
                </w:p>
              </w:tc>
              <w:tc>
                <w:tcPr>
                  <w:tcW w:w="447" w:type="pct"/>
                  <w:vMerge w:val="continue"/>
                  <w:vAlign w:val="center"/>
                </w:tcPr>
                <w:p w14:paraId="4E3EFC58">
                  <w:pPr>
                    <w:pStyle w:val="29"/>
                    <w:bidi w:val="0"/>
                    <w:rPr>
                      <w:rFonts w:hint="default"/>
                      <w:color w:val="auto"/>
                    </w:rPr>
                  </w:pPr>
                </w:p>
              </w:tc>
              <w:tc>
                <w:tcPr>
                  <w:tcW w:w="1010" w:type="pct"/>
                  <w:shd w:val="clear" w:color="auto" w:fill="auto"/>
                  <w:vAlign w:val="center"/>
                </w:tcPr>
                <w:p w14:paraId="025CF4C7">
                  <w:pPr>
                    <w:pStyle w:val="29"/>
                    <w:bidi w:val="0"/>
                    <w:rPr>
                      <w:rFonts w:hint="eastAsia"/>
                      <w:color w:val="auto"/>
                      <w:lang w:val="en-US" w:eastAsia="zh-CN"/>
                    </w:rPr>
                  </w:pPr>
                  <w:r>
                    <w:rPr>
                      <w:rFonts w:hint="default"/>
                      <w:color w:val="auto"/>
                      <w:lang w:val="en-US" w:eastAsia="zh-CN"/>
                    </w:rPr>
                    <w:t>废酵母</w:t>
                  </w:r>
                </w:p>
              </w:tc>
              <w:tc>
                <w:tcPr>
                  <w:tcW w:w="2474" w:type="pct"/>
                  <w:vMerge w:val="continue"/>
                  <w:vAlign w:val="center"/>
                </w:tcPr>
                <w:p w14:paraId="4F5F92A5">
                  <w:pPr>
                    <w:pStyle w:val="29"/>
                    <w:bidi w:val="0"/>
                    <w:rPr>
                      <w:rFonts w:hint="eastAsia"/>
                      <w:color w:val="auto"/>
                      <w:lang w:val="en-US" w:eastAsia="zh-CN"/>
                    </w:rPr>
                  </w:pPr>
                </w:p>
              </w:tc>
              <w:tc>
                <w:tcPr>
                  <w:tcW w:w="763" w:type="pct"/>
                  <w:vMerge w:val="continue"/>
                  <w:vAlign w:val="center"/>
                </w:tcPr>
                <w:p w14:paraId="76053A21">
                  <w:pPr>
                    <w:pStyle w:val="29"/>
                    <w:bidi w:val="0"/>
                    <w:rPr>
                      <w:rFonts w:hint="eastAsia"/>
                      <w:color w:val="auto"/>
                      <w:lang w:val="en-US" w:eastAsia="zh-CN"/>
                    </w:rPr>
                  </w:pPr>
                </w:p>
              </w:tc>
            </w:tr>
            <w:tr w14:paraId="7CD4D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5F78E69F">
                  <w:pPr>
                    <w:pStyle w:val="29"/>
                    <w:bidi w:val="0"/>
                    <w:rPr>
                      <w:rFonts w:hint="default"/>
                      <w:color w:val="auto"/>
                      <w:lang w:val="en-US" w:eastAsia="zh-CN"/>
                    </w:rPr>
                  </w:pPr>
                </w:p>
              </w:tc>
              <w:tc>
                <w:tcPr>
                  <w:tcW w:w="447" w:type="pct"/>
                  <w:vMerge w:val="continue"/>
                  <w:vAlign w:val="center"/>
                </w:tcPr>
                <w:p w14:paraId="1C77F898">
                  <w:pPr>
                    <w:pStyle w:val="29"/>
                    <w:bidi w:val="0"/>
                    <w:rPr>
                      <w:rFonts w:hint="default"/>
                      <w:color w:val="auto"/>
                    </w:rPr>
                  </w:pPr>
                </w:p>
              </w:tc>
              <w:tc>
                <w:tcPr>
                  <w:tcW w:w="1010" w:type="pct"/>
                  <w:shd w:val="clear" w:color="auto" w:fill="auto"/>
                  <w:vAlign w:val="center"/>
                </w:tcPr>
                <w:p w14:paraId="0E6008E6">
                  <w:pPr>
                    <w:pStyle w:val="29"/>
                    <w:bidi w:val="0"/>
                    <w:rPr>
                      <w:rFonts w:hint="eastAsia"/>
                      <w:color w:val="auto"/>
                      <w:lang w:val="en-US" w:eastAsia="zh-CN"/>
                    </w:rPr>
                  </w:pPr>
                  <w:r>
                    <w:rPr>
                      <w:rFonts w:hint="eastAsia"/>
                      <w:color w:val="auto"/>
                      <w:lang w:val="en-US" w:eastAsia="zh-CN"/>
                    </w:rPr>
                    <w:t>除尘灰</w:t>
                  </w:r>
                </w:p>
              </w:tc>
              <w:tc>
                <w:tcPr>
                  <w:tcW w:w="2474" w:type="pct"/>
                  <w:shd w:val="clear" w:color="auto" w:fill="auto"/>
                  <w:vAlign w:val="center"/>
                </w:tcPr>
                <w:p w14:paraId="4B25F5E6">
                  <w:pPr>
                    <w:pStyle w:val="29"/>
                    <w:bidi w:val="0"/>
                    <w:rPr>
                      <w:rFonts w:hint="eastAsia"/>
                      <w:color w:val="auto"/>
                      <w:lang w:val="en-US" w:eastAsia="zh-CN"/>
                    </w:rPr>
                  </w:pPr>
                  <w:r>
                    <w:rPr>
                      <w:rFonts w:hint="eastAsia"/>
                      <w:color w:val="auto"/>
                      <w:lang w:val="en-US" w:eastAsia="zh-CN"/>
                    </w:rPr>
                    <w:t>统一收集后外售。</w:t>
                  </w:r>
                </w:p>
              </w:tc>
              <w:tc>
                <w:tcPr>
                  <w:tcW w:w="763" w:type="pct"/>
                  <w:vMerge w:val="continue"/>
                  <w:vAlign w:val="center"/>
                </w:tcPr>
                <w:p w14:paraId="00D51118">
                  <w:pPr>
                    <w:pStyle w:val="29"/>
                    <w:bidi w:val="0"/>
                    <w:rPr>
                      <w:rFonts w:hint="eastAsia"/>
                      <w:color w:val="auto"/>
                      <w:lang w:val="en-US" w:eastAsia="zh-CN"/>
                    </w:rPr>
                  </w:pPr>
                </w:p>
              </w:tc>
            </w:tr>
            <w:tr w14:paraId="1B66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80974ED">
                  <w:pPr>
                    <w:pStyle w:val="29"/>
                    <w:bidi w:val="0"/>
                    <w:rPr>
                      <w:rFonts w:hint="default"/>
                      <w:color w:val="auto"/>
                      <w:lang w:val="en-US" w:eastAsia="zh-CN"/>
                    </w:rPr>
                  </w:pPr>
                </w:p>
              </w:tc>
              <w:tc>
                <w:tcPr>
                  <w:tcW w:w="447" w:type="pct"/>
                  <w:vMerge w:val="continue"/>
                  <w:vAlign w:val="center"/>
                </w:tcPr>
                <w:p w14:paraId="39CD0109">
                  <w:pPr>
                    <w:pStyle w:val="29"/>
                    <w:bidi w:val="0"/>
                    <w:rPr>
                      <w:rFonts w:hint="default"/>
                      <w:color w:val="auto"/>
                    </w:rPr>
                  </w:pPr>
                </w:p>
              </w:tc>
              <w:tc>
                <w:tcPr>
                  <w:tcW w:w="1010" w:type="pct"/>
                  <w:shd w:val="clear" w:color="auto" w:fill="auto"/>
                  <w:vAlign w:val="center"/>
                </w:tcPr>
                <w:p w14:paraId="07F96207">
                  <w:pPr>
                    <w:pStyle w:val="29"/>
                    <w:bidi w:val="0"/>
                    <w:rPr>
                      <w:rFonts w:hint="eastAsia"/>
                      <w:color w:val="auto"/>
                      <w:lang w:val="en-US" w:eastAsia="zh-CN"/>
                    </w:rPr>
                  </w:pPr>
                  <w:r>
                    <w:rPr>
                      <w:rFonts w:hint="default"/>
                      <w:color w:val="auto"/>
                      <w:lang w:val="en-US" w:eastAsia="zh-CN"/>
                    </w:rPr>
                    <w:t>废弃包装物</w:t>
                  </w:r>
                </w:p>
              </w:tc>
              <w:tc>
                <w:tcPr>
                  <w:tcW w:w="2474" w:type="pct"/>
                  <w:shd w:val="clear" w:color="auto" w:fill="auto"/>
                  <w:vAlign w:val="center"/>
                </w:tcPr>
                <w:p w14:paraId="2DB70875">
                  <w:pPr>
                    <w:pStyle w:val="29"/>
                    <w:bidi w:val="0"/>
                    <w:rPr>
                      <w:rFonts w:hint="eastAsia"/>
                      <w:color w:val="auto"/>
                      <w:lang w:val="en-US" w:eastAsia="zh-CN"/>
                    </w:rPr>
                  </w:pPr>
                  <w:r>
                    <w:rPr>
                      <w:rFonts w:hint="eastAsia"/>
                      <w:color w:val="auto"/>
                      <w:lang w:val="en-US" w:eastAsia="zh-CN"/>
                    </w:rPr>
                    <w:t>收集后由环卫部门统一处置。</w:t>
                  </w:r>
                </w:p>
              </w:tc>
              <w:tc>
                <w:tcPr>
                  <w:tcW w:w="763" w:type="pct"/>
                  <w:vMerge w:val="continue"/>
                  <w:vAlign w:val="center"/>
                </w:tcPr>
                <w:p w14:paraId="56854F16">
                  <w:pPr>
                    <w:pStyle w:val="29"/>
                    <w:bidi w:val="0"/>
                    <w:rPr>
                      <w:rFonts w:hint="eastAsia"/>
                      <w:color w:val="auto"/>
                      <w:lang w:val="en-US" w:eastAsia="zh-CN"/>
                    </w:rPr>
                  </w:pPr>
                </w:p>
              </w:tc>
            </w:tr>
            <w:tr w14:paraId="1CB7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1AA4190D">
                  <w:pPr>
                    <w:pStyle w:val="29"/>
                    <w:bidi w:val="0"/>
                    <w:rPr>
                      <w:rFonts w:hint="default"/>
                      <w:color w:val="auto"/>
                      <w:lang w:val="en-US" w:eastAsia="zh-CN"/>
                    </w:rPr>
                  </w:pPr>
                </w:p>
              </w:tc>
              <w:tc>
                <w:tcPr>
                  <w:tcW w:w="447" w:type="pct"/>
                  <w:vMerge w:val="continue"/>
                  <w:vAlign w:val="center"/>
                </w:tcPr>
                <w:p w14:paraId="51E2C220">
                  <w:pPr>
                    <w:pStyle w:val="29"/>
                    <w:bidi w:val="0"/>
                    <w:rPr>
                      <w:rFonts w:hint="default"/>
                      <w:color w:val="auto"/>
                    </w:rPr>
                  </w:pPr>
                </w:p>
              </w:tc>
              <w:tc>
                <w:tcPr>
                  <w:tcW w:w="1010" w:type="pct"/>
                  <w:shd w:val="clear" w:color="auto" w:fill="auto"/>
                  <w:vAlign w:val="center"/>
                </w:tcPr>
                <w:p w14:paraId="5A77C924">
                  <w:pPr>
                    <w:pStyle w:val="29"/>
                    <w:bidi w:val="0"/>
                    <w:rPr>
                      <w:rFonts w:hint="eastAsia"/>
                      <w:color w:val="auto"/>
                      <w:lang w:val="en-US" w:eastAsia="zh-CN"/>
                    </w:rPr>
                  </w:pPr>
                  <w:r>
                    <w:rPr>
                      <w:rFonts w:hint="default"/>
                      <w:color w:val="auto"/>
                      <w:lang w:val="en-US" w:eastAsia="zh-CN"/>
                    </w:rPr>
                    <w:t>化粪池污泥</w:t>
                  </w:r>
                </w:p>
              </w:tc>
              <w:tc>
                <w:tcPr>
                  <w:tcW w:w="2474" w:type="pct"/>
                  <w:vMerge w:val="restart"/>
                  <w:shd w:val="clear" w:color="auto" w:fill="auto"/>
                  <w:vAlign w:val="center"/>
                </w:tcPr>
                <w:p w14:paraId="32A96FB9">
                  <w:pPr>
                    <w:pStyle w:val="29"/>
                    <w:bidi w:val="0"/>
                    <w:rPr>
                      <w:rFonts w:hint="eastAsia"/>
                      <w:color w:val="auto"/>
                      <w:lang w:val="en-US" w:eastAsia="zh-CN"/>
                    </w:rPr>
                  </w:pPr>
                  <w:r>
                    <w:rPr>
                      <w:rFonts w:hint="eastAsia"/>
                      <w:color w:val="auto"/>
                      <w:lang w:val="en-US" w:eastAsia="zh-CN"/>
                    </w:rPr>
                    <w:t>定期委托环卫部门清掏处理。</w:t>
                  </w:r>
                </w:p>
              </w:tc>
              <w:tc>
                <w:tcPr>
                  <w:tcW w:w="763" w:type="pct"/>
                  <w:vMerge w:val="continue"/>
                  <w:vAlign w:val="center"/>
                </w:tcPr>
                <w:p w14:paraId="484FEAAC">
                  <w:pPr>
                    <w:pStyle w:val="29"/>
                    <w:bidi w:val="0"/>
                    <w:rPr>
                      <w:rFonts w:hint="eastAsia"/>
                      <w:color w:val="auto"/>
                      <w:lang w:val="en-US" w:eastAsia="zh-CN"/>
                    </w:rPr>
                  </w:pPr>
                </w:p>
              </w:tc>
            </w:tr>
            <w:tr w14:paraId="7399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EE991F1">
                  <w:pPr>
                    <w:pStyle w:val="29"/>
                    <w:bidi w:val="0"/>
                    <w:rPr>
                      <w:rFonts w:hint="default"/>
                      <w:color w:val="auto"/>
                      <w:lang w:val="en-US" w:eastAsia="zh-CN"/>
                    </w:rPr>
                  </w:pPr>
                </w:p>
              </w:tc>
              <w:tc>
                <w:tcPr>
                  <w:tcW w:w="447" w:type="pct"/>
                  <w:vMerge w:val="continue"/>
                  <w:vAlign w:val="center"/>
                </w:tcPr>
                <w:p w14:paraId="23D61990">
                  <w:pPr>
                    <w:pStyle w:val="29"/>
                    <w:bidi w:val="0"/>
                    <w:rPr>
                      <w:rFonts w:hint="default"/>
                      <w:color w:val="auto"/>
                    </w:rPr>
                  </w:pPr>
                </w:p>
              </w:tc>
              <w:tc>
                <w:tcPr>
                  <w:tcW w:w="1010" w:type="pct"/>
                  <w:shd w:val="clear" w:color="auto" w:fill="auto"/>
                  <w:vAlign w:val="center"/>
                </w:tcPr>
                <w:p w14:paraId="000BE61C">
                  <w:pPr>
                    <w:pStyle w:val="29"/>
                    <w:bidi w:val="0"/>
                    <w:rPr>
                      <w:rFonts w:hint="eastAsia"/>
                      <w:color w:val="auto"/>
                      <w:lang w:val="en-US" w:eastAsia="zh-CN"/>
                    </w:rPr>
                  </w:pPr>
                  <w:r>
                    <w:rPr>
                      <w:rFonts w:hint="default"/>
                      <w:color w:val="auto"/>
                      <w:lang w:val="en-US" w:eastAsia="zh-CN"/>
                    </w:rPr>
                    <w:t>污水处理站污泥</w:t>
                  </w:r>
                </w:p>
              </w:tc>
              <w:tc>
                <w:tcPr>
                  <w:tcW w:w="2474" w:type="pct"/>
                  <w:vMerge w:val="continue"/>
                  <w:vAlign w:val="center"/>
                </w:tcPr>
                <w:p w14:paraId="5EC02E37">
                  <w:pPr>
                    <w:pStyle w:val="29"/>
                    <w:bidi w:val="0"/>
                    <w:rPr>
                      <w:rFonts w:hint="eastAsia"/>
                      <w:color w:val="auto"/>
                      <w:lang w:val="en-US" w:eastAsia="zh-CN"/>
                    </w:rPr>
                  </w:pPr>
                </w:p>
              </w:tc>
              <w:tc>
                <w:tcPr>
                  <w:tcW w:w="763" w:type="pct"/>
                  <w:vMerge w:val="continue"/>
                  <w:vAlign w:val="center"/>
                </w:tcPr>
                <w:p w14:paraId="3868593C">
                  <w:pPr>
                    <w:pStyle w:val="29"/>
                    <w:bidi w:val="0"/>
                    <w:rPr>
                      <w:rFonts w:hint="eastAsia"/>
                      <w:color w:val="auto"/>
                      <w:lang w:val="en-US" w:eastAsia="zh-CN"/>
                    </w:rPr>
                  </w:pPr>
                </w:p>
              </w:tc>
            </w:tr>
            <w:tr w14:paraId="2CA2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0B0E636A">
                  <w:pPr>
                    <w:pStyle w:val="29"/>
                    <w:bidi w:val="0"/>
                    <w:rPr>
                      <w:rFonts w:hint="default"/>
                      <w:color w:val="auto"/>
                      <w:lang w:val="en-US" w:eastAsia="zh-CN"/>
                    </w:rPr>
                  </w:pPr>
                </w:p>
              </w:tc>
              <w:tc>
                <w:tcPr>
                  <w:tcW w:w="447" w:type="pct"/>
                  <w:vMerge w:val="continue"/>
                  <w:vAlign w:val="center"/>
                </w:tcPr>
                <w:p w14:paraId="2C765E71">
                  <w:pPr>
                    <w:pStyle w:val="29"/>
                    <w:bidi w:val="0"/>
                    <w:rPr>
                      <w:rFonts w:hint="default"/>
                      <w:color w:val="auto"/>
                    </w:rPr>
                  </w:pPr>
                </w:p>
              </w:tc>
              <w:tc>
                <w:tcPr>
                  <w:tcW w:w="1010" w:type="pct"/>
                  <w:shd w:val="clear" w:color="auto" w:fill="auto"/>
                  <w:vAlign w:val="center"/>
                </w:tcPr>
                <w:p w14:paraId="15A82A7C">
                  <w:pPr>
                    <w:pStyle w:val="29"/>
                    <w:bidi w:val="0"/>
                    <w:rPr>
                      <w:rFonts w:hint="default"/>
                      <w:color w:val="auto"/>
                      <w:lang w:val="en-US" w:eastAsia="zh-CN"/>
                    </w:rPr>
                  </w:pPr>
                  <w:r>
                    <w:rPr>
                      <w:rFonts w:hint="eastAsia"/>
                      <w:color w:val="auto"/>
                      <w:lang w:val="en-US" w:eastAsia="zh-CN"/>
                    </w:rPr>
                    <w:t>废布袋</w:t>
                  </w:r>
                </w:p>
              </w:tc>
              <w:tc>
                <w:tcPr>
                  <w:tcW w:w="2474" w:type="pct"/>
                  <w:vAlign w:val="center"/>
                </w:tcPr>
                <w:p w14:paraId="523D35BE">
                  <w:pPr>
                    <w:pStyle w:val="29"/>
                    <w:bidi w:val="0"/>
                    <w:rPr>
                      <w:rFonts w:hint="eastAsia"/>
                      <w:color w:val="auto"/>
                      <w:lang w:val="en-US" w:eastAsia="zh-CN"/>
                    </w:rPr>
                  </w:pPr>
                  <w:r>
                    <w:rPr>
                      <w:rFonts w:hint="eastAsia"/>
                      <w:color w:val="auto"/>
                      <w:lang w:val="en-US" w:eastAsia="zh-CN"/>
                    </w:rPr>
                    <w:t>收集后由环卫部门统一处置。</w:t>
                  </w:r>
                </w:p>
              </w:tc>
              <w:tc>
                <w:tcPr>
                  <w:tcW w:w="763" w:type="pct"/>
                  <w:vMerge w:val="continue"/>
                  <w:vAlign w:val="center"/>
                </w:tcPr>
                <w:p w14:paraId="17ACC75F">
                  <w:pPr>
                    <w:pStyle w:val="29"/>
                    <w:bidi w:val="0"/>
                    <w:rPr>
                      <w:rFonts w:hint="eastAsia"/>
                      <w:color w:val="auto"/>
                      <w:lang w:val="en-US" w:eastAsia="zh-CN"/>
                    </w:rPr>
                  </w:pPr>
                </w:p>
              </w:tc>
            </w:tr>
            <w:tr w14:paraId="791A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C084201">
                  <w:pPr>
                    <w:pStyle w:val="29"/>
                    <w:bidi w:val="0"/>
                    <w:rPr>
                      <w:rFonts w:hint="default"/>
                      <w:color w:val="auto"/>
                      <w:lang w:val="en-US" w:eastAsia="zh-CN"/>
                    </w:rPr>
                  </w:pPr>
                </w:p>
              </w:tc>
              <w:tc>
                <w:tcPr>
                  <w:tcW w:w="447" w:type="pct"/>
                  <w:vMerge w:val="continue"/>
                  <w:vAlign w:val="center"/>
                </w:tcPr>
                <w:p w14:paraId="68C32421">
                  <w:pPr>
                    <w:pStyle w:val="29"/>
                    <w:bidi w:val="0"/>
                    <w:rPr>
                      <w:rFonts w:hint="default"/>
                      <w:color w:val="auto"/>
                    </w:rPr>
                  </w:pPr>
                </w:p>
              </w:tc>
              <w:tc>
                <w:tcPr>
                  <w:tcW w:w="1010" w:type="pct"/>
                  <w:shd w:val="clear" w:color="auto" w:fill="auto"/>
                  <w:vAlign w:val="center"/>
                </w:tcPr>
                <w:p w14:paraId="3D8580E5">
                  <w:pPr>
                    <w:pStyle w:val="29"/>
                    <w:bidi w:val="0"/>
                    <w:rPr>
                      <w:rFonts w:hint="eastAsia"/>
                      <w:color w:val="auto"/>
                      <w:lang w:val="en-US" w:eastAsia="zh-CN"/>
                    </w:rPr>
                  </w:pPr>
                  <w:r>
                    <w:rPr>
                      <w:rFonts w:hint="default"/>
                      <w:color w:val="auto"/>
                      <w:lang w:val="en-US" w:eastAsia="zh-CN"/>
                    </w:rPr>
                    <w:t>废滤芯</w:t>
                  </w:r>
                </w:p>
              </w:tc>
              <w:tc>
                <w:tcPr>
                  <w:tcW w:w="2474" w:type="pct"/>
                  <w:vMerge w:val="restart"/>
                  <w:shd w:val="clear" w:color="auto" w:fill="auto"/>
                  <w:vAlign w:val="center"/>
                </w:tcPr>
                <w:p w14:paraId="432B5AAE">
                  <w:pPr>
                    <w:pStyle w:val="29"/>
                    <w:bidi w:val="0"/>
                    <w:ind w:firstLine="0" w:firstLineChars="0"/>
                    <w:rPr>
                      <w:rFonts w:hint="eastAsia"/>
                      <w:color w:val="auto"/>
                      <w:lang w:val="en-US" w:eastAsia="zh-CN"/>
                    </w:rPr>
                  </w:pPr>
                  <w:r>
                    <w:rPr>
                      <w:rFonts w:hint="eastAsia"/>
                      <w:color w:val="auto"/>
                      <w:lang w:val="en-US" w:eastAsia="zh-CN"/>
                    </w:rPr>
                    <w:t>设备厂家更换回收处理。</w:t>
                  </w:r>
                </w:p>
              </w:tc>
              <w:tc>
                <w:tcPr>
                  <w:tcW w:w="763" w:type="pct"/>
                  <w:vMerge w:val="continue"/>
                  <w:vAlign w:val="center"/>
                </w:tcPr>
                <w:p w14:paraId="7A7A4FB9">
                  <w:pPr>
                    <w:pStyle w:val="29"/>
                    <w:bidi w:val="0"/>
                    <w:rPr>
                      <w:rFonts w:hint="eastAsia"/>
                      <w:color w:val="auto"/>
                      <w:lang w:val="en-US" w:eastAsia="zh-CN"/>
                    </w:rPr>
                  </w:pPr>
                </w:p>
              </w:tc>
            </w:tr>
            <w:tr w14:paraId="3968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45F67AD0">
                  <w:pPr>
                    <w:pStyle w:val="29"/>
                    <w:bidi w:val="0"/>
                    <w:rPr>
                      <w:rFonts w:hint="default"/>
                      <w:color w:val="auto"/>
                      <w:lang w:val="en-US" w:eastAsia="zh-CN"/>
                    </w:rPr>
                  </w:pPr>
                </w:p>
              </w:tc>
              <w:tc>
                <w:tcPr>
                  <w:tcW w:w="447" w:type="pct"/>
                  <w:vMerge w:val="continue"/>
                  <w:vAlign w:val="center"/>
                </w:tcPr>
                <w:p w14:paraId="741B292F">
                  <w:pPr>
                    <w:pStyle w:val="29"/>
                    <w:bidi w:val="0"/>
                    <w:rPr>
                      <w:rFonts w:hint="default"/>
                      <w:color w:val="auto"/>
                    </w:rPr>
                  </w:pPr>
                </w:p>
              </w:tc>
              <w:tc>
                <w:tcPr>
                  <w:tcW w:w="1010" w:type="pct"/>
                  <w:shd w:val="clear" w:color="auto" w:fill="auto"/>
                  <w:vAlign w:val="center"/>
                </w:tcPr>
                <w:p w14:paraId="3BFE4EDD">
                  <w:pPr>
                    <w:pStyle w:val="29"/>
                    <w:bidi w:val="0"/>
                    <w:rPr>
                      <w:rFonts w:hint="eastAsia"/>
                      <w:color w:val="auto"/>
                      <w:lang w:val="en-US" w:eastAsia="zh-CN"/>
                    </w:rPr>
                  </w:pPr>
                  <w:r>
                    <w:rPr>
                      <w:rFonts w:hint="default"/>
                      <w:color w:val="auto"/>
                      <w:lang w:val="en-US" w:eastAsia="zh-CN"/>
                    </w:rPr>
                    <w:t>废石英砂</w:t>
                  </w:r>
                </w:p>
              </w:tc>
              <w:tc>
                <w:tcPr>
                  <w:tcW w:w="2474" w:type="pct"/>
                  <w:vMerge w:val="continue"/>
                  <w:vAlign w:val="center"/>
                </w:tcPr>
                <w:p w14:paraId="1F5F4F05">
                  <w:pPr>
                    <w:pStyle w:val="29"/>
                    <w:bidi w:val="0"/>
                    <w:rPr>
                      <w:rFonts w:hint="eastAsia"/>
                      <w:color w:val="auto"/>
                      <w:lang w:val="en-US" w:eastAsia="zh-CN"/>
                    </w:rPr>
                  </w:pPr>
                </w:p>
              </w:tc>
              <w:tc>
                <w:tcPr>
                  <w:tcW w:w="763" w:type="pct"/>
                  <w:vMerge w:val="continue"/>
                  <w:vAlign w:val="center"/>
                </w:tcPr>
                <w:p w14:paraId="7E02A721">
                  <w:pPr>
                    <w:pStyle w:val="29"/>
                    <w:bidi w:val="0"/>
                    <w:rPr>
                      <w:rFonts w:hint="eastAsia"/>
                      <w:color w:val="auto"/>
                      <w:lang w:val="en-US" w:eastAsia="zh-CN"/>
                    </w:rPr>
                  </w:pPr>
                </w:p>
              </w:tc>
            </w:tr>
            <w:tr w14:paraId="712F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1E30541B">
                  <w:pPr>
                    <w:pStyle w:val="29"/>
                    <w:bidi w:val="0"/>
                    <w:rPr>
                      <w:rFonts w:hint="default"/>
                      <w:color w:val="auto"/>
                      <w:lang w:val="en-US" w:eastAsia="zh-CN"/>
                    </w:rPr>
                  </w:pPr>
                </w:p>
              </w:tc>
              <w:tc>
                <w:tcPr>
                  <w:tcW w:w="447" w:type="pct"/>
                  <w:vMerge w:val="continue"/>
                  <w:vAlign w:val="center"/>
                </w:tcPr>
                <w:p w14:paraId="1A0DACAB">
                  <w:pPr>
                    <w:pStyle w:val="29"/>
                    <w:bidi w:val="0"/>
                    <w:rPr>
                      <w:rFonts w:hint="default"/>
                      <w:color w:val="auto"/>
                    </w:rPr>
                  </w:pPr>
                </w:p>
              </w:tc>
              <w:tc>
                <w:tcPr>
                  <w:tcW w:w="1010" w:type="pct"/>
                  <w:shd w:val="clear" w:color="auto" w:fill="auto"/>
                  <w:vAlign w:val="center"/>
                </w:tcPr>
                <w:p w14:paraId="7721F084">
                  <w:pPr>
                    <w:pStyle w:val="29"/>
                    <w:bidi w:val="0"/>
                    <w:rPr>
                      <w:rFonts w:hint="eastAsia"/>
                      <w:color w:val="auto"/>
                      <w:lang w:val="en-US" w:eastAsia="zh-CN"/>
                    </w:rPr>
                  </w:pPr>
                  <w:r>
                    <w:rPr>
                      <w:rFonts w:hint="default"/>
                      <w:color w:val="auto"/>
                      <w:lang w:val="en-US" w:eastAsia="zh-CN"/>
                    </w:rPr>
                    <w:t>废RO膜</w:t>
                  </w:r>
                </w:p>
              </w:tc>
              <w:tc>
                <w:tcPr>
                  <w:tcW w:w="2474" w:type="pct"/>
                  <w:vMerge w:val="continue"/>
                  <w:vAlign w:val="center"/>
                </w:tcPr>
                <w:p w14:paraId="537EFE63">
                  <w:pPr>
                    <w:pStyle w:val="29"/>
                    <w:bidi w:val="0"/>
                    <w:rPr>
                      <w:rFonts w:hint="eastAsia"/>
                      <w:color w:val="auto"/>
                      <w:lang w:val="en-US" w:eastAsia="zh-CN"/>
                    </w:rPr>
                  </w:pPr>
                </w:p>
              </w:tc>
              <w:tc>
                <w:tcPr>
                  <w:tcW w:w="763" w:type="pct"/>
                  <w:vMerge w:val="continue"/>
                  <w:vAlign w:val="center"/>
                </w:tcPr>
                <w:p w14:paraId="536B72C5">
                  <w:pPr>
                    <w:pStyle w:val="29"/>
                    <w:bidi w:val="0"/>
                    <w:rPr>
                      <w:rFonts w:hint="eastAsia"/>
                      <w:color w:val="auto"/>
                      <w:lang w:val="en-US" w:eastAsia="zh-CN"/>
                    </w:rPr>
                  </w:pPr>
                </w:p>
              </w:tc>
            </w:tr>
            <w:tr w14:paraId="5BD2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22F9A533">
                  <w:pPr>
                    <w:pStyle w:val="29"/>
                    <w:bidi w:val="0"/>
                    <w:rPr>
                      <w:rFonts w:hint="default"/>
                      <w:color w:val="auto"/>
                      <w:lang w:val="en-US" w:eastAsia="zh-CN"/>
                    </w:rPr>
                  </w:pPr>
                </w:p>
              </w:tc>
              <w:tc>
                <w:tcPr>
                  <w:tcW w:w="447" w:type="pct"/>
                  <w:vMerge w:val="continue"/>
                  <w:vAlign w:val="center"/>
                </w:tcPr>
                <w:p w14:paraId="052CB210">
                  <w:pPr>
                    <w:pStyle w:val="29"/>
                    <w:bidi w:val="0"/>
                    <w:rPr>
                      <w:rFonts w:hint="default"/>
                      <w:color w:val="auto"/>
                    </w:rPr>
                  </w:pPr>
                </w:p>
              </w:tc>
              <w:tc>
                <w:tcPr>
                  <w:tcW w:w="1010" w:type="pct"/>
                  <w:shd w:val="clear" w:color="auto" w:fill="auto"/>
                  <w:vAlign w:val="center"/>
                </w:tcPr>
                <w:p w14:paraId="6CFF6741">
                  <w:pPr>
                    <w:pStyle w:val="29"/>
                    <w:bidi w:val="0"/>
                    <w:rPr>
                      <w:rFonts w:hint="default" w:eastAsia="宋体"/>
                      <w:color w:val="auto"/>
                      <w:lang w:val="en-US" w:eastAsia="zh-CN"/>
                    </w:rPr>
                  </w:pPr>
                  <w:r>
                    <w:rPr>
                      <w:color w:val="auto"/>
                    </w:rPr>
                    <w:t>废</w:t>
                  </w:r>
                  <w:r>
                    <w:rPr>
                      <w:rFonts w:hint="eastAsia"/>
                      <w:color w:val="auto"/>
                      <w:lang w:eastAsia="zh-CN"/>
                    </w:rPr>
                    <w:t>机</w:t>
                  </w:r>
                  <w:r>
                    <w:rPr>
                      <w:color w:val="auto"/>
                    </w:rPr>
                    <w:t>油</w:t>
                  </w:r>
                  <w:r>
                    <w:rPr>
                      <w:rFonts w:hint="eastAsia"/>
                      <w:color w:val="auto"/>
                      <w:lang w:eastAsia="zh-CN"/>
                    </w:rPr>
                    <w:t>、</w:t>
                  </w:r>
                  <w:r>
                    <w:rPr>
                      <w:color w:val="auto"/>
                    </w:rPr>
                    <w:t>废油桶</w:t>
                  </w:r>
                  <w:r>
                    <w:rPr>
                      <w:rFonts w:hint="eastAsia"/>
                      <w:color w:val="auto"/>
                      <w:lang w:eastAsia="zh-CN"/>
                    </w:rPr>
                    <w:t>、</w:t>
                  </w:r>
                  <w:r>
                    <w:rPr>
                      <w:rFonts w:hint="eastAsia"/>
                      <w:color w:val="auto"/>
                      <w:lang w:val="en-US" w:eastAsia="zh-CN"/>
                    </w:rPr>
                    <w:t>酸碱废液</w:t>
                  </w:r>
                </w:p>
              </w:tc>
              <w:tc>
                <w:tcPr>
                  <w:tcW w:w="2474" w:type="pct"/>
                  <w:vAlign w:val="center"/>
                </w:tcPr>
                <w:p w14:paraId="45806217">
                  <w:pPr>
                    <w:pStyle w:val="29"/>
                    <w:bidi w:val="0"/>
                    <w:rPr>
                      <w:rFonts w:hint="default"/>
                      <w:color w:val="auto"/>
                      <w:lang w:val="en-US" w:eastAsia="zh-CN"/>
                    </w:rPr>
                  </w:pPr>
                  <w:r>
                    <w:rPr>
                      <w:rFonts w:hint="eastAsia"/>
                      <w:color w:val="auto"/>
                      <w:lang w:val="en-US" w:eastAsia="zh-CN"/>
                    </w:rPr>
                    <w:t>1间，危废暂存间10m</w:t>
                  </w:r>
                  <w:r>
                    <w:rPr>
                      <w:rFonts w:hint="eastAsia"/>
                      <w:color w:val="auto"/>
                      <w:vertAlign w:val="superscript"/>
                      <w:lang w:val="en-US" w:eastAsia="zh-CN"/>
                    </w:rPr>
                    <w:t>2</w:t>
                  </w:r>
                  <w:r>
                    <w:rPr>
                      <w:rFonts w:hint="eastAsia"/>
                      <w:color w:val="auto"/>
                      <w:lang w:val="en-US" w:eastAsia="zh-CN"/>
                    </w:rPr>
                    <w:t>。</w:t>
                  </w:r>
                </w:p>
              </w:tc>
              <w:tc>
                <w:tcPr>
                  <w:tcW w:w="763" w:type="pct"/>
                  <w:vAlign w:val="center"/>
                </w:tcPr>
                <w:p w14:paraId="1226723F">
                  <w:pPr>
                    <w:pStyle w:val="29"/>
                    <w:bidi w:val="0"/>
                    <w:rPr>
                      <w:rFonts w:hint="default"/>
                      <w:color w:val="auto"/>
                      <w:lang w:val="en-US" w:eastAsia="zh-CN"/>
                    </w:rPr>
                  </w:pPr>
                  <w:r>
                    <w:rPr>
                      <w:rFonts w:hint="eastAsia"/>
                      <w:color w:val="auto"/>
                      <w:lang w:val="en-US" w:eastAsia="zh-CN"/>
                    </w:rPr>
                    <w:t>10</w:t>
                  </w:r>
                </w:p>
              </w:tc>
            </w:tr>
            <w:tr w14:paraId="4619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4" w:type="pct"/>
                  <w:vMerge w:val="continue"/>
                  <w:vAlign w:val="center"/>
                </w:tcPr>
                <w:p w14:paraId="2233D388">
                  <w:pPr>
                    <w:pStyle w:val="29"/>
                    <w:bidi w:val="0"/>
                    <w:rPr>
                      <w:rFonts w:hint="default"/>
                      <w:color w:val="auto"/>
                      <w:lang w:val="en-US" w:eastAsia="zh-CN"/>
                    </w:rPr>
                  </w:pPr>
                </w:p>
              </w:tc>
              <w:tc>
                <w:tcPr>
                  <w:tcW w:w="1457" w:type="pct"/>
                  <w:gridSpan w:val="2"/>
                  <w:vAlign w:val="center"/>
                </w:tcPr>
                <w:p w14:paraId="587C967A">
                  <w:pPr>
                    <w:pStyle w:val="29"/>
                    <w:bidi w:val="0"/>
                    <w:rPr>
                      <w:rFonts w:hint="eastAsia"/>
                      <w:color w:val="auto"/>
                      <w:lang w:eastAsia="zh-CN"/>
                    </w:rPr>
                  </w:pPr>
                  <w:r>
                    <w:rPr>
                      <w:rFonts w:hint="eastAsia"/>
                      <w:color w:val="auto"/>
                      <w:lang w:eastAsia="zh-CN"/>
                    </w:rPr>
                    <w:t>防渗措施</w:t>
                  </w:r>
                </w:p>
              </w:tc>
              <w:tc>
                <w:tcPr>
                  <w:tcW w:w="2474" w:type="pct"/>
                  <w:vAlign w:val="center"/>
                </w:tcPr>
                <w:p w14:paraId="6766E6D5">
                  <w:pPr>
                    <w:pStyle w:val="29"/>
                    <w:bidi w:val="0"/>
                    <w:rPr>
                      <w:rFonts w:hint="eastAsia"/>
                      <w:color w:val="auto"/>
                      <w:lang w:val="en-US" w:eastAsia="zh-CN"/>
                    </w:rPr>
                  </w:pPr>
                  <w:r>
                    <w:rPr>
                      <w:rFonts w:hint="eastAsia"/>
                      <w:color w:val="auto"/>
                      <w:lang w:val="en-US" w:eastAsia="zh-CN"/>
                    </w:rPr>
                    <w:t>重点防渗区：危废暂存间按照《危险废物贮存污染控制标准》（GB18597-2023）中基础必须防渗，防渗层为至少1m厚黏土层(渗透系数≤10</w:t>
                  </w:r>
                  <w:r>
                    <w:rPr>
                      <w:rFonts w:hint="eastAsia"/>
                      <w:color w:val="auto"/>
                      <w:vertAlign w:val="superscript"/>
                      <w:lang w:val="en-US" w:eastAsia="zh-CN"/>
                    </w:rPr>
                    <w:t>-7</w:t>
                  </w:r>
                  <w:r>
                    <w:rPr>
                      <w:rFonts w:hint="eastAsia"/>
                      <w:color w:val="auto"/>
                      <w:lang w:val="en-US" w:eastAsia="zh-CN"/>
                    </w:rPr>
                    <w:t>cm/s)，或2mm厚高密度聚乙烯，或至少2mm厚的其它人工材料，渗透系数≤10</w:t>
                  </w:r>
                  <w:r>
                    <w:rPr>
                      <w:rFonts w:hint="eastAsia"/>
                      <w:color w:val="auto"/>
                      <w:vertAlign w:val="superscript"/>
                      <w:lang w:val="en-US" w:eastAsia="zh-CN"/>
                    </w:rPr>
                    <w:t>-10</w:t>
                  </w:r>
                  <w:r>
                    <w:rPr>
                      <w:rFonts w:hint="eastAsia"/>
                      <w:color w:val="auto"/>
                      <w:lang w:val="en-US" w:eastAsia="zh-CN"/>
                    </w:rPr>
                    <w:t>cm/s进行防渗；</w:t>
                  </w:r>
                </w:p>
                <w:p w14:paraId="63619BF3">
                  <w:pPr>
                    <w:pStyle w:val="29"/>
                    <w:bidi w:val="0"/>
                    <w:rPr>
                      <w:rFonts w:hint="default"/>
                      <w:color w:val="auto"/>
                      <w:lang w:val="en-US" w:eastAsia="zh-CN"/>
                    </w:rPr>
                  </w:pPr>
                  <w:r>
                    <w:rPr>
                      <w:rFonts w:hint="eastAsia"/>
                      <w:color w:val="auto"/>
                      <w:lang w:val="en-US" w:eastAsia="zh-CN"/>
                    </w:rPr>
                    <w:t>一般防渗区：沉淀池、化粪池、一体化污水处理设备、事故池，，满足</w:t>
                  </w:r>
                  <w:r>
                    <w:rPr>
                      <w:rFonts w:hint="default"/>
                      <w:color w:val="auto"/>
                      <w:lang w:val="en-US" w:eastAsia="zh-CN"/>
                    </w:rPr>
                    <w:t>等效黏土防渗层厚度Mb≥1.5m，渗透系数K≤1.0×10</w:t>
                  </w:r>
                  <w:r>
                    <w:rPr>
                      <w:rFonts w:hint="default"/>
                      <w:color w:val="auto"/>
                      <w:vertAlign w:val="superscript"/>
                      <w:lang w:val="en-US" w:eastAsia="zh-CN"/>
                    </w:rPr>
                    <w:t>-7</w:t>
                  </w:r>
                  <w:r>
                    <w:rPr>
                      <w:rFonts w:hint="default"/>
                      <w:color w:val="auto"/>
                      <w:lang w:val="en-US" w:eastAsia="zh-CN"/>
                    </w:rPr>
                    <w:t>cm/s</w:t>
                  </w:r>
                  <w:r>
                    <w:rPr>
                      <w:rFonts w:hint="eastAsia"/>
                      <w:color w:val="auto"/>
                      <w:lang w:val="en-US" w:eastAsia="zh-CN"/>
                    </w:rPr>
                    <w:t>；</w:t>
                  </w:r>
                </w:p>
                <w:p w14:paraId="5F1D4A5C">
                  <w:pPr>
                    <w:pStyle w:val="29"/>
                    <w:bidi w:val="0"/>
                    <w:rPr>
                      <w:rFonts w:hint="eastAsia"/>
                      <w:color w:val="auto"/>
                      <w:lang w:val="en-US" w:eastAsia="zh-CN"/>
                    </w:rPr>
                  </w:pPr>
                  <w:r>
                    <w:rPr>
                      <w:rFonts w:hint="eastAsia"/>
                      <w:color w:val="auto"/>
                      <w:lang w:val="en-US" w:eastAsia="zh-CN"/>
                    </w:rPr>
                    <w:t>简单防渗区：办公区、生产车间、厂内道路防渗技术要求为地面硬化。</w:t>
                  </w:r>
                </w:p>
              </w:tc>
              <w:tc>
                <w:tcPr>
                  <w:tcW w:w="763" w:type="pct"/>
                  <w:vAlign w:val="center"/>
                </w:tcPr>
                <w:p w14:paraId="04694DB6">
                  <w:pPr>
                    <w:pStyle w:val="29"/>
                    <w:bidi w:val="0"/>
                    <w:rPr>
                      <w:rFonts w:hint="default"/>
                      <w:color w:val="auto"/>
                      <w:lang w:val="en-US" w:eastAsia="zh-CN"/>
                    </w:rPr>
                  </w:pPr>
                  <w:r>
                    <w:rPr>
                      <w:rFonts w:hint="eastAsia"/>
                      <w:color w:val="auto"/>
                      <w:lang w:val="en-US" w:eastAsia="zh-CN"/>
                    </w:rPr>
                    <w:t>10</w:t>
                  </w:r>
                </w:p>
              </w:tc>
            </w:tr>
            <w:tr w14:paraId="112B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236" w:type="pct"/>
                  <w:gridSpan w:val="4"/>
                  <w:vAlign w:val="center"/>
                </w:tcPr>
                <w:p w14:paraId="5AA933FF">
                  <w:pPr>
                    <w:pStyle w:val="29"/>
                    <w:bidi w:val="0"/>
                    <w:rPr>
                      <w:rFonts w:hint="default"/>
                      <w:color w:val="auto"/>
                    </w:rPr>
                  </w:pPr>
                  <w:r>
                    <w:rPr>
                      <w:rFonts w:hint="default"/>
                      <w:color w:val="auto"/>
                    </w:rPr>
                    <w:t>合计</w:t>
                  </w:r>
                </w:p>
              </w:tc>
              <w:tc>
                <w:tcPr>
                  <w:tcW w:w="763" w:type="pct"/>
                  <w:vAlign w:val="center"/>
                </w:tcPr>
                <w:p w14:paraId="56549B8E">
                  <w:pPr>
                    <w:pStyle w:val="29"/>
                    <w:bidi w:val="0"/>
                    <w:rPr>
                      <w:rFonts w:hint="default"/>
                      <w:color w:val="auto"/>
                      <w:lang w:val="en-US" w:eastAsia="zh-CN"/>
                    </w:rPr>
                  </w:pPr>
                  <w:r>
                    <w:rPr>
                      <w:rFonts w:hint="eastAsia"/>
                      <w:color w:val="auto"/>
                      <w:lang w:val="en-US" w:eastAsia="zh-CN"/>
                    </w:rPr>
                    <w:t>98.6</w:t>
                  </w:r>
                </w:p>
              </w:tc>
            </w:tr>
          </w:tbl>
          <w:p w14:paraId="7BB698A5">
            <w:pPr>
              <w:ind w:firstLine="0" w:firstLineChars="0"/>
              <w:rPr>
                <w:color w:val="auto"/>
              </w:rPr>
            </w:pPr>
          </w:p>
        </w:tc>
      </w:tr>
      <w:tr w14:paraId="0C4B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64" w:type="pct"/>
            <w:vAlign w:val="center"/>
          </w:tcPr>
          <w:p w14:paraId="36BA1704">
            <w:pPr>
              <w:ind w:firstLine="0" w:firstLineChars="0"/>
              <w:jc w:val="center"/>
              <w:rPr>
                <w:color w:val="auto"/>
              </w:rPr>
            </w:pPr>
            <w:r>
              <w:rPr>
                <w:rFonts w:hint="eastAsia"/>
                <w:color w:val="auto"/>
              </w:rPr>
              <w:t>工艺流程和产污环节</w:t>
            </w:r>
          </w:p>
        </w:tc>
        <w:tc>
          <w:tcPr>
            <w:tcW w:w="4735" w:type="pct"/>
          </w:tcPr>
          <w:p w14:paraId="4308B03F">
            <w:pPr>
              <w:numPr>
                <w:ilvl w:val="0"/>
                <w:numId w:val="0"/>
              </w:numPr>
              <w:rPr>
                <w:b/>
                <w:bCs/>
                <w:color w:val="auto"/>
              </w:rPr>
            </w:pPr>
            <w:r>
              <w:rPr>
                <w:rFonts w:hint="eastAsia"/>
                <w:b/>
                <w:bCs/>
                <w:color w:val="auto"/>
                <w:lang w:val="en-US" w:eastAsia="zh-CN"/>
              </w:rPr>
              <w:t>9、施工期</w:t>
            </w:r>
            <w:r>
              <w:rPr>
                <w:b/>
                <w:bCs/>
                <w:color w:val="auto"/>
              </w:rPr>
              <w:t>工艺流程简述：</w:t>
            </w:r>
          </w:p>
          <w:p w14:paraId="7635C01E">
            <w:pPr>
              <w:ind w:firstLine="480"/>
              <w:rPr>
                <w:rFonts w:hint="default"/>
                <w:color w:val="auto"/>
                <w:lang w:val="en-US" w:eastAsia="zh-CN"/>
              </w:rPr>
            </w:pPr>
            <w:r>
              <w:rPr>
                <w:rFonts w:hint="eastAsia"/>
                <w:color w:val="auto"/>
                <w:lang w:eastAsia="zh-CN"/>
              </w:rPr>
              <w:t>本项目</w:t>
            </w:r>
            <w:r>
              <w:rPr>
                <w:rFonts w:hint="eastAsia"/>
                <w:color w:val="auto"/>
                <w:lang w:val="en-US" w:eastAsia="zh-CN"/>
              </w:rPr>
              <w:t>租用玉溪市高新区九龙池片区园区内D4栋第一层标准化厂房</w:t>
            </w:r>
            <w:r>
              <w:rPr>
                <w:rFonts w:hint="eastAsia"/>
                <w:color w:val="auto"/>
                <w:lang w:eastAsia="zh-CN"/>
              </w:rPr>
              <w:t>，</w:t>
            </w:r>
            <w:r>
              <w:rPr>
                <w:rFonts w:hint="eastAsia"/>
                <w:color w:val="auto"/>
                <w:lang w:val="en-US" w:eastAsia="zh-CN"/>
              </w:rPr>
              <w:t>租用厂房已建成，施工期只需对租用房屋进行基础装修，不存在较大的建筑施工污染。施工期间的污染主要是房屋装修、生产设备安装、环保设施建设安装产生的噪声、粉尘和包装废弃物等。项目工程量小，施工期短、产生的污染物较少。</w:t>
            </w:r>
          </w:p>
          <w:p w14:paraId="26B3DD33">
            <w:pPr>
              <w:bidi w:val="0"/>
              <w:rPr>
                <w:rFonts w:hint="eastAsia" w:eastAsia="宋体"/>
                <w:color w:val="auto"/>
                <w:lang w:eastAsia="zh-CN"/>
              </w:rPr>
            </w:pPr>
            <w:r>
              <w:rPr>
                <w:rFonts w:hint="eastAsia"/>
                <w:color w:val="auto"/>
              </w:rPr>
              <w:t>施工工艺流程及产污环节见下图。</w:t>
            </w:r>
            <w:r>
              <w:rPr>
                <w:rFonts w:hint="eastAsia" w:eastAsia="宋体"/>
                <w:color w:val="auto"/>
                <w:lang w:eastAsia="zh-CN"/>
              </w:rPr>
              <w:drawing>
                <wp:anchor distT="0" distB="0" distL="114300" distR="114300" simplePos="0" relativeHeight="251665408" behindDoc="0" locked="0" layoutInCell="1" allowOverlap="1">
                  <wp:simplePos x="0" y="0"/>
                  <wp:positionH relativeFrom="column">
                    <wp:posOffset>832485</wp:posOffset>
                  </wp:positionH>
                  <wp:positionV relativeFrom="paragraph">
                    <wp:posOffset>298450</wp:posOffset>
                  </wp:positionV>
                  <wp:extent cx="3322955" cy="1581785"/>
                  <wp:effectExtent l="0" t="0" r="0" b="0"/>
                  <wp:wrapTopAndBottom/>
                  <wp:docPr id="4" name="ECB019B1-382A-4266-B25C-5B523AA43C14-7"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7" descr="wps"/>
                          <pic:cNvPicPr>
                            <a:picLocks noChangeAspect="1"/>
                          </pic:cNvPicPr>
                        </pic:nvPicPr>
                        <pic:blipFill>
                          <a:blip r:embed="rId15"/>
                          <a:stretch>
                            <a:fillRect/>
                          </a:stretch>
                        </pic:blipFill>
                        <pic:spPr>
                          <a:xfrm>
                            <a:off x="0" y="0"/>
                            <a:ext cx="3322955" cy="1581785"/>
                          </a:xfrm>
                          <a:prstGeom prst="rect">
                            <a:avLst/>
                          </a:prstGeom>
                        </pic:spPr>
                      </pic:pic>
                    </a:graphicData>
                  </a:graphic>
                </wp:anchor>
              </w:drawing>
            </w:r>
          </w:p>
          <w:p w14:paraId="32B204A1">
            <w:pPr>
              <w:pStyle w:val="30"/>
              <w:rPr>
                <w:rFonts w:hint="default"/>
                <w:color w:val="auto"/>
              </w:rPr>
            </w:pPr>
            <w:r>
              <w:rPr>
                <w:color w:val="auto"/>
              </w:rPr>
              <w:t>图2-</w:t>
            </w:r>
            <w:r>
              <w:rPr>
                <w:rFonts w:hint="eastAsia"/>
                <w:color w:val="auto"/>
                <w:lang w:val="en-US" w:eastAsia="zh-CN"/>
              </w:rPr>
              <w:t>6</w:t>
            </w:r>
            <w:r>
              <w:rPr>
                <w:color w:val="auto"/>
              </w:rPr>
              <w:t xml:space="preserve"> 施工期工艺流程及产污节点图</w:t>
            </w:r>
          </w:p>
          <w:p w14:paraId="4E18CF1F">
            <w:pPr>
              <w:ind w:firstLine="482"/>
              <w:rPr>
                <w:rFonts w:hint="eastAsia"/>
                <w:b/>
                <w:bCs/>
                <w:color w:val="auto"/>
              </w:rPr>
            </w:pPr>
            <w:r>
              <w:rPr>
                <w:rFonts w:hint="eastAsia"/>
                <w:b/>
                <w:bCs/>
                <w:color w:val="auto"/>
              </w:rPr>
              <w:t>施工</w:t>
            </w:r>
            <w:r>
              <w:rPr>
                <w:rFonts w:hint="eastAsia"/>
                <w:b/>
                <w:bCs/>
                <w:color w:val="auto"/>
                <w:lang w:eastAsia="zh-CN"/>
              </w:rPr>
              <w:t>阶段产污环节分析</w:t>
            </w:r>
            <w:r>
              <w:rPr>
                <w:rFonts w:hint="eastAsia"/>
                <w:b/>
                <w:bCs/>
                <w:color w:val="auto"/>
              </w:rPr>
              <w:t>：</w:t>
            </w:r>
          </w:p>
          <w:p w14:paraId="45A67784">
            <w:pPr>
              <w:bidi w:val="0"/>
              <w:rPr>
                <w:color w:val="auto"/>
              </w:rPr>
            </w:pPr>
            <w:r>
              <w:rPr>
                <w:rFonts w:hint="eastAsia"/>
                <w:color w:val="auto"/>
              </w:rPr>
              <w:t>本项目施工期污染物有扬尘、施工人员生活污水、</w:t>
            </w:r>
            <w:r>
              <w:rPr>
                <w:rFonts w:hint="eastAsia"/>
                <w:color w:val="auto"/>
                <w:lang w:val="en-US" w:eastAsia="zh-CN"/>
              </w:rPr>
              <w:t>装修</w:t>
            </w:r>
            <w:r>
              <w:rPr>
                <w:rFonts w:hint="eastAsia"/>
                <w:color w:val="auto"/>
              </w:rPr>
              <w:t>设备噪音以及包装废弃物</w:t>
            </w:r>
            <w:r>
              <w:rPr>
                <w:rFonts w:hint="eastAsia"/>
                <w:color w:val="auto"/>
                <w:lang w:eastAsia="zh-CN"/>
              </w:rPr>
              <w:t>、</w:t>
            </w:r>
            <w:r>
              <w:rPr>
                <w:rFonts w:hint="eastAsia"/>
                <w:color w:val="auto"/>
              </w:rPr>
              <w:t>施工人员生活垃圾。</w:t>
            </w:r>
          </w:p>
          <w:p w14:paraId="42129E02">
            <w:pPr>
              <w:numPr>
                <w:ilvl w:val="0"/>
                <w:numId w:val="4"/>
              </w:numPr>
              <w:ind w:firstLine="0" w:firstLineChars="0"/>
              <w:rPr>
                <w:b/>
                <w:bCs/>
                <w:color w:val="auto"/>
              </w:rPr>
            </w:pPr>
            <w:r>
              <w:rPr>
                <w:rFonts w:hint="eastAsia"/>
                <w:b/>
                <w:bCs/>
                <w:color w:val="auto"/>
                <w:lang w:eastAsia="zh-CN"/>
              </w:rPr>
              <w:t>运营期</w:t>
            </w:r>
            <w:r>
              <w:rPr>
                <w:b/>
                <w:bCs/>
                <w:color w:val="auto"/>
              </w:rPr>
              <w:t>工艺流程简述：</w:t>
            </w:r>
          </w:p>
          <w:p w14:paraId="1E5E0F04">
            <w:pPr>
              <w:bidi w:val="0"/>
              <w:rPr>
                <w:rFonts w:hint="default"/>
                <w:color w:val="auto"/>
                <w:lang w:val="en-US" w:eastAsia="zh-CN"/>
              </w:rPr>
            </w:pPr>
            <w:r>
              <w:rPr>
                <w:rFonts w:hint="eastAsia"/>
                <w:color w:val="auto"/>
                <w:lang w:val="en-US" w:eastAsia="zh-CN"/>
              </w:rPr>
              <w:t>本项目啤酒、饮料、配制酒和发酵酒均公用一套设备进行生产。</w:t>
            </w:r>
          </w:p>
          <w:p w14:paraId="47C4F938">
            <w:pPr>
              <w:ind w:firstLine="480"/>
              <w:rPr>
                <w:rFonts w:hint="eastAsia"/>
                <w:b/>
                <w:bCs/>
                <w:color w:val="auto"/>
                <w:lang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rFonts w:hint="eastAsia"/>
                <w:b/>
                <w:bCs/>
                <w:color w:val="auto"/>
                <w:lang w:val="en-US" w:eastAsia="zh-CN"/>
              </w:rPr>
              <w:t>啤酒</w:t>
            </w:r>
            <w:r>
              <w:rPr>
                <w:rFonts w:hint="eastAsia"/>
                <w:b/>
                <w:bCs/>
                <w:color w:val="auto"/>
                <w:lang w:eastAsia="zh-CN"/>
              </w:rPr>
              <w:t>工艺流程图</w:t>
            </w:r>
          </w:p>
          <w:p w14:paraId="407A1AB6">
            <w:pPr>
              <w:ind w:firstLine="480"/>
              <w:rPr>
                <w:rFonts w:hint="default"/>
                <w:color w:val="auto"/>
                <w:lang w:val="en-US" w:eastAsia="zh-CN"/>
              </w:rPr>
            </w:pPr>
            <w:r>
              <w:rPr>
                <w:rFonts w:hint="eastAsia"/>
                <w:color w:val="auto"/>
                <w:lang w:eastAsia="zh-CN"/>
              </w:rPr>
              <w:t>本项目生产工艺流程及产污节点见下图：</w:t>
            </w:r>
          </w:p>
        </w:tc>
      </w:tr>
    </w:tbl>
    <w:p w14:paraId="297B4E1C">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5"/>
        <w:gridCol w:w="13619"/>
      </w:tblGrid>
      <w:tr w14:paraId="06CC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7" w:hRule="atLeast"/>
        </w:trPr>
        <w:tc>
          <w:tcPr>
            <w:tcW w:w="555" w:type="dxa"/>
            <w:vAlign w:val="center"/>
          </w:tcPr>
          <w:p w14:paraId="000CB3C1">
            <w:pPr>
              <w:pStyle w:val="16"/>
              <w:pBdr>
                <w:top w:val="none" w:color="auto" w:sz="0" w:space="0"/>
                <w:left w:val="none" w:color="auto" w:sz="0" w:space="0"/>
                <w:bottom w:val="none" w:color="auto" w:sz="0" w:space="0"/>
                <w:right w:val="none" w:color="auto" w:sz="0" w:space="0"/>
              </w:pBdr>
              <w:ind w:left="0" w:leftChars="0" w:firstLine="0" w:firstLineChars="0"/>
              <w:jc w:val="center"/>
              <w:rPr>
                <w:color w:val="auto"/>
                <w:vertAlign w:val="baseline"/>
              </w:rPr>
            </w:pPr>
          </w:p>
        </w:tc>
        <w:tc>
          <w:tcPr>
            <w:tcW w:w="13619" w:type="dxa"/>
            <w:vAlign w:val="center"/>
          </w:tcPr>
          <w:p w14:paraId="3A041DF7">
            <w:pPr>
              <w:pStyle w:val="16"/>
              <w:pBdr>
                <w:top w:val="none" w:color="auto" w:sz="0" w:space="0"/>
                <w:left w:val="none" w:color="auto" w:sz="0" w:space="0"/>
                <w:bottom w:val="none" w:color="auto" w:sz="0" w:space="0"/>
                <w:right w:val="none" w:color="auto" w:sz="0" w:space="0"/>
              </w:pBdr>
              <w:jc w:val="center"/>
              <w:rPr>
                <w:rFonts w:hint="default"/>
                <w:color w:val="auto"/>
                <w:vertAlign w:val="baseline"/>
                <w:lang w:val="en-US" w:eastAsia="zh-CN"/>
              </w:rPr>
            </w:pPr>
            <w:r>
              <w:rPr>
                <w:rFonts w:hint="default"/>
                <w:color w:val="auto"/>
                <w:vertAlign w:val="baseline"/>
                <w:lang w:val="en-US" w:eastAsia="zh-CN"/>
              </w:rPr>
              <w:drawing>
                <wp:inline distT="0" distB="0" distL="114300" distR="114300">
                  <wp:extent cx="7100570" cy="4957445"/>
                  <wp:effectExtent l="0" t="0" r="0" b="0"/>
                  <wp:docPr id="5" name="ECB019B1-382A-4266-B25C-5B523AA43C14-8" descr="C:/Users/Administrator/AppData/Local/Temp/wps.wbhJyh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CB019B1-382A-4266-B25C-5B523AA43C14-8" descr="C:/Users/Administrator/AppData/Local/Temp/wps.wbhJyhwps"/>
                          <pic:cNvPicPr>
                            <a:picLocks noChangeAspect="1"/>
                          </pic:cNvPicPr>
                        </pic:nvPicPr>
                        <pic:blipFill>
                          <a:blip r:embed="rId16"/>
                          <a:stretch>
                            <a:fillRect/>
                          </a:stretch>
                        </pic:blipFill>
                        <pic:spPr>
                          <a:xfrm>
                            <a:off x="0" y="0"/>
                            <a:ext cx="7100570" cy="4957445"/>
                          </a:xfrm>
                          <a:prstGeom prst="rect">
                            <a:avLst/>
                          </a:prstGeom>
                        </pic:spPr>
                      </pic:pic>
                    </a:graphicData>
                  </a:graphic>
                </wp:inline>
              </w:drawing>
            </w:r>
          </w:p>
          <w:p w14:paraId="51B96C58">
            <w:pPr>
              <w:pStyle w:val="30"/>
              <w:bidi w:val="0"/>
              <w:rPr>
                <w:color w:val="auto"/>
                <w:vertAlign w:val="baseline"/>
              </w:rPr>
            </w:pPr>
            <w:r>
              <w:rPr>
                <w:rFonts w:hint="default"/>
                <w:color w:val="auto"/>
                <w:lang w:val="en-US" w:eastAsia="zh-CN"/>
              </w:rPr>
              <w:t>图2-7 啤酒生产线工艺流程图</w:t>
            </w:r>
          </w:p>
        </w:tc>
      </w:tr>
    </w:tbl>
    <w:p w14:paraId="7D693159">
      <w:pPr>
        <w:pStyle w:val="16"/>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8072"/>
      </w:tblGrid>
      <w:tr w14:paraId="256F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264" w:type="pct"/>
            <w:vAlign w:val="center"/>
          </w:tcPr>
          <w:p w14:paraId="701D4FEA">
            <w:pPr>
              <w:ind w:firstLine="0" w:firstLineChars="0"/>
              <w:jc w:val="center"/>
              <w:rPr>
                <w:rFonts w:hint="eastAsia"/>
                <w:color w:val="auto"/>
              </w:rPr>
            </w:pPr>
          </w:p>
        </w:tc>
        <w:tc>
          <w:tcPr>
            <w:tcW w:w="4735" w:type="pct"/>
          </w:tcPr>
          <w:p w14:paraId="54016B3F">
            <w:pPr>
              <w:bidi w:val="0"/>
              <w:rPr>
                <w:rFonts w:hint="default"/>
                <w:color w:val="auto"/>
                <w:lang w:val="en-US" w:eastAsia="zh-CN"/>
              </w:rPr>
            </w:pPr>
            <w:r>
              <w:rPr>
                <w:rFonts w:hint="default"/>
                <w:color w:val="auto"/>
                <w:lang w:val="en-US" w:eastAsia="zh-CN"/>
              </w:rPr>
              <w:t>生产工艺流程简述如下：</w:t>
            </w:r>
          </w:p>
          <w:p w14:paraId="6B5762CA">
            <w:pPr>
              <w:bidi w:val="0"/>
              <w:rPr>
                <w:rFonts w:hint="default"/>
                <w:color w:val="auto"/>
                <w:lang w:val="en-US" w:eastAsia="zh-CN"/>
              </w:rPr>
            </w:pPr>
            <w:r>
              <w:rPr>
                <w:rFonts w:hint="default"/>
                <w:color w:val="auto"/>
                <w:lang w:val="en-US" w:eastAsia="zh-CN"/>
              </w:rPr>
              <w:t>1）破碎</w:t>
            </w:r>
          </w:p>
          <w:p w14:paraId="6CAB7A02">
            <w:pPr>
              <w:bidi w:val="0"/>
              <w:rPr>
                <w:rFonts w:hint="default"/>
                <w:color w:val="auto"/>
                <w:lang w:val="en-US" w:eastAsia="zh-CN"/>
              </w:rPr>
            </w:pPr>
            <w:r>
              <w:rPr>
                <w:rFonts w:hint="default"/>
                <w:color w:val="auto"/>
                <w:lang w:val="en-US" w:eastAsia="zh-CN"/>
              </w:rPr>
              <w:t>麦芽暂存于原料库，使用时员工通过人工将麦芽运至粉碎间，在粉碎间内将外购的麦芽包装袋人工检查外包装有无破损，然后进行过秤后，将原料麦芽投入粉碎机进行破碎，破碎时将麦瓤破碎成小颗粒状，但不成粉状，保持麦皮完整。经破碎后的麦芽通过柔性输送机输送至糖化罐进行糖化，此工序产生的污染主要为粉尘G2和噪声N1。</w:t>
            </w:r>
          </w:p>
          <w:p w14:paraId="06104DC2">
            <w:pPr>
              <w:bidi w:val="0"/>
              <w:rPr>
                <w:rFonts w:hint="default"/>
                <w:color w:val="auto"/>
                <w:lang w:val="en-US" w:eastAsia="zh-CN"/>
              </w:rPr>
            </w:pPr>
            <w:r>
              <w:rPr>
                <w:rFonts w:hint="default"/>
                <w:color w:val="auto"/>
                <w:lang w:val="en-US" w:eastAsia="zh-CN"/>
              </w:rPr>
              <w:t>2）糖化</w:t>
            </w:r>
          </w:p>
          <w:p w14:paraId="28BE384C">
            <w:pPr>
              <w:bidi w:val="0"/>
              <w:rPr>
                <w:rFonts w:hint="default"/>
                <w:color w:val="auto"/>
                <w:lang w:val="en-US" w:eastAsia="zh-CN"/>
              </w:rPr>
            </w:pPr>
            <w:r>
              <w:rPr>
                <w:rFonts w:hint="default"/>
                <w:color w:val="auto"/>
                <w:lang w:val="en-US" w:eastAsia="zh-CN"/>
              </w:rPr>
              <w:t>破碎后的麦芽在密闭状态下输送至糖化罐与水混合，麦芽与水的混合比例约为1:4。利用锅炉的水蒸汽进行间接加热，锅炉使用柴油作为燃料，锅炉用水为纯净水。糖化过程保持糖化罐内温度为50℃左右持续30min，使麦芽和铁皮石斛中的高分子蛋白质分解为低分子蛋白质；然后利用蒸汽升温到62-64℃持续50min，使淀粉转化为糖，升温到78℃后终止糖化，此工序产生的污染主要为噪声N2。每批次糖化结束后采用CIP系统对糖化罐进行清洗。</w:t>
            </w:r>
          </w:p>
          <w:p w14:paraId="3F417FF0">
            <w:pPr>
              <w:bidi w:val="0"/>
              <w:rPr>
                <w:rFonts w:hint="default"/>
                <w:color w:val="auto"/>
                <w:lang w:val="en-US" w:eastAsia="zh-CN"/>
              </w:rPr>
            </w:pPr>
            <w:r>
              <w:rPr>
                <w:rFonts w:hint="default"/>
                <w:color w:val="auto"/>
                <w:lang w:val="en-US" w:eastAsia="zh-CN"/>
              </w:rPr>
              <w:t>3）过滤</w:t>
            </w:r>
          </w:p>
          <w:p w14:paraId="72A64AC4">
            <w:pPr>
              <w:bidi w:val="0"/>
              <w:rPr>
                <w:rFonts w:hint="default"/>
                <w:color w:val="auto"/>
                <w:lang w:val="en-US" w:eastAsia="zh-CN"/>
              </w:rPr>
            </w:pPr>
            <w:r>
              <w:rPr>
                <w:rFonts w:hint="default"/>
                <w:color w:val="auto"/>
                <w:lang w:val="en-US" w:eastAsia="zh-CN"/>
              </w:rPr>
              <w:t>糖化结束后，必须将糖化醪尽快地进行固液分离，即过滤。经沉淀20min开始过滤，将糖化后的糖化醪通过管道泵至过滤槽以形成麦糟层作为过滤槽进行过滤（不使用硅藻土），使得麦汁和酒槽分离，得到澄清的第一麦汁，过滤槽中残留的麦糟含部分麦汁，需要用78℃洗槽水进行三次洗槽，得到低浓度麦汁，过滤下来的麦糟随即出渣，此工序产生的污染主要为麦糟S1。</w:t>
            </w:r>
          </w:p>
          <w:p w14:paraId="4DA27F33">
            <w:pPr>
              <w:bidi w:val="0"/>
              <w:rPr>
                <w:rFonts w:hint="default"/>
                <w:color w:val="auto"/>
                <w:lang w:val="en-US" w:eastAsia="zh-CN"/>
              </w:rPr>
            </w:pPr>
            <w:r>
              <w:rPr>
                <w:rFonts w:hint="default"/>
                <w:color w:val="auto"/>
                <w:lang w:val="en-US" w:eastAsia="zh-CN"/>
              </w:rPr>
              <w:t>过滤结束后采用CIP系统对过滤槽进行清洗。</w:t>
            </w:r>
          </w:p>
          <w:p w14:paraId="5F78D2A4">
            <w:pPr>
              <w:bidi w:val="0"/>
              <w:rPr>
                <w:rFonts w:hint="default"/>
                <w:color w:val="auto"/>
                <w:lang w:val="en-US" w:eastAsia="zh-CN"/>
              </w:rPr>
            </w:pPr>
            <w:r>
              <w:rPr>
                <w:rFonts w:hint="default"/>
                <w:color w:val="auto"/>
                <w:lang w:val="en-US" w:eastAsia="zh-CN"/>
              </w:rPr>
              <w:t>4）煮沸</w:t>
            </w:r>
          </w:p>
          <w:p w14:paraId="75C6BC6D">
            <w:pPr>
              <w:bidi w:val="0"/>
              <w:rPr>
                <w:rFonts w:hint="default"/>
                <w:color w:val="auto"/>
                <w:lang w:val="en-US" w:eastAsia="zh-CN"/>
              </w:rPr>
            </w:pPr>
            <w:r>
              <w:rPr>
                <w:rFonts w:hint="default"/>
                <w:color w:val="auto"/>
                <w:lang w:val="en-US" w:eastAsia="zh-CN"/>
              </w:rPr>
              <w:t>过滤后麦汁通过管道由泵打入煮沸旋沉锅内进行煮沸，使用蒸汽间接加热煮沸，利用蒸汽加热使麦汁沸腾10min后加入啤酒花，继续煮沸50min。煮沸过程产生的二次蒸汽进入板式换热器，与冷水进行热交换，冷水吸收热量升温至95℃，存入热水罐回用于糖化工序；二次蒸汽通过板式冷凝器冷凝至30℃后直接排放。</w:t>
            </w:r>
          </w:p>
          <w:p w14:paraId="2B319F72">
            <w:pPr>
              <w:bidi w:val="0"/>
              <w:rPr>
                <w:rFonts w:hint="default"/>
                <w:color w:val="auto"/>
                <w:lang w:val="en-US" w:eastAsia="zh-CN"/>
              </w:rPr>
            </w:pPr>
            <w:r>
              <w:rPr>
                <w:rFonts w:hint="default"/>
                <w:color w:val="auto"/>
                <w:lang w:val="en-US" w:eastAsia="zh-CN"/>
              </w:rPr>
              <w:t>煮沸的目的：蒸发多余的水分；破坏酶的活性，终止生物化学变化，固定麦汁组成；麦汁灭菌；浸出啤酒花中的有效成分；使蛋白质变性凝固。添加啤酒花等可以赋予啤酒爽口的苦味和特有的香味，提高啤酒的非生物稳定性，使各种有效成分溶于麦汁中。煮沸完成后，采用CIP系统对煮沸罐进行清洗。</w:t>
            </w:r>
          </w:p>
          <w:p w14:paraId="0092E1D9">
            <w:pPr>
              <w:bidi w:val="0"/>
              <w:rPr>
                <w:rFonts w:hint="default"/>
                <w:color w:val="auto"/>
                <w:lang w:val="en-US" w:eastAsia="zh-CN"/>
              </w:rPr>
            </w:pPr>
            <w:r>
              <w:rPr>
                <w:rFonts w:hint="default"/>
                <w:color w:val="auto"/>
                <w:lang w:val="en-US" w:eastAsia="zh-CN"/>
              </w:rPr>
              <w:t>5）回旋沉淀、冷却</w:t>
            </w:r>
          </w:p>
          <w:p w14:paraId="2CB094B3">
            <w:pPr>
              <w:bidi w:val="0"/>
              <w:rPr>
                <w:rFonts w:hint="default"/>
                <w:color w:val="auto"/>
                <w:lang w:val="en-US" w:eastAsia="zh-CN"/>
              </w:rPr>
            </w:pPr>
            <w:r>
              <w:rPr>
                <w:rFonts w:hint="default"/>
                <w:color w:val="auto"/>
                <w:lang w:val="en-US" w:eastAsia="zh-CN"/>
              </w:rPr>
              <w:t>煮沸完成后关闭蒸汽停止加热，开启煮沸旋沉锅底部阀门和底部的侧面切线阀门，通过回旋沉淀作用，可以去掉热凝固物，从而得到清亮的麦汁。旋沉槽的工作原理是将麦汁以切线方向进入旋沉槽，产生涡流（回旋效应），凭借离心力的作用使热凝固物以锥丘状沉降于槽底中央，与麦汁分离开来，清亮的麦汁则从侧面的麦汁出口排出。罐底中央热凝固物定期排出，产生的热凝固物（含废啤酒花等）。此工序产生的污染主要为沉淀渣S2和噪声N3，沉淀完成后，采用CIP系统对煮沸旋沉槽进行清洗。</w:t>
            </w:r>
          </w:p>
          <w:p w14:paraId="735D79F1">
            <w:pPr>
              <w:bidi w:val="0"/>
              <w:rPr>
                <w:rFonts w:hint="default"/>
                <w:color w:val="auto"/>
                <w:lang w:val="en-US" w:eastAsia="zh-CN"/>
              </w:rPr>
            </w:pPr>
            <w:r>
              <w:rPr>
                <w:rFonts w:hint="default"/>
                <w:color w:val="auto"/>
                <w:lang w:val="en-US" w:eastAsia="zh-CN"/>
              </w:rPr>
              <w:t>沉淀后的麦汁经板式换热器冷却，本项目配置2台3t冰水罐，用于啤酒发酵过程的降温控制。其工作原理为：制冷机组将25%食品级乙醇水溶液作为载冷剂输送至冰水罐夹套（或盘管）内循环，通过间接换热方式对罐内工艺用水进行冷却，从而获得稳定的低温冰水，再通过泵送系统供给发酵罐等设备使用。该乙醇载冷剂在封闭管路中循环，可有效降低冰点，满足工艺低温需求。完成冷却的冷麦汁后续直接输送至发酵罐，接入冰水换热回路即可精准控制发酵全程的温度。</w:t>
            </w:r>
          </w:p>
          <w:p w14:paraId="3824AA8E">
            <w:pPr>
              <w:bidi w:val="0"/>
              <w:rPr>
                <w:rFonts w:hint="default"/>
                <w:color w:val="auto"/>
                <w:lang w:val="en-US" w:eastAsia="zh-CN"/>
              </w:rPr>
            </w:pPr>
            <w:r>
              <w:rPr>
                <w:rFonts w:hint="default"/>
                <w:color w:val="auto"/>
                <w:lang w:val="en-US" w:eastAsia="zh-CN"/>
              </w:rPr>
              <w:t>6）发酵</w:t>
            </w:r>
          </w:p>
          <w:p w14:paraId="56D2EF3D">
            <w:pPr>
              <w:bidi w:val="0"/>
              <w:rPr>
                <w:rFonts w:hint="default"/>
                <w:color w:val="auto"/>
                <w:lang w:val="en-US" w:eastAsia="zh-CN"/>
              </w:rPr>
            </w:pPr>
            <w:r>
              <w:rPr>
                <w:rFonts w:hint="default"/>
                <w:color w:val="auto"/>
                <w:lang w:val="en-US" w:eastAsia="zh-CN"/>
              </w:rPr>
              <w:t>冷却后的麦汁经充氧、按比例添加干酵母后采用发酵罐一罐法发酵工艺进行发酵，发酵时间约15~18天，温度控制在18~22℃。啤酒发酵是在啤酒酵母体内所含的一系列酶类的作用下，以汁所含的可发酵性营养物质为底物而进行的一系列生化反应。通过新陈代谢最终得到酒精、CO</w:t>
            </w:r>
            <w:r>
              <w:rPr>
                <w:rFonts w:hint="default"/>
                <w:color w:val="auto"/>
                <w:vertAlign w:val="subscript"/>
                <w:lang w:val="en-US" w:eastAsia="zh-CN"/>
              </w:rPr>
              <w:t>2</w:t>
            </w:r>
            <w:r>
              <w:rPr>
                <w:rFonts w:hint="default"/>
                <w:color w:val="auto"/>
                <w:lang w:val="en-US" w:eastAsia="zh-CN"/>
              </w:rPr>
              <w:t>以及少量发酵副产物如高级醇、酯类、酮类、醛类等。发酵罐中酵母从发酵罐底排至废酵母罐，发酵开始48±2h排冷凝固物，发酵完成降温至6℃时排1次废酵母，降温到0℃后每隔1天排1次酵母。酵母回用3～4次后最终排出，产生废酵母。同时，发酵过程会伴随异味产生，发酵过程中产生的废气大部分溶于啤酒，少量呈无组织排放，车间门窗全部封闭，一般情况发酵异味不会扩散到环境中，仅当发酵罐泄压阀开启时会有少量异味释放到车间。本项目为小型啤酒生产，产生的CO</w:t>
            </w:r>
            <w:r>
              <w:rPr>
                <w:rFonts w:hint="default"/>
                <w:color w:val="auto"/>
                <w:vertAlign w:val="subscript"/>
                <w:lang w:val="en-US" w:eastAsia="zh-CN"/>
              </w:rPr>
              <w:t>2</w:t>
            </w:r>
            <w:r>
              <w:rPr>
                <w:rFonts w:hint="default"/>
                <w:color w:val="auto"/>
                <w:lang w:val="en-US" w:eastAsia="zh-CN"/>
              </w:rPr>
              <w:t>暂不设置回收装置，直接将啤酒发酵罐顶部排出的二氧化碳，通过密封收集管道连接后，依靠发酵罐自身压力，直接充装到可重复使用的食品级空钢瓶中，再用充装好的钢瓶对清酒罐进行空气置换，具体流程：清酒罐完成CIP清洗并排空积水后，将二氧化碳钢瓶通过减压阀连接至清酒罐底部进气口，打开清酒罐顶部排气阀保持微通；调节输出压力稳定在0.1~0.15MPa，利用二氧化碳密度大于空气的特性，从罐底通入二氧化碳，逐步将罐内原有空气从顶部排气口顶出；检测罐顶排气氧含量≤0.5%（满足啤酒生产工艺要求）后，关闭顶部排气阀，补充二氧化碳将罐内压力升至0.05~0.1MPa，关闭钢瓶阀和进气阀，维持罐内正压，完成置换等待进酒。本项目采用全程密闭收集工艺，发酵全周期产出的二氧化碳全部接入收集系统，仅扣除收集充装环节不可避免的正常泄漏，因此收集率可达85%以上。此工序产生的污染主要为废酵母S3、发酵废气T1和少量CO</w:t>
            </w:r>
            <w:r>
              <w:rPr>
                <w:rFonts w:hint="default"/>
                <w:color w:val="auto"/>
                <w:vertAlign w:val="subscript"/>
                <w:lang w:val="en-US" w:eastAsia="zh-CN"/>
              </w:rPr>
              <w:t>2</w:t>
            </w:r>
            <w:r>
              <w:rPr>
                <w:rFonts w:hint="default"/>
                <w:color w:val="auto"/>
                <w:lang w:val="en-US" w:eastAsia="zh-CN"/>
              </w:rPr>
              <w:t>，发酵完成后，采用CIP系统对发酵罐进行清洗。</w:t>
            </w:r>
          </w:p>
          <w:p w14:paraId="232B4981">
            <w:pPr>
              <w:bidi w:val="0"/>
              <w:rPr>
                <w:rFonts w:hint="default"/>
                <w:color w:val="auto"/>
                <w:lang w:val="en-US" w:eastAsia="zh-CN"/>
              </w:rPr>
            </w:pPr>
            <w:r>
              <w:rPr>
                <w:rFonts w:hint="default"/>
                <w:color w:val="auto"/>
                <w:lang w:val="en-US" w:eastAsia="zh-CN"/>
              </w:rPr>
              <w:t>7）清酒暂存</w:t>
            </w:r>
          </w:p>
          <w:p w14:paraId="76D4018B">
            <w:pPr>
              <w:bidi w:val="0"/>
              <w:rPr>
                <w:rFonts w:hint="default"/>
                <w:color w:val="auto"/>
                <w:lang w:val="en-US" w:eastAsia="zh-CN"/>
              </w:rPr>
            </w:pPr>
            <w:r>
              <w:rPr>
                <w:rFonts w:hint="default"/>
                <w:color w:val="auto"/>
                <w:lang w:val="en-US" w:eastAsia="zh-CN"/>
              </w:rPr>
              <w:t>为了保证酒体清澈，口味干净，需要在发酵完成后，使用泵将CO</w:t>
            </w:r>
            <w:r>
              <w:rPr>
                <w:rFonts w:hint="default"/>
                <w:color w:val="auto"/>
                <w:vertAlign w:val="subscript"/>
                <w:lang w:val="en-US" w:eastAsia="zh-CN"/>
              </w:rPr>
              <w:t>2</w:t>
            </w:r>
            <w:r>
              <w:rPr>
                <w:rFonts w:hint="default"/>
                <w:color w:val="auto"/>
                <w:lang w:val="en-US" w:eastAsia="zh-CN"/>
              </w:rPr>
              <w:t>从发酵罐底部打入发酵罐内，将发酵啤酒经密闭专用软管推送至空置发酵罐贮藏。空置的发酵罐在使用前需要使用N</w:t>
            </w:r>
            <w:r>
              <w:rPr>
                <w:rFonts w:hint="default"/>
                <w:color w:val="auto"/>
                <w:vertAlign w:val="subscript"/>
                <w:lang w:val="en-US" w:eastAsia="zh-CN"/>
              </w:rPr>
              <w:t>2</w:t>
            </w:r>
            <w:r>
              <w:rPr>
                <w:rFonts w:hint="default"/>
                <w:color w:val="auto"/>
                <w:lang w:val="en-US" w:eastAsia="zh-CN"/>
              </w:rPr>
              <w:t>置换出发酵罐内的空气。暂存后，采用CIP系统对清酒罐进行清洗。</w:t>
            </w:r>
          </w:p>
          <w:p w14:paraId="3CC8632A">
            <w:pPr>
              <w:bidi w:val="0"/>
              <w:rPr>
                <w:rFonts w:hint="default"/>
                <w:color w:val="auto"/>
                <w:lang w:val="en-US" w:eastAsia="zh-CN"/>
              </w:rPr>
            </w:pPr>
            <w:r>
              <w:rPr>
                <w:rFonts w:hint="default"/>
                <w:color w:val="auto"/>
                <w:lang w:val="en-US" w:eastAsia="zh-CN"/>
              </w:rPr>
              <w:t>8）杀菌</w:t>
            </w:r>
          </w:p>
          <w:p w14:paraId="6C8C82D4">
            <w:pPr>
              <w:bidi w:val="0"/>
              <w:rPr>
                <w:rFonts w:hint="default"/>
                <w:color w:val="auto"/>
                <w:lang w:val="en-US" w:eastAsia="zh-CN"/>
              </w:rPr>
            </w:pPr>
            <w:r>
              <w:rPr>
                <w:rFonts w:hint="default"/>
                <w:color w:val="auto"/>
                <w:lang w:val="en-US" w:eastAsia="zh-CN"/>
              </w:rPr>
              <w:t>本项目生产的生啤无需进行杀菌直接进行灌装，熟啤酒则需经过巴氏杀菌或瞬时杀菌（按照生产需求选择杀菌方式），项目的桶装熟啤先进行瞬时杀菌后进行桶装，其他熟啤则先进行灌装后再采取巴氏杀菌。</w:t>
            </w:r>
          </w:p>
          <w:p w14:paraId="61E1A061">
            <w:pPr>
              <w:bidi w:val="0"/>
              <w:rPr>
                <w:rFonts w:hint="default"/>
                <w:color w:val="auto"/>
                <w:lang w:val="en-US" w:eastAsia="zh-CN"/>
              </w:rPr>
            </w:pPr>
            <w:r>
              <w:rPr>
                <w:rFonts w:hint="default"/>
                <w:color w:val="auto"/>
                <w:lang w:val="en-US" w:eastAsia="zh-CN"/>
              </w:rPr>
              <w:t>巴氏杀菌：将灌装后的啤酒缓慢升温至‌50–60°C‌，避免温差过大导致玻璃瓶破裂或罐体变形。此阶段还能减少后续杀菌区的热负荷，提升热交换效率。在隧道式巴氏杀菌机中，啤酒通过蒸汽加热至‌60–85°C‌，持续‌15–30分钟‌（具体参数依产品和设备而定）。杀菌后啤酒需迅速降温至‌4–10°C‌，终止热处理过程，防止风味劣变。</w:t>
            </w:r>
          </w:p>
          <w:p w14:paraId="7CCE9978">
            <w:pPr>
              <w:bidi w:val="0"/>
              <w:rPr>
                <w:rFonts w:hint="default"/>
                <w:color w:val="auto"/>
                <w:lang w:val="en-US" w:eastAsia="zh-CN"/>
              </w:rPr>
            </w:pPr>
            <w:r>
              <w:rPr>
                <w:rFonts w:hint="default"/>
                <w:color w:val="auto"/>
                <w:lang w:val="en-US" w:eastAsia="zh-CN"/>
              </w:rPr>
              <w:t>瞬时杀菌：项目采用UHT超高温瞬时灭菌，使用板式热交换器，用高压蒸汽加热水作为热媒间接加热进行杀菌，杀菌温度为135℃～150℃，啤酒在目标温度下保持极短的时间，通常只有2秒到10秒。</w:t>
            </w:r>
          </w:p>
          <w:p w14:paraId="0E5E8153">
            <w:pPr>
              <w:bidi w:val="0"/>
              <w:rPr>
                <w:rFonts w:hint="default"/>
                <w:color w:val="auto"/>
                <w:lang w:val="en-US" w:eastAsia="zh-CN"/>
              </w:rPr>
            </w:pPr>
            <w:r>
              <w:rPr>
                <w:rFonts w:hint="default"/>
                <w:color w:val="auto"/>
                <w:lang w:val="en-US" w:eastAsia="zh-CN"/>
              </w:rPr>
              <w:t>9）灌装、入库</w:t>
            </w:r>
          </w:p>
          <w:p w14:paraId="4621909E">
            <w:pPr>
              <w:bidi w:val="0"/>
              <w:rPr>
                <w:rFonts w:hint="default"/>
                <w:color w:val="auto"/>
                <w:lang w:val="en-US" w:eastAsia="zh-CN"/>
              </w:rPr>
            </w:pPr>
            <w:r>
              <w:rPr>
                <w:rFonts w:hint="default"/>
                <w:color w:val="auto"/>
                <w:lang w:val="en-US" w:eastAsia="zh-CN"/>
              </w:rPr>
              <w:t>对易拉罐、玻璃瓶进行清洗，需清洗的包装瓶均为新瓶，比较清洁，采用纯水一次清洗，将制成的啤酒通过六头灌装机和易拉罐灌装机灌装、封盖得到成品。此工序产生的污染主要为噪声N4，灌装完成后，采用CIP系统对灌装机进行清洗。</w:t>
            </w:r>
          </w:p>
          <w:p w14:paraId="56F779AF">
            <w:pPr>
              <w:bidi w:val="0"/>
              <w:rPr>
                <w:rFonts w:hint="default"/>
                <w:color w:val="auto"/>
                <w:lang w:val="en-US" w:eastAsia="zh-CN"/>
              </w:rPr>
            </w:pPr>
            <w:r>
              <w:rPr>
                <w:rFonts w:hint="default"/>
                <w:color w:val="auto"/>
                <w:lang w:val="en-US" w:eastAsia="zh-CN"/>
              </w:rPr>
              <w:t>10）打码、贴标</w:t>
            </w:r>
          </w:p>
          <w:p w14:paraId="3CB0FE50">
            <w:pPr>
              <w:bidi w:val="0"/>
              <w:rPr>
                <w:rFonts w:hint="default"/>
                <w:color w:val="auto"/>
                <w:lang w:val="en-US" w:eastAsia="zh-CN"/>
              </w:rPr>
            </w:pPr>
            <w:r>
              <w:rPr>
                <w:rFonts w:hint="default"/>
                <w:color w:val="auto"/>
                <w:lang w:val="en-US" w:eastAsia="zh-CN"/>
              </w:rPr>
              <w:t>通过喷码机对杀菌后的酒瓶进行喷码，喷码机为激光打码，不涉及油墨。接着由贴标机自动贴标。</w:t>
            </w:r>
          </w:p>
          <w:p w14:paraId="65930965">
            <w:pPr>
              <w:bidi w:val="0"/>
              <w:rPr>
                <w:rFonts w:hint="default"/>
                <w:color w:val="auto"/>
                <w:lang w:val="en-US" w:eastAsia="zh-CN"/>
              </w:rPr>
            </w:pPr>
            <w:r>
              <w:rPr>
                <w:rFonts w:hint="default"/>
                <w:color w:val="auto"/>
                <w:lang w:val="en-US" w:eastAsia="zh-CN"/>
              </w:rPr>
              <w:t>11）抽样检测</w:t>
            </w:r>
          </w:p>
          <w:p w14:paraId="0621C2ED">
            <w:pPr>
              <w:bidi w:val="0"/>
              <w:rPr>
                <w:rFonts w:hint="default"/>
                <w:color w:val="auto"/>
                <w:lang w:val="en-US" w:eastAsia="zh-CN"/>
              </w:rPr>
            </w:pPr>
            <w:r>
              <w:rPr>
                <w:rFonts w:hint="default"/>
                <w:color w:val="auto"/>
                <w:lang w:val="en-US" w:eastAsia="zh-CN"/>
              </w:rPr>
              <w:t>化验室对啤酒质量抽检，检测指标主要有色度、外观、泡沫、香气和口味、酒精度、原麦汁浓度、总酸、二氧化碳等进行检测，合格后打包入库。</w:t>
            </w:r>
          </w:p>
          <w:p w14:paraId="1A40C8AD">
            <w:pPr>
              <w:bidi w:val="0"/>
              <w:rPr>
                <w:rFonts w:hint="default"/>
                <w:color w:val="auto"/>
                <w:lang w:val="en-US" w:eastAsia="zh-CN"/>
              </w:rPr>
            </w:pPr>
            <w:r>
              <w:rPr>
                <w:rFonts w:hint="default"/>
                <w:color w:val="auto"/>
                <w:lang w:val="en-US" w:eastAsia="zh-CN"/>
              </w:rPr>
              <w:t>12）装箱入库</w:t>
            </w:r>
          </w:p>
          <w:p w14:paraId="78A8F5B7">
            <w:pPr>
              <w:bidi w:val="0"/>
              <w:rPr>
                <w:rFonts w:hint="default"/>
                <w:color w:val="auto"/>
                <w:lang w:val="en-US" w:eastAsia="zh-CN"/>
              </w:rPr>
            </w:pPr>
            <w:r>
              <w:rPr>
                <w:rFonts w:hint="default"/>
                <w:color w:val="auto"/>
                <w:lang w:val="en-US" w:eastAsia="zh-CN"/>
              </w:rPr>
              <w:t>使用装箱机对产品进行装箱处理，装箱后熟啤存于成品仓库外售，生啤放置成品冷库储存后外售。</w:t>
            </w:r>
          </w:p>
          <w:p w14:paraId="7EED151D">
            <w:pPr>
              <w:bidi w:val="0"/>
              <w:rPr>
                <w:rFonts w:hint="default"/>
                <w:color w:val="auto"/>
                <w:lang w:val="en-US" w:eastAsia="zh-CN"/>
              </w:rPr>
            </w:pPr>
            <w:r>
              <w:rPr>
                <w:rFonts w:hint="default"/>
                <w:color w:val="auto"/>
                <w:lang w:val="en-US" w:eastAsia="zh-CN"/>
              </w:rPr>
              <w:t>燃气锅炉：项目设置</w:t>
            </w:r>
            <w:r>
              <w:rPr>
                <w:rFonts w:hint="eastAsia"/>
                <w:color w:val="auto"/>
                <w:lang w:val="en-US" w:eastAsia="zh-CN"/>
              </w:rPr>
              <w:t>2</w:t>
            </w:r>
            <w:r>
              <w:rPr>
                <w:rFonts w:hint="default"/>
                <w:color w:val="auto"/>
                <w:lang w:val="en-US" w:eastAsia="zh-CN"/>
              </w:rPr>
              <w:t>台</w:t>
            </w:r>
            <w:r>
              <w:rPr>
                <w:rFonts w:hint="eastAsia"/>
                <w:color w:val="auto"/>
                <w:lang w:val="en-US" w:eastAsia="zh-CN"/>
              </w:rPr>
              <w:t>（一备一用）</w:t>
            </w:r>
            <w:r>
              <w:rPr>
                <w:rFonts w:hint="default"/>
                <w:color w:val="auto"/>
                <w:lang w:val="en-US" w:eastAsia="zh-CN"/>
              </w:rPr>
              <w:t>产汽值为0.5t/h的锅炉，产出的蒸汽用于糖化、煮沸、杀菌及CIP系统灌洗机等生产工序，采用夹套间接加热工艺，蒸汽不与食品生产物料直接接触，规避物料污染风险。蒸汽使用后产生的冷凝水通过密闭管道回流至锅炉自带的循环水箱循环利用。此工序产生的污染主要为锅炉废气G1、锅炉废水W2和噪声N5。</w:t>
            </w:r>
          </w:p>
          <w:p w14:paraId="66BCCA08">
            <w:pPr>
              <w:bidi w:val="0"/>
              <w:rPr>
                <w:rFonts w:hint="default"/>
                <w:color w:val="auto"/>
                <w:lang w:val="en-US" w:eastAsia="zh-CN"/>
              </w:rPr>
            </w:pPr>
            <w:r>
              <w:rPr>
                <w:rFonts w:hint="default"/>
                <w:color w:val="auto"/>
                <w:lang w:val="en-US" w:eastAsia="zh-CN"/>
              </w:rPr>
              <w:t>CIP系统灌洗机：CIP系统是指采用清洗剂对生产设备如糖化罐、煮沸罐、发酵罐、灌装系统、泵、管道等的内表面无需进行设备拆卸就能进行清洗的系统。采用的清洗剂主要是氢氧化钠并采用过氧乙酸消毒液进行杀菌消毒，通过加水稀释使用，碱液和过氧乙酸溶液分别回收至碱液罐和酸液罐，循环使用。</w:t>
            </w:r>
          </w:p>
          <w:p w14:paraId="530AC38B">
            <w:pPr>
              <w:bidi w:val="0"/>
              <w:rPr>
                <w:rFonts w:hint="default"/>
                <w:color w:val="auto"/>
                <w:lang w:val="en-US" w:eastAsia="zh-CN"/>
              </w:rPr>
            </w:pPr>
            <w:r>
              <w:rPr>
                <w:rFonts w:hint="default"/>
                <w:color w:val="auto"/>
                <w:lang w:val="en-US" w:eastAsia="zh-CN"/>
              </w:rPr>
              <w:t>项目CIP工序分为碱洗过程、热水冲洗及杀菌过程。</w:t>
            </w:r>
          </w:p>
          <w:p w14:paraId="5C7ADAD8">
            <w:pPr>
              <w:bidi w:val="0"/>
              <w:rPr>
                <w:rFonts w:hint="default"/>
                <w:color w:val="auto"/>
                <w:lang w:val="en-US" w:eastAsia="zh-CN"/>
              </w:rPr>
            </w:pPr>
            <w:r>
              <w:rPr>
                <w:rFonts w:hint="default"/>
                <w:color w:val="auto"/>
                <w:lang w:val="en-US" w:eastAsia="zh-CN"/>
              </w:rPr>
              <w:t>碱洗过程：采用CIP碱性清洗剂，按1:15比例稀释，配置成2.5%热NaOH溶液（75~80℃）冲洗，以去除设备内表面的蛋白质等残留物。</w:t>
            </w:r>
          </w:p>
          <w:p w14:paraId="5FD96E0C">
            <w:pPr>
              <w:bidi w:val="0"/>
              <w:rPr>
                <w:rFonts w:hint="default"/>
                <w:color w:val="auto"/>
                <w:lang w:val="en-US" w:eastAsia="zh-CN"/>
              </w:rPr>
            </w:pPr>
            <w:r>
              <w:rPr>
                <w:rFonts w:hint="default"/>
                <w:color w:val="auto"/>
                <w:lang w:val="en-US" w:eastAsia="zh-CN"/>
              </w:rPr>
              <w:t>一次热水冲洗过程：热水洗采用80℃的纯水，通过热水洗将残留于设备及管道内的碱液冲洗干净，并去除异味。</w:t>
            </w:r>
          </w:p>
          <w:p w14:paraId="3E814968">
            <w:pPr>
              <w:bidi w:val="0"/>
              <w:rPr>
                <w:rFonts w:hint="default"/>
                <w:color w:val="auto"/>
                <w:lang w:val="en-US" w:eastAsia="zh-CN"/>
              </w:rPr>
            </w:pPr>
            <w:r>
              <w:rPr>
                <w:rFonts w:hint="default"/>
                <w:color w:val="auto"/>
                <w:lang w:val="en-US" w:eastAsia="zh-CN"/>
              </w:rPr>
              <w:t>消毒过程：采用过氧乙酸消毒液（9%过氧乙酸），按1:17比例稀释，配置成0.5%浓度常温过氧乙酸溶液对生产设备及管路进行循环冲洗，去除设备及管路表面细菌。</w:t>
            </w:r>
          </w:p>
          <w:p w14:paraId="6BB7B902">
            <w:pPr>
              <w:bidi w:val="0"/>
              <w:rPr>
                <w:rFonts w:hint="default"/>
                <w:color w:val="auto"/>
                <w:lang w:val="en-US" w:eastAsia="zh-CN"/>
              </w:rPr>
            </w:pPr>
            <w:r>
              <w:rPr>
                <w:rFonts w:hint="default"/>
                <w:color w:val="auto"/>
                <w:lang w:val="en-US" w:eastAsia="zh-CN"/>
              </w:rPr>
              <w:t>二次热水冲洗：二次热水洗采用80~85℃的纯水，通过热水洗将残留于设备及管道内的过氧乙酸冲洗干净，并去除异味杀灭细菌。</w:t>
            </w:r>
          </w:p>
          <w:p w14:paraId="509997F8">
            <w:pPr>
              <w:bidi w:val="0"/>
              <w:rPr>
                <w:rFonts w:hint="default"/>
                <w:color w:val="auto"/>
                <w:lang w:val="en-US" w:eastAsia="zh-CN"/>
              </w:rPr>
            </w:pPr>
            <w:r>
              <w:rPr>
                <w:rFonts w:hint="default"/>
                <w:color w:val="auto"/>
                <w:lang w:val="en-US" w:eastAsia="zh-CN"/>
              </w:rPr>
              <w:t>上述清洗过程中，碱水清洗过程中产生的碱液和过氧乙酸溶液回收至系统自带碱液罐和酸液罐内，循环使用，浓度降低时补充碱和过氧乙酸溶液，清洗剂循环一定时间需更换，更换的废碱液、废酸液作危废处置。</w:t>
            </w:r>
          </w:p>
          <w:p w14:paraId="31E1A869">
            <w:pPr>
              <w:bidi w:val="0"/>
              <w:rPr>
                <w:rFonts w:hint="default"/>
                <w:b/>
                <w:bCs/>
                <w:color w:val="auto"/>
                <w:lang w:val="en-US" w:eastAsia="zh-CN"/>
              </w:rPr>
            </w:pPr>
            <w:r>
              <w:rPr>
                <w:rFonts w:hint="default"/>
                <w:b/>
                <w:bCs/>
                <w:color w:val="auto"/>
                <w:lang w:val="en-US" w:eastAsia="zh-CN"/>
              </w:rPr>
              <w:t>（2）发酵酒生产线工艺流程图</w:t>
            </w:r>
          </w:p>
          <w:p w14:paraId="753C01E4">
            <w:pPr>
              <w:bidi w:val="0"/>
              <w:ind w:left="0" w:leftChars="0" w:firstLine="0" w:firstLineChars="0"/>
              <w:rPr>
                <w:rFonts w:hint="default"/>
                <w:color w:val="auto"/>
                <w:lang w:val="en-US" w:eastAsia="zh-CN"/>
              </w:rPr>
            </w:pPr>
            <w:r>
              <w:rPr>
                <w:rFonts w:hint="default"/>
                <w:color w:val="auto"/>
                <w:lang w:val="en-US" w:eastAsia="zh-CN"/>
              </w:rPr>
              <w:drawing>
                <wp:inline distT="0" distB="0" distL="114300" distR="114300">
                  <wp:extent cx="5032375" cy="4773295"/>
                  <wp:effectExtent l="0" t="0" r="0" b="0"/>
                  <wp:docPr id="6" name="ECB019B1-382A-4266-B25C-5B523AA43C14-9" descr="C:/Users/Administrator/AppData/Local/Temp/wps.XGDvOL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CB019B1-382A-4266-B25C-5B523AA43C14-9" descr="C:/Users/Administrator/AppData/Local/Temp/wps.XGDvOLwps"/>
                          <pic:cNvPicPr>
                            <a:picLocks noChangeAspect="1"/>
                          </pic:cNvPicPr>
                        </pic:nvPicPr>
                        <pic:blipFill>
                          <a:blip r:embed="rId17"/>
                          <a:stretch>
                            <a:fillRect/>
                          </a:stretch>
                        </pic:blipFill>
                        <pic:spPr>
                          <a:xfrm>
                            <a:off x="0" y="0"/>
                            <a:ext cx="5032375" cy="4773295"/>
                          </a:xfrm>
                          <a:prstGeom prst="rect">
                            <a:avLst/>
                          </a:prstGeom>
                        </pic:spPr>
                      </pic:pic>
                    </a:graphicData>
                  </a:graphic>
                </wp:inline>
              </w:drawing>
            </w:r>
          </w:p>
          <w:p w14:paraId="5A42F3C9">
            <w:pPr>
              <w:pStyle w:val="30"/>
              <w:bidi w:val="0"/>
              <w:rPr>
                <w:rFonts w:hint="default"/>
                <w:color w:val="auto"/>
                <w:lang w:val="en-US" w:eastAsia="zh-CN"/>
              </w:rPr>
            </w:pPr>
            <w:r>
              <w:rPr>
                <w:rFonts w:hint="default"/>
                <w:color w:val="auto"/>
                <w:lang w:val="en-US" w:eastAsia="zh-CN"/>
              </w:rPr>
              <w:t>图2-8 发酵酒生产线工艺流程图</w:t>
            </w:r>
          </w:p>
          <w:p w14:paraId="0AAC23F4">
            <w:pPr>
              <w:bidi w:val="0"/>
              <w:rPr>
                <w:rFonts w:hint="default"/>
                <w:color w:val="auto"/>
                <w:lang w:val="en-US" w:eastAsia="zh-CN"/>
              </w:rPr>
            </w:pPr>
            <w:r>
              <w:rPr>
                <w:rFonts w:hint="default"/>
                <w:color w:val="auto"/>
                <w:lang w:val="en-US" w:eastAsia="zh-CN"/>
              </w:rPr>
              <w:t>生产工艺流程简述如下：</w:t>
            </w:r>
          </w:p>
          <w:p w14:paraId="575620B0">
            <w:pPr>
              <w:bidi w:val="0"/>
              <w:rPr>
                <w:rFonts w:hint="default"/>
                <w:color w:val="auto"/>
                <w:lang w:val="en-US" w:eastAsia="zh-CN"/>
              </w:rPr>
            </w:pPr>
            <w:r>
              <w:rPr>
                <w:rFonts w:hint="default"/>
                <w:color w:val="auto"/>
                <w:lang w:val="en-US" w:eastAsia="zh-CN"/>
              </w:rPr>
              <w:t>1）煮沸</w:t>
            </w:r>
          </w:p>
          <w:p w14:paraId="12E4BFB5">
            <w:pPr>
              <w:bidi w:val="0"/>
              <w:rPr>
                <w:rFonts w:hint="default"/>
                <w:color w:val="auto"/>
                <w:lang w:val="en-US" w:eastAsia="zh-CN"/>
              </w:rPr>
            </w:pPr>
            <w:r>
              <w:rPr>
                <w:rFonts w:hint="default"/>
                <w:color w:val="auto"/>
                <w:lang w:val="en-US" w:eastAsia="zh-CN"/>
              </w:rPr>
              <w:t>将茶叶、红糖或是水果浓缩汁加入纯水按照一定比例混合后进行煮沸，使用蒸汽间接加热煮沸，利用蒸汽加热使汁液沸腾后继续煮沸50min。煮沸过程产生的二次蒸汽进入板式换热器，与冷水进行热交换，冷水吸收热量升温至95℃，存入热水罐回用于；二次蒸汽通过板式冷凝器冷凝至30℃后直接排放。煮沸完成后，采用CIP系统对煮沸罐进行清洗。</w:t>
            </w:r>
          </w:p>
          <w:p w14:paraId="7BD26056">
            <w:pPr>
              <w:bidi w:val="0"/>
              <w:rPr>
                <w:rFonts w:hint="default"/>
                <w:color w:val="auto"/>
                <w:lang w:val="en-US" w:eastAsia="zh-CN"/>
              </w:rPr>
            </w:pPr>
            <w:r>
              <w:rPr>
                <w:rFonts w:hint="default"/>
                <w:color w:val="auto"/>
                <w:lang w:val="en-US" w:eastAsia="zh-CN"/>
              </w:rPr>
              <w:t>2）回旋沉淀、冷却</w:t>
            </w:r>
          </w:p>
          <w:p w14:paraId="7464A733">
            <w:pPr>
              <w:bidi w:val="0"/>
              <w:rPr>
                <w:rFonts w:hint="default"/>
                <w:color w:val="auto"/>
                <w:lang w:val="en-US" w:eastAsia="zh-CN"/>
              </w:rPr>
            </w:pPr>
            <w:r>
              <w:rPr>
                <w:rFonts w:hint="default"/>
                <w:color w:val="auto"/>
                <w:lang w:val="en-US" w:eastAsia="zh-CN"/>
              </w:rPr>
              <w:t>煮沸完成后关闭蒸汽停止加热，开启煮沸旋沉锅底部阀门和底部的侧面切线阀门，通过回旋沉淀作用，可以去掉热凝固物，从而得到清亮的发酵酒。此工序产生的污染主要为沉淀渣S2和噪声N3，沉淀完成后，采用CIP系统对煮沸旋沉槽进行清洗。</w:t>
            </w:r>
          </w:p>
          <w:p w14:paraId="5D2AB0B6">
            <w:pPr>
              <w:bidi w:val="0"/>
              <w:rPr>
                <w:rFonts w:hint="default"/>
                <w:color w:val="auto"/>
                <w:lang w:val="en-US" w:eastAsia="zh-CN"/>
              </w:rPr>
            </w:pPr>
            <w:r>
              <w:rPr>
                <w:rFonts w:hint="default"/>
                <w:color w:val="auto"/>
                <w:lang w:val="en-US" w:eastAsia="zh-CN"/>
              </w:rPr>
              <w:t>沉淀后的发酵酒经板式换热器冷却，首先载制冷剂冷却后，送至冰水罐，将冰水罐中水冷却至2~4℃，经过换热，温度可从95℃降到18~22℃，换热器中的水升温到78~80℃，输送到热水罐，进行回用。冷却结束后，将液体送至发酵罐。</w:t>
            </w:r>
          </w:p>
          <w:p w14:paraId="146F2F8D">
            <w:pPr>
              <w:bidi w:val="0"/>
              <w:rPr>
                <w:rFonts w:hint="default"/>
                <w:color w:val="auto"/>
                <w:lang w:val="en-US" w:eastAsia="zh-CN"/>
              </w:rPr>
            </w:pPr>
            <w:r>
              <w:rPr>
                <w:rFonts w:hint="default"/>
                <w:color w:val="auto"/>
                <w:lang w:val="en-US" w:eastAsia="zh-CN"/>
              </w:rPr>
              <w:t>3）发酵</w:t>
            </w:r>
          </w:p>
          <w:p w14:paraId="0E226CC5">
            <w:pPr>
              <w:bidi w:val="0"/>
              <w:rPr>
                <w:rFonts w:hint="default"/>
                <w:color w:val="auto"/>
                <w:lang w:val="en-US" w:eastAsia="zh-CN"/>
              </w:rPr>
            </w:pPr>
            <w:r>
              <w:rPr>
                <w:rFonts w:hint="default"/>
                <w:color w:val="auto"/>
                <w:lang w:val="en-US" w:eastAsia="zh-CN"/>
              </w:rPr>
              <w:t>冷却后的液体经充氧、按比例添加干酵母后采用发酵罐一罐法发酵工艺进行发酵，发酵时间按照不同的原辅料选择合适的发酵周期，一般在7~15天，温度控制在18~22℃。</w:t>
            </w:r>
          </w:p>
          <w:p w14:paraId="2CC8BE1C">
            <w:pPr>
              <w:bidi w:val="0"/>
              <w:rPr>
                <w:rFonts w:hint="default"/>
                <w:color w:val="auto"/>
                <w:lang w:val="en-US" w:eastAsia="zh-CN"/>
              </w:rPr>
            </w:pPr>
            <w:r>
              <w:rPr>
                <w:rFonts w:hint="default"/>
                <w:color w:val="auto"/>
                <w:lang w:val="en-US" w:eastAsia="zh-CN"/>
              </w:rPr>
              <w:t>此工序产生的污染主要为废酵母S3、发酵废气T2和少量CO</w:t>
            </w:r>
            <w:r>
              <w:rPr>
                <w:rFonts w:hint="default"/>
                <w:color w:val="auto"/>
                <w:vertAlign w:val="subscript"/>
                <w:lang w:val="en-US" w:eastAsia="zh-CN"/>
              </w:rPr>
              <w:t>2</w:t>
            </w:r>
            <w:r>
              <w:rPr>
                <w:rFonts w:hint="default"/>
                <w:color w:val="auto"/>
                <w:vertAlign w:val="baseline"/>
                <w:lang w:val="en-US" w:eastAsia="zh-CN"/>
              </w:rPr>
              <w:t>，</w:t>
            </w:r>
            <w:r>
              <w:rPr>
                <w:rFonts w:hint="default"/>
                <w:color w:val="auto"/>
                <w:lang w:val="en-US" w:eastAsia="zh-CN"/>
              </w:rPr>
              <w:t>CO</w:t>
            </w:r>
            <w:r>
              <w:rPr>
                <w:rFonts w:hint="default"/>
                <w:color w:val="auto"/>
                <w:vertAlign w:val="subscript"/>
                <w:lang w:val="en-US" w:eastAsia="zh-CN"/>
              </w:rPr>
              <w:t>2</w:t>
            </w:r>
            <w:r>
              <w:rPr>
                <w:rFonts w:hint="eastAsia"/>
                <w:color w:val="auto"/>
                <w:lang w:val="en-US" w:eastAsia="zh-CN"/>
              </w:rPr>
              <w:t>通过回收钢瓶回收利用（此过程不在赘述），</w:t>
            </w:r>
            <w:r>
              <w:rPr>
                <w:rFonts w:hint="default"/>
                <w:color w:val="auto"/>
                <w:lang w:val="en-US" w:eastAsia="zh-CN"/>
              </w:rPr>
              <w:t>发酵完成后，采用CIP系统对发酵罐进行清洗。</w:t>
            </w:r>
          </w:p>
          <w:p w14:paraId="65AFEC4B">
            <w:pPr>
              <w:bidi w:val="0"/>
              <w:rPr>
                <w:rFonts w:hint="default"/>
                <w:color w:val="auto"/>
                <w:lang w:val="en-US" w:eastAsia="zh-CN"/>
              </w:rPr>
            </w:pPr>
            <w:r>
              <w:rPr>
                <w:rFonts w:hint="default"/>
                <w:color w:val="auto"/>
                <w:lang w:val="en-US" w:eastAsia="zh-CN"/>
              </w:rPr>
              <w:t>4）调配</w:t>
            </w:r>
          </w:p>
          <w:p w14:paraId="1763F9DF">
            <w:pPr>
              <w:bidi w:val="0"/>
              <w:rPr>
                <w:rFonts w:hint="default"/>
                <w:color w:val="auto"/>
                <w:lang w:val="en-US" w:eastAsia="zh-CN"/>
              </w:rPr>
            </w:pPr>
            <w:r>
              <w:rPr>
                <w:rFonts w:hint="default"/>
                <w:color w:val="auto"/>
                <w:lang w:val="en-US" w:eastAsia="zh-CN"/>
              </w:rPr>
              <w:t>将发酵好的液体再次加入水果浓缩汁和辅料按照一定比例放入清酒罐中进行人工调配，调配好后进行灌装。</w:t>
            </w:r>
          </w:p>
          <w:p w14:paraId="2E41324B">
            <w:pPr>
              <w:bidi w:val="0"/>
              <w:rPr>
                <w:rFonts w:hint="default"/>
                <w:color w:val="auto"/>
                <w:lang w:val="en-US" w:eastAsia="zh-CN"/>
              </w:rPr>
            </w:pPr>
            <w:r>
              <w:rPr>
                <w:rFonts w:hint="default"/>
                <w:color w:val="auto"/>
                <w:lang w:val="en-US" w:eastAsia="zh-CN"/>
              </w:rPr>
              <w:t>5）灌装、入库</w:t>
            </w:r>
          </w:p>
          <w:p w14:paraId="11E2C0FB">
            <w:pPr>
              <w:bidi w:val="0"/>
              <w:rPr>
                <w:rFonts w:hint="default"/>
                <w:color w:val="auto"/>
                <w:lang w:val="en-US" w:eastAsia="zh-CN"/>
              </w:rPr>
            </w:pPr>
            <w:r>
              <w:rPr>
                <w:rFonts w:hint="default"/>
                <w:color w:val="auto"/>
                <w:lang w:val="en-US" w:eastAsia="zh-CN"/>
              </w:rPr>
              <w:t>对易拉罐、玻璃瓶进行清洗，需清洗的包装瓶均为新瓶，比较清洁，采用纯水一次清洗，将制成的发酵酒通过六头灌装机和易拉罐灌装机灌装、封盖得到成品。此工序产生的污染主要为噪声N4，灌装完成后，采用CIP系统对灌装机进行清洗。</w:t>
            </w:r>
          </w:p>
          <w:p w14:paraId="2C9093A3">
            <w:pPr>
              <w:bidi w:val="0"/>
              <w:rPr>
                <w:rFonts w:hint="default"/>
                <w:color w:val="auto"/>
                <w:lang w:val="en-US" w:eastAsia="zh-CN"/>
              </w:rPr>
            </w:pPr>
            <w:r>
              <w:rPr>
                <w:rFonts w:hint="default"/>
                <w:color w:val="auto"/>
                <w:lang w:val="en-US" w:eastAsia="zh-CN"/>
              </w:rPr>
              <w:t>6）杀菌</w:t>
            </w:r>
          </w:p>
          <w:p w14:paraId="79E9E8E2">
            <w:pPr>
              <w:bidi w:val="0"/>
              <w:rPr>
                <w:rFonts w:hint="default"/>
                <w:color w:val="auto"/>
                <w:lang w:val="en-US" w:eastAsia="zh-CN"/>
              </w:rPr>
            </w:pPr>
            <w:r>
              <w:rPr>
                <w:rFonts w:hint="default"/>
                <w:color w:val="auto"/>
                <w:lang w:val="en-US" w:eastAsia="zh-CN"/>
              </w:rPr>
              <w:t>灌装后需对易拉罐整体采用巴氏杀菌后再进行打码、贴标。</w:t>
            </w:r>
          </w:p>
          <w:p w14:paraId="3182BC58">
            <w:pPr>
              <w:bidi w:val="0"/>
              <w:rPr>
                <w:rFonts w:hint="default"/>
                <w:color w:val="auto"/>
                <w:lang w:val="en-US" w:eastAsia="zh-CN"/>
              </w:rPr>
            </w:pPr>
            <w:r>
              <w:rPr>
                <w:rFonts w:hint="default"/>
                <w:color w:val="auto"/>
                <w:lang w:val="en-US" w:eastAsia="zh-CN"/>
              </w:rPr>
              <w:t>7）打码、贴标</w:t>
            </w:r>
          </w:p>
          <w:p w14:paraId="216FB28F">
            <w:pPr>
              <w:bidi w:val="0"/>
              <w:rPr>
                <w:rFonts w:hint="default"/>
                <w:color w:val="auto"/>
                <w:lang w:val="en-US" w:eastAsia="zh-CN"/>
              </w:rPr>
            </w:pPr>
            <w:r>
              <w:rPr>
                <w:rFonts w:hint="default"/>
                <w:color w:val="auto"/>
                <w:lang w:val="en-US" w:eastAsia="zh-CN"/>
              </w:rPr>
              <w:t>通过喷码机对杀菌后的酒瓶进行喷码，喷码机为激光打码，不涉及油墨。接着由贴标机自动贴标。</w:t>
            </w:r>
          </w:p>
          <w:p w14:paraId="239C274D">
            <w:pPr>
              <w:bidi w:val="0"/>
              <w:rPr>
                <w:rFonts w:hint="default"/>
                <w:color w:val="auto"/>
                <w:lang w:val="en-US" w:eastAsia="zh-CN"/>
              </w:rPr>
            </w:pPr>
            <w:r>
              <w:rPr>
                <w:rFonts w:hint="default"/>
                <w:color w:val="auto"/>
                <w:lang w:val="en-US" w:eastAsia="zh-CN"/>
              </w:rPr>
              <w:t>8）抽样检测</w:t>
            </w:r>
          </w:p>
          <w:p w14:paraId="156C9FE2">
            <w:pPr>
              <w:bidi w:val="0"/>
              <w:rPr>
                <w:rFonts w:hint="default"/>
                <w:color w:val="auto"/>
                <w:lang w:val="en-US" w:eastAsia="zh-CN"/>
              </w:rPr>
            </w:pPr>
            <w:r>
              <w:rPr>
                <w:rFonts w:hint="default"/>
                <w:color w:val="auto"/>
                <w:lang w:val="en-US" w:eastAsia="zh-CN"/>
              </w:rPr>
              <w:t>化验室对配制酒质量抽检，全程仅为仪器物理检测、少量微生物无菌操作，不额外使用大量化学试剂，检验过程无工艺性废气、废水排放，合格后打包入库。</w:t>
            </w:r>
          </w:p>
          <w:p w14:paraId="433A8326">
            <w:pPr>
              <w:bidi w:val="0"/>
              <w:rPr>
                <w:rFonts w:hint="default"/>
                <w:color w:val="auto"/>
                <w:lang w:val="en-US" w:eastAsia="zh-CN"/>
              </w:rPr>
            </w:pPr>
            <w:r>
              <w:rPr>
                <w:rFonts w:hint="default"/>
                <w:color w:val="auto"/>
                <w:lang w:val="en-US" w:eastAsia="zh-CN"/>
              </w:rPr>
              <w:t>9）装箱入库</w:t>
            </w:r>
          </w:p>
          <w:p w14:paraId="54CA1238">
            <w:pPr>
              <w:bidi w:val="0"/>
              <w:rPr>
                <w:rFonts w:hint="default"/>
                <w:color w:val="auto"/>
                <w:lang w:val="en-US" w:eastAsia="zh-CN"/>
              </w:rPr>
            </w:pPr>
            <w:r>
              <w:rPr>
                <w:rFonts w:hint="default"/>
                <w:color w:val="auto"/>
                <w:lang w:val="en-US" w:eastAsia="zh-CN"/>
              </w:rPr>
              <w:t>使用装箱机对产品进行装箱处理，装箱后产品存于成品仓库外售。</w:t>
            </w:r>
          </w:p>
          <w:p w14:paraId="0D267654">
            <w:pPr>
              <w:bidi w:val="0"/>
              <w:rPr>
                <w:rFonts w:hint="default"/>
                <w:b/>
                <w:bCs/>
                <w:color w:val="auto"/>
                <w:lang w:val="en-US" w:eastAsia="zh-CN"/>
              </w:rPr>
            </w:pPr>
            <w:r>
              <w:rPr>
                <w:rFonts w:hint="default"/>
                <w:b/>
                <w:bCs/>
                <w:color w:val="auto"/>
                <w:lang w:val="en-US" w:eastAsia="zh-CN"/>
              </w:rPr>
              <w:t>（3）饮料生产线工艺流程图</w:t>
            </w:r>
          </w:p>
          <w:p w14:paraId="1F92D70F">
            <w:pPr>
              <w:bidi w:val="0"/>
              <w:ind w:left="0" w:leftChars="0" w:firstLine="0" w:firstLineChars="0"/>
              <w:rPr>
                <w:rFonts w:hint="default"/>
                <w:color w:val="auto"/>
                <w:lang w:val="en-US" w:eastAsia="zh-CN"/>
              </w:rPr>
            </w:pPr>
            <w:r>
              <w:rPr>
                <w:rFonts w:hint="default"/>
                <w:color w:val="auto"/>
                <w:lang w:val="en-US" w:eastAsia="zh-CN"/>
              </w:rPr>
              <w:drawing>
                <wp:inline distT="0" distB="0" distL="114300" distR="114300">
                  <wp:extent cx="5161915" cy="4432300"/>
                  <wp:effectExtent l="0" t="0" r="0" b="0"/>
                  <wp:docPr id="7" name="ECB019B1-382A-4266-B25C-5B523AA43C14-10" descr="C:/Users/Administrator/AppData/Local/Temp/wps.DsQJbE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B019B1-382A-4266-B25C-5B523AA43C14-10" descr="C:/Users/Administrator/AppData/Local/Temp/wps.DsQJbEwps"/>
                          <pic:cNvPicPr>
                            <a:picLocks noChangeAspect="1"/>
                          </pic:cNvPicPr>
                        </pic:nvPicPr>
                        <pic:blipFill>
                          <a:blip r:embed="rId18"/>
                          <a:stretch>
                            <a:fillRect/>
                          </a:stretch>
                        </pic:blipFill>
                        <pic:spPr>
                          <a:xfrm>
                            <a:off x="0" y="0"/>
                            <a:ext cx="5161915" cy="4432300"/>
                          </a:xfrm>
                          <a:prstGeom prst="rect">
                            <a:avLst/>
                          </a:prstGeom>
                        </pic:spPr>
                      </pic:pic>
                    </a:graphicData>
                  </a:graphic>
                </wp:inline>
              </w:drawing>
            </w:r>
          </w:p>
          <w:p w14:paraId="40143054">
            <w:pPr>
              <w:pStyle w:val="30"/>
              <w:bidi w:val="0"/>
              <w:rPr>
                <w:rFonts w:hint="default"/>
                <w:color w:val="auto"/>
                <w:lang w:val="en-US" w:eastAsia="zh-CN"/>
              </w:rPr>
            </w:pPr>
            <w:r>
              <w:rPr>
                <w:rFonts w:hint="default"/>
                <w:color w:val="auto"/>
                <w:lang w:val="en-US" w:eastAsia="zh-CN"/>
              </w:rPr>
              <w:t>图2-9 饮料生产线工艺流程图</w:t>
            </w:r>
          </w:p>
          <w:p w14:paraId="45AA3EC6">
            <w:pPr>
              <w:bidi w:val="0"/>
              <w:rPr>
                <w:rFonts w:hint="default"/>
                <w:color w:val="auto"/>
                <w:lang w:val="en-US" w:eastAsia="zh-CN"/>
              </w:rPr>
            </w:pPr>
            <w:r>
              <w:rPr>
                <w:rFonts w:hint="default"/>
                <w:color w:val="auto"/>
                <w:lang w:val="en-US" w:eastAsia="zh-CN"/>
              </w:rPr>
              <w:t>生产工艺流程简述如下：</w:t>
            </w:r>
          </w:p>
          <w:p w14:paraId="14C8B560">
            <w:pPr>
              <w:bidi w:val="0"/>
              <w:rPr>
                <w:rFonts w:hint="default"/>
                <w:color w:val="auto"/>
                <w:lang w:val="en-US" w:eastAsia="zh-CN"/>
              </w:rPr>
            </w:pPr>
            <w:r>
              <w:rPr>
                <w:rFonts w:hint="default"/>
                <w:color w:val="auto"/>
                <w:lang w:val="en-US" w:eastAsia="zh-CN"/>
              </w:rPr>
              <w:t>1）调配</w:t>
            </w:r>
          </w:p>
          <w:p w14:paraId="7884CDCD">
            <w:pPr>
              <w:bidi w:val="0"/>
              <w:rPr>
                <w:rFonts w:hint="default"/>
                <w:color w:val="auto"/>
                <w:lang w:val="en-US" w:eastAsia="zh-CN"/>
              </w:rPr>
            </w:pPr>
            <w:r>
              <w:rPr>
                <w:rFonts w:hint="default"/>
                <w:color w:val="auto"/>
                <w:lang w:val="en-US" w:eastAsia="zh-CN"/>
              </w:rPr>
              <w:t>将酸角浓缩汁或苹果浓缩汁与辅料按照一定比例混合后放入清酒罐中进行人工调配，调配好后进行灌装。碳酸饮料则加入辅料按照一定比例混合后放入清酒罐中进行人工调配，调配好后与二氧化碳在高压下融合，形成碳酸水后再进行灌装</w:t>
            </w:r>
          </w:p>
          <w:p w14:paraId="579B846C">
            <w:pPr>
              <w:bidi w:val="0"/>
              <w:rPr>
                <w:rFonts w:hint="default"/>
                <w:color w:val="auto"/>
                <w:lang w:val="en-US" w:eastAsia="zh-CN"/>
              </w:rPr>
            </w:pPr>
            <w:r>
              <w:rPr>
                <w:rFonts w:hint="default"/>
                <w:color w:val="auto"/>
                <w:lang w:val="en-US" w:eastAsia="zh-CN"/>
              </w:rPr>
              <w:t>2）灌装、入库</w:t>
            </w:r>
          </w:p>
          <w:p w14:paraId="1D5E2B3C">
            <w:pPr>
              <w:bidi w:val="0"/>
              <w:rPr>
                <w:rFonts w:hint="default"/>
                <w:color w:val="auto"/>
                <w:lang w:val="en-US" w:eastAsia="zh-CN"/>
              </w:rPr>
            </w:pPr>
            <w:r>
              <w:rPr>
                <w:rFonts w:hint="default"/>
                <w:color w:val="auto"/>
                <w:lang w:val="en-US" w:eastAsia="zh-CN"/>
              </w:rPr>
              <w:t>对易拉罐、玻璃瓶进行清洗，需清洗的包装瓶均为新瓶，比较清洁，采用纯水一次清洗，将制成的饮料通过六头灌装机和易拉罐灌装机灌装、封盖得到成品。此工序产生的污染主要为噪声N4，灌装完成后，采用CIP系统对灌装机进行清洗。</w:t>
            </w:r>
          </w:p>
          <w:p w14:paraId="0289E162">
            <w:pPr>
              <w:bidi w:val="0"/>
              <w:rPr>
                <w:rFonts w:hint="default"/>
                <w:color w:val="auto"/>
                <w:lang w:val="en-US" w:eastAsia="zh-CN"/>
              </w:rPr>
            </w:pPr>
            <w:r>
              <w:rPr>
                <w:rFonts w:hint="default"/>
                <w:color w:val="auto"/>
                <w:lang w:val="en-US" w:eastAsia="zh-CN"/>
              </w:rPr>
              <w:t>3）杀菌</w:t>
            </w:r>
          </w:p>
          <w:p w14:paraId="205975E6">
            <w:pPr>
              <w:bidi w:val="0"/>
              <w:rPr>
                <w:rFonts w:hint="default"/>
                <w:color w:val="auto"/>
                <w:lang w:val="en-US" w:eastAsia="zh-CN"/>
              </w:rPr>
            </w:pPr>
            <w:r>
              <w:rPr>
                <w:rFonts w:hint="default"/>
                <w:color w:val="auto"/>
                <w:lang w:val="en-US" w:eastAsia="zh-CN"/>
              </w:rPr>
              <w:t>灌装后需对易拉罐整体采用巴氏杀菌后再进行打码、贴标。</w:t>
            </w:r>
          </w:p>
          <w:p w14:paraId="670A6CFD">
            <w:pPr>
              <w:bidi w:val="0"/>
              <w:rPr>
                <w:rFonts w:hint="default"/>
                <w:color w:val="auto"/>
                <w:lang w:val="en-US" w:eastAsia="zh-CN"/>
              </w:rPr>
            </w:pPr>
            <w:r>
              <w:rPr>
                <w:rFonts w:hint="default"/>
                <w:color w:val="auto"/>
                <w:lang w:val="en-US" w:eastAsia="zh-CN"/>
              </w:rPr>
              <w:t>4）打码、贴标</w:t>
            </w:r>
          </w:p>
          <w:p w14:paraId="5BEE76F8">
            <w:pPr>
              <w:bidi w:val="0"/>
              <w:rPr>
                <w:rFonts w:hint="default"/>
                <w:color w:val="auto"/>
                <w:lang w:val="en-US" w:eastAsia="zh-CN"/>
              </w:rPr>
            </w:pPr>
            <w:r>
              <w:rPr>
                <w:rFonts w:hint="default"/>
                <w:color w:val="auto"/>
                <w:lang w:val="en-US" w:eastAsia="zh-CN"/>
              </w:rPr>
              <w:t>通过喷码机对杀菌后的瓶子进行喷码，喷码机为激光打码，不涉及油墨。接着由贴标机自动贴标。</w:t>
            </w:r>
          </w:p>
          <w:p w14:paraId="01B99BCC">
            <w:pPr>
              <w:bidi w:val="0"/>
              <w:rPr>
                <w:rFonts w:hint="default"/>
                <w:color w:val="auto"/>
                <w:lang w:val="en-US" w:eastAsia="zh-CN"/>
              </w:rPr>
            </w:pPr>
            <w:r>
              <w:rPr>
                <w:rFonts w:hint="default"/>
                <w:color w:val="auto"/>
                <w:lang w:val="en-US" w:eastAsia="zh-CN"/>
              </w:rPr>
              <w:t>5）抽样检测</w:t>
            </w:r>
          </w:p>
          <w:p w14:paraId="1C47EE7D">
            <w:pPr>
              <w:bidi w:val="0"/>
              <w:rPr>
                <w:rFonts w:hint="default"/>
                <w:color w:val="auto"/>
                <w:lang w:val="en-US" w:eastAsia="zh-CN"/>
              </w:rPr>
            </w:pPr>
            <w:r>
              <w:rPr>
                <w:rFonts w:hint="default"/>
                <w:color w:val="auto"/>
                <w:lang w:val="en-US" w:eastAsia="zh-CN"/>
              </w:rPr>
              <w:t>化验室对饮料质量抽检，全程仅为仪器物理检测、少量微生物无菌操作，不额外使用大量化学试剂，检验过程无工艺性废气、废水排放，合格后打包入库。</w:t>
            </w:r>
          </w:p>
          <w:p w14:paraId="3D85A727">
            <w:pPr>
              <w:bidi w:val="0"/>
              <w:rPr>
                <w:rFonts w:hint="default"/>
                <w:color w:val="auto"/>
                <w:lang w:val="en-US" w:eastAsia="zh-CN"/>
              </w:rPr>
            </w:pPr>
            <w:r>
              <w:rPr>
                <w:rFonts w:hint="default"/>
                <w:color w:val="auto"/>
                <w:lang w:val="en-US" w:eastAsia="zh-CN"/>
              </w:rPr>
              <w:t>6）装箱入库</w:t>
            </w:r>
          </w:p>
          <w:p w14:paraId="6D23F28C">
            <w:pPr>
              <w:bidi w:val="0"/>
              <w:rPr>
                <w:rFonts w:hint="default"/>
                <w:color w:val="auto"/>
                <w:lang w:val="en-US" w:eastAsia="zh-CN"/>
              </w:rPr>
            </w:pPr>
            <w:r>
              <w:rPr>
                <w:rFonts w:hint="default"/>
                <w:color w:val="auto"/>
                <w:lang w:val="en-US" w:eastAsia="zh-CN"/>
              </w:rPr>
              <w:t>使用装箱机对产品进行装箱处理，装箱后产品存于成品仓库外售。</w:t>
            </w:r>
          </w:p>
          <w:p w14:paraId="78BC9AF9">
            <w:pPr>
              <w:bidi w:val="0"/>
              <w:rPr>
                <w:rFonts w:hint="default"/>
                <w:b/>
                <w:bCs/>
                <w:color w:val="auto"/>
                <w:lang w:val="en-US" w:eastAsia="zh-CN"/>
              </w:rPr>
            </w:pPr>
            <w:r>
              <w:rPr>
                <w:rFonts w:hint="default"/>
                <w:b/>
                <w:bCs/>
                <w:color w:val="auto"/>
                <w:lang w:val="en-US" w:eastAsia="zh-CN"/>
              </w:rPr>
              <w:t>（4）配制酒生产线工艺流程图</w:t>
            </w:r>
          </w:p>
          <w:p w14:paraId="5A57491B">
            <w:pPr>
              <w:bidi w:val="0"/>
              <w:ind w:left="0" w:leftChars="0" w:firstLine="0" w:firstLineChars="0"/>
              <w:rPr>
                <w:rFonts w:hint="default"/>
                <w:color w:val="auto"/>
                <w:lang w:val="en-US" w:eastAsia="zh-CN"/>
              </w:rPr>
            </w:pPr>
            <w:r>
              <w:rPr>
                <w:rFonts w:hint="default"/>
                <w:color w:val="auto"/>
                <w:lang w:val="en-US" w:eastAsia="zh-CN"/>
              </w:rPr>
              <w:drawing>
                <wp:inline distT="0" distB="0" distL="114300" distR="114300">
                  <wp:extent cx="5049520" cy="3714750"/>
                  <wp:effectExtent l="0" t="0" r="17780" b="0"/>
                  <wp:docPr id="3" name="ECB019B1-382A-4266-B25C-5B523AA43C14-11" descr="C:/Users/Administrator/AppData/Local/Temp/wps.rjnal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CB019B1-382A-4266-B25C-5B523AA43C14-11" descr="C:/Users/Administrator/AppData/Local/Temp/wps.rjnalXwps"/>
                          <pic:cNvPicPr>
                            <a:picLocks noChangeAspect="1"/>
                          </pic:cNvPicPr>
                        </pic:nvPicPr>
                        <pic:blipFill>
                          <a:blip r:embed="rId19"/>
                          <a:stretch>
                            <a:fillRect/>
                          </a:stretch>
                        </pic:blipFill>
                        <pic:spPr>
                          <a:xfrm>
                            <a:off x="0" y="0"/>
                            <a:ext cx="5049520" cy="3714750"/>
                          </a:xfrm>
                          <a:prstGeom prst="rect">
                            <a:avLst/>
                          </a:prstGeom>
                        </pic:spPr>
                      </pic:pic>
                    </a:graphicData>
                  </a:graphic>
                </wp:inline>
              </w:drawing>
            </w:r>
          </w:p>
          <w:p w14:paraId="7685BF64">
            <w:pPr>
              <w:pStyle w:val="30"/>
              <w:bidi w:val="0"/>
              <w:rPr>
                <w:rFonts w:hint="default"/>
                <w:color w:val="auto"/>
                <w:lang w:val="en-US" w:eastAsia="zh-CN"/>
              </w:rPr>
            </w:pPr>
            <w:r>
              <w:rPr>
                <w:rFonts w:hint="default"/>
                <w:color w:val="auto"/>
                <w:lang w:val="en-US" w:eastAsia="zh-CN"/>
              </w:rPr>
              <w:t>图2-10 配制酒生产线工艺流程图</w:t>
            </w:r>
          </w:p>
          <w:p w14:paraId="22C496BB">
            <w:pPr>
              <w:bidi w:val="0"/>
              <w:rPr>
                <w:rFonts w:hint="default"/>
                <w:color w:val="auto"/>
                <w:lang w:val="en-US" w:eastAsia="zh-CN"/>
              </w:rPr>
            </w:pPr>
            <w:r>
              <w:rPr>
                <w:rFonts w:hint="default"/>
                <w:color w:val="auto"/>
                <w:lang w:val="en-US" w:eastAsia="zh-CN"/>
              </w:rPr>
              <w:t>生产工艺流程简述如下：</w:t>
            </w:r>
          </w:p>
          <w:p w14:paraId="6A9748F7">
            <w:pPr>
              <w:bidi w:val="0"/>
              <w:rPr>
                <w:rFonts w:hint="default"/>
                <w:color w:val="auto"/>
                <w:lang w:val="en-US" w:eastAsia="zh-CN"/>
              </w:rPr>
            </w:pPr>
            <w:r>
              <w:rPr>
                <w:rFonts w:hint="default"/>
                <w:color w:val="auto"/>
                <w:lang w:val="en-US" w:eastAsia="zh-CN"/>
              </w:rPr>
              <w:t>1）调配</w:t>
            </w:r>
          </w:p>
          <w:p w14:paraId="564BA22C">
            <w:pPr>
              <w:bidi w:val="0"/>
              <w:rPr>
                <w:rFonts w:hint="default"/>
                <w:color w:val="auto"/>
                <w:lang w:val="en-US" w:eastAsia="zh-CN"/>
              </w:rPr>
            </w:pPr>
            <w:r>
              <w:rPr>
                <w:rFonts w:hint="default"/>
                <w:color w:val="auto"/>
                <w:lang w:val="en-US" w:eastAsia="zh-CN"/>
              </w:rPr>
              <w:t>将购买的原酒、水果浓缩汁与辅料按照一定比例混合后放入清酒罐中进行人工调配，调配好后进行灌装。</w:t>
            </w:r>
          </w:p>
          <w:p w14:paraId="42A35E27">
            <w:pPr>
              <w:bidi w:val="0"/>
              <w:rPr>
                <w:rFonts w:hint="default"/>
                <w:color w:val="auto"/>
                <w:lang w:val="en-US" w:eastAsia="zh-CN"/>
              </w:rPr>
            </w:pPr>
            <w:r>
              <w:rPr>
                <w:rFonts w:hint="default"/>
                <w:color w:val="auto"/>
                <w:lang w:val="en-US" w:eastAsia="zh-CN"/>
              </w:rPr>
              <w:t>2）灌装、入库</w:t>
            </w:r>
          </w:p>
          <w:p w14:paraId="7E303254">
            <w:pPr>
              <w:bidi w:val="0"/>
              <w:rPr>
                <w:rFonts w:hint="default"/>
                <w:color w:val="auto"/>
                <w:lang w:val="en-US" w:eastAsia="zh-CN"/>
              </w:rPr>
            </w:pPr>
            <w:r>
              <w:rPr>
                <w:rFonts w:hint="default"/>
                <w:color w:val="auto"/>
                <w:lang w:val="en-US" w:eastAsia="zh-CN"/>
              </w:rPr>
              <w:t>对易拉罐、玻璃瓶进行清洗，需清洗的包装瓶均为新瓶，比较清洁，采用纯水一次清洗，将制成的配制酒通过六头灌装机和易拉罐灌装机灌装、封盖得到成品。此工序产生的污染主要为噪声N4，灌装完成后，采用CIP系统对灌装机进行清洗。</w:t>
            </w:r>
          </w:p>
          <w:p w14:paraId="37A01B7E">
            <w:pPr>
              <w:bidi w:val="0"/>
              <w:rPr>
                <w:rFonts w:hint="default"/>
                <w:color w:val="auto"/>
                <w:lang w:val="en-US" w:eastAsia="zh-CN"/>
              </w:rPr>
            </w:pPr>
            <w:r>
              <w:rPr>
                <w:rFonts w:hint="default"/>
                <w:color w:val="auto"/>
                <w:lang w:val="en-US" w:eastAsia="zh-CN"/>
              </w:rPr>
              <w:t>3）杀菌</w:t>
            </w:r>
          </w:p>
          <w:p w14:paraId="1D189CF5">
            <w:pPr>
              <w:bidi w:val="0"/>
              <w:rPr>
                <w:rFonts w:hint="default"/>
                <w:color w:val="auto"/>
                <w:lang w:val="en-US" w:eastAsia="zh-CN"/>
              </w:rPr>
            </w:pPr>
            <w:r>
              <w:rPr>
                <w:rFonts w:hint="default"/>
                <w:color w:val="auto"/>
                <w:lang w:val="en-US" w:eastAsia="zh-CN"/>
              </w:rPr>
              <w:t>灌装后需对易拉罐整体采用巴氏杀菌后再进行打码、贴标。</w:t>
            </w:r>
          </w:p>
          <w:p w14:paraId="4913B0C9">
            <w:pPr>
              <w:bidi w:val="0"/>
              <w:rPr>
                <w:rFonts w:hint="default"/>
                <w:color w:val="auto"/>
                <w:lang w:val="en-US" w:eastAsia="zh-CN"/>
              </w:rPr>
            </w:pPr>
            <w:r>
              <w:rPr>
                <w:rFonts w:hint="default"/>
                <w:color w:val="auto"/>
                <w:lang w:val="en-US" w:eastAsia="zh-CN"/>
              </w:rPr>
              <w:t>4）打码、贴标</w:t>
            </w:r>
          </w:p>
          <w:p w14:paraId="5128E444">
            <w:pPr>
              <w:bidi w:val="0"/>
              <w:rPr>
                <w:rFonts w:hint="default"/>
                <w:color w:val="auto"/>
                <w:lang w:val="en-US" w:eastAsia="zh-CN"/>
              </w:rPr>
            </w:pPr>
            <w:r>
              <w:rPr>
                <w:rFonts w:hint="default"/>
                <w:color w:val="auto"/>
                <w:lang w:val="en-US" w:eastAsia="zh-CN"/>
              </w:rPr>
              <w:t>通过喷码机对杀菌后的瓶子进行喷码，喷码机为激光打码，不涉及油墨。接着由贴标机自动贴标。</w:t>
            </w:r>
          </w:p>
          <w:p w14:paraId="3EDD6829">
            <w:pPr>
              <w:bidi w:val="0"/>
              <w:rPr>
                <w:rFonts w:hint="default"/>
                <w:color w:val="auto"/>
                <w:lang w:val="en-US" w:eastAsia="zh-CN"/>
              </w:rPr>
            </w:pPr>
            <w:r>
              <w:rPr>
                <w:rFonts w:hint="default"/>
                <w:color w:val="auto"/>
                <w:lang w:val="en-US" w:eastAsia="zh-CN"/>
              </w:rPr>
              <w:t>5）抽样检测</w:t>
            </w:r>
          </w:p>
          <w:p w14:paraId="5264F6A0">
            <w:pPr>
              <w:bidi w:val="0"/>
              <w:rPr>
                <w:rFonts w:hint="default"/>
                <w:color w:val="auto"/>
                <w:lang w:val="en-US" w:eastAsia="zh-CN"/>
              </w:rPr>
            </w:pPr>
            <w:r>
              <w:rPr>
                <w:rFonts w:hint="default"/>
                <w:color w:val="auto"/>
                <w:lang w:val="en-US" w:eastAsia="zh-CN"/>
              </w:rPr>
              <w:t>化验室对配制酒质量抽检，全程仅为仪器物理检测、少量微生物无菌操作，不额外使用大量化学试剂，检验过程无工艺性废气、废水排放，合格后打包入库。</w:t>
            </w:r>
          </w:p>
          <w:p w14:paraId="2B95CEFC">
            <w:pPr>
              <w:bidi w:val="0"/>
              <w:rPr>
                <w:rFonts w:hint="default"/>
                <w:color w:val="auto"/>
                <w:lang w:val="en-US" w:eastAsia="zh-CN"/>
              </w:rPr>
            </w:pPr>
            <w:r>
              <w:rPr>
                <w:rFonts w:hint="default"/>
                <w:color w:val="auto"/>
                <w:lang w:val="en-US" w:eastAsia="zh-CN"/>
              </w:rPr>
              <w:t>6）装箱入库</w:t>
            </w:r>
          </w:p>
          <w:p w14:paraId="0FC1FF3B">
            <w:pPr>
              <w:bidi w:val="0"/>
              <w:rPr>
                <w:rFonts w:hint="default"/>
                <w:color w:val="auto"/>
                <w:lang w:val="en-US" w:eastAsia="zh-CN"/>
              </w:rPr>
            </w:pPr>
            <w:r>
              <w:rPr>
                <w:rFonts w:hint="default"/>
                <w:color w:val="auto"/>
                <w:lang w:val="en-US" w:eastAsia="zh-CN"/>
              </w:rPr>
              <w:t>使用装箱机对产品进行装箱处理，装箱后产品存于成品仓库外售。</w:t>
            </w:r>
          </w:p>
        </w:tc>
      </w:tr>
      <w:tr w14:paraId="2BFC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trPr>
        <w:tc>
          <w:tcPr>
            <w:tcW w:w="264" w:type="pct"/>
            <w:vAlign w:val="center"/>
          </w:tcPr>
          <w:p w14:paraId="314CEC92">
            <w:pPr>
              <w:ind w:firstLine="0" w:firstLineChars="0"/>
              <w:jc w:val="center"/>
              <w:rPr>
                <w:color w:val="auto"/>
              </w:rPr>
            </w:pPr>
            <w:r>
              <w:rPr>
                <w:rFonts w:hint="eastAsia"/>
                <w:color w:val="auto"/>
              </w:rPr>
              <w:t>与项目有关的原有环境污染问题</w:t>
            </w:r>
          </w:p>
        </w:tc>
        <w:tc>
          <w:tcPr>
            <w:tcW w:w="4735" w:type="pct"/>
          </w:tcPr>
          <w:p w14:paraId="51B67960">
            <w:pPr>
              <w:bidi w:val="0"/>
              <w:rPr>
                <w:rFonts w:hint="default"/>
                <w:color w:val="auto"/>
                <w:lang w:val="en-US" w:eastAsia="zh-CN"/>
              </w:rPr>
            </w:pPr>
            <w:r>
              <w:rPr>
                <w:rFonts w:hint="default"/>
                <w:color w:val="auto"/>
                <w:lang w:val="en-US" w:eastAsia="zh-CN"/>
              </w:rPr>
              <w:t>本项目租用玉溪市高新区九龙池片区园区内D4栋第一层标准化厂房开展生产，该地块用地性质为工业用地，符合区域产业布局与土地利用规划要求。生产车间在本项目入驻前长期处于空置状态，无过往生产经营活动，不存在原有遗留污染问题，场地环境本底干净。</w:t>
            </w:r>
          </w:p>
          <w:p w14:paraId="6A701CD3">
            <w:pPr>
              <w:bidi w:val="0"/>
              <w:rPr>
                <w:rFonts w:hint="default"/>
                <w:color w:val="auto"/>
                <w:lang w:val="en-US" w:eastAsia="zh-CN"/>
              </w:rPr>
            </w:pPr>
            <w:r>
              <w:rPr>
                <w:rFonts w:hint="default"/>
                <w:color w:val="auto"/>
                <w:lang w:val="en-US" w:eastAsia="zh-CN"/>
              </w:rPr>
              <w:t>项目运营期生活污水依托厂区内已建成的现有化粪池进行预处理，该设施为园区配套公共环保设施，由厂区产权方统一运维管理，日常定期开展清掏维护，运行状态稳定，可完全接纳本项目产生的少量生活污水，不会对设施运行造成冲击。本项目为园区租赁入驻企业，已取得园区官方出具的入园证明及正式场地租赁合同，园区配套公共化粪池、雨污分流管网均已建成投运。项目产生的生活污水可直接接入园区现有污水管网，依托园区公共化粪池完成预处理后纳入后续集中污水处理系统，无需额外自建污水处理设施。</w:t>
            </w:r>
          </w:p>
          <w:p w14:paraId="547429A2">
            <w:pPr>
              <w:bidi w:val="0"/>
              <w:rPr>
                <w:rFonts w:hint="default"/>
                <w:color w:val="auto"/>
                <w:lang w:val="en-US" w:eastAsia="zh-CN"/>
              </w:rPr>
            </w:pPr>
            <w:r>
              <w:rPr>
                <w:rFonts w:hint="eastAsia"/>
                <w:color w:val="auto"/>
                <w:lang w:val="en-US" w:eastAsia="zh-CN"/>
              </w:rPr>
              <w:t>依托可行性</w:t>
            </w:r>
            <w:r>
              <w:rPr>
                <w:rFonts w:hint="default"/>
                <w:color w:val="auto"/>
                <w:lang w:val="en-US" w:eastAsia="zh-CN"/>
              </w:rPr>
              <w:t>：已取得园区官方出具的正式入园证明，明确项目符合园区产业准入要求，园区公共环保设施可对本项目开放使用</w:t>
            </w:r>
            <w:r>
              <w:rPr>
                <w:rFonts w:hint="eastAsia"/>
                <w:color w:val="auto"/>
                <w:lang w:val="en-US" w:eastAsia="zh-CN"/>
              </w:rPr>
              <w:t>；</w:t>
            </w:r>
            <w:r>
              <w:rPr>
                <w:rFonts w:hint="default"/>
                <w:color w:val="auto"/>
                <w:lang w:val="en-US" w:eastAsia="zh-CN"/>
              </w:rPr>
              <w:t>已签署完整场地租赁合同，</w:t>
            </w:r>
            <w:r>
              <w:rPr>
                <w:rFonts w:hint="eastAsia"/>
                <w:color w:val="auto"/>
                <w:lang w:val="en-US" w:eastAsia="zh-CN"/>
              </w:rPr>
              <w:t>本项目享有</w:t>
            </w:r>
            <w:r>
              <w:rPr>
                <w:rFonts w:hint="default"/>
                <w:color w:val="auto"/>
                <w:lang w:val="en-US" w:eastAsia="zh-CN"/>
              </w:rPr>
              <w:t>园区公共化粪池、雨污管网的共享使用权限，不存在接入权责障碍</w:t>
            </w:r>
            <w:r>
              <w:rPr>
                <w:rFonts w:hint="eastAsia"/>
                <w:color w:val="auto"/>
                <w:lang w:val="en-US" w:eastAsia="zh-CN"/>
              </w:rPr>
              <w:t>；</w:t>
            </w:r>
            <w:r>
              <w:rPr>
                <w:rFonts w:hint="default"/>
                <w:color w:val="auto"/>
                <w:lang w:val="en-US" w:eastAsia="zh-CN"/>
              </w:rPr>
              <w:t>现场踏勘确认，园区配套公共化粪池、雨污分流管网均已建成投运，具备直接接入使用的硬件条件。</w:t>
            </w:r>
          </w:p>
          <w:p w14:paraId="5F141240">
            <w:pPr>
              <w:pStyle w:val="16"/>
              <w:spacing w:line="360" w:lineRule="auto"/>
              <w:rPr>
                <w:rFonts w:hint="default"/>
                <w:color w:val="auto"/>
                <w:lang w:val="en-US" w:eastAsia="zh-CN"/>
              </w:rPr>
            </w:pPr>
            <w:r>
              <w:rPr>
                <w:rFonts w:hint="eastAsia" w:ascii="Times New Roman" w:hAnsi="Times New Roman" w:eastAsia="宋体" w:cs="Times New Roman"/>
                <w:color w:val="auto"/>
                <w:kern w:val="2"/>
                <w:sz w:val="24"/>
                <w:szCs w:val="24"/>
                <w:lang w:val="en-US" w:eastAsia="zh-CN" w:bidi="ar-SA"/>
              </w:rPr>
              <w:t>运维与环保合规性：园区产权方作为设施权属单位，配备专职运维人员定期对化粪池进行清掏、对管网进行巡检维护，设施运行台账完整规范</w:t>
            </w:r>
            <w:r>
              <w:rPr>
                <w:rFonts w:hint="eastAsia" w:cs="Times New Roman"/>
                <w:color w:val="auto"/>
                <w:kern w:val="2"/>
                <w:sz w:val="24"/>
                <w:szCs w:val="24"/>
                <w:lang w:val="en-US" w:eastAsia="zh-CN" w:bidi="ar-SA"/>
              </w:rPr>
              <w:t>；</w:t>
            </w:r>
            <w:r>
              <w:rPr>
                <w:rFonts w:hint="eastAsia" w:ascii="Times New Roman" w:hAnsi="Times New Roman" w:eastAsia="宋体" w:cs="Times New Roman"/>
                <w:color w:val="auto"/>
                <w:kern w:val="2"/>
                <w:sz w:val="24"/>
                <w:szCs w:val="24"/>
                <w:lang w:val="en-US" w:eastAsia="zh-CN" w:bidi="ar-SA"/>
              </w:rPr>
              <w:t>项目已在租赁合同中明确双方环保责任划分，入驻后将严格配合园区环保管理要求，做好内部污水预处理设施的日常维护，确保排入管网的水质稳定达标</w:t>
            </w:r>
            <w:r>
              <w:rPr>
                <w:rFonts w:hint="eastAsia" w:cs="Times New Roman"/>
                <w:color w:val="auto"/>
                <w:kern w:val="2"/>
                <w:sz w:val="24"/>
                <w:szCs w:val="24"/>
                <w:lang w:val="en-US" w:eastAsia="zh-CN" w:bidi="ar-SA"/>
              </w:rPr>
              <w:t>；</w:t>
            </w:r>
            <w:r>
              <w:rPr>
                <w:rFonts w:hint="eastAsia" w:ascii="Times New Roman" w:hAnsi="Times New Roman" w:eastAsia="宋体" w:cs="Times New Roman"/>
                <w:color w:val="auto"/>
                <w:kern w:val="2"/>
                <w:sz w:val="24"/>
                <w:szCs w:val="24"/>
                <w:lang w:val="en-US" w:eastAsia="zh-CN" w:bidi="ar-SA"/>
              </w:rPr>
              <w:t>该依托模式符合园区整体环保规划要求，</w:t>
            </w:r>
            <w:r>
              <w:rPr>
                <w:rFonts w:hint="eastAsia" w:cs="Times New Roman"/>
                <w:color w:val="auto"/>
                <w:kern w:val="2"/>
                <w:sz w:val="24"/>
                <w:szCs w:val="24"/>
                <w:lang w:val="en-US" w:eastAsia="zh-CN" w:bidi="ar-SA"/>
              </w:rPr>
              <w:t>且本</w:t>
            </w:r>
            <w:r>
              <w:rPr>
                <w:rFonts w:hint="eastAsia" w:ascii="Times New Roman" w:hAnsi="Times New Roman" w:eastAsia="宋体" w:cs="Times New Roman"/>
                <w:color w:val="auto"/>
                <w:kern w:val="2"/>
                <w:sz w:val="24"/>
                <w:szCs w:val="24"/>
                <w:lang w:val="en-US" w:eastAsia="zh-CN" w:bidi="ar-SA"/>
              </w:rPr>
              <w:t>项目额外自建污水处理设施，规避了</w:t>
            </w:r>
            <w:r>
              <w:rPr>
                <w:rFonts w:hint="eastAsia" w:cs="Times New Roman"/>
                <w:color w:val="auto"/>
                <w:kern w:val="2"/>
                <w:sz w:val="24"/>
                <w:szCs w:val="24"/>
                <w:lang w:val="en-US" w:eastAsia="zh-CN" w:bidi="ar-SA"/>
              </w:rPr>
              <w:t>生产废水</w:t>
            </w:r>
            <w:r>
              <w:rPr>
                <w:rFonts w:hint="eastAsia" w:ascii="Times New Roman" w:hAnsi="Times New Roman" w:eastAsia="宋体" w:cs="Times New Roman"/>
                <w:color w:val="auto"/>
                <w:kern w:val="2"/>
                <w:sz w:val="24"/>
                <w:szCs w:val="24"/>
                <w:lang w:val="en-US" w:eastAsia="zh-CN" w:bidi="ar-SA"/>
              </w:rPr>
              <w:t>超标排放风险</w:t>
            </w:r>
            <w:r>
              <w:rPr>
                <w:rFonts w:hint="eastAsia" w:cs="Times New Roman"/>
                <w:color w:val="auto"/>
                <w:kern w:val="2"/>
                <w:sz w:val="24"/>
                <w:szCs w:val="24"/>
                <w:lang w:val="en-US" w:eastAsia="zh-CN" w:bidi="ar-SA"/>
              </w:rPr>
              <w:t>。</w:t>
            </w:r>
          </w:p>
        </w:tc>
      </w:tr>
    </w:tbl>
    <w:p w14:paraId="1C45EF8E">
      <w:pPr>
        <w:spacing w:line="240" w:lineRule="auto"/>
        <w:ind w:firstLine="0" w:firstLineChars="0"/>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1661C0A">
      <w:pPr>
        <w:pStyle w:val="2"/>
        <w:numPr>
          <w:ilvl w:val="0"/>
          <w:numId w:val="2"/>
        </w:numPr>
        <w:jc w:val="center"/>
        <w:rPr>
          <w:color w:val="auto"/>
        </w:rPr>
      </w:pPr>
      <w:bookmarkStart w:id="11" w:name="_Toc3039"/>
      <w:r>
        <w:rPr>
          <w:rFonts w:hint="eastAsia"/>
          <w:color w:val="auto"/>
        </w:rPr>
        <w:t>区域</w:t>
      </w:r>
      <w:r>
        <w:rPr>
          <w:rFonts w:hint="eastAsia"/>
          <w:color w:val="auto"/>
          <w:lang w:val="en-US" w:eastAsia="zh-CN"/>
        </w:rPr>
        <w:t>生态</w:t>
      </w:r>
      <w:r>
        <w:rPr>
          <w:rFonts w:hint="eastAsia"/>
          <w:color w:val="auto"/>
        </w:rPr>
        <w:t>环境质量现状、环境保护目标及评价标准</w:t>
      </w:r>
      <w:bookmarkEnd w:id="11"/>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8068"/>
      </w:tblGrid>
      <w:tr w14:paraId="4E789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0" w:hRule="atLeast"/>
        </w:trPr>
        <w:tc>
          <w:tcPr>
            <w:tcW w:w="444" w:type="dxa"/>
            <w:vAlign w:val="center"/>
          </w:tcPr>
          <w:p w14:paraId="130A91D1">
            <w:pPr>
              <w:ind w:firstLine="0" w:firstLineChars="0"/>
              <w:jc w:val="center"/>
              <w:rPr>
                <w:color w:val="auto"/>
              </w:rPr>
            </w:pPr>
            <w:r>
              <w:rPr>
                <w:rFonts w:hint="eastAsia"/>
                <w:color w:val="auto"/>
              </w:rPr>
              <w:t>区域环境质量现状</w:t>
            </w:r>
          </w:p>
        </w:tc>
        <w:tc>
          <w:tcPr>
            <w:tcW w:w="8078" w:type="dxa"/>
          </w:tcPr>
          <w:p w14:paraId="06AC6760">
            <w:pPr>
              <w:pStyle w:val="45"/>
              <w:ind w:firstLine="482" w:firstLineChars="200"/>
              <w:rPr>
                <w:rFonts w:hint="default"/>
                <w:color w:val="auto"/>
              </w:rPr>
            </w:pPr>
            <w:r>
              <w:rPr>
                <w:rFonts w:hint="eastAsia"/>
                <w:color w:val="auto"/>
                <w:lang w:val="en-US" w:eastAsia="zh-CN"/>
              </w:rPr>
              <w:t>1、</w:t>
            </w:r>
            <w:r>
              <w:rPr>
                <w:color w:val="auto"/>
              </w:rPr>
              <w:t>环境空气质量现状</w:t>
            </w:r>
          </w:p>
          <w:p w14:paraId="7E753B6A">
            <w:pPr>
              <w:ind w:firstLine="482"/>
              <w:rPr>
                <w:b/>
                <w:bCs/>
                <w:color w:val="auto"/>
              </w:rPr>
            </w:pPr>
            <w:r>
              <w:rPr>
                <w:rFonts w:hint="eastAsia"/>
                <w:b/>
                <w:bCs/>
                <w:color w:val="auto"/>
              </w:rPr>
              <w:t>（1）环境空气</w:t>
            </w:r>
            <w:r>
              <w:rPr>
                <w:rFonts w:hint="eastAsia"/>
                <w:b/>
                <w:bCs/>
                <w:color w:val="auto"/>
                <w:lang w:val="en-US" w:eastAsia="zh-CN"/>
              </w:rPr>
              <w:t>功能区划及执行</w:t>
            </w:r>
            <w:r>
              <w:rPr>
                <w:rFonts w:hint="eastAsia"/>
                <w:b/>
                <w:bCs/>
                <w:color w:val="auto"/>
              </w:rPr>
              <w:t>标准</w:t>
            </w:r>
          </w:p>
          <w:p w14:paraId="2728F0B8">
            <w:pPr>
              <w:ind w:firstLine="480"/>
              <w:rPr>
                <w:color w:val="auto"/>
                <w:kern w:val="0"/>
                <w:szCs w:val="20"/>
              </w:rPr>
            </w:pPr>
            <w:r>
              <w:rPr>
                <w:rFonts w:hint="eastAsia"/>
                <w:color w:val="auto"/>
                <w:kern w:val="0"/>
                <w:szCs w:val="20"/>
                <w:lang w:eastAsia="zh-CN"/>
              </w:rPr>
              <w:t>本项目位于</w:t>
            </w:r>
            <w:r>
              <w:rPr>
                <w:rFonts w:hint="eastAsia"/>
                <w:color w:val="auto"/>
                <w:lang w:val="en-US" w:eastAsia="zh-CN"/>
              </w:rPr>
              <w:t>玉溪市高新区九龙池片区工业园区内D4栋第一层</w:t>
            </w:r>
            <w:r>
              <w:rPr>
                <w:rFonts w:hint="eastAsia"/>
                <w:color w:val="auto"/>
                <w:lang w:eastAsia="zh-CN"/>
              </w:rPr>
              <w:t>，</w:t>
            </w:r>
            <w:r>
              <w:rPr>
                <w:color w:val="auto"/>
                <w:kern w:val="0"/>
                <w:szCs w:val="20"/>
              </w:rPr>
              <w:t>项目区属环境空气功能区二类区，</w:t>
            </w:r>
            <w:r>
              <w:rPr>
                <w:rFonts w:hint="eastAsia"/>
                <w:color w:val="auto"/>
                <w:kern w:val="0"/>
                <w:szCs w:val="20"/>
              </w:rPr>
              <w:t>《环境空气质量标准》（GB3095-2026）</w:t>
            </w:r>
            <w:r>
              <w:rPr>
                <w:rFonts w:hint="eastAsia"/>
                <w:color w:val="auto"/>
                <w:kern w:val="0"/>
                <w:szCs w:val="20"/>
                <w:lang w:val="en-US" w:eastAsia="zh-CN"/>
              </w:rPr>
              <w:t>于2026年3月1日起实施至</w:t>
            </w:r>
            <w:r>
              <w:rPr>
                <w:rFonts w:hint="eastAsia"/>
                <w:color w:val="auto"/>
                <w:kern w:val="0"/>
                <w:szCs w:val="20"/>
              </w:rPr>
              <w:t>2030年12月31日止环境空气</w:t>
            </w:r>
            <w:r>
              <w:rPr>
                <w:rFonts w:hint="eastAsia"/>
                <w:color w:val="auto"/>
                <w:kern w:val="0"/>
                <w:szCs w:val="20"/>
                <w:lang w:val="en-US" w:eastAsia="zh-CN"/>
              </w:rPr>
              <w:t>污染物基本项目实施过渡阶段浓度限值；</w:t>
            </w:r>
            <w:r>
              <w:rPr>
                <w:rFonts w:hint="eastAsia"/>
                <w:color w:val="auto"/>
                <w:kern w:val="0"/>
                <w:szCs w:val="20"/>
              </w:rPr>
              <w:t>自2031年1月1日起，</w:t>
            </w:r>
            <w:r>
              <w:rPr>
                <w:rFonts w:hint="eastAsia"/>
                <w:color w:val="auto"/>
                <w:kern w:val="0"/>
                <w:szCs w:val="20"/>
                <w:lang w:val="en-US" w:eastAsia="zh-CN"/>
              </w:rPr>
              <w:t>在全国范围内实施基本项目浓度限值，非甲烷总烃执行《大气污染物综合排放标准详解》（国家环境保护局科技标准司）限值，</w:t>
            </w:r>
            <w:r>
              <w:rPr>
                <w:rFonts w:hint="eastAsia"/>
                <w:color w:val="auto"/>
                <w:kern w:val="0"/>
                <w:szCs w:val="20"/>
              </w:rPr>
              <w:t>具体标准限值如下表所示。</w:t>
            </w:r>
          </w:p>
          <w:p w14:paraId="3549B9FD">
            <w:pPr>
              <w:pStyle w:val="30"/>
              <w:rPr>
                <w:rFonts w:hint="default"/>
                <w:color w:val="auto"/>
                <w:kern w:val="0"/>
                <w:szCs w:val="20"/>
              </w:rPr>
            </w:pPr>
            <w:r>
              <w:rPr>
                <w:color w:val="auto"/>
                <w:kern w:val="0"/>
                <w:szCs w:val="20"/>
              </w:rPr>
              <w:t>表3-1  环境空气质量标准</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1260"/>
              <w:gridCol w:w="1467"/>
              <w:gridCol w:w="1217"/>
              <w:gridCol w:w="789"/>
              <w:gridCol w:w="1839"/>
            </w:tblGrid>
            <w:tr w14:paraId="7DCA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shd w:val="clear" w:color="auto" w:fill="auto"/>
                  <w:vAlign w:val="center"/>
                </w:tcPr>
                <w:p w14:paraId="453E1988">
                  <w:pPr>
                    <w:pStyle w:val="29"/>
                    <w:rPr>
                      <w:rFonts w:hint="default"/>
                      <w:color w:val="auto"/>
                    </w:rPr>
                  </w:pPr>
                  <w:r>
                    <w:rPr>
                      <w:color w:val="auto"/>
                    </w:rPr>
                    <w:t>污染物名称</w:t>
                  </w:r>
                </w:p>
              </w:tc>
              <w:tc>
                <w:tcPr>
                  <w:tcW w:w="803" w:type="pct"/>
                  <w:shd w:val="clear" w:color="auto" w:fill="auto"/>
                  <w:vAlign w:val="center"/>
                </w:tcPr>
                <w:p w14:paraId="7B5AA27C">
                  <w:pPr>
                    <w:pStyle w:val="29"/>
                    <w:rPr>
                      <w:rFonts w:hint="default"/>
                      <w:color w:val="auto"/>
                    </w:rPr>
                  </w:pPr>
                  <w:r>
                    <w:rPr>
                      <w:color w:val="auto"/>
                    </w:rPr>
                    <w:t>取值时间</w:t>
                  </w:r>
                </w:p>
              </w:tc>
              <w:tc>
                <w:tcPr>
                  <w:tcW w:w="935" w:type="pct"/>
                  <w:shd w:val="clear" w:color="auto" w:fill="auto"/>
                  <w:vAlign w:val="center"/>
                </w:tcPr>
                <w:p w14:paraId="5FA5FF0F">
                  <w:pPr>
                    <w:pStyle w:val="29"/>
                    <w:rPr>
                      <w:rFonts w:hint="default" w:eastAsia="宋体"/>
                      <w:color w:val="auto"/>
                      <w:lang w:val="en-US" w:eastAsia="zh-CN"/>
                    </w:rPr>
                  </w:pPr>
                  <w:r>
                    <w:rPr>
                      <w:rFonts w:hint="eastAsia"/>
                      <w:color w:val="auto"/>
                      <w:lang w:val="en-US" w:eastAsia="zh-CN"/>
                    </w:rPr>
                    <w:t>过度阶段浓度限值（二级）</w:t>
                  </w:r>
                </w:p>
              </w:tc>
              <w:tc>
                <w:tcPr>
                  <w:tcW w:w="776" w:type="pct"/>
                  <w:shd w:val="clear" w:color="auto" w:fill="auto"/>
                  <w:vAlign w:val="center"/>
                </w:tcPr>
                <w:p w14:paraId="73B8CCA4">
                  <w:pPr>
                    <w:pStyle w:val="29"/>
                    <w:rPr>
                      <w:rFonts w:hint="eastAsia"/>
                      <w:color w:val="auto"/>
                      <w:lang w:val="en-US" w:eastAsia="zh-CN"/>
                    </w:rPr>
                  </w:pPr>
                  <w:r>
                    <w:rPr>
                      <w:rFonts w:hint="eastAsia"/>
                      <w:color w:val="auto"/>
                      <w:lang w:val="en-US" w:eastAsia="zh-CN"/>
                    </w:rPr>
                    <w:t>浓度限值</w:t>
                  </w:r>
                </w:p>
                <w:p w14:paraId="0FD74358">
                  <w:pPr>
                    <w:pStyle w:val="29"/>
                    <w:rPr>
                      <w:rFonts w:hint="default" w:eastAsia="宋体"/>
                      <w:color w:val="auto"/>
                      <w:lang w:val="en-US" w:eastAsia="zh-CN"/>
                    </w:rPr>
                  </w:pPr>
                  <w:r>
                    <w:rPr>
                      <w:rFonts w:hint="eastAsia"/>
                      <w:color w:val="auto"/>
                      <w:lang w:val="en-US" w:eastAsia="zh-CN"/>
                    </w:rPr>
                    <w:t>（二级）</w:t>
                  </w:r>
                </w:p>
              </w:tc>
              <w:tc>
                <w:tcPr>
                  <w:tcW w:w="503" w:type="pct"/>
                  <w:shd w:val="clear" w:color="auto" w:fill="auto"/>
                  <w:vAlign w:val="center"/>
                </w:tcPr>
                <w:p w14:paraId="3A2D0099">
                  <w:pPr>
                    <w:pStyle w:val="29"/>
                    <w:rPr>
                      <w:rFonts w:hint="eastAsia" w:eastAsia="宋体"/>
                      <w:color w:val="auto"/>
                      <w:lang w:eastAsia="zh-CN"/>
                    </w:rPr>
                  </w:pPr>
                  <w:r>
                    <w:rPr>
                      <w:rFonts w:hint="eastAsia"/>
                      <w:color w:val="auto"/>
                      <w:lang w:eastAsia="zh-CN"/>
                    </w:rPr>
                    <w:t>单位</w:t>
                  </w:r>
                </w:p>
              </w:tc>
              <w:tc>
                <w:tcPr>
                  <w:tcW w:w="1172" w:type="pct"/>
                  <w:shd w:val="clear" w:color="auto" w:fill="auto"/>
                  <w:vAlign w:val="center"/>
                </w:tcPr>
                <w:p w14:paraId="5C08270A">
                  <w:pPr>
                    <w:pStyle w:val="29"/>
                    <w:rPr>
                      <w:rFonts w:hint="default"/>
                      <w:color w:val="auto"/>
                    </w:rPr>
                  </w:pPr>
                  <w:r>
                    <w:rPr>
                      <w:color w:val="auto"/>
                    </w:rPr>
                    <w:t>执行标准</w:t>
                  </w:r>
                </w:p>
              </w:tc>
            </w:tr>
            <w:tr w14:paraId="70EE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478F6601">
                  <w:pPr>
                    <w:pStyle w:val="29"/>
                    <w:rPr>
                      <w:rFonts w:hint="default"/>
                      <w:color w:val="auto"/>
                    </w:rPr>
                  </w:pPr>
                  <w:r>
                    <w:rPr>
                      <w:color w:val="auto"/>
                    </w:rPr>
                    <w:t>二氧化硫（SO</w:t>
                  </w:r>
                  <w:r>
                    <w:rPr>
                      <w:color w:val="auto"/>
                      <w:vertAlign w:val="subscript"/>
                    </w:rPr>
                    <w:t>2</w:t>
                  </w:r>
                  <w:r>
                    <w:rPr>
                      <w:color w:val="auto"/>
                    </w:rPr>
                    <w:t>）</w:t>
                  </w:r>
                </w:p>
              </w:tc>
              <w:tc>
                <w:tcPr>
                  <w:tcW w:w="803" w:type="pct"/>
                  <w:shd w:val="clear" w:color="auto" w:fill="auto"/>
                  <w:vAlign w:val="center"/>
                </w:tcPr>
                <w:p w14:paraId="272A02AA">
                  <w:pPr>
                    <w:pStyle w:val="29"/>
                    <w:rPr>
                      <w:rFonts w:hint="default"/>
                      <w:color w:val="auto"/>
                    </w:rPr>
                  </w:pPr>
                  <w:r>
                    <w:rPr>
                      <w:color w:val="auto"/>
                    </w:rPr>
                    <w:t>年平均</w:t>
                  </w:r>
                </w:p>
              </w:tc>
              <w:tc>
                <w:tcPr>
                  <w:tcW w:w="935" w:type="pct"/>
                  <w:shd w:val="clear" w:color="auto" w:fill="auto"/>
                  <w:vAlign w:val="center"/>
                </w:tcPr>
                <w:p w14:paraId="17C982F4">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60</w:t>
                  </w:r>
                </w:p>
              </w:tc>
              <w:tc>
                <w:tcPr>
                  <w:tcW w:w="776" w:type="pct"/>
                  <w:shd w:val="clear" w:color="auto" w:fill="auto"/>
                  <w:vAlign w:val="center"/>
                </w:tcPr>
                <w:p w14:paraId="6C134B9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w:t>
                  </w:r>
                </w:p>
              </w:tc>
              <w:tc>
                <w:tcPr>
                  <w:tcW w:w="503" w:type="pct"/>
                  <w:vMerge w:val="restart"/>
                  <w:shd w:val="clear" w:color="auto" w:fill="auto"/>
                  <w:vAlign w:val="center"/>
                </w:tcPr>
                <w:p w14:paraId="096EDF12">
                  <w:pPr>
                    <w:pStyle w:val="29"/>
                    <w:rPr>
                      <w:color w:val="auto"/>
                    </w:rPr>
                  </w:pPr>
                  <w:r>
                    <w:rPr>
                      <w:rFonts w:hint="default" w:ascii="Times New Roman" w:hAnsi="Times New Roman" w:cs="Times New Roman"/>
                      <w:color w:val="auto"/>
                    </w:rPr>
                    <w:t>µg</w:t>
                  </w:r>
                  <w:r>
                    <w:rPr>
                      <w:rFonts w:hint="eastAsia" w:ascii="Times New Roman" w:hAnsi="Times New Roman" w:cs="Times New Roman"/>
                      <w:color w:val="auto"/>
                      <w:lang w:val="en-US" w:eastAsia="zh-CN"/>
                    </w:rPr>
                    <w:t>/</w:t>
                  </w:r>
                  <w:r>
                    <w:rPr>
                      <w:rFonts w:hint="default" w:ascii="Times New Roman" w:hAnsi="Times New Roman" w:cs="Times New Roman"/>
                      <w:color w:val="auto"/>
                    </w:rPr>
                    <w:t>m</w:t>
                  </w:r>
                  <w:r>
                    <w:rPr>
                      <w:rFonts w:hint="default" w:ascii="Times New Roman" w:hAnsi="Times New Roman" w:cs="Times New Roman"/>
                      <w:color w:val="auto"/>
                      <w:vertAlign w:val="superscript"/>
                    </w:rPr>
                    <w:t>3</w:t>
                  </w:r>
                </w:p>
              </w:tc>
              <w:tc>
                <w:tcPr>
                  <w:tcW w:w="1172" w:type="pct"/>
                  <w:vMerge w:val="restart"/>
                  <w:shd w:val="clear" w:color="auto" w:fill="auto"/>
                  <w:vAlign w:val="center"/>
                </w:tcPr>
                <w:p w14:paraId="6C406CB2">
                  <w:pPr>
                    <w:pStyle w:val="29"/>
                    <w:rPr>
                      <w:rFonts w:hint="default"/>
                      <w:color w:val="auto"/>
                    </w:rPr>
                  </w:pPr>
                  <w:r>
                    <w:rPr>
                      <w:rFonts w:hint="eastAsia"/>
                      <w:color w:val="auto"/>
                    </w:rPr>
                    <w:t>《环境空气质量标准》（GB3095-2026）</w:t>
                  </w:r>
                </w:p>
              </w:tc>
            </w:tr>
            <w:tr w14:paraId="062D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0398BD98">
                  <w:pPr>
                    <w:pStyle w:val="29"/>
                    <w:rPr>
                      <w:rFonts w:hint="default"/>
                      <w:color w:val="auto"/>
                    </w:rPr>
                  </w:pPr>
                </w:p>
              </w:tc>
              <w:tc>
                <w:tcPr>
                  <w:tcW w:w="803" w:type="pct"/>
                  <w:shd w:val="clear" w:color="auto" w:fill="auto"/>
                  <w:vAlign w:val="center"/>
                </w:tcPr>
                <w:p w14:paraId="5F5EE03D">
                  <w:pPr>
                    <w:pStyle w:val="29"/>
                    <w:rPr>
                      <w:rFonts w:hint="default"/>
                      <w:color w:val="auto"/>
                    </w:rPr>
                  </w:pPr>
                  <w:r>
                    <w:rPr>
                      <w:color w:val="auto"/>
                    </w:rPr>
                    <w:t>24小时平均</w:t>
                  </w:r>
                </w:p>
              </w:tc>
              <w:tc>
                <w:tcPr>
                  <w:tcW w:w="935" w:type="pct"/>
                  <w:shd w:val="clear" w:color="auto" w:fill="auto"/>
                  <w:vAlign w:val="center"/>
                </w:tcPr>
                <w:p w14:paraId="6D49745E">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150</w:t>
                  </w:r>
                </w:p>
              </w:tc>
              <w:tc>
                <w:tcPr>
                  <w:tcW w:w="776" w:type="pct"/>
                  <w:shd w:val="clear" w:color="auto" w:fill="auto"/>
                  <w:vAlign w:val="center"/>
                </w:tcPr>
                <w:p w14:paraId="58272E9D">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503" w:type="pct"/>
                  <w:vMerge w:val="continue"/>
                  <w:shd w:val="clear" w:color="auto" w:fill="auto"/>
                  <w:vAlign w:val="center"/>
                </w:tcPr>
                <w:p w14:paraId="2CBDA7D6">
                  <w:pPr>
                    <w:pStyle w:val="29"/>
                    <w:rPr>
                      <w:color w:val="auto"/>
                    </w:rPr>
                  </w:pPr>
                </w:p>
              </w:tc>
              <w:tc>
                <w:tcPr>
                  <w:tcW w:w="1172" w:type="pct"/>
                  <w:vMerge w:val="continue"/>
                  <w:shd w:val="clear" w:color="auto" w:fill="auto"/>
                  <w:vAlign w:val="center"/>
                </w:tcPr>
                <w:p w14:paraId="7C0EF67B">
                  <w:pPr>
                    <w:pStyle w:val="29"/>
                    <w:rPr>
                      <w:rFonts w:hint="default"/>
                      <w:color w:val="auto"/>
                    </w:rPr>
                  </w:pPr>
                </w:p>
              </w:tc>
            </w:tr>
            <w:tr w14:paraId="2C40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21417CFD">
                  <w:pPr>
                    <w:pStyle w:val="29"/>
                    <w:rPr>
                      <w:rFonts w:hint="default"/>
                      <w:color w:val="auto"/>
                    </w:rPr>
                  </w:pPr>
                </w:p>
              </w:tc>
              <w:tc>
                <w:tcPr>
                  <w:tcW w:w="803" w:type="pct"/>
                  <w:shd w:val="clear" w:color="auto" w:fill="auto"/>
                  <w:vAlign w:val="center"/>
                </w:tcPr>
                <w:p w14:paraId="784B3B73">
                  <w:pPr>
                    <w:pStyle w:val="29"/>
                    <w:rPr>
                      <w:rFonts w:hint="default"/>
                      <w:color w:val="auto"/>
                    </w:rPr>
                  </w:pPr>
                  <w:r>
                    <w:rPr>
                      <w:color w:val="auto"/>
                    </w:rPr>
                    <w:t>1小时平均</w:t>
                  </w:r>
                </w:p>
              </w:tc>
              <w:tc>
                <w:tcPr>
                  <w:tcW w:w="935" w:type="pct"/>
                  <w:shd w:val="clear" w:color="auto" w:fill="auto"/>
                  <w:vAlign w:val="center"/>
                </w:tcPr>
                <w:p w14:paraId="09E0D586">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500</w:t>
                  </w:r>
                </w:p>
              </w:tc>
              <w:tc>
                <w:tcPr>
                  <w:tcW w:w="776" w:type="pct"/>
                  <w:shd w:val="clear" w:color="auto" w:fill="auto"/>
                  <w:vAlign w:val="center"/>
                </w:tcPr>
                <w:p w14:paraId="32D9353B">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150</w:t>
                  </w:r>
                </w:p>
              </w:tc>
              <w:tc>
                <w:tcPr>
                  <w:tcW w:w="503" w:type="pct"/>
                  <w:vMerge w:val="continue"/>
                  <w:shd w:val="clear" w:color="auto" w:fill="auto"/>
                  <w:vAlign w:val="center"/>
                </w:tcPr>
                <w:p w14:paraId="49D5FD42">
                  <w:pPr>
                    <w:pStyle w:val="29"/>
                    <w:rPr>
                      <w:color w:val="auto"/>
                    </w:rPr>
                  </w:pPr>
                </w:p>
              </w:tc>
              <w:tc>
                <w:tcPr>
                  <w:tcW w:w="1172" w:type="pct"/>
                  <w:vMerge w:val="continue"/>
                  <w:shd w:val="clear" w:color="auto" w:fill="auto"/>
                  <w:vAlign w:val="center"/>
                </w:tcPr>
                <w:p w14:paraId="031443E9">
                  <w:pPr>
                    <w:pStyle w:val="29"/>
                    <w:rPr>
                      <w:rFonts w:hint="default"/>
                      <w:color w:val="auto"/>
                    </w:rPr>
                  </w:pPr>
                </w:p>
              </w:tc>
            </w:tr>
            <w:tr w14:paraId="7712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583ED036">
                  <w:pPr>
                    <w:pStyle w:val="29"/>
                    <w:rPr>
                      <w:rFonts w:hint="default"/>
                      <w:color w:val="auto"/>
                    </w:rPr>
                  </w:pPr>
                  <w:r>
                    <w:rPr>
                      <w:color w:val="auto"/>
                    </w:rPr>
                    <w:t>二氧化氮（NO</w:t>
                  </w:r>
                  <w:r>
                    <w:rPr>
                      <w:color w:val="auto"/>
                      <w:vertAlign w:val="subscript"/>
                    </w:rPr>
                    <w:t>2</w:t>
                  </w:r>
                  <w:r>
                    <w:rPr>
                      <w:color w:val="auto"/>
                    </w:rPr>
                    <w:t>）</w:t>
                  </w:r>
                </w:p>
              </w:tc>
              <w:tc>
                <w:tcPr>
                  <w:tcW w:w="803" w:type="pct"/>
                  <w:shd w:val="clear" w:color="auto" w:fill="auto"/>
                  <w:vAlign w:val="center"/>
                </w:tcPr>
                <w:p w14:paraId="2114BEA0">
                  <w:pPr>
                    <w:pStyle w:val="29"/>
                    <w:rPr>
                      <w:rFonts w:hint="default"/>
                      <w:color w:val="auto"/>
                    </w:rPr>
                  </w:pPr>
                  <w:r>
                    <w:rPr>
                      <w:color w:val="auto"/>
                    </w:rPr>
                    <w:t>年平均</w:t>
                  </w:r>
                </w:p>
              </w:tc>
              <w:tc>
                <w:tcPr>
                  <w:tcW w:w="935" w:type="pct"/>
                  <w:shd w:val="clear" w:color="auto" w:fill="auto"/>
                  <w:vAlign w:val="center"/>
                </w:tcPr>
                <w:p w14:paraId="01C4F6EB">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40</w:t>
                  </w:r>
                </w:p>
              </w:tc>
              <w:tc>
                <w:tcPr>
                  <w:tcW w:w="776" w:type="pct"/>
                  <w:shd w:val="clear" w:color="auto" w:fill="auto"/>
                  <w:vAlign w:val="center"/>
                </w:tcPr>
                <w:p w14:paraId="5EFF3A8E">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30</w:t>
                  </w:r>
                </w:p>
              </w:tc>
              <w:tc>
                <w:tcPr>
                  <w:tcW w:w="503" w:type="pct"/>
                  <w:vMerge w:val="continue"/>
                  <w:shd w:val="clear" w:color="auto" w:fill="auto"/>
                  <w:vAlign w:val="center"/>
                </w:tcPr>
                <w:p w14:paraId="2806A2DB">
                  <w:pPr>
                    <w:pStyle w:val="29"/>
                    <w:rPr>
                      <w:rFonts w:hint="eastAsia" w:eastAsia="宋体"/>
                      <w:color w:val="auto"/>
                      <w:lang w:val="en-US" w:eastAsia="zh-CN"/>
                    </w:rPr>
                  </w:pPr>
                </w:p>
              </w:tc>
              <w:tc>
                <w:tcPr>
                  <w:tcW w:w="1172" w:type="pct"/>
                  <w:vMerge w:val="continue"/>
                  <w:shd w:val="clear" w:color="auto" w:fill="auto"/>
                  <w:vAlign w:val="center"/>
                </w:tcPr>
                <w:p w14:paraId="1BBC4C6B">
                  <w:pPr>
                    <w:pStyle w:val="29"/>
                    <w:rPr>
                      <w:rFonts w:hint="default"/>
                      <w:color w:val="auto"/>
                    </w:rPr>
                  </w:pPr>
                </w:p>
              </w:tc>
            </w:tr>
            <w:tr w14:paraId="2858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7A56DE6A">
                  <w:pPr>
                    <w:pStyle w:val="29"/>
                    <w:rPr>
                      <w:rFonts w:hint="default"/>
                      <w:color w:val="auto"/>
                    </w:rPr>
                  </w:pPr>
                </w:p>
              </w:tc>
              <w:tc>
                <w:tcPr>
                  <w:tcW w:w="803" w:type="pct"/>
                  <w:shd w:val="clear" w:color="auto" w:fill="auto"/>
                  <w:vAlign w:val="center"/>
                </w:tcPr>
                <w:p w14:paraId="62055069">
                  <w:pPr>
                    <w:pStyle w:val="29"/>
                    <w:rPr>
                      <w:rFonts w:hint="default"/>
                      <w:color w:val="auto"/>
                    </w:rPr>
                  </w:pPr>
                  <w:r>
                    <w:rPr>
                      <w:color w:val="auto"/>
                    </w:rPr>
                    <w:t>24小时平均</w:t>
                  </w:r>
                </w:p>
              </w:tc>
              <w:tc>
                <w:tcPr>
                  <w:tcW w:w="935" w:type="pct"/>
                  <w:shd w:val="clear" w:color="auto" w:fill="auto"/>
                  <w:vAlign w:val="center"/>
                </w:tcPr>
                <w:p w14:paraId="18AF16FA">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80</w:t>
                  </w:r>
                </w:p>
              </w:tc>
              <w:tc>
                <w:tcPr>
                  <w:tcW w:w="776" w:type="pct"/>
                  <w:shd w:val="clear" w:color="auto" w:fill="auto"/>
                  <w:vAlign w:val="center"/>
                </w:tcPr>
                <w:p w14:paraId="138CD1EF">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503" w:type="pct"/>
                  <w:vMerge w:val="continue"/>
                  <w:shd w:val="clear" w:color="auto" w:fill="auto"/>
                  <w:vAlign w:val="center"/>
                </w:tcPr>
                <w:p w14:paraId="288C01F2">
                  <w:pPr>
                    <w:pStyle w:val="29"/>
                    <w:rPr>
                      <w:color w:val="auto"/>
                    </w:rPr>
                  </w:pPr>
                </w:p>
              </w:tc>
              <w:tc>
                <w:tcPr>
                  <w:tcW w:w="1172" w:type="pct"/>
                  <w:vMerge w:val="continue"/>
                  <w:shd w:val="clear" w:color="auto" w:fill="auto"/>
                  <w:vAlign w:val="center"/>
                </w:tcPr>
                <w:p w14:paraId="6256DA61">
                  <w:pPr>
                    <w:pStyle w:val="29"/>
                    <w:rPr>
                      <w:rFonts w:hint="default"/>
                      <w:color w:val="auto"/>
                    </w:rPr>
                  </w:pPr>
                </w:p>
              </w:tc>
            </w:tr>
            <w:tr w14:paraId="1759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0BF2E277">
                  <w:pPr>
                    <w:pStyle w:val="29"/>
                    <w:rPr>
                      <w:rFonts w:hint="default"/>
                      <w:color w:val="auto"/>
                    </w:rPr>
                  </w:pPr>
                </w:p>
              </w:tc>
              <w:tc>
                <w:tcPr>
                  <w:tcW w:w="803" w:type="pct"/>
                  <w:shd w:val="clear" w:color="auto" w:fill="auto"/>
                  <w:vAlign w:val="center"/>
                </w:tcPr>
                <w:p w14:paraId="3835EA7C">
                  <w:pPr>
                    <w:pStyle w:val="29"/>
                    <w:rPr>
                      <w:rFonts w:hint="default"/>
                      <w:color w:val="auto"/>
                    </w:rPr>
                  </w:pPr>
                  <w:r>
                    <w:rPr>
                      <w:color w:val="auto"/>
                    </w:rPr>
                    <w:t>1小时平均</w:t>
                  </w:r>
                </w:p>
              </w:tc>
              <w:tc>
                <w:tcPr>
                  <w:tcW w:w="935" w:type="pct"/>
                  <w:shd w:val="clear" w:color="auto" w:fill="auto"/>
                  <w:vAlign w:val="center"/>
                </w:tcPr>
                <w:p w14:paraId="63AE13C5">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200</w:t>
                  </w:r>
                </w:p>
              </w:tc>
              <w:tc>
                <w:tcPr>
                  <w:tcW w:w="776" w:type="pct"/>
                  <w:shd w:val="clear" w:color="auto" w:fill="auto"/>
                  <w:vAlign w:val="center"/>
                </w:tcPr>
                <w:p w14:paraId="0DFC1608">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200</w:t>
                  </w:r>
                </w:p>
              </w:tc>
              <w:tc>
                <w:tcPr>
                  <w:tcW w:w="503" w:type="pct"/>
                  <w:vMerge w:val="continue"/>
                  <w:shd w:val="clear" w:color="auto" w:fill="auto"/>
                  <w:vAlign w:val="center"/>
                </w:tcPr>
                <w:p w14:paraId="7D0801CF">
                  <w:pPr>
                    <w:pStyle w:val="29"/>
                    <w:rPr>
                      <w:color w:val="auto"/>
                    </w:rPr>
                  </w:pPr>
                </w:p>
              </w:tc>
              <w:tc>
                <w:tcPr>
                  <w:tcW w:w="1172" w:type="pct"/>
                  <w:vMerge w:val="continue"/>
                  <w:shd w:val="clear" w:color="auto" w:fill="auto"/>
                  <w:vAlign w:val="center"/>
                </w:tcPr>
                <w:p w14:paraId="7D2A4409">
                  <w:pPr>
                    <w:pStyle w:val="29"/>
                    <w:rPr>
                      <w:rFonts w:hint="default"/>
                      <w:color w:val="auto"/>
                    </w:rPr>
                  </w:pPr>
                </w:p>
              </w:tc>
            </w:tr>
            <w:tr w14:paraId="0CF0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5EB3453A">
                  <w:pPr>
                    <w:pStyle w:val="29"/>
                    <w:rPr>
                      <w:rFonts w:hint="default"/>
                      <w:color w:val="auto"/>
                    </w:rPr>
                  </w:pPr>
                  <w:r>
                    <w:rPr>
                      <w:color w:val="auto"/>
                    </w:rPr>
                    <w:t>一氧化碳（CO）</w:t>
                  </w:r>
                </w:p>
              </w:tc>
              <w:tc>
                <w:tcPr>
                  <w:tcW w:w="803" w:type="pct"/>
                  <w:shd w:val="clear" w:color="auto" w:fill="auto"/>
                  <w:vAlign w:val="center"/>
                </w:tcPr>
                <w:p w14:paraId="573FEBA0">
                  <w:pPr>
                    <w:pStyle w:val="29"/>
                    <w:rPr>
                      <w:rFonts w:hint="default"/>
                      <w:color w:val="auto"/>
                    </w:rPr>
                  </w:pPr>
                  <w:r>
                    <w:rPr>
                      <w:color w:val="auto"/>
                    </w:rPr>
                    <w:t>24小时平均</w:t>
                  </w:r>
                </w:p>
              </w:tc>
              <w:tc>
                <w:tcPr>
                  <w:tcW w:w="935" w:type="pct"/>
                  <w:shd w:val="clear" w:color="auto" w:fill="auto"/>
                  <w:vAlign w:val="center"/>
                </w:tcPr>
                <w:p w14:paraId="56BA2BA9">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4</w:t>
                  </w:r>
                </w:p>
              </w:tc>
              <w:tc>
                <w:tcPr>
                  <w:tcW w:w="776" w:type="pct"/>
                  <w:shd w:val="clear" w:color="auto" w:fill="auto"/>
                  <w:vAlign w:val="center"/>
                </w:tcPr>
                <w:p w14:paraId="444922FF">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503" w:type="pct"/>
                  <w:vMerge w:val="restart"/>
                  <w:shd w:val="clear" w:color="auto" w:fill="auto"/>
                  <w:vAlign w:val="center"/>
                </w:tcPr>
                <w:p w14:paraId="7EA36453">
                  <w:pPr>
                    <w:pStyle w:val="29"/>
                    <w:rPr>
                      <w:color w:val="auto"/>
                    </w:rPr>
                  </w:pPr>
                  <w:r>
                    <w:rPr>
                      <w:rFonts w:hint="eastAsia" w:eastAsia="宋体" w:cs="Times New Roman"/>
                      <w:b w:val="0"/>
                      <w:bCs w:val="0"/>
                      <w:color w:val="auto"/>
                      <w:sz w:val="21"/>
                      <w:szCs w:val="21"/>
                      <w:lang w:val="en-US" w:eastAsia="zh-CN"/>
                    </w:rPr>
                    <w:t>m</w:t>
                  </w:r>
                  <w:r>
                    <w:rPr>
                      <w:rFonts w:hint="default" w:ascii="Times New Roman" w:hAnsi="Times New Roman" w:eastAsia="宋体" w:cs="Times New Roman"/>
                      <w:b w:val="0"/>
                      <w:bCs w:val="0"/>
                      <w:color w:val="auto"/>
                      <w:sz w:val="21"/>
                      <w:szCs w:val="21"/>
                    </w:rPr>
                    <w:t>g/m</w:t>
                  </w:r>
                  <w:r>
                    <w:rPr>
                      <w:rFonts w:hint="default" w:ascii="Times New Roman" w:hAnsi="Times New Roman" w:eastAsia="宋体" w:cs="Times New Roman"/>
                      <w:b w:val="0"/>
                      <w:bCs w:val="0"/>
                      <w:color w:val="auto"/>
                      <w:sz w:val="21"/>
                      <w:szCs w:val="21"/>
                      <w:vertAlign w:val="superscript"/>
                    </w:rPr>
                    <w:t>3</w:t>
                  </w:r>
                </w:p>
              </w:tc>
              <w:tc>
                <w:tcPr>
                  <w:tcW w:w="1172" w:type="pct"/>
                  <w:vMerge w:val="continue"/>
                  <w:shd w:val="clear" w:color="auto" w:fill="auto"/>
                  <w:vAlign w:val="center"/>
                </w:tcPr>
                <w:p w14:paraId="2DCC28C4">
                  <w:pPr>
                    <w:pStyle w:val="29"/>
                    <w:rPr>
                      <w:rFonts w:hint="default"/>
                      <w:color w:val="auto"/>
                    </w:rPr>
                  </w:pPr>
                </w:p>
              </w:tc>
            </w:tr>
            <w:tr w14:paraId="05D3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3C65FB07">
                  <w:pPr>
                    <w:pStyle w:val="29"/>
                    <w:rPr>
                      <w:rFonts w:hint="default"/>
                      <w:color w:val="auto"/>
                    </w:rPr>
                  </w:pPr>
                </w:p>
              </w:tc>
              <w:tc>
                <w:tcPr>
                  <w:tcW w:w="803" w:type="pct"/>
                  <w:shd w:val="clear" w:color="auto" w:fill="auto"/>
                  <w:vAlign w:val="center"/>
                </w:tcPr>
                <w:p w14:paraId="6A979B23">
                  <w:pPr>
                    <w:pStyle w:val="29"/>
                    <w:rPr>
                      <w:rFonts w:hint="default"/>
                      <w:color w:val="auto"/>
                    </w:rPr>
                  </w:pPr>
                  <w:r>
                    <w:rPr>
                      <w:color w:val="auto"/>
                    </w:rPr>
                    <w:t>1小时平均</w:t>
                  </w:r>
                </w:p>
              </w:tc>
              <w:tc>
                <w:tcPr>
                  <w:tcW w:w="935" w:type="pct"/>
                  <w:shd w:val="clear" w:color="auto" w:fill="auto"/>
                  <w:vAlign w:val="center"/>
                </w:tcPr>
                <w:p w14:paraId="2DBF7A8D">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10</w:t>
                  </w:r>
                </w:p>
              </w:tc>
              <w:tc>
                <w:tcPr>
                  <w:tcW w:w="776" w:type="pct"/>
                  <w:shd w:val="clear" w:color="auto" w:fill="auto"/>
                  <w:vAlign w:val="center"/>
                </w:tcPr>
                <w:p w14:paraId="3E8F387F">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w:t>
                  </w:r>
                </w:p>
              </w:tc>
              <w:tc>
                <w:tcPr>
                  <w:tcW w:w="503" w:type="pct"/>
                  <w:vMerge w:val="continue"/>
                  <w:shd w:val="clear" w:color="auto" w:fill="auto"/>
                  <w:vAlign w:val="center"/>
                </w:tcPr>
                <w:p w14:paraId="1B36E55A">
                  <w:pPr>
                    <w:pStyle w:val="29"/>
                    <w:rPr>
                      <w:color w:val="auto"/>
                    </w:rPr>
                  </w:pPr>
                </w:p>
              </w:tc>
              <w:tc>
                <w:tcPr>
                  <w:tcW w:w="1172" w:type="pct"/>
                  <w:vMerge w:val="continue"/>
                  <w:shd w:val="clear" w:color="auto" w:fill="auto"/>
                  <w:vAlign w:val="center"/>
                </w:tcPr>
                <w:p w14:paraId="0DC2E8C6">
                  <w:pPr>
                    <w:pStyle w:val="29"/>
                    <w:rPr>
                      <w:rFonts w:hint="default"/>
                      <w:color w:val="auto"/>
                    </w:rPr>
                  </w:pPr>
                </w:p>
              </w:tc>
            </w:tr>
            <w:tr w14:paraId="104F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58EDABD3">
                  <w:pPr>
                    <w:pStyle w:val="29"/>
                    <w:rPr>
                      <w:rFonts w:hint="default"/>
                      <w:color w:val="auto"/>
                    </w:rPr>
                  </w:pPr>
                  <w:r>
                    <w:rPr>
                      <w:color w:val="auto"/>
                    </w:rPr>
                    <w:t>臭氧（O</w:t>
                  </w:r>
                  <w:r>
                    <w:rPr>
                      <w:color w:val="auto"/>
                      <w:vertAlign w:val="subscript"/>
                    </w:rPr>
                    <w:t>3</w:t>
                  </w:r>
                  <w:r>
                    <w:rPr>
                      <w:color w:val="auto"/>
                    </w:rPr>
                    <w:t>）</w:t>
                  </w:r>
                </w:p>
              </w:tc>
              <w:tc>
                <w:tcPr>
                  <w:tcW w:w="803" w:type="pct"/>
                  <w:shd w:val="clear" w:color="auto" w:fill="auto"/>
                  <w:vAlign w:val="center"/>
                </w:tcPr>
                <w:p w14:paraId="20341E9A">
                  <w:pPr>
                    <w:pStyle w:val="29"/>
                    <w:rPr>
                      <w:rFonts w:hint="default"/>
                      <w:color w:val="auto"/>
                    </w:rPr>
                  </w:pPr>
                  <w:r>
                    <w:rPr>
                      <w:color w:val="auto"/>
                    </w:rPr>
                    <w:t>日最大8小时平均</w:t>
                  </w:r>
                </w:p>
              </w:tc>
              <w:tc>
                <w:tcPr>
                  <w:tcW w:w="935" w:type="pct"/>
                  <w:shd w:val="clear" w:color="auto" w:fill="auto"/>
                  <w:vAlign w:val="center"/>
                </w:tcPr>
                <w:p w14:paraId="25041C4C">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160</w:t>
                  </w:r>
                </w:p>
              </w:tc>
              <w:tc>
                <w:tcPr>
                  <w:tcW w:w="776" w:type="pct"/>
                  <w:shd w:val="clear" w:color="auto" w:fill="auto"/>
                  <w:vAlign w:val="center"/>
                </w:tcPr>
                <w:p w14:paraId="504AB85F">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160</w:t>
                  </w:r>
                </w:p>
              </w:tc>
              <w:tc>
                <w:tcPr>
                  <w:tcW w:w="503" w:type="pct"/>
                  <w:vMerge w:val="restart"/>
                  <w:shd w:val="clear" w:color="auto" w:fill="auto"/>
                  <w:vAlign w:val="center"/>
                </w:tcPr>
                <w:p w14:paraId="5FD32DFF">
                  <w:pPr>
                    <w:pStyle w:val="29"/>
                    <w:rPr>
                      <w:color w:val="auto"/>
                    </w:rPr>
                  </w:pPr>
                  <w:r>
                    <w:rPr>
                      <w:rFonts w:hint="default" w:ascii="Times New Roman" w:hAnsi="Times New Roman" w:cs="Times New Roman"/>
                      <w:color w:val="auto"/>
                    </w:rPr>
                    <w:t>µg</w:t>
                  </w:r>
                  <w:r>
                    <w:rPr>
                      <w:rFonts w:hint="eastAsia" w:ascii="Times New Roman" w:hAnsi="Times New Roman" w:cs="Times New Roman"/>
                      <w:color w:val="auto"/>
                      <w:lang w:val="en-US" w:eastAsia="zh-CN"/>
                    </w:rPr>
                    <w:t>/</w:t>
                  </w:r>
                  <w:r>
                    <w:rPr>
                      <w:rFonts w:hint="default" w:ascii="Times New Roman" w:hAnsi="Times New Roman" w:cs="Times New Roman"/>
                      <w:color w:val="auto"/>
                    </w:rPr>
                    <w:t>m</w:t>
                  </w:r>
                  <w:r>
                    <w:rPr>
                      <w:rFonts w:hint="default" w:ascii="Times New Roman" w:hAnsi="Times New Roman" w:cs="Times New Roman"/>
                      <w:color w:val="auto"/>
                      <w:vertAlign w:val="superscript"/>
                    </w:rPr>
                    <w:t>3</w:t>
                  </w:r>
                </w:p>
              </w:tc>
              <w:tc>
                <w:tcPr>
                  <w:tcW w:w="1172" w:type="pct"/>
                  <w:vMerge w:val="continue"/>
                  <w:shd w:val="clear" w:color="auto" w:fill="auto"/>
                  <w:vAlign w:val="center"/>
                </w:tcPr>
                <w:p w14:paraId="4A188CAE">
                  <w:pPr>
                    <w:pStyle w:val="29"/>
                    <w:rPr>
                      <w:rFonts w:hint="default"/>
                      <w:color w:val="auto"/>
                    </w:rPr>
                  </w:pPr>
                </w:p>
              </w:tc>
            </w:tr>
            <w:tr w14:paraId="6A77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6F2B44BC">
                  <w:pPr>
                    <w:pStyle w:val="29"/>
                    <w:rPr>
                      <w:rFonts w:hint="default"/>
                      <w:color w:val="auto"/>
                    </w:rPr>
                  </w:pPr>
                </w:p>
              </w:tc>
              <w:tc>
                <w:tcPr>
                  <w:tcW w:w="803" w:type="pct"/>
                  <w:shd w:val="clear" w:color="auto" w:fill="auto"/>
                  <w:vAlign w:val="center"/>
                </w:tcPr>
                <w:p w14:paraId="7D7841EC">
                  <w:pPr>
                    <w:pStyle w:val="29"/>
                    <w:rPr>
                      <w:rFonts w:hint="default"/>
                      <w:color w:val="auto"/>
                    </w:rPr>
                  </w:pPr>
                  <w:r>
                    <w:rPr>
                      <w:color w:val="auto"/>
                    </w:rPr>
                    <w:t>1小时平均</w:t>
                  </w:r>
                </w:p>
              </w:tc>
              <w:tc>
                <w:tcPr>
                  <w:tcW w:w="935" w:type="pct"/>
                  <w:shd w:val="clear" w:color="auto" w:fill="auto"/>
                  <w:vAlign w:val="center"/>
                </w:tcPr>
                <w:p w14:paraId="1CE27C25">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200</w:t>
                  </w:r>
                </w:p>
              </w:tc>
              <w:tc>
                <w:tcPr>
                  <w:tcW w:w="776" w:type="pct"/>
                  <w:shd w:val="clear" w:color="auto" w:fill="auto"/>
                  <w:vAlign w:val="center"/>
                </w:tcPr>
                <w:p w14:paraId="5E4C868D">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200</w:t>
                  </w:r>
                </w:p>
              </w:tc>
              <w:tc>
                <w:tcPr>
                  <w:tcW w:w="503" w:type="pct"/>
                  <w:vMerge w:val="continue"/>
                  <w:shd w:val="clear" w:color="auto" w:fill="auto"/>
                  <w:vAlign w:val="center"/>
                </w:tcPr>
                <w:p w14:paraId="742D1583">
                  <w:pPr>
                    <w:pStyle w:val="29"/>
                    <w:rPr>
                      <w:color w:val="auto"/>
                    </w:rPr>
                  </w:pPr>
                </w:p>
              </w:tc>
              <w:tc>
                <w:tcPr>
                  <w:tcW w:w="1172" w:type="pct"/>
                  <w:vMerge w:val="continue"/>
                  <w:shd w:val="clear" w:color="auto" w:fill="auto"/>
                  <w:vAlign w:val="center"/>
                </w:tcPr>
                <w:p w14:paraId="5FFC9575">
                  <w:pPr>
                    <w:pStyle w:val="29"/>
                    <w:rPr>
                      <w:rFonts w:hint="default"/>
                      <w:color w:val="auto"/>
                    </w:rPr>
                  </w:pPr>
                </w:p>
              </w:tc>
            </w:tr>
            <w:tr w14:paraId="173D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6052BB95">
                  <w:pPr>
                    <w:pStyle w:val="29"/>
                    <w:rPr>
                      <w:rFonts w:hint="default"/>
                      <w:color w:val="auto"/>
                    </w:rPr>
                  </w:pPr>
                  <w:r>
                    <w:rPr>
                      <w:color w:val="auto"/>
                    </w:rPr>
                    <w:t>颗粒物（PM</w:t>
                  </w:r>
                  <w:r>
                    <w:rPr>
                      <w:color w:val="auto"/>
                      <w:vertAlign w:val="subscript"/>
                    </w:rPr>
                    <w:t>10</w:t>
                  </w:r>
                  <w:r>
                    <w:rPr>
                      <w:color w:val="auto"/>
                    </w:rPr>
                    <w:t>）</w:t>
                  </w:r>
                </w:p>
              </w:tc>
              <w:tc>
                <w:tcPr>
                  <w:tcW w:w="803" w:type="pct"/>
                  <w:shd w:val="clear" w:color="auto" w:fill="auto"/>
                  <w:vAlign w:val="center"/>
                </w:tcPr>
                <w:p w14:paraId="324EE5B3">
                  <w:pPr>
                    <w:pStyle w:val="29"/>
                    <w:rPr>
                      <w:rFonts w:hint="default"/>
                      <w:color w:val="auto"/>
                    </w:rPr>
                  </w:pPr>
                  <w:r>
                    <w:rPr>
                      <w:color w:val="auto"/>
                    </w:rPr>
                    <w:t>年平均</w:t>
                  </w:r>
                </w:p>
              </w:tc>
              <w:tc>
                <w:tcPr>
                  <w:tcW w:w="935" w:type="pct"/>
                  <w:shd w:val="clear" w:color="auto" w:fill="auto"/>
                  <w:vAlign w:val="center"/>
                </w:tcPr>
                <w:p w14:paraId="095CA39F">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60</w:t>
                  </w:r>
                </w:p>
              </w:tc>
              <w:tc>
                <w:tcPr>
                  <w:tcW w:w="776" w:type="pct"/>
                  <w:shd w:val="clear" w:color="auto" w:fill="auto"/>
                  <w:vAlign w:val="center"/>
                </w:tcPr>
                <w:p w14:paraId="3502D431">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503" w:type="pct"/>
                  <w:vMerge w:val="continue"/>
                  <w:shd w:val="clear" w:color="auto" w:fill="auto"/>
                  <w:vAlign w:val="center"/>
                </w:tcPr>
                <w:p w14:paraId="078AFC7D">
                  <w:pPr>
                    <w:pStyle w:val="29"/>
                    <w:rPr>
                      <w:color w:val="auto"/>
                    </w:rPr>
                  </w:pPr>
                </w:p>
              </w:tc>
              <w:tc>
                <w:tcPr>
                  <w:tcW w:w="1172" w:type="pct"/>
                  <w:vMerge w:val="continue"/>
                  <w:shd w:val="clear" w:color="auto" w:fill="auto"/>
                  <w:vAlign w:val="center"/>
                </w:tcPr>
                <w:p w14:paraId="50740BE9">
                  <w:pPr>
                    <w:pStyle w:val="29"/>
                    <w:rPr>
                      <w:rFonts w:hint="default"/>
                      <w:color w:val="auto"/>
                    </w:rPr>
                  </w:pPr>
                </w:p>
              </w:tc>
            </w:tr>
            <w:tr w14:paraId="2378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13E13CA8">
                  <w:pPr>
                    <w:pStyle w:val="29"/>
                    <w:rPr>
                      <w:rFonts w:hint="default"/>
                      <w:color w:val="auto"/>
                    </w:rPr>
                  </w:pPr>
                </w:p>
              </w:tc>
              <w:tc>
                <w:tcPr>
                  <w:tcW w:w="803" w:type="pct"/>
                  <w:shd w:val="clear" w:color="auto" w:fill="auto"/>
                  <w:vAlign w:val="center"/>
                </w:tcPr>
                <w:p w14:paraId="1CE35347">
                  <w:pPr>
                    <w:pStyle w:val="29"/>
                    <w:rPr>
                      <w:rFonts w:hint="default"/>
                      <w:color w:val="auto"/>
                    </w:rPr>
                  </w:pPr>
                  <w:r>
                    <w:rPr>
                      <w:color w:val="auto"/>
                    </w:rPr>
                    <w:t>24小时平均</w:t>
                  </w:r>
                </w:p>
              </w:tc>
              <w:tc>
                <w:tcPr>
                  <w:tcW w:w="935" w:type="pct"/>
                  <w:shd w:val="clear" w:color="auto" w:fill="auto"/>
                  <w:vAlign w:val="center"/>
                </w:tcPr>
                <w:p w14:paraId="26418DCD">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120</w:t>
                  </w:r>
                </w:p>
              </w:tc>
              <w:tc>
                <w:tcPr>
                  <w:tcW w:w="776" w:type="pct"/>
                  <w:shd w:val="clear" w:color="auto" w:fill="auto"/>
                  <w:vAlign w:val="center"/>
                </w:tcPr>
                <w:p w14:paraId="39FAACB4">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w:t>
                  </w:r>
                </w:p>
              </w:tc>
              <w:tc>
                <w:tcPr>
                  <w:tcW w:w="503" w:type="pct"/>
                  <w:vMerge w:val="continue"/>
                  <w:shd w:val="clear" w:color="auto" w:fill="auto"/>
                  <w:vAlign w:val="center"/>
                </w:tcPr>
                <w:p w14:paraId="690A816D">
                  <w:pPr>
                    <w:pStyle w:val="29"/>
                    <w:rPr>
                      <w:color w:val="auto"/>
                    </w:rPr>
                  </w:pPr>
                </w:p>
              </w:tc>
              <w:tc>
                <w:tcPr>
                  <w:tcW w:w="1172" w:type="pct"/>
                  <w:vMerge w:val="continue"/>
                  <w:shd w:val="clear" w:color="auto" w:fill="auto"/>
                  <w:vAlign w:val="center"/>
                </w:tcPr>
                <w:p w14:paraId="2D06D8EC">
                  <w:pPr>
                    <w:pStyle w:val="29"/>
                    <w:rPr>
                      <w:rFonts w:hint="default"/>
                      <w:color w:val="auto"/>
                    </w:rPr>
                  </w:pPr>
                </w:p>
              </w:tc>
            </w:tr>
            <w:tr w14:paraId="0EC3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1C0F097C">
                  <w:pPr>
                    <w:pStyle w:val="29"/>
                    <w:rPr>
                      <w:rFonts w:hint="default"/>
                      <w:color w:val="auto"/>
                    </w:rPr>
                  </w:pPr>
                  <w:r>
                    <w:rPr>
                      <w:color w:val="auto"/>
                    </w:rPr>
                    <w:t>颗粒物（PM</w:t>
                  </w:r>
                  <w:r>
                    <w:rPr>
                      <w:color w:val="auto"/>
                      <w:vertAlign w:val="subscript"/>
                    </w:rPr>
                    <w:t>2.5</w:t>
                  </w:r>
                  <w:r>
                    <w:rPr>
                      <w:color w:val="auto"/>
                    </w:rPr>
                    <w:t>）</w:t>
                  </w:r>
                </w:p>
              </w:tc>
              <w:tc>
                <w:tcPr>
                  <w:tcW w:w="803" w:type="pct"/>
                  <w:shd w:val="clear" w:color="auto" w:fill="auto"/>
                  <w:vAlign w:val="center"/>
                </w:tcPr>
                <w:p w14:paraId="6A86F161">
                  <w:pPr>
                    <w:pStyle w:val="29"/>
                    <w:rPr>
                      <w:rFonts w:hint="default"/>
                      <w:color w:val="auto"/>
                    </w:rPr>
                  </w:pPr>
                  <w:r>
                    <w:rPr>
                      <w:color w:val="auto"/>
                    </w:rPr>
                    <w:t>年平均</w:t>
                  </w:r>
                </w:p>
              </w:tc>
              <w:tc>
                <w:tcPr>
                  <w:tcW w:w="935" w:type="pct"/>
                  <w:shd w:val="clear" w:color="auto" w:fill="auto"/>
                  <w:vAlign w:val="center"/>
                </w:tcPr>
                <w:p w14:paraId="1EF71AB2">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30</w:t>
                  </w:r>
                </w:p>
              </w:tc>
              <w:tc>
                <w:tcPr>
                  <w:tcW w:w="776" w:type="pct"/>
                  <w:shd w:val="clear" w:color="auto" w:fill="auto"/>
                  <w:vAlign w:val="center"/>
                </w:tcPr>
                <w:p w14:paraId="7C50505E">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w:t>
                  </w:r>
                </w:p>
              </w:tc>
              <w:tc>
                <w:tcPr>
                  <w:tcW w:w="503" w:type="pct"/>
                  <w:vMerge w:val="continue"/>
                  <w:shd w:val="clear" w:color="auto" w:fill="auto"/>
                  <w:vAlign w:val="center"/>
                </w:tcPr>
                <w:p w14:paraId="7BC0DB72">
                  <w:pPr>
                    <w:pStyle w:val="29"/>
                    <w:rPr>
                      <w:color w:val="auto"/>
                    </w:rPr>
                  </w:pPr>
                </w:p>
              </w:tc>
              <w:tc>
                <w:tcPr>
                  <w:tcW w:w="1172" w:type="pct"/>
                  <w:vMerge w:val="continue"/>
                  <w:shd w:val="clear" w:color="auto" w:fill="auto"/>
                  <w:vAlign w:val="center"/>
                </w:tcPr>
                <w:p w14:paraId="36C1326C">
                  <w:pPr>
                    <w:pStyle w:val="29"/>
                    <w:rPr>
                      <w:rFonts w:hint="default"/>
                      <w:color w:val="auto"/>
                    </w:rPr>
                  </w:pPr>
                </w:p>
              </w:tc>
            </w:tr>
            <w:tr w14:paraId="78F34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5D619EB3">
                  <w:pPr>
                    <w:pStyle w:val="29"/>
                    <w:rPr>
                      <w:rFonts w:hint="default"/>
                      <w:color w:val="auto"/>
                    </w:rPr>
                  </w:pPr>
                </w:p>
              </w:tc>
              <w:tc>
                <w:tcPr>
                  <w:tcW w:w="803" w:type="pct"/>
                  <w:shd w:val="clear" w:color="auto" w:fill="auto"/>
                  <w:vAlign w:val="center"/>
                </w:tcPr>
                <w:p w14:paraId="4905FE23">
                  <w:pPr>
                    <w:pStyle w:val="29"/>
                    <w:rPr>
                      <w:rFonts w:hint="default"/>
                      <w:color w:val="auto"/>
                    </w:rPr>
                  </w:pPr>
                  <w:r>
                    <w:rPr>
                      <w:color w:val="auto"/>
                    </w:rPr>
                    <w:t>24小时平均</w:t>
                  </w:r>
                </w:p>
              </w:tc>
              <w:tc>
                <w:tcPr>
                  <w:tcW w:w="935" w:type="pct"/>
                  <w:shd w:val="clear" w:color="auto" w:fill="auto"/>
                  <w:vAlign w:val="center"/>
                </w:tcPr>
                <w:p w14:paraId="5DF19C5D">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60</w:t>
                  </w:r>
                </w:p>
              </w:tc>
              <w:tc>
                <w:tcPr>
                  <w:tcW w:w="776" w:type="pct"/>
                  <w:shd w:val="clear" w:color="auto" w:fill="auto"/>
                  <w:vAlign w:val="center"/>
                </w:tcPr>
                <w:p w14:paraId="221C9632">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50</w:t>
                  </w:r>
                </w:p>
              </w:tc>
              <w:tc>
                <w:tcPr>
                  <w:tcW w:w="503" w:type="pct"/>
                  <w:vMerge w:val="continue"/>
                  <w:shd w:val="clear" w:color="auto" w:fill="auto"/>
                  <w:vAlign w:val="center"/>
                </w:tcPr>
                <w:p w14:paraId="24220043">
                  <w:pPr>
                    <w:pStyle w:val="29"/>
                    <w:rPr>
                      <w:color w:val="auto"/>
                    </w:rPr>
                  </w:pPr>
                </w:p>
              </w:tc>
              <w:tc>
                <w:tcPr>
                  <w:tcW w:w="1172" w:type="pct"/>
                  <w:vMerge w:val="continue"/>
                  <w:shd w:val="clear" w:color="auto" w:fill="auto"/>
                  <w:vAlign w:val="center"/>
                </w:tcPr>
                <w:p w14:paraId="6E14CCE7">
                  <w:pPr>
                    <w:pStyle w:val="29"/>
                    <w:rPr>
                      <w:rFonts w:hint="default"/>
                      <w:color w:val="auto"/>
                    </w:rPr>
                  </w:pPr>
                </w:p>
              </w:tc>
            </w:tr>
            <w:tr w14:paraId="7FF0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restart"/>
                  <w:shd w:val="clear" w:color="auto" w:fill="auto"/>
                  <w:vAlign w:val="center"/>
                </w:tcPr>
                <w:p w14:paraId="6470DF8E">
                  <w:pPr>
                    <w:pStyle w:val="29"/>
                    <w:rPr>
                      <w:rFonts w:hint="default"/>
                      <w:color w:val="auto"/>
                    </w:rPr>
                  </w:pPr>
                  <w:r>
                    <w:rPr>
                      <w:color w:val="auto"/>
                    </w:rPr>
                    <w:t>颗粒物（TSP）</w:t>
                  </w:r>
                </w:p>
              </w:tc>
              <w:tc>
                <w:tcPr>
                  <w:tcW w:w="803" w:type="pct"/>
                  <w:shd w:val="clear" w:color="auto" w:fill="auto"/>
                  <w:vAlign w:val="center"/>
                </w:tcPr>
                <w:p w14:paraId="2A81D59B">
                  <w:pPr>
                    <w:pStyle w:val="29"/>
                    <w:rPr>
                      <w:rFonts w:hint="default"/>
                      <w:color w:val="auto"/>
                    </w:rPr>
                  </w:pPr>
                  <w:r>
                    <w:rPr>
                      <w:color w:val="auto"/>
                    </w:rPr>
                    <w:t>年平均</w:t>
                  </w:r>
                </w:p>
              </w:tc>
              <w:tc>
                <w:tcPr>
                  <w:tcW w:w="935" w:type="pct"/>
                  <w:shd w:val="clear" w:color="auto" w:fill="auto"/>
                  <w:vAlign w:val="center"/>
                </w:tcPr>
                <w:p w14:paraId="76EE5B6D">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200</w:t>
                  </w:r>
                </w:p>
              </w:tc>
              <w:tc>
                <w:tcPr>
                  <w:tcW w:w="776" w:type="pct"/>
                  <w:shd w:val="clear" w:color="auto" w:fill="auto"/>
                  <w:vAlign w:val="center"/>
                </w:tcPr>
                <w:p w14:paraId="1CE297D8">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200</w:t>
                  </w:r>
                </w:p>
              </w:tc>
              <w:tc>
                <w:tcPr>
                  <w:tcW w:w="503" w:type="pct"/>
                  <w:vMerge w:val="continue"/>
                  <w:shd w:val="clear" w:color="auto" w:fill="auto"/>
                  <w:vAlign w:val="center"/>
                </w:tcPr>
                <w:p w14:paraId="517096BE">
                  <w:pPr>
                    <w:pStyle w:val="29"/>
                    <w:rPr>
                      <w:color w:val="auto"/>
                    </w:rPr>
                  </w:pPr>
                </w:p>
              </w:tc>
              <w:tc>
                <w:tcPr>
                  <w:tcW w:w="1172" w:type="pct"/>
                  <w:vMerge w:val="continue"/>
                  <w:shd w:val="clear" w:color="auto" w:fill="auto"/>
                  <w:vAlign w:val="center"/>
                </w:tcPr>
                <w:p w14:paraId="294579AB">
                  <w:pPr>
                    <w:pStyle w:val="29"/>
                    <w:rPr>
                      <w:rFonts w:hint="default"/>
                      <w:color w:val="auto"/>
                    </w:rPr>
                  </w:pPr>
                </w:p>
              </w:tc>
            </w:tr>
            <w:tr w14:paraId="01FD7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vMerge w:val="continue"/>
                  <w:shd w:val="clear" w:color="auto" w:fill="auto"/>
                  <w:vAlign w:val="center"/>
                </w:tcPr>
                <w:p w14:paraId="34B82D80">
                  <w:pPr>
                    <w:pStyle w:val="29"/>
                    <w:rPr>
                      <w:rFonts w:hint="default"/>
                      <w:color w:val="auto"/>
                    </w:rPr>
                  </w:pPr>
                </w:p>
              </w:tc>
              <w:tc>
                <w:tcPr>
                  <w:tcW w:w="803" w:type="pct"/>
                  <w:shd w:val="clear" w:color="auto" w:fill="auto"/>
                  <w:vAlign w:val="center"/>
                </w:tcPr>
                <w:p w14:paraId="317B9A0B">
                  <w:pPr>
                    <w:pStyle w:val="29"/>
                    <w:rPr>
                      <w:rFonts w:hint="default"/>
                      <w:color w:val="auto"/>
                    </w:rPr>
                  </w:pPr>
                  <w:r>
                    <w:rPr>
                      <w:color w:val="auto"/>
                    </w:rPr>
                    <w:t>24小时平均</w:t>
                  </w:r>
                </w:p>
              </w:tc>
              <w:tc>
                <w:tcPr>
                  <w:tcW w:w="935" w:type="pct"/>
                  <w:shd w:val="clear" w:color="auto" w:fill="auto"/>
                  <w:vAlign w:val="center"/>
                </w:tcPr>
                <w:p w14:paraId="575359C1">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300</w:t>
                  </w:r>
                </w:p>
              </w:tc>
              <w:tc>
                <w:tcPr>
                  <w:tcW w:w="776" w:type="pct"/>
                  <w:shd w:val="clear" w:color="auto" w:fill="auto"/>
                  <w:vAlign w:val="center"/>
                </w:tcPr>
                <w:p w14:paraId="03AEAAB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300</w:t>
                  </w:r>
                </w:p>
              </w:tc>
              <w:tc>
                <w:tcPr>
                  <w:tcW w:w="503" w:type="pct"/>
                  <w:vMerge w:val="continue"/>
                  <w:shd w:val="clear" w:color="auto" w:fill="auto"/>
                  <w:vAlign w:val="center"/>
                </w:tcPr>
                <w:p w14:paraId="2F62DF7B">
                  <w:pPr>
                    <w:pStyle w:val="29"/>
                    <w:rPr>
                      <w:color w:val="auto"/>
                    </w:rPr>
                  </w:pPr>
                </w:p>
              </w:tc>
              <w:tc>
                <w:tcPr>
                  <w:tcW w:w="1172" w:type="pct"/>
                  <w:vMerge w:val="continue"/>
                  <w:shd w:val="clear" w:color="auto" w:fill="auto"/>
                  <w:vAlign w:val="center"/>
                </w:tcPr>
                <w:p w14:paraId="1892B7A7">
                  <w:pPr>
                    <w:pStyle w:val="29"/>
                    <w:rPr>
                      <w:rFonts w:hint="default"/>
                      <w:color w:val="auto"/>
                    </w:rPr>
                  </w:pPr>
                </w:p>
              </w:tc>
            </w:tr>
            <w:tr w14:paraId="3BC8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8" w:type="pct"/>
                  <w:shd w:val="clear" w:color="auto" w:fill="auto"/>
                  <w:vAlign w:val="center"/>
                </w:tcPr>
                <w:p w14:paraId="4962BBF2">
                  <w:pPr>
                    <w:pStyle w:val="29"/>
                    <w:rPr>
                      <w:rFonts w:hint="default" w:eastAsia="宋体"/>
                      <w:color w:val="auto"/>
                      <w:lang w:val="en-US" w:eastAsia="zh-CN"/>
                    </w:rPr>
                  </w:pPr>
                  <w:r>
                    <w:rPr>
                      <w:rFonts w:hint="eastAsia"/>
                      <w:color w:val="auto"/>
                      <w:lang w:val="en-US" w:eastAsia="zh-CN"/>
                    </w:rPr>
                    <w:t>非甲烷总烃（NMHC）</w:t>
                  </w:r>
                </w:p>
              </w:tc>
              <w:tc>
                <w:tcPr>
                  <w:tcW w:w="803" w:type="pct"/>
                  <w:shd w:val="clear" w:color="auto" w:fill="auto"/>
                  <w:vAlign w:val="center"/>
                </w:tcPr>
                <w:p w14:paraId="4A16EA41">
                  <w:pPr>
                    <w:pStyle w:val="29"/>
                    <w:rPr>
                      <w:color w:val="auto"/>
                    </w:rPr>
                  </w:pPr>
                  <w:r>
                    <w:rPr>
                      <w:color w:val="auto"/>
                    </w:rPr>
                    <w:t>24小时平均</w:t>
                  </w:r>
                </w:p>
              </w:tc>
              <w:tc>
                <w:tcPr>
                  <w:tcW w:w="935" w:type="pct"/>
                  <w:shd w:val="clear" w:color="auto" w:fill="auto"/>
                  <w:vAlign w:val="center"/>
                </w:tcPr>
                <w:p w14:paraId="79ADFBBE">
                  <w:pPr>
                    <w:pStyle w:val="29"/>
                    <w:rPr>
                      <w:rFonts w:hint="default" w:eastAsia="宋体"/>
                      <w:color w:val="auto"/>
                      <w:lang w:val="en-US" w:eastAsia="zh-CN"/>
                    </w:rPr>
                  </w:pPr>
                  <w:r>
                    <w:rPr>
                      <w:rFonts w:hint="eastAsia"/>
                      <w:color w:val="auto"/>
                      <w:lang w:val="en-US" w:eastAsia="zh-CN"/>
                    </w:rPr>
                    <w:t>/</w:t>
                  </w:r>
                </w:p>
              </w:tc>
              <w:tc>
                <w:tcPr>
                  <w:tcW w:w="776" w:type="pct"/>
                  <w:shd w:val="clear" w:color="auto" w:fill="auto"/>
                  <w:vAlign w:val="center"/>
                </w:tcPr>
                <w:p w14:paraId="3A369DB7">
                  <w:pPr>
                    <w:pStyle w:val="29"/>
                    <w:rPr>
                      <w:rFonts w:hint="eastAsia"/>
                      <w:color w:val="auto"/>
                      <w:lang w:val="en-US" w:eastAsia="zh-CN"/>
                    </w:rPr>
                  </w:pPr>
                  <w:r>
                    <w:rPr>
                      <w:rFonts w:hint="eastAsia"/>
                      <w:color w:val="auto"/>
                      <w:lang w:val="en-US" w:eastAsia="zh-CN"/>
                    </w:rPr>
                    <w:t>2</w:t>
                  </w:r>
                </w:p>
              </w:tc>
              <w:tc>
                <w:tcPr>
                  <w:tcW w:w="503" w:type="pct"/>
                  <w:shd w:val="clear" w:color="auto" w:fill="auto"/>
                  <w:vAlign w:val="center"/>
                </w:tcPr>
                <w:p w14:paraId="3F4AC25E">
                  <w:pPr>
                    <w:pStyle w:val="29"/>
                    <w:rPr>
                      <w:color w:val="auto"/>
                    </w:rPr>
                  </w:pPr>
                  <w:r>
                    <w:rPr>
                      <w:rFonts w:hint="eastAsia"/>
                      <w:color w:val="auto"/>
                      <w:lang w:val="en-US" w:eastAsia="zh-CN"/>
                    </w:rPr>
                    <w:t>m</w:t>
                  </w:r>
                  <w:r>
                    <w:rPr>
                      <w:rFonts w:hint="default"/>
                      <w:color w:val="auto"/>
                    </w:rPr>
                    <w:t>g/m</w:t>
                  </w:r>
                  <w:r>
                    <w:rPr>
                      <w:rFonts w:hint="default"/>
                      <w:color w:val="auto"/>
                      <w:vertAlign w:val="superscript"/>
                    </w:rPr>
                    <w:t>3</w:t>
                  </w:r>
                </w:p>
              </w:tc>
              <w:tc>
                <w:tcPr>
                  <w:tcW w:w="1172" w:type="pct"/>
                  <w:shd w:val="clear" w:color="auto" w:fill="auto"/>
                  <w:vAlign w:val="center"/>
                </w:tcPr>
                <w:p w14:paraId="2DAF0BC2">
                  <w:pPr>
                    <w:pStyle w:val="29"/>
                    <w:rPr>
                      <w:rFonts w:hint="default"/>
                      <w:color w:val="auto"/>
                    </w:rPr>
                  </w:pPr>
                  <w:r>
                    <w:rPr>
                      <w:rFonts w:hint="default"/>
                      <w:color w:val="auto"/>
                    </w:rPr>
                    <w:t>《大气污染物综合排放标准详解》（国家环境保护局科技标准司）限值</w:t>
                  </w:r>
                </w:p>
              </w:tc>
            </w:tr>
          </w:tbl>
          <w:p w14:paraId="6AFB3970">
            <w:pPr>
              <w:ind w:firstLine="482"/>
              <w:rPr>
                <w:b/>
                <w:bCs/>
                <w:color w:val="auto"/>
              </w:rPr>
            </w:pPr>
            <w:r>
              <w:rPr>
                <w:rFonts w:hint="eastAsia"/>
                <w:b/>
                <w:bCs/>
                <w:color w:val="auto"/>
              </w:rPr>
              <w:t>（2）环境空气质量现状</w:t>
            </w:r>
          </w:p>
          <w:p w14:paraId="350A3BBC">
            <w:pPr>
              <w:ind w:firstLine="480"/>
              <w:rPr>
                <w:color w:val="auto"/>
              </w:rPr>
            </w:pPr>
            <w:r>
              <w:rPr>
                <w:rFonts w:hint="eastAsia"/>
                <w:color w:val="auto"/>
                <w:kern w:val="0"/>
                <w:szCs w:val="20"/>
                <w:lang w:eastAsia="zh-CN"/>
              </w:rPr>
              <w:t>本项目位于</w:t>
            </w:r>
            <w:r>
              <w:rPr>
                <w:rFonts w:hint="eastAsia"/>
                <w:color w:val="auto"/>
                <w:lang w:val="en-US" w:eastAsia="zh-CN"/>
              </w:rPr>
              <w:t>玉溪市高新区九龙池片区工业园区内D4栋第一层</w:t>
            </w:r>
            <w:r>
              <w:rPr>
                <w:rFonts w:hint="eastAsia"/>
                <w:color w:val="auto"/>
              </w:rPr>
              <w:t>，距离本项目最近的环境空气质量自动监测站为</w:t>
            </w:r>
            <w:r>
              <w:rPr>
                <w:rFonts w:hint="eastAsia"/>
                <w:color w:val="auto"/>
                <w:lang w:val="en-US" w:eastAsia="zh-CN"/>
              </w:rPr>
              <w:t>北城街道</w:t>
            </w:r>
            <w:r>
              <w:rPr>
                <w:rFonts w:hint="eastAsia"/>
                <w:color w:val="auto"/>
              </w:rPr>
              <w:t>自动监测站</w:t>
            </w:r>
            <w:r>
              <w:rPr>
                <w:rFonts w:hint="eastAsia" w:eastAsia="宋体"/>
                <w:color w:val="auto"/>
                <w:lang w:eastAsia="zh-CN"/>
              </w:rPr>
              <w:t>，北城街道的空气监测站位于‌北城街道办事处楼顶，位于本项目东</w:t>
            </w:r>
            <w:r>
              <w:rPr>
                <w:rFonts w:hint="eastAsia"/>
                <w:color w:val="auto"/>
                <w:lang w:val="en-US" w:eastAsia="zh-CN"/>
              </w:rPr>
              <w:t>北</w:t>
            </w:r>
            <w:r>
              <w:rPr>
                <w:rFonts w:hint="eastAsia" w:eastAsia="宋体"/>
                <w:color w:val="auto"/>
                <w:lang w:eastAsia="zh-CN"/>
              </w:rPr>
              <w:t>面，距离约2.</w:t>
            </w:r>
            <w:r>
              <w:rPr>
                <w:rFonts w:hint="eastAsia"/>
                <w:color w:val="auto"/>
                <w:lang w:val="en-US" w:eastAsia="zh-CN"/>
              </w:rPr>
              <w:t>3</w:t>
            </w:r>
            <w:r>
              <w:rPr>
                <w:rFonts w:hint="eastAsia" w:eastAsia="宋体"/>
                <w:color w:val="auto"/>
                <w:lang w:eastAsia="zh-CN"/>
              </w:rPr>
              <w:t>km</w:t>
            </w:r>
            <w:r>
              <w:rPr>
                <w:rFonts w:hint="eastAsia"/>
                <w:color w:val="auto"/>
              </w:rPr>
              <w:t>。</w:t>
            </w:r>
            <w:r>
              <w:rPr>
                <w:color w:val="auto"/>
              </w:rPr>
              <w:t>环境空气质量现状引用</w:t>
            </w:r>
            <w:r>
              <w:rPr>
                <w:rFonts w:hint="eastAsia"/>
                <w:color w:val="auto"/>
              </w:rPr>
              <w:t>202</w:t>
            </w:r>
            <w:r>
              <w:rPr>
                <w:rFonts w:hint="eastAsia"/>
                <w:color w:val="auto"/>
                <w:lang w:val="en-US" w:eastAsia="zh-CN"/>
              </w:rPr>
              <w:t>5</w:t>
            </w:r>
            <w:r>
              <w:rPr>
                <w:color w:val="auto"/>
              </w:rPr>
              <w:t>年</w:t>
            </w:r>
            <w:r>
              <w:rPr>
                <w:rFonts w:hint="eastAsia"/>
                <w:color w:val="auto"/>
                <w:lang w:val="en-US" w:eastAsia="zh-CN"/>
              </w:rPr>
              <w:t>北城</w:t>
            </w:r>
            <w:r>
              <w:rPr>
                <w:rFonts w:hint="eastAsia"/>
                <w:color w:val="auto"/>
              </w:rPr>
              <w:t>自动监测站</w:t>
            </w:r>
            <w:r>
              <w:rPr>
                <w:color w:val="auto"/>
              </w:rPr>
              <w:t>空气质量统计数据。详细数据如下表：</w:t>
            </w:r>
          </w:p>
          <w:p w14:paraId="68CBF4BC">
            <w:pPr>
              <w:pStyle w:val="30"/>
              <w:rPr>
                <w:rFonts w:hint="default"/>
                <w:color w:val="auto"/>
              </w:rPr>
            </w:pPr>
            <w:r>
              <w:rPr>
                <w:color w:val="auto"/>
              </w:rPr>
              <w:t>表3-2  202</w:t>
            </w:r>
            <w:r>
              <w:rPr>
                <w:rFonts w:hint="eastAsia"/>
                <w:color w:val="auto"/>
                <w:lang w:val="en-US" w:eastAsia="zh-CN"/>
              </w:rPr>
              <w:t>5</w:t>
            </w:r>
            <w:r>
              <w:rPr>
                <w:color w:val="auto"/>
              </w:rPr>
              <w:t>年玉溪市</w:t>
            </w:r>
            <w:r>
              <w:rPr>
                <w:rFonts w:hint="eastAsia"/>
                <w:color w:val="auto"/>
                <w:lang w:eastAsia="zh-CN"/>
              </w:rPr>
              <w:t>北城</w:t>
            </w:r>
            <w:r>
              <w:rPr>
                <w:color w:val="auto"/>
              </w:rPr>
              <w:t>环境空气质量统计结果（</w:t>
            </w:r>
            <w:r>
              <w:rPr>
                <w:rFonts w:hint="default" w:cs="Times New Roman"/>
                <w:color w:val="auto"/>
              </w:rPr>
              <w:t>μg/m</w:t>
            </w:r>
            <w:r>
              <w:rPr>
                <w:rFonts w:hint="default" w:cs="Times New Roman"/>
                <w:color w:val="auto"/>
                <w:vertAlign w:val="superscript"/>
              </w:rPr>
              <w:t>3</w:t>
            </w:r>
            <w:r>
              <w:rPr>
                <w:color w:val="auto"/>
              </w:rPr>
              <w:t>）</w:t>
            </w:r>
          </w:p>
          <w:tbl>
            <w:tblPr>
              <w:tblStyle w:val="2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2223"/>
              <w:gridCol w:w="1144"/>
              <w:gridCol w:w="1702"/>
              <w:gridCol w:w="1090"/>
              <w:gridCol w:w="627"/>
            </w:tblGrid>
            <w:tr w14:paraId="6F87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Align w:val="center"/>
                </w:tcPr>
                <w:p w14:paraId="170D12BB">
                  <w:pPr>
                    <w:pStyle w:val="29"/>
                    <w:rPr>
                      <w:rFonts w:hint="default"/>
                      <w:color w:val="auto"/>
                    </w:rPr>
                  </w:pPr>
                  <w:r>
                    <w:rPr>
                      <w:rFonts w:hint="default"/>
                      <w:color w:val="auto"/>
                    </w:rPr>
                    <w:t>污染物</w:t>
                  </w:r>
                </w:p>
              </w:tc>
              <w:tc>
                <w:tcPr>
                  <w:tcW w:w="1423" w:type="pct"/>
                  <w:vAlign w:val="center"/>
                </w:tcPr>
                <w:p w14:paraId="27DD28F9">
                  <w:pPr>
                    <w:pStyle w:val="29"/>
                    <w:rPr>
                      <w:rFonts w:hint="default"/>
                      <w:color w:val="auto"/>
                    </w:rPr>
                  </w:pPr>
                  <w:r>
                    <w:rPr>
                      <w:rFonts w:hint="default"/>
                      <w:color w:val="auto"/>
                    </w:rPr>
                    <w:t>年评价指标</w:t>
                  </w:r>
                </w:p>
              </w:tc>
              <w:tc>
                <w:tcPr>
                  <w:tcW w:w="703" w:type="pct"/>
                  <w:vAlign w:val="center"/>
                </w:tcPr>
                <w:p w14:paraId="7737EEFB">
                  <w:pPr>
                    <w:pStyle w:val="29"/>
                    <w:rPr>
                      <w:rFonts w:hint="default"/>
                      <w:color w:val="auto"/>
                    </w:rPr>
                  </w:pPr>
                  <w:r>
                    <w:rPr>
                      <w:rFonts w:hint="default"/>
                      <w:color w:val="auto"/>
                    </w:rPr>
                    <w:t>现状浓度（</w:t>
                  </w:r>
                  <w:r>
                    <w:rPr>
                      <w:rFonts w:hint="default" w:cs="Times New Roman"/>
                      <w:color w:val="auto"/>
                    </w:rPr>
                    <w:t>μg/m</w:t>
                  </w:r>
                  <w:r>
                    <w:rPr>
                      <w:rFonts w:hint="default" w:cs="Times New Roman"/>
                      <w:color w:val="auto"/>
                      <w:vertAlign w:val="superscript"/>
                    </w:rPr>
                    <w:t>3</w:t>
                  </w:r>
                  <w:r>
                    <w:rPr>
                      <w:rFonts w:hint="default"/>
                      <w:color w:val="auto"/>
                    </w:rPr>
                    <w:t>）</w:t>
                  </w:r>
                </w:p>
              </w:tc>
              <w:tc>
                <w:tcPr>
                  <w:tcW w:w="1091" w:type="pct"/>
                  <w:vAlign w:val="center"/>
                </w:tcPr>
                <w:p w14:paraId="6074EDC2">
                  <w:pPr>
                    <w:pStyle w:val="29"/>
                    <w:rPr>
                      <w:rFonts w:hint="default"/>
                      <w:color w:val="auto"/>
                    </w:rPr>
                  </w:pPr>
                  <w:r>
                    <w:rPr>
                      <w:rFonts w:hint="eastAsia"/>
                      <w:color w:val="auto"/>
                      <w:lang w:val="en-US" w:eastAsia="zh-CN"/>
                    </w:rPr>
                    <w:t>(</w:t>
                  </w:r>
                  <w:r>
                    <w:rPr>
                      <w:rFonts w:hint="default"/>
                      <w:color w:val="auto"/>
                    </w:rPr>
                    <w:t>GB3095－2012</w:t>
                  </w:r>
                  <w:r>
                    <w:rPr>
                      <w:rFonts w:hint="eastAsia"/>
                      <w:color w:val="auto"/>
                      <w:lang w:val="en-US" w:eastAsia="zh-CN"/>
                    </w:rPr>
                    <w:t>)</w:t>
                  </w:r>
                  <w:r>
                    <w:rPr>
                      <w:rFonts w:hint="default"/>
                      <w:color w:val="auto"/>
                    </w:rPr>
                    <w:t>二级标值</w:t>
                  </w:r>
                </w:p>
                <w:p w14:paraId="5DDE59CF">
                  <w:pPr>
                    <w:pStyle w:val="29"/>
                    <w:rPr>
                      <w:rFonts w:hint="default"/>
                      <w:color w:val="auto"/>
                    </w:rPr>
                  </w:pPr>
                  <w:r>
                    <w:rPr>
                      <w:rFonts w:hint="default"/>
                      <w:color w:val="auto"/>
                    </w:rPr>
                    <w:t>（</w:t>
                  </w:r>
                  <w:r>
                    <w:rPr>
                      <w:rFonts w:hint="default" w:cs="Times New Roman"/>
                      <w:color w:val="auto"/>
                    </w:rPr>
                    <w:t>μg/m</w:t>
                  </w:r>
                  <w:r>
                    <w:rPr>
                      <w:rFonts w:hint="default" w:cs="Times New Roman"/>
                      <w:color w:val="auto"/>
                      <w:vertAlign w:val="superscript"/>
                    </w:rPr>
                    <w:t>3</w:t>
                  </w:r>
                  <w:r>
                    <w:rPr>
                      <w:rFonts w:hint="default"/>
                      <w:color w:val="auto"/>
                    </w:rPr>
                    <w:t>）</w:t>
                  </w:r>
                </w:p>
              </w:tc>
              <w:tc>
                <w:tcPr>
                  <w:tcW w:w="700" w:type="pct"/>
                  <w:vAlign w:val="center"/>
                </w:tcPr>
                <w:p w14:paraId="132F5DBE">
                  <w:pPr>
                    <w:pStyle w:val="29"/>
                    <w:rPr>
                      <w:rFonts w:hint="default"/>
                      <w:color w:val="auto"/>
                    </w:rPr>
                  </w:pPr>
                  <w:r>
                    <w:rPr>
                      <w:rFonts w:hint="default"/>
                      <w:color w:val="auto"/>
                    </w:rPr>
                    <w:t>占标率/%</w:t>
                  </w:r>
                </w:p>
              </w:tc>
              <w:tc>
                <w:tcPr>
                  <w:tcW w:w="405" w:type="pct"/>
                  <w:vAlign w:val="center"/>
                </w:tcPr>
                <w:p w14:paraId="3FA4EB51">
                  <w:pPr>
                    <w:pStyle w:val="29"/>
                    <w:rPr>
                      <w:rFonts w:hint="default"/>
                      <w:color w:val="auto"/>
                    </w:rPr>
                  </w:pPr>
                  <w:r>
                    <w:rPr>
                      <w:rFonts w:hint="default"/>
                      <w:color w:val="auto"/>
                    </w:rPr>
                    <w:t>达标情况</w:t>
                  </w:r>
                </w:p>
              </w:tc>
            </w:tr>
            <w:tr w14:paraId="6C2F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restart"/>
                  <w:vAlign w:val="center"/>
                </w:tcPr>
                <w:p w14:paraId="49422C9B">
                  <w:pPr>
                    <w:pStyle w:val="29"/>
                    <w:rPr>
                      <w:rFonts w:hint="default"/>
                      <w:color w:val="auto"/>
                    </w:rPr>
                  </w:pPr>
                  <w:r>
                    <w:rPr>
                      <w:rFonts w:hint="default"/>
                      <w:color w:val="auto"/>
                    </w:rPr>
                    <w:t>SO</w:t>
                  </w:r>
                  <w:r>
                    <w:rPr>
                      <w:rFonts w:hint="default"/>
                      <w:color w:val="auto"/>
                      <w:vertAlign w:val="subscript"/>
                    </w:rPr>
                    <w:t>2</w:t>
                  </w:r>
                </w:p>
              </w:tc>
              <w:tc>
                <w:tcPr>
                  <w:tcW w:w="1423" w:type="pct"/>
                  <w:vAlign w:val="center"/>
                </w:tcPr>
                <w:p w14:paraId="106B8D3B">
                  <w:pPr>
                    <w:pStyle w:val="29"/>
                    <w:rPr>
                      <w:rFonts w:hint="default"/>
                      <w:color w:val="auto"/>
                    </w:rPr>
                  </w:pPr>
                  <w:r>
                    <w:rPr>
                      <w:rFonts w:hint="default"/>
                      <w:color w:val="auto"/>
                    </w:rPr>
                    <w:t>年平均质量浓度</w:t>
                  </w:r>
                </w:p>
              </w:tc>
              <w:tc>
                <w:tcPr>
                  <w:tcW w:w="703" w:type="pct"/>
                  <w:vAlign w:val="center"/>
                </w:tcPr>
                <w:p w14:paraId="0AA828FC">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9.15</w:t>
                  </w:r>
                </w:p>
              </w:tc>
              <w:tc>
                <w:tcPr>
                  <w:tcW w:w="1091" w:type="pct"/>
                  <w:vAlign w:val="center"/>
                </w:tcPr>
                <w:p w14:paraId="2385565C">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60</w:t>
                  </w:r>
                </w:p>
              </w:tc>
              <w:tc>
                <w:tcPr>
                  <w:tcW w:w="700" w:type="pct"/>
                  <w:vAlign w:val="center"/>
                </w:tcPr>
                <w:p w14:paraId="7599879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sz w:val="21"/>
                      <w:szCs w:val="21"/>
                      <w:lang w:val="en-US" w:eastAsia="zh-CN"/>
                    </w:rPr>
                    <w:t>15.25</w:t>
                  </w:r>
                </w:p>
              </w:tc>
              <w:tc>
                <w:tcPr>
                  <w:tcW w:w="405" w:type="pct"/>
                  <w:vAlign w:val="center"/>
                </w:tcPr>
                <w:p w14:paraId="2FB2B3D5">
                  <w:pPr>
                    <w:pStyle w:val="29"/>
                    <w:rPr>
                      <w:rFonts w:hint="default"/>
                      <w:color w:val="auto"/>
                    </w:rPr>
                  </w:pPr>
                  <w:r>
                    <w:rPr>
                      <w:rFonts w:hint="default"/>
                      <w:color w:val="auto"/>
                    </w:rPr>
                    <w:t>达标</w:t>
                  </w:r>
                </w:p>
              </w:tc>
            </w:tr>
            <w:tr w14:paraId="35435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continue"/>
                  <w:vAlign w:val="center"/>
                </w:tcPr>
                <w:p w14:paraId="18F96A22">
                  <w:pPr>
                    <w:pStyle w:val="29"/>
                    <w:rPr>
                      <w:rFonts w:hint="default"/>
                      <w:color w:val="auto"/>
                    </w:rPr>
                  </w:pPr>
                </w:p>
              </w:tc>
              <w:tc>
                <w:tcPr>
                  <w:tcW w:w="1423" w:type="pct"/>
                  <w:vAlign w:val="center"/>
                </w:tcPr>
                <w:p w14:paraId="1747E894">
                  <w:pPr>
                    <w:pStyle w:val="29"/>
                    <w:rPr>
                      <w:rFonts w:hint="default"/>
                      <w:color w:val="auto"/>
                    </w:rPr>
                  </w:pPr>
                  <w:r>
                    <w:rPr>
                      <w:rFonts w:hint="default"/>
                      <w:color w:val="auto"/>
                    </w:rPr>
                    <w:t>98%日平均质量浓度</w:t>
                  </w:r>
                </w:p>
              </w:tc>
              <w:tc>
                <w:tcPr>
                  <w:tcW w:w="703" w:type="pct"/>
                  <w:vAlign w:val="center"/>
                </w:tcPr>
                <w:p w14:paraId="14586400">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17</w:t>
                  </w:r>
                </w:p>
              </w:tc>
              <w:tc>
                <w:tcPr>
                  <w:tcW w:w="1091" w:type="pct"/>
                  <w:vAlign w:val="center"/>
                </w:tcPr>
                <w:p w14:paraId="5C93BFB1">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150</w:t>
                  </w:r>
                </w:p>
              </w:tc>
              <w:tc>
                <w:tcPr>
                  <w:tcW w:w="700" w:type="pct"/>
                  <w:vAlign w:val="center"/>
                </w:tcPr>
                <w:p w14:paraId="6DE5DE10">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sz w:val="21"/>
                      <w:szCs w:val="21"/>
                      <w:lang w:val="en-US" w:eastAsia="zh-CN"/>
                    </w:rPr>
                    <w:t>11.33</w:t>
                  </w:r>
                </w:p>
              </w:tc>
              <w:tc>
                <w:tcPr>
                  <w:tcW w:w="405" w:type="pct"/>
                  <w:vAlign w:val="center"/>
                </w:tcPr>
                <w:p w14:paraId="65409F64">
                  <w:pPr>
                    <w:pStyle w:val="29"/>
                    <w:rPr>
                      <w:rFonts w:hint="default"/>
                      <w:color w:val="auto"/>
                    </w:rPr>
                  </w:pPr>
                  <w:r>
                    <w:rPr>
                      <w:rFonts w:hint="default"/>
                      <w:color w:val="auto"/>
                    </w:rPr>
                    <w:t>达标</w:t>
                  </w:r>
                </w:p>
              </w:tc>
            </w:tr>
            <w:tr w14:paraId="7BBB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restart"/>
                  <w:vAlign w:val="center"/>
                </w:tcPr>
                <w:p w14:paraId="4D4E6476">
                  <w:pPr>
                    <w:pStyle w:val="29"/>
                    <w:rPr>
                      <w:rFonts w:hint="default"/>
                      <w:color w:val="auto"/>
                    </w:rPr>
                  </w:pPr>
                  <w:r>
                    <w:rPr>
                      <w:rFonts w:hint="default"/>
                      <w:color w:val="auto"/>
                    </w:rPr>
                    <w:t>NO</w:t>
                  </w:r>
                  <w:r>
                    <w:rPr>
                      <w:rFonts w:hint="default"/>
                      <w:color w:val="auto"/>
                      <w:vertAlign w:val="subscript"/>
                    </w:rPr>
                    <w:t>2</w:t>
                  </w:r>
                </w:p>
              </w:tc>
              <w:tc>
                <w:tcPr>
                  <w:tcW w:w="1423" w:type="pct"/>
                  <w:vAlign w:val="center"/>
                </w:tcPr>
                <w:p w14:paraId="4BC505A6">
                  <w:pPr>
                    <w:pStyle w:val="29"/>
                    <w:rPr>
                      <w:rFonts w:hint="default"/>
                      <w:color w:val="auto"/>
                    </w:rPr>
                  </w:pPr>
                  <w:r>
                    <w:rPr>
                      <w:rFonts w:hint="default"/>
                      <w:color w:val="auto"/>
                    </w:rPr>
                    <w:t>年平均质量浓度</w:t>
                  </w:r>
                </w:p>
              </w:tc>
              <w:tc>
                <w:tcPr>
                  <w:tcW w:w="703" w:type="pct"/>
                  <w:vAlign w:val="center"/>
                </w:tcPr>
                <w:p w14:paraId="50BE35C4">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20.51</w:t>
                  </w:r>
                </w:p>
              </w:tc>
              <w:tc>
                <w:tcPr>
                  <w:tcW w:w="1091" w:type="pct"/>
                  <w:vAlign w:val="center"/>
                </w:tcPr>
                <w:p w14:paraId="50B663B7">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eastAsia" w:eastAsia="宋体"/>
                      <w:color w:val="auto"/>
                      <w:highlight w:val="none"/>
                      <w:lang w:val="en-US" w:eastAsia="zh-CN"/>
                    </w:rPr>
                    <w:t>40</w:t>
                  </w:r>
                </w:p>
              </w:tc>
              <w:tc>
                <w:tcPr>
                  <w:tcW w:w="700" w:type="pct"/>
                  <w:vAlign w:val="center"/>
                </w:tcPr>
                <w:p w14:paraId="311F0CFB">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sz w:val="21"/>
                      <w:szCs w:val="21"/>
                      <w:lang w:val="en-US" w:eastAsia="zh-CN"/>
                    </w:rPr>
                    <w:t>51.28</w:t>
                  </w:r>
                </w:p>
              </w:tc>
              <w:tc>
                <w:tcPr>
                  <w:tcW w:w="405" w:type="pct"/>
                  <w:vAlign w:val="center"/>
                </w:tcPr>
                <w:p w14:paraId="7BFB7EE9">
                  <w:pPr>
                    <w:pStyle w:val="29"/>
                    <w:rPr>
                      <w:rFonts w:hint="default"/>
                      <w:color w:val="auto"/>
                    </w:rPr>
                  </w:pPr>
                  <w:r>
                    <w:rPr>
                      <w:rFonts w:hint="default"/>
                      <w:color w:val="auto"/>
                    </w:rPr>
                    <w:t>达标</w:t>
                  </w:r>
                </w:p>
              </w:tc>
            </w:tr>
            <w:tr w14:paraId="3B2D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continue"/>
                  <w:vAlign w:val="center"/>
                </w:tcPr>
                <w:p w14:paraId="7D1E22F0">
                  <w:pPr>
                    <w:pStyle w:val="29"/>
                    <w:rPr>
                      <w:rFonts w:hint="default"/>
                      <w:color w:val="auto"/>
                    </w:rPr>
                  </w:pPr>
                </w:p>
              </w:tc>
              <w:tc>
                <w:tcPr>
                  <w:tcW w:w="1423" w:type="pct"/>
                  <w:vAlign w:val="center"/>
                </w:tcPr>
                <w:p w14:paraId="09006378">
                  <w:pPr>
                    <w:pStyle w:val="29"/>
                    <w:rPr>
                      <w:rFonts w:hint="default"/>
                      <w:color w:val="auto"/>
                    </w:rPr>
                  </w:pPr>
                  <w:r>
                    <w:rPr>
                      <w:rFonts w:hint="default"/>
                      <w:color w:val="auto"/>
                    </w:rPr>
                    <w:t>98%日平均质量浓度</w:t>
                  </w:r>
                </w:p>
              </w:tc>
              <w:tc>
                <w:tcPr>
                  <w:tcW w:w="703" w:type="pct"/>
                  <w:vAlign w:val="center"/>
                </w:tcPr>
                <w:p w14:paraId="15F03F3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49</w:t>
                  </w:r>
                </w:p>
              </w:tc>
              <w:tc>
                <w:tcPr>
                  <w:tcW w:w="1091" w:type="pct"/>
                  <w:vAlign w:val="center"/>
                </w:tcPr>
                <w:p w14:paraId="75920D2A">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80</w:t>
                  </w:r>
                </w:p>
              </w:tc>
              <w:tc>
                <w:tcPr>
                  <w:tcW w:w="700" w:type="pct"/>
                  <w:vAlign w:val="center"/>
                </w:tcPr>
                <w:p w14:paraId="13ABACAC">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sz w:val="21"/>
                      <w:szCs w:val="21"/>
                      <w:lang w:val="en-US" w:eastAsia="zh-CN"/>
                    </w:rPr>
                    <w:t>61.25</w:t>
                  </w:r>
                </w:p>
              </w:tc>
              <w:tc>
                <w:tcPr>
                  <w:tcW w:w="405" w:type="pct"/>
                  <w:vAlign w:val="center"/>
                </w:tcPr>
                <w:p w14:paraId="40CA7D3E">
                  <w:pPr>
                    <w:pStyle w:val="29"/>
                    <w:rPr>
                      <w:rFonts w:hint="default"/>
                      <w:color w:val="auto"/>
                    </w:rPr>
                  </w:pPr>
                  <w:r>
                    <w:rPr>
                      <w:rFonts w:hint="default"/>
                      <w:color w:val="auto"/>
                    </w:rPr>
                    <w:t>达标</w:t>
                  </w:r>
                </w:p>
              </w:tc>
            </w:tr>
            <w:tr w14:paraId="65A1D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restart"/>
                  <w:vAlign w:val="center"/>
                </w:tcPr>
                <w:p w14:paraId="6789988C">
                  <w:pPr>
                    <w:pStyle w:val="29"/>
                    <w:rPr>
                      <w:rFonts w:hint="default"/>
                      <w:color w:val="auto"/>
                    </w:rPr>
                  </w:pPr>
                  <w:r>
                    <w:rPr>
                      <w:rFonts w:hint="default"/>
                      <w:color w:val="auto"/>
                    </w:rPr>
                    <w:t>PM</w:t>
                  </w:r>
                  <w:r>
                    <w:rPr>
                      <w:rFonts w:hint="default"/>
                      <w:color w:val="auto"/>
                      <w:vertAlign w:val="subscript"/>
                    </w:rPr>
                    <w:t>10</w:t>
                  </w:r>
                </w:p>
              </w:tc>
              <w:tc>
                <w:tcPr>
                  <w:tcW w:w="1423" w:type="pct"/>
                  <w:vAlign w:val="center"/>
                </w:tcPr>
                <w:p w14:paraId="0BB35CDB">
                  <w:pPr>
                    <w:pStyle w:val="29"/>
                    <w:rPr>
                      <w:rFonts w:hint="default"/>
                      <w:color w:val="auto"/>
                    </w:rPr>
                  </w:pPr>
                  <w:r>
                    <w:rPr>
                      <w:rFonts w:hint="default"/>
                      <w:color w:val="auto"/>
                    </w:rPr>
                    <w:t>年平均质量浓度</w:t>
                  </w:r>
                </w:p>
              </w:tc>
              <w:tc>
                <w:tcPr>
                  <w:tcW w:w="703" w:type="pct"/>
                  <w:vAlign w:val="center"/>
                </w:tcPr>
                <w:p w14:paraId="066C0961">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35.70</w:t>
                  </w:r>
                </w:p>
              </w:tc>
              <w:tc>
                <w:tcPr>
                  <w:tcW w:w="1091" w:type="pct"/>
                  <w:vAlign w:val="center"/>
                </w:tcPr>
                <w:p w14:paraId="68367DD4">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70</w:t>
                  </w:r>
                </w:p>
              </w:tc>
              <w:tc>
                <w:tcPr>
                  <w:tcW w:w="700" w:type="pct"/>
                  <w:vAlign w:val="center"/>
                </w:tcPr>
                <w:p w14:paraId="5078DED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default" w:ascii="Times New Roman" w:hAnsi="Times New Roman" w:cs="Times New Roman" w:eastAsiaTheme="minorEastAsia"/>
                      <w:b w:val="0"/>
                      <w:bCs w:val="0"/>
                      <w:color w:val="auto"/>
                      <w:sz w:val="21"/>
                      <w:szCs w:val="21"/>
                      <w:lang w:val="en-US" w:eastAsia="zh-CN"/>
                    </w:rPr>
                    <w:t>5</w:t>
                  </w:r>
                  <w:r>
                    <w:rPr>
                      <w:rFonts w:hint="eastAsia" w:cs="Times New Roman" w:eastAsiaTheme="minorEastAsia"/>
                      <w:b w:val="0"/>
                      <w:bCs w:val="0"/>
                      <w:color w:val="auto"/>
                      <w:sz w:val="21"/>
                      <w:szCs w:val="21"/>
                      <w:lang w:val="en-US" w:eastAsia="zh-CN"/>
                    </w:rPr>
                    <w:t>1.00</w:t>
                  </w:r>
                </w:p>
              </w:tc>
              <w:tc>
                <w:tcPr>
                  <w:tcW w:w="405" w:type="pct"/>
                  <w:vAlign w:val="center"/>
                </w:tcPr>
                <w:p w14:paraId="0C1CA0E8">
                  <w:pPr>
                    <w:pStyle w:val="29"/>
                    <w:rPr>
                      <w:rFonts w:hint="default"/>
                      <w:color w:val="auto"/>
                    </w:rPr>
                  </w:pPr>
                  <w:r>
                    <w:rPr>
                      <w:rFonts w:hint="default"/>
                      <w:color w:val="auto"/>
                    </w:rPr>
                    <w:t>达标</w:t>
                  </w:r>
                </w:p>
              </w:tc>
            </w:tr>
            <w:tr w14:paraId="7342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continue"/>
                  <w:vAlign w:val="center"/>
                </w:tcPr>
                <w:p w14:paraId="750D9254">
                  <w:pPr>
                    <w:pStyle w:val="29"/>
                    <w:rPr>
                      <w:rFonts w:hint="default"/>
                      <w:color w:val="auto"/>
                    </w:rPr>
                  </w:pPr>
                </w:p>
              </w:tc>
              <w:tc>
                <w:tcPr>
                  <w:tcW w:w="1423" w:type="pct"/>
                  <w:vAlign w:val="center"/>
                </w:tcPr>
                <w:p w14:paraId="50208436">
                  <w:pPr>
                    <w:pStyle w:val="29"/>
                    <w:rPr>
                      <w:rFonts w:hint="default"/>
                      <w:color w:val="auto"/>
                    </w:rPr>
                  </w:pPr>
                  <w:r>
                    <w:rPr>
                      <w:rFonts w:hint="default"/>
                      <w:color w:val="auto"/>
                    </w:rPr>
                    <w:t>95%日平均质量浓度</w:t>
                  </w:r>
                </w:p>
              </w:tc>
              <w:tc>
                <w:tcPr>
                  <w:tcW w:w="703" w:type="pct"/>
                  <w:vAlign w:val="center"/>
                </w:tcPr>
                <w:p w14:paraId="3515B74E">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80</w:t>
                  </w:r>
                </w:p>
              </w:tc>
              <w:tc>
                <w:tcPr>
                  <w:tcW w:w="1091" w:type="pct"/>
                  <w:vAlign w:val="center"/>
                </w:tcPr>
                <w:p w14:paraId="2D4765BA">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150</w:t>
                  </w:r>
                </w:p>
              </w:tc>
              <w:tc>
                <w:tcPr>
                  <w:tcW w:w="700" w:type="pct"/>
                  <w:vAlign w:val="center"/>
                </w:tcPr>
                <w:p w14:paraId="245E4681">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53.33</w:t>
                  </w:r>
                </w:p>
              </w:tc>
              <w:tc>
                <w:tcPr>
                  <w:tcW w:w="405" w:type="pct"/>
                  <w:vAlign w:val="center"/>
                </w:tcPr>
                <w:p w14:paraId="207033E4">
                  <w:pPr>
                    <w:pStyle w:val="29"/>
                    <w:rPr>
                      <w:rFonts w:hint="default"/>
                      <w:color w:val="auto"/>
                    </w:rPr>
                  </w:pPr>
                  <w:r>
                    <w:rPr>
                      <w:rFonts w:hint="default"/>
                      <w:color w:val="auto"/>
                    </w:rPr>
                    <w:t>达标</w:t>
                  </w:r>
                </w:p>
              </w:tc>
            </w:tr>
            <w:tr w14:paraId="5370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restart"/>
                  <w:vAlign w:val="center"/>
                </w:tcPr>
                <w:p w14:paraId="3BDFDD09">
                  <w:pPr>
                    <w:pStyle w:val="29"/>
                    <w:rPr>
                      <w:rFonts w:hint="default"/>
                      <w:color w:val="auto"/>
                    </w:rPr>
                  </w:pPr>
                  <w:r>
                    <w:rPr>
                      <w:rFonts w:hint="default"/>
                      <w:color w:val="auto"/>
                    </w:rPr>
                    <w:t>PM</w:t>
                  </w:r>
                  <w:r>
                    <w:rPr>
                      <w:rFonts w:hint="default"/>
                      <w:color w:val="auto"/>
                      <w:vertAlign w:val="subscript"/>
                    </w:rPr>
                    <w:t>2.5</w:t>
                  </w:r>
                </w:p>
              </w:tc>
              <w:tc>
                <w:tcPr>
                  <w:tcW w:w="1423" w:type="pct"/>
                  <w:vAlign w:val="center"/>
                </w:tcPr>
                <w:p w14:paraId="1F59E665">
                  <w:pPr>
                    <w:pStyle w:val="29"/>
                    <w:rPr>
                      <w:rFonts w:hint="default"/>
                      <w:color w:val="auto"/>
                    </w:rPr>
                  </w:pPr>
                  <w:r>
                    <w:rPr>
                      <w:rFonts w:hint="default"/>
                      <w:color w:val="auto"/>
                    </w:rPr>
                    <w:t>年平均质量浓度</w:t>
                  </w:r>
                </w:p>
              </w:tc>
              <w:tc>
                <w:tcPr>
                  <w:tcW w:w="703" w:type="pct"/>
                  <w:shd w:val="clear" w:color="auto" w:fill="auto"/>
                  <w:vAlign w:val="center"/>
                </w:tcPr>
                <w:p w14:paraId="66DD38E6">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21.99</w:t>
                  </w:r>
                </w:p>
              </w:tc>
              <w:tc>
                <w:tcPr>
                  <w:tcW w:w="1091" w:type="pct"/>
                  <w:vAlign w:val="center"/>
                </w:tcPr>
                <w:p w14:paraId="09C794AC">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35</w:t>
                  </w:r>
                </w:p>
              </w:tc>
              <w:tc>
                <w:tcPr>
                  <w:tcW w:w="700" w:type="pct"/>
                  <w:shd w:val="clear" w:color="auto" w:fill="auto"/>
                  <w:vAlign w:val="center"/>
                </w:tcPr>
                <w:p w14:paraId="783CF0DF">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eastAsia" w:cs="Times New Roman" w:eastAsiaTheme="minorEastAsia"/>
                      <w:b w:val="0"/>
                      <w:bCs w:val="0"/>
                      <w:color w:val="auto"/>
                      <w:sz w:val="21"/>
                      <w:szCs w:val="21"/>
                      <w:lang w:val="en-US" w:eastAsia="zh-CN"/>
                    </w:rPr>
                    <w:t>62.83</w:t>
                  </w:r>
                </w:p>
              </w:tc>
              <w:tc>
                <w:tcPr>
                  <w:tcW w:w="405" w:type="pct"/>
                  <w:vAlign w:val="center"/>
                </w:tcPr>
                <w:p w14:paraId="782B95D3">
                  <w:pPr>
                    <w:pStyle w:val="29"/>
                    <w:rPr>
                      <w:rFonts w:hint="default"/>
                      <w:color w:val="auto"/>
                    </w:rPr>
                  </w:pPr>
                  <w:r>
                    <w:rPr>
                      <w:rFonts w:hint="default"/>
                      <w:color w:val="auto"/>
                    </w:rPr>
                    <w:t>达标</w:t>
                  </w:r>
                </w:p>
              </w:tc>
            </w:tr>
            <w:tr w14:paraId="019D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Merge w:val="continue"/>
                  <w:vAlign w:val="center"/>
                </w:tcPr>
                <w:p w14:paraId="63D9A43A">
                  <w:pPr>
                    <w:pStyle w:val="29"/>
                    <w:rPr>
                      <w:rFonts w:hint="default"/>
                      <w:color w:val="auto"/>
                    </w:rPr>
                  </w:pPr>
                </w:p>
              </w:tc>
              <w:tc>
                <w:tcPr>
                  <w:tcW w:w="1423" w:type="pct"/>
                  <w:vAlign w:val="center"/>
                </w:tcPr>
                <w:p w14:paraId="45A26F26">
                  <w:pPr>
                    <w:pStyle w:val="29"/>
                    <w:rPr>
                      <w:rFonts w:hint="default"/>
                      <w:color w:val="auto"/>
                    </w:rPr>
                  </w:pPr>
                  <w:r>
                    <w:rPr>
                      <w:rFonts w:hint="default"/>
                      <w:color w:val="auto"/>
                    </w:rPr>
                    <w:t>95%日平均质量浓度</w:t>
                  </w:r>
                </w:p>
              </w:tc>
              <w:tc>
                <w:tcPr>
                  <w:tcW w:w="703" w:type="pct"/>
                  <w:shd w:val="clear" w:color="auto" w:fill="auto"/>
                  <w:vAlign w:val="center"/>
                </w:tcPr>
                <w:p w14:paraId="754806D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eastAsiaTheme="minorEastAsia"/>
                      <w:b w:val="0"/>
                      <w:bCs w:val="0"/>
                      <w:color w:val="auto"/>
                      <w:sz w:val="21"/>
                      <w:szCs w:val="21"/>
                      <w:lang w:val="en-US" w:eastAsia="zh-CN"/>
                    </w:rPr>
                    <w:t>53</w:t>
                  </w:r>
                </w:p>
              </w:tc>
              <w:tc>
                <w:tcPr>
                  <w:tcW w:w="1091" w:type="pct"/>
                  <w:vAlign w:val="center"/>
                </w:tcPr>
                <w:p w14:paraId="5C0DBF75">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75</w:t>
                  </w:r>
                </w:p>
              </w:tc>
              <w:tc>
                <w:tcPr>
                  <w:tcW w:w="700" w:type="pct"/>
                  <w:shd w:val="clear" w:color="auto" w:fill="auto"/>
                  <w:vAlign w:val="center"/>
                </w:tcPr>
                <w:p w14:paraId="5638FE53">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eastAsia" w:cs="Times New Roman" w:eastAsiaTheme="minorEastAsia"/>
                      <w:b w:val="0"/>
                      <w:bCs w:val="0"/>
                      <w:color w:val="auto"/>
                      <w:sz w:val="21"/>
                      <w:szCs w:val="21"/>
                      <w:lang w:val="en-US" w:eastAsia="zh-CN"/>
                    </w:rPr>
                    <w:t>70.67</w:t>
                  </w:r>
                </w:p>
              </w:tc>
              <w:tc>
                <w:tcPr>
                  <w:tcW w:w="405" w:type="pct"/>
                  <w:vAlign w:val="center"/>
                </w:tcPr>
                <w:p w14:paraId="472077F3">
                  <w:pPr>
                    <w:pStyle w:val="29"/>
                    <w:rPr>
                      <w:rFonts w:hint="default"/>
                      <w:color w:val="auto"/>
                    </w:rPr>
                  </w:pPr>
                  <w:r>
                    <w:rPr>
                      <w:rFonts w:hint="default"/>
                      <w:color w:val="auto"/>
                    </w:rPr>
                    <w:t>达标</w:t>
                  </w:r>
                </w:p>
              </w:tc>
            </w:tr>
            <w:tr w14:paraId="70FC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Align w:val="center"/>
                </w:tcPr>
                <w:p w14:paraId="332CD794">
                  <w:pPr>
                    <w:pStyle w:val="29"/>
                    <w:rPr>
                      <w:rFonts w:hint="default"/>
                      <w:color w:val="auto"/>
                    </w:rPr>
                  </w:pPr>
                  <w:r>
                    <w:rPr>
                      <w:rFonts w:hint="default"/>
                      <w:color w:val="auto"/>
                    </w:rPr>
                    <w:t>CO</w:t>
                  </w:r>
                </w:p>
              </w:tc>
              <w:tc>
                <w:tcPr>
                  <w:tcW w:w="1423" w:type="pct"/>
                  <w:vAlign w:val="center"/>
                </w:tcPr>
                <w:p w14:paraId="753BF30F">
                  <w:pPr>
                    <w:pStyle w:val="29"/>
                    <w:rPr>
                      <w:rFonts w:hint="default"/>
                      <w:color w:val="auto"/>
                    </w:rPr>
                  </w:pPr>
                  <w:r>
                    <w:rPr>
                      <w:rFonts w:hint="default"/>
                      <w:color w:val="auto"/>
                    </w:rPr>
                    <w:t>95%日平均质量浓度</w:t>
                  </w:r>
                </w:p>
              </w:tc>
              <w:tc>
                <w:tcPr>
                  <w:tcW w:w="703" w:type="pct"/>
                  <w:vAlign w:val="center"/>
                </w:tcPr>
                <w:p w14:paraId="3C6ADE11">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b w:val="0"/>
                      <w:color w:val="auto"/>
                      <w:kern w:val="2"/>
                      <w:sz w:val="21"/>
                      <w:szCs w:val="21"/>
                      <w:highlight w:val="none"/>
                      <w:lang w:val="en-US" w:eastAsia="zh-CN" w:bidi="ar-SA"/>
                    </w:rPr>
                    <w:t>1.70</w:t>
                  </w:r>
                </w:p>
              </w:tc>
              <w:tc>
                <w:tcPr>
                  <w:tcW w:w="1091" w:type="pct"/>
                  <w:vAlign w:val="center"/>
                </w:tcPr>
                <w:p w14:paraId="262A509A">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eastAsia"/>
                      <w:color w:val="auto"/>
                      <w:highlight w:val="none"/>
                      <w:lang w:val="en-US" w:eastAsia="zh-CN"/>
                    </w:rPr>
                    <w:t>4</w:t>
                  </w:r>
                </w:p>
              </w:tc>
              <w:tc>
                <w:tcPr>
                  <w:tcW w:w="700" w:type="pct"/>
                  <w:shd w:val="clear" w:color="auto" w:fill="auto"/>
                  <w:vAlign w:val="center"/>
                </w:tcPr>
                <w:p w14:paraId="66DEE775">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cs="Times New Roman" w:eastAsiaTheme="minorEastAsia"/>
                      <w:b w:val="0"/>
                      <w:bCs w:val="0"/>
                      <w:color w:val="auto"/>
                      <w:sz w:val="21"/>
                      <w:szCs w:val="21"/>
                      <w:lang w:val="en-US" w:eastAsia="zh-CN"/>
                    </w:rPr>
                    <w:t>0.04</w:t>
                  </w:r>
                </w:p>
              </w:tc>
              <w:tc>
                <w:tcPr>
                  <w:tcW w:w="405" w:type="pct"/>
                  <w:vAlign w:val="center"/>
                </w:tcPr>
                <w:p w14:paraId="5AA8B7A3">
                  <w:pPr>
                    <w:pStyle w:val="29"/>
                    <w:rPr>
                      <w:rFonts w:hint="default"/>
                      <w:color w:val="auto"/>
                    </w:rPr>
                  </w:pPr>
                  <w:r>
                    <w:rPr>
                      <w:rFonts w:hint="default"/>
                      <w:color w:val="auto"/>
                    </w:rPr>
                    <w:t>达标</w:t>
                  </w:r>
                </w:p>
              </w:tc>
            </w:tr>
            <w:tr w14:paraId="6C4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pct"/>
                  <w:vAlign w:val="center"/>
                </w:tcPr>
                <w:p w14:paraId="5F57AE00">
                  <w:pPr>
                    <w:pStyle w:val="29"/>
                    <w:rPr>
                      <w:rFonts w:hint="default"/>
                      <w:color w:val="auto"/>
                    </w:rPr>
                  </w:pPr>
                  <w:r>
                    <w:rPr>
                      <w:rFonts w:hint="default"/>
                      <w:color w:val="auto"/>
                    </w:rPr>
                    <w:t>O</w:t>
                  </w:r>
                  <w:r>
                    <w:rPr>
                      <w:rFonts w:hint="default"/>
                      <w:color w:val="auto"/>
                      <w:vertAlign w:val="subscript"/>
                    </w:rPr>
                    <w:t>3</w:t>
                  </w:r>
                </w:p>
              </w:tc>
              <w:tc>
                <w:tcPr>
                  <w:tcW w:w="1423" w:type="pct"/>
                  <w:vAlign w:val="center"/>
                </w:tcPr>
                <w:p w14:paraId="52D50B6B">
                  <w:pPr>
                    <w:pStyle w:val="29"/>
                    <w:rPr>
                      <w:rFonts w:hint="default"/>
                      <w:color w:val="auto"/>
                    </w:rPr>
                  </w:pPr>
                  <w:r>
                    <w:rPr>
                      <w:rFonts w:hint="default"/>
                      <w:color w:val="auto"/>
                    </w:rPr>
                    <w:t>90%日最大8小时平均质量浓度</w:t>
                  </w:r>
                </w:p>
              </w:tc>
              <w:tc>
                <w:tcPr>
                  <w:tcW w:w="703" w:type="pct"/>
                  <w:vAlign w:val="center"/>
                </w:tcPr>
                <w:p w14:paraId="26B54B28">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b w:val="0"/>
                      <w:color w:val="auto"/>
                      <w:kern w:val="2"/>
                      <w:sz w:val="21"/>
                      <w:szCs w:val="21"/>
                      <w:highlight w:val="none"/>
                      <w:lang w:val="en-US" w:eastAsia="zh-CN" w:bidi="ar-SA"/>
                    </w:rPr>
                  </w:pPr>
                  <w:r>
                    <w:rPr>
                      <w:rFonts w:hint="eastAsia" w:cs="Times New Roman"/>
                      <w:b w:val="0"/>
                      <w:color w:val="auto"/>
                      <w:kern w:val="2"/>
                      <w:sz w:val="21"/>
                      <w:szCs w:val="21"/>
                      <w:highlight w:val="none"/>
                      <w:lang w:val="en-US" w:eastAsia="zh-CN" w:bidi="ar-SA"/>
                    </w:rPr>
                    <w:t>115</w:t>
                  </w:r>
                </w:p>
              </w:tc>
              <w:tc>
                <w:tcPr>
                  <w:tcW w:w="1091" w:type="pct"/>
                  <w:vAlign w:val="center"/>
                </w:tcPr>
                <w:p w14:paraId="29BA4282">
                  <w:pPr>
                    <w:pStyle w:val="29"/>
                    <w:ind w:firstLine="0" w:firstLineChars="0"/>
                    <w:rPr>
                      <w:rFonts w:hint="default" w:ascii="Times New Roman" w:hAnsi="Times New Roman" w:eastAsia="宋体" w:cs="Times New Roman"/>
                      <w:b w:val="0"/>
                      <w:color w:val="auto"/>
                      <w:kern w:val="2"/>
                      <w:sz w:val="21"/>
                      <w:szCs w:val="21"/>
                      <w:highlight w:val="none"/>
                      <w:lang w:val="en-US" w:eastAsia="zh-CN" w:bidi="ar-SA"/>
                    </w:rPr>
                  </w:pPr>
                  <w:r>
                    <w:rPr>
                      <w:rFonts w:hint="default"/>
                      <w:color w:val="auto"/>
                      <w:highlight w:val="none"/>
                    </w:rPr>
                    <w:t>160</w:t>
                  </w:r>
                </w:p>
              </w:tc>
              <w:tc>
                <w:tcPr>
                  <w:tcW w:w="700" w:type="pct"/>
                  <w:shd w:val="clear" w:color="auto" w:fill="auto"/>
                  <w:vAlign w:val="center"/>
                </w:tcPr>
                <w:p w14:paraId="324BA962">
                  <w:pPr>
                    <w:keepNext w:val="0"/>
                    <w:keepLines w:val="0"/>
                    <w:pageBreakBefore w:val="0"/>
                    <w:widowControl w:val="0"/>
                    <w:suppressLineNumbers w:val="0"/>
                    <w:kinsoku/>
                    <w:wordWrap/>
                    <w:overflowPunct/>
                    <w:topLinePunct/>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eastAsiaTheme="minorEastAsia"/>
                      <w:b w:val="0"/>
                      <w:bCs w:val="0"/>
                      <w:color w:val="auto"/>
                      <w:kern w:val="2"/>
                      <w:sz w:val="21"/>
                      <w:szCs w:val="21"/>
                      <w:lang w:val="en-US" w:eastAsia="zh-CN" w:bidi="ar-SA"/>
                    </w:rPr>
                  </w:pPr>
                  <w:r>
                    <w:rPr>
                      <w:rFonts w:hint="default" w:ascii="Times New Roman" w:hAnsi="Times New Roman" w:cs="Times New Roman" w:eastAsiaTheme="minorEastAsia"/>
                      <w:b w:val="0"/>
                      <w:bCs w:val="0"/>
                      <w:color w:val="auto"/>
                      <w:sz w:val="21"/>
                      <w:szCs w:val="21"/>
                      <w:lang w:val="en-US" w:eastAsia="zh-CN"/>
                    </w:rPr>
                    <w:t>71.88</w:t>
                  </w:r>
                </w:p>
              </w:tc>
              <w:tc>
                <w:tcPr>
                  <w:tcW w:w="405" w:type="pct"/>
                  <w:vAlign w:val="center"/>
                </w:tcPr>
                <w:p w14:paraId="18606222">
                  <w:pPr>
                    <w:pStyle w:val="29"/>
                    <w:rPr>
                      <w:rFonts w:hint="default"/>
                      <w:color w:val="auto"/>
                    </w:rPr>
                  </w:pPr>
                  <w:r>
                    <w:rPr>
                      <w:rFonts w:hint="default"/>
                      <w:color w:val="auto"/>
                    </w:rPr>
                    <w:t>达标</w:t>
                  </w:r>
                </w:p>
              </w:tc>
            </w:tr>
          </w:tbl>
          <w:p w14:paraId="4165C9EF">
            <w:pPr>
              <w:ind w:firstLine="480"/>
              <w:rPr>
                <w:color w:val="auto"/>
              </w:rPr>
            </w:pPr>
            <w:r>
              <w:rPr>
                <w:color w:val="auto"/>
              </w:rPr>
              <w:t>根据</w:t>
            </w:r>
            <w:r>
              <w:rPr>
                <w:rFonts w:hint="eastAsia"/>
                <w:color w:val="auto"/>
              </w:rPr>
              <w:t>202</w:t>
            </w:r>
            <w:r>
              <w:rPr>
                <w:rFonts w:hint="eastAsia"/>
                <w:color w:val="auto"/>
                <w:lang w:val="en-US" w:eastAsia="zh-CN"/>
              </w:rPr>
              <w:t>5</w:t>
            </w:r>
            <w:r>
              <w:rPr>
                <w:color w:val="auto"/>
              </w:rPr>
              <w:t>年</w:t>
            </w:r>
            <w:r>
              <w:rPr>
                <w:rFonts w:hint="eastAsia"/>
                <w:color w:val="auto"/>
              </w:rPr>
              <w:t>红塔区（北城）环境空气质量自动监测站</w:t>
            </w:r>
            <w:r>
              <w:rPr>
                <w:rFonts w:hint="eastAsia"/>
                <w:color w:val="auto"/>
                <w:lang w:val="en-US" w:eastAsia="zh-CN"/>
              </w:rPr>
              <w:t>监测数据</w:t>
            </w:r>
            <w:r>
              <w:rPr>
                <w:color w:val="auto"/>
              </w:rPr>
              <w:t>可知，SO</w:t>
            </w:r>
            <w:r>
              <w:rPr>
                <w:color w:val="auto"/>
                <w:vertAlign w:val="subscript"/>
              </w:rPr>
              <w:t>2</w:t>
            </w:r>
            <w:r>
              <w:rPr>
                <w:color w:val="auto"/>
              </w:rPr>
              <w:t>、NO</w:t>
            </w:r>
            <w:r>
              <w:rPr>
                <w:color w:val="auto"/>
                <w:vertAlign w:val="subscript"/>
              </w:rPr>
              <w:t>2</w:t>
            </w:r>
            <w:r>
              <w:rPr>
                <w:color w:val="auto"/>
              </w:rPr>
              <w:t>、PM</w:t>
            </w:r>
            <w:r>
              <w:rPr>
                <w:color w:val="auto"/>
                <w:vertAlign w:val="subscript"/>
              </w:rPr>
              <w:t>10</w:t>
            </w:r>
            <w:r>
              <w:rPr>
                <w:color w:val="auto"/>
              </w:rPr>
              <w:t>、PM</w:t>
            </w:r>
            <w:r>
              <w:rPr>
                <w:color w:val="auto"/>
                <w:vertAlign w:val="subscript"/>
              </w:rPr>
              <w:t>2.5</w:t>
            </w:r>
            <w:r>
              <w:rPr>
                <w:color w:val="auto"/>
              </w:rPr>
              <w:t>、O</w:t>
            </w:r>
            <w:r>
              <w:rPr>
                <w:color w:val="auto"/>
                <w:vertAlign w:val="subscript"/>
              </w:rPr>
              <w:t>3</w:t>
            </w:r>
            <w:r>
              <w:rPr>
                <w:color w:val="auto"/>
              </w:rPr>
              <w:t>、CO六项污染物</w:t>
            </w:r>
            <w:r>
              <w:rPr>
                <w:rFonts w:hint="eastAsia"/>
                <w:color w:val="auto"/>
              </w:rPr>
              <w:t>均</w:t>
            </w:r>
            <w:r>
              <w:rPr>
                <w:color w:val="auto"/>
              </w:rPr>
              <w:t>满足《环境空气质量标准》（GB3095－2012）二级标准</w:t>
            </w:r>
            <w:r>
              <w:rPr>
                <w:rFonts w:hint="eastAsia"/>
                <w:color w:val="auto"/>
              </w:rPr>
              <w:t>和《环境空气质量标准》（GB3095-2026）中的二级标准（过渡阶段）要求，项目所在区域为达标区</w:t>
            </w:r>
            <w:r>
              <w:rPr>
                <w:color w:val="auto"/>
              </w:rPr>
              <w:t>。</w:t>
            </w:r>
          </w:p>
          <w:p w14:paraId="551FBE4D">
            <w:pPr>
              <w:ind w:firstLine="480"/>
              <w:rPr>
                <w:rFonts w:hint="eastAsia"/>
                <w:b/>
                <w:bCs/>
                <w:color w:val="auto"/>
                <w:lang w:eastAsia="zh-CN"/>
              </w:rPr>
            </w:pPr>
            <w:r>
              <w:rPr>
                <w:rFonts w:hint="eastAsia"/>
                <w:b/>
                <w:bCs/>
                <w:color w:val="auto"/>
                <w:lang w:eastAsia="zh-CN"/>
              </w:rPr>
              <w:t>（</w:t>
            </w:r>
            <w:r>
              <w:rPr>
                <w:rFonts w:hint="eastAsia"/>
                <w:b/>
                <w:bCs/>
                <w:color w:val="auto"/>
                <w:lang w:val="en-US" w:eastAsia="zh-CN"/>
              </w:rPr>
              <w:t>3</w:t>
            </w:r>
            <w:r>
              <w:rPr>
                <w:rFonts w:hint="eastAsia"/>
                <w:b/>
                <w:bCs/>
                <w:color w:val="auto"/>
                <w:lang w:eastAsia="zh-CN"/>
              </w:rPr>
              <w:t>）特征污染物环境质量现状</w:t>
            </w:r>
          </w:p>
          <w:p w14:paraId="07A74976">
            <w:pPr>
              <w:bidi w:val="0"/>
              <w:rPr>
                <w:rFonts w:hint="eastAsia"/>
                <w:color w:val="auto"/>
                <w:lang w:eastAsia="zh-CN"/>
              </w:rPr>
            </w:pPr>
            <w:r>
              <w:rPr>
                <w:rFonts w:hint="eastAsia"/>
                <w:color w:val="auto"/>
                <w:lang w:eastAsia="zh-CN"/>
              </w:rPr>
              <w:t>根据建设单位提供原辅料及生产过程中产生的污染因子可知，本项目涉及的有关环境质量标准的评价因子为：</w:t>
            </w:r>
            <w:r>
              <w:rPr>
                <w:rFonts w:hint="eastAsia"/>
                <w:color w:val="auto"/>
                <w:lang w:val="en-US" w:eastAsia="zh-CN"/>
              </w:rPr>
              <w:t>TSP、</w:t>
            </w:r>
            <w:r>
              <w:rPr>
                <w:rFonts w:hint="eastAsia"/>
                <w:color w:val="auto"/>
                <w:lang w:eastAsia="zh-CN"/>
              </w:rPr>
              <w:t>非甲烷总烃</w:t>
            </w:r>
            <w:r>
              <w:rPr>
                <w:rFonts w:hint="eastAsia"/>
                <w:color w:val="auto"/>
                <w:lang w:val="en-US" w:eastAsia="zh-CN"/>
              </w:rPr>
              <w:t>和臭气浓度</w:t>
            </w:r>
            <w:r>
              <w:rPr>
                <w:rFonts w:hint="eastAsia"/>
                <w:color w:val="auto"/>
                <w:lang w:eastAsia="zh-CN"/>
              </w:rPr>
              <w:t>。为充分了解项目区域</w:t>
            </w:r>
            <w:r>
              <w:rPr>
                <w:rFonts w:hint="eastAsia"/>
                <w:color w:val="auto"/>
                <w:lang w:val="en-US" w:eastAsia="zh-CN"/>
              </w:rPr>
              <w:t>TSP、NMHC、臭气浓度</w:t>
            </w:r>
            <w:r>
              <w:rPr>
                <w:rFonts w:hint="eastAsia"/>
                <w:color w:val="auto"/>
                <w:lang w:eastAsia="zh-CN"/>
              </w:rPr>
              <w:t>环境质量现状，本次</w:t>
            </w:r>
            <w:r>
              <w:rPr>
                <w:rFonts w:hint="eastAsia"/>
                <w:color w:val="auto"/>
                <w:lang w:val="en-US" w:eastAsia="zh-CN"/>
              </w:rPr>
              <w:t>TSP</w:t>
            </w:r>
            <w:r>
              <w:rPr>
                <w:rFonts w:hint="eastAsia"/>
                <w:color w:val="auto"/>
                <w:lang w:eastAsia="zh-CN"/>
              </w:rPr>
              <w:t>评价引用</w:t>
            </w:r>
            <w:r>
              <w:rPr>
                <w:rFonts w:hint="eastAsia"/>
                <w:color w:val="auto"/>
                <w:lang w:val="en-US" w:eastAsia="zh-CN"/>
              </w:rPr>
              <w:t>云南前列电缆有限公司《高端船用与海洋工程装备特种电缆智能更新改造项目环境影响报告表》的现状监测数据，该监测点位于项目西南侧4.01km，监测时间为2025年12月21日-12月24日，引用的检测数据时限及距离均符合指南要求。</w:t>
            </w:r>
          </w:p>
          <w:p w14:paraId="1B6EA93F">
            <w:pPr>
              <w:bidi w:val="0"/>
              <w:rPr>
                <w:rFonts w:hint="eastAsia"/>
                <w:color w:val="auto"/>
                <w:lang w:val="en-US" w:eastAsia="zh-CN"/>
              </w:rPr>
            </w:pPr>
            <w:r>
              <w:rPr>
                <w:rFonts w:hint="eastAsia"/>
                <w:color w:val="auto"/>
                <w:lang w:eastAsia="zh-CN"/>
              </w:rPr>
              <w:t>监测时间：</w:t>
            </w:r>
            <w:r>
              <w:rPr>
                <w:rFonts w:hint="eastAsia"/>
                <w:color w:val="auto"/>
                <w:lang w:val="en-US" w:eastAsia="zh-CN"/>
              </w:rPr>
              <w:t>2025年12月21日~12月24日；</w:t>
            </w:r>
          </w:p>
          <w:p w14:paraId="4B66C320">
            <w:pPr>
              <w:bidi w:val="0"/>
              <w:rPr>
                <w:rFonts w:hint="eastAsia" w:ascii="Times New Roman" w:hAnsi="Times New Roman" w:cs="Times New Roman"/>
                <w:color w:val="auto"/>
                <w:lang w:val="en-US" w:eastAsia="zh-CN"/>
              </w:rPr>
            </w:pPr>
            <w:r>
              <w:rPr>
                <w:rFonts w:hint="eastAsia"/>
                <w:color w:val="auto"/>
                <w:lang w:val="en-US" w:eastAsia="zh-CN"/>
              </w:rPr>
              <w:t>监测点：云南前列电缆有限公司</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距离本项目</w:t>
            </w:r>
            <w:r>
              <w:rPr>
                <w:rFonts w:hint="eastAsia" w:cs="Times New Roman"/>
                <w:color w:val="auto"/>
                <w:lang w:val="en-US" w:eastAsia="zh-CN"/>
              </w:rPr>
              <w:t>西南</w:t>
            </w:r>
            <w:r>
              <w:rPr>
                <w:rFonts w:hint="eastAsia" w:ascii="Times New Roman" w:hAnsi="Times New Roman" w:cs="Times New Roman"/>
                <w:color w:val="auto"/>
                <w:lang w:val="en-US" w:eastAsia="zh-CN"/>
              </w:rPr>
              <w:t>面</w:t>
            </w:r>
            <w:r>
              <w:rPr>
                <w:rFonts w:hint="eastAsia" w:cs="Times New Roman"/>
                <w:color w:val="auto"/>
                <w:lang w:val="en-US" w:eastAsia="zh-CN"/>
              </w:rPr>
              <w:t>最近距离约4.01k</w:t>
            </w:r>
            <w:r>
              <w:rPr>
                <w:rFonts w:hint="eastAsia" w:ascii="Times New Roman" w:hAnsi="Times New Roman" w:cs="Times New Roman"/>
                <w:color w:val="auto"/>
                <w:lang w:val="en-US" w:eastAsia="zh-CN"/>
              </w:rPr>
              <w:t>m；</w:t>
            </w:r>
          </w:p>
          <w:p w14:paraId="505F96E3">
            <w:pPr>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监测因子：TSP；</w:t>
            </w:r>
          </w:p>
          <w:p w14:paraId="1E11398E">
            <w:pPr>
              <w:bidi w:val="0"/>
              <w:rPr>
                <w:rFonts w:hint="default"/>
                <w:color w:val="auto"/>
                <w:lang w:val="en-US" w:eastAsia="zh-CN"/>
              </w:rPr>
            </w:pPr>
            <w:r>
              <w:rPr>
                <w:rFonts w:hint="eastAsia"/>
                <w:color w:val="auto"/>
                <w:lang w:val="en-US" w:eastAsia="zh-CN"/>
              </w:rPr>
              <w:t>本项目与引用监测点位位置关系详见下图。</w:t>
            </w:r>
          </w:p>
          <w:p w14:paraId="099C4441">
            <w:pPr>
              <w:ind w:left="0" w:leftChars="0" w:firstLine="0" w:firstLineChars="0"/>
              <w:jc w:val="center"/>
              <w:rPr>
                <w:rStyle w:val="42"/>
                <w:rFonts w:hint="eastAsia"/>
                <w:color w:val="auto"/>
                <w:lang w:val="en-US" w:eastAsia="zh-CN"/>
              </w:rPr>
            </w:pPr>
            <w:r>
              <w:rPr>
                <w:rFonts w:hint="eastAsia" w:eastAsia="宋体"/>
                <w:b/>
                <w:bCs/>
                <w:color w:val="auto"/>
                <w:lang w:eastAsia="zh-CN"/>
              </w:rPr>
              <w:drawing>
                <wp:anchor distT="0" distB="0" distL="114300" distR="114300" simplePos="0" relativeHeight="251664384" behindDoc="0" locked="0" layoutInCell="1" allowOverlap="1">
                  <wp:simplePos x="0" y="0"/>
                  <wp:positionH relativeFrom="column">
                    <wp:posOffset>4305935</wp:posOffset>
                  </wp:positionH>
                  <wp:positionV relativeFrom="paragraph">
                    <wp:posOffset>50165</wp:posOffset>
                  </wp:positionV>
                  <wp:extent cx="652780" cy="823595"/>
                  <wp:effectExtent l="9525" t="9525" r="23495" b="24130"/>
                  <wp:wrapNone/>
                  <wp:docPr id="15" name="图片 15"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玉溪风玫瑰"/>
                          <pic:cNvPicPr>
                            <a:picLocks noChangeAspect="1"/>
                          </pic:cNvPicPr>
                        </pic:nvPicPr>
                        <pic:blipFill>
                          <a:blip r:embed="rId20"/>
                          <a:stretch>
                            <a:fillRect/>
                          </a:stretch>
                        </pic:blipFill>
                        <pic:spPr>
                          <a:xfrm>
                            <a:off x="0" y="0"/>
                            <a:ext cx="652780" cy="823595"/>
                          </a:xfrm>
                          <a:prstGeom prst="rect">
                            <a:avLst/>
                          </a:prstGeom>
                          <a:ln>
                            <a:solidFill>
                              <a:schemeClr val="tx1"/>
                            </a:solidFill>
                          </a:ln>
                        </pic:spPr>
                      </pic:pic>
                    </a:graphicData>
                  </a:graphic>
                </wp:anchor>
              </w:drawing>
            </w:r>
            <w:r>
              <w:rPr>
                <w:rStyle w:val="42"/>
                <w:rFonts w:hint="eastAsia"/>
                <w:color w:val="auto"/>
                <w:lang w:val="en-US" w:eastAsia="zh-CN"/>
              </w:rPr>
              <w:drawing>
                <wp:inline distT="0" distB="0" distL="114300" distR="114300">
                  <wp:extent cx="4989830" cy="3659505"/>
                  <wp:effectExtent l="0" t="0" r="1270" b="17145"/>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21"/>
                          <a:stretch>
                            <a:fillRect/>
                          </a:stretch>
                        </pic:blipFill>
                        <pic:spPr>
                          <a:xfrm>
                            <a:off x="0" y="0"/>
                            <a:ext cx="4989830" cy="3659505"/>
                          </a:xfrm>
                          <a:prstGeom prst="rect">
                            <a:avLst/>
                          </a:prstGeom>
                          <a:noFill/>
                          <a:ln>
                            <a:noFill/>
                          </a:ln>
                        </pic:spPr>
                      </pic:pic>
                    </a:graphicData>
                  </a:graphic>
                </wp:inline>
              </w:drawing>
            </w:r>
          </w:p>
          <w:p w14:paraId="158FB73E">
            <w:pPr>
              <w:ind w:left="0" w:leftChars="0" w:firstLine="0" w:firstLineChars="0"/>
              <w:jc w:val="center"/>
              <w:rPr>
                <w:rStyle w:val="42"/>
                <w:rFonts w:hint="eastAsia"/>
                <w:color w:val="auto"/>
                <w:lang w:val="en-US" w:eastAsia="zh-CN"/>
              </w:rPr>
            </w:pPr>
            <w:r>
              <w:rPr>
                <w:rStyle w:val="42"/>
                <w:rFonts w:hint="eastAsia"/>
                <w:color w:val="auto"/>
                <w:lang w:val="en-US" w:eastAsia="zh-CN"/>
              </w:rPr>
              <w:t>图3-1 项目与TSP引用监测点位位置关系示意图</w:t>
            </w:r>
          </w:p>
          <w:p w14:paraId="05628BC9">
            <w:pPr>
              <w:bidi w:val="0"/>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检测结果详见下表：</w:t>
            </w:r>
          </w:p>
          <w:p w14:paraId="25A0247B">
            <w:pPr>
              <w:pStyle w:val="30"/>
              <w:bidi w:val="0"/>
              <w:rPr>
                <w:rFonts w:hint="default"/>
                <w:color w:val="auto"/>
                <w:lang w:val="en-US" w:eastAsia="zh-CN"/>
              </w:rPr>
            </w:pPr>
            <w:r>
              <w:rPr>
                <w:rFonts w:hint="default"/>
                <w:color w:val="auto"/>
                <w:lang w:val="en-US" w:eastAsia="zh-CN"/>
              </w:rPr>
              <w:t>表3-3  引用</w:t>
            </w:r>
            <w:r>
              <w:rPr>
                <w:rFonts w:hint="eastAsia"/>
                <w:color w:val="auto"/>
                <w:lang w:val="en-US" w:eastAsia="zh-CN"/>
              </w:rPr>
              <w:t>TSP</w:t>
            </w:r>
            <w:r>
              <w:rPr>
                <w:rFonts w:hint="default"/>
                <w:color w:val="auto"/>
                <w:lang w:val="en-US" w:eastAsia="zh-CN"/>
              </w:rPr>
              <w:t>现状监测检测结果一览表</w:t>
            </w:r>
            <w:r>
              <w:rPr>
                <w:rFonts w:hint="eastAsia"/>
                <w:color w:val="auto"/>
                <w:lang w:val="en-US" w:eastAsia="zh-CN"/>
              </w:rPr>
              <w:t xml:space="preserve"> 单位：</w:t>
            </w:r>
            <w:r>
              <w:rPr>
                <w:rFonts w:hint="eastAsia" w:eastAsia="宋体" w:cs="Times New Roman"/>
                <w:b/>
                <w:bCs/>
                <w:color w:val="auto"/>
                <w:sz w:val="21"/>
                <w:szCs w:val="21"/>
                <w:lang w:val="en-US" w:eastAsia="zh-CN"/>
              </w:rPr>
              <w:t>m</w:t>
            </w:r>
            <w:r>
              <w:rPr>
                <w:rFonts w:hint="default" w:ascii="Times New Roman" w:hAnsi="Times New Roman" w:eastAsia="宋体" w:cs="Times New Roman"/>
                <w:b/>
                <w:bCs/>
                <w:color w:val="auto"/>
                <w:sz w:val="21"/>
                <w:szCs w:val="21"/>
              </w:rPr>
              <w:t>g/m</w:t>
            </w:r>
            <w:r>
              <w:rPr>
                <w:rFonts w:hint="default" w:ascii="Times New Roman" w:hAnsi="Times New Roman" w:eastAsia="宋体" w:cs="Times New Roman"/>
                <w:b/>
                <w:bCs/>
                <w:color w:val="auto"/>
                <w:sz w:val="21"/>
                <w:szCs w:val="21"/>
                <w:vertAlign w:val="superscript"/>
              </w:rPr>
              <w:t>3</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561"/>
              <w:gridCol w:w="1081"/>
              <w:gridCol w:w="1065"/>
              <w:gridCol w:w="1046"/>
              <w:gridCol w:w="1081"/>
              <w:gridCol w:w="601"/>
              <w:gridCol w:w="499"/>
            </w:tblGrid>
            <w:tr w14:paraId="467F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577" w:type="pct"/>
                  <w:vAlign w:val="center"/>
                </w:tcPr>
                <w:p w14:paraId="671080A8">
                  <w:pPr>
                    <w:pStyle w:val="29"/>
                    <w:bidi w:val="0"/>
                    <w:rPr>
                      <w:rFonts w:hint="default"/>
                      <w:color w:val="auto"/>
                      <w:lang w:val="en-US" w:eastAsia="zh-CN"/>
                    </w:rPr>
                  </w:pPr>
                  <w:r>
                    <w:rPr>
                      <w:rFonts w:hint="eastAsia"/>
                      <w:color w:val="auto"/>
                      <w:lang w:val="en-US" w:eastAsia="zh-CN"/>
                    </w:rPr>
                    <w:t>监测点位</w:t>
                  </w:r>
                </w:p>
              </w:tc>
              <w:tc>
                <w:tcPr>
                  <w:tcW w:w="995" w:type="pct"/>
                  <w:vAlign w:val="center"/>
                </w:tcPr>
                <w:p w14:paraId="33B888D0">
                  <w:pPr>
                    <w:pStyle w:val="29"/>
                    <w:bidi w:val="0"/>
                    <w:rPr>
                      <w:rFonts w:hint="default"/>
                      <w:color w:val="auto"/>
                      <w:lang w:val="en-US" w:eastAsia="zh-CN"/>
                    </w:rPr>
                  </w:pPr>
                  <w:r>
                    <w:rPr>
                      <w:rFonts w:hint="eastAsia"/>
                      <w:color w:val="auto"/>
                      <w:lang w:val="en-US" w:eastAsia="zh-CN"/>
                    </w:rPr>
                    <w:t>监测时间</w:t>
                  </w:r>
                </w:p>
              </w:tc>
              <w:tc>
                <w:tcPr>
                  <w:tcW w:w="689" w:type="pct"/>
                  <w:vAlign w:val="center"/>
                </w:tcPr>
                <w:p w14:paraId="57E2ED7C">
                  <w:pPr>
                    <w:pStyle w:val="29"/>
                    <w:bidi w:val="0"/>
                    <w:rPr>
                      <w:rFonts w:hint="default"/>
                      <w:color w:val="auto"/>
                      <w:lang w:val="en-US" w:eastAsia="zh-CN"/>
                    </w:rPr>
                  </w:pPr>
                  <w:r>
                    <w:rPr>
                      <w:rFonts w:hint="eastAsia"/>
                      <w:color w:val="auto"/>
                      <w:lang w:val="en-US" w:eastAsia="zh-CN"/>
                    </w:rPr>
                    <w:t>污染物</w:t>
                  </w:r>
                </w:p>
              </w:tc>
              <w:tc>
                <w:tcPr>
                  <w:tcW w:w="679" w:type="pct"/>
                  <w:vAlign w:val="center"/>
                </w:tcPr>
                <w:p w14:paraId="2CD4AAA4">
                  <w:pPr>
                    <w:pStyle w:val="29"/>
                    <w:bidi w:val="0"/>
                    <w:rPr>
                      <w:rFonts w:hint="default"/>
                      <w:color w:val="auto"/>
                      <w:lang w:val="en-US" w:eastAsia="zh-CN"/>
                    </w:rPr>
                  </w:pPr>
                  <w:r>
                    <w:rPr>
                      <w:rFonts w:hint="default"/>
                      <w:color w:val="auto"/>
                      <w:lang w:val="en-US" w:eastAsia="zh-CN"/>
                    </w:rPr>
                    <w:t>标准值</w:t>
                  </w:r>
                </w:p>
              </w:tc>
              <w:tc>
                <w:tcPr>
                  <w:tcW w:w="667" w:type="pct"/>
                  <w:vAlign w:val="center"/>
                </w:tcPr>
                <w:p w14:paraId="7424E243">
                  <w:pPr>
                    <w:pStyle w:val="29"/>
                    <w:bidi w:val="0"/>
                    <w:rPr>
                      <w:rFonts w:hint="default"/>
                      <w:color w:val="auto"/>
                      <w:lang w:val="en-US" w:eastAsia="zh-CN"/>
                    </w:rPr>
                  </w:pPr>
                  <w:r>
                    <w:rPr>
                      <w:rFonts w:hint="eastAsia"/>
                      <w:color w:val="auto"/>
                      <w:lang w:val="en-US" w:eastAsia="zh-CN"/>
                    </w:rPr>
                    <w:t>检测值</w:t>
                  </w:r>
                </w:p>
              </w:tc>
              <w:tc>
                <w:tcPr>
                  <w:tcW w:w="689" w:type="pct"/>
                  <w:vAlign w:val="center"/>
                </w:tcPr>
                <w:p w14:paraId="3B289F6D">
                  <w:pPr>
                    <w:pStyle w:val="29"/>
                    <w:bidi w:val="0"/>
                    <w:rPr>
                      <w:rFonts w:hint="default"/>
                      <w:color w:val="auto"/>
                      <w:lang w:val="en-US" w:eastAsia="zh-CN"/>
                    </w:rPr>
                  </w:pPr>
                  <w:r>
                    <w:rPr>
                      <w:rFonts w:hint="default"/>
                      <w:color w:val="auto"/>
                      <w:lang w:val="en-US" w:eastAsia="zh-CN"/>
                    </w:rPr>
                    <w:t>最大浓度占标率%</w:t>
                  </w:r>
                </w:p>
              </w:tc>
              <w:tc>
                <w:tcPr>
                  <w:tcW w:w="383" w:type="pct"/>
                  <w:vAlign w:val="center"/>
                </w:tcPr>
                <w:p w14:paraId="1DBE4CBE">
                  <w:pPr>
                    <w:pStyle w:val="29"/>
                    <w:bidi w:val="0"/>
                    <w:rPr>
                      <w:rFonts w:hint="default"/>
                      <w:color w:val="auto"/>
                      <w:lang w:val="en-US" w:eastAsia="zh-CN"/>
                    </w:rPr>
                  </w:pPr>
                  <w:r>
                    <w:rPr>
                      <w:rFonts w:hint="default"/>
                      <w:color w:val="auto"/>
                      <w:lang w:val="en-US" w:eastAsia="zh-CN"/>
                    </w:rPr>
                    <w:t>超标</w:t>
                  </w:r>
                </w:p>
                <w:p w14:paraId="6A0AA764">
                  <w:pPr>
                    <w:pStyle w:val="29"/>
                    <w:bidi w:val="0"/>
                    <w:jc w:val="both"/>
                    <w:rPr>
                      <w:rFonts w:hint="default"/>
                      <w:color w:val="auto"/>
                      <w:lang w:val="en-US" w:eastAsia="zh-CN"/>
                    </w:rPr>
                  </w:pPr>
                  <w:r>
                    <w:rPr>
                      <w:rFonts w:hint="default"/>
                      <w:color w:val="auto"/>
                      <w:lang w:val="en-US" w:eastAsia="zh-CN"/>
                    </w:rPr>
                    <w:t>率%</w:t>
                  </w:r>
                </w:p>
              </w:tc>
              <w:tc>
                <w:tcPr>
                  <w:tcW w:w="318" w:type="pct"/>
                  <w:vAlign w:val="center"/>
                </w:tcPr>
                <w:p w14:paraId="27B5B298">
                  <w:pPr>
                    <w:pStyle w:val="29"/>
                    <w:bidi w:val="0"/>
                    <w:rPr>
                      <w:rFonts w:hint="default"/>
                      <w:color w:val="auto"/>
                      <w:lang w:val="en-US" w:eastAsia="zh-CN"/>
                    </w:rPr>
                  </w:pPr>
                  <w:r>
                    <w:rPr>
                      <w:rFonts w:hint="eastAsia"/>
                      <w:color w:val="auto"/>
                      <w:lang w:val="en-US" w:eastAsia="zh-CN"/>
                    </w:rPr>
                    <w:t>达标情况</w:t>
                  </w:r>
                </w:p>
              </w:tc>
            </w:tr>
            <w:tr w14:paraId="25FB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77" w:type="pct"/>
                  <w:vMerge w:val="restart"/>
                  <w:vAlign w:val="center"/>
                </w:tcPr>
                <w:p w14:paraId="3333CDD4">
                  <w:pPr>
                    <w:pStyle w:val="29"/>
                    <w:bidi w:val="0"/>
                    <w:rPr>
                      <w:rFonts w:hint="default"/>
                      <w:color w:val="auto"/>
                      <w:lang w:val="en-US" w:eastAsia="zh-CN"/>
                    </w:rPr>
                  </w:pPr>
                  <w:r>
                    <w:rPr>
                      <w:rFonts w:hint="default"/>
                      <w:color w:val="auto"/>
                      <w:lang w:val="en-US" w:eastAsia="zh-CN"/>
                    </w:rPr>
                    <w:t>云南前列电缆有限公司</w:t>
                  </w:r>
                </w:p>
              </w:tc>
              <w:tc>
                <w:tcPr>
                  <w:tcW w:w="995" w:type="pct"/>
                  <w:vAlign w:val="center"/>
                </w:tcPr>
                <w:p w14:paraId="272BA185">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default" w:ascii="Times New Roman" w:hAnsi="Times New Roman" w:eastAsia="宋体" w:cs="黑体"/>
                      <w:b w:val="0"/>
                      <w:color w:val="auto"/>
                      <w:kern w:val="2"/>
                      <w:sz w:val="21"/>
                      <w:szCs w:val="24"/>
                      <w:lang w:val="en-US" w:eastAsia="zh-CN" w:bidi="ar-SA"/>
                    </w:rPr>
                    <w:t>2025.12.23-24</w:t>
                  </w:r>
                </w:p>
              </w:tc>
              <w:tc>
                <w:tcPr>
                  <w:tcW w:w="689" w:type="pct"/>
                  <w:vAlign w:val="center"/>
                </w:tcPr>
                <w:p w14:paraId="6A7FFB00">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TSP</w:t>
                  </w:r>
                </w:p>
              </w:tc>
              <w:tc>
                <w:tcPr>
                  <w:tcW w:w="679" w:type="pct"/>
                  <w:vAlign w:val="center"/>
                </w:tcPr>
                <w:p w14:paraId="1DB895D0">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default" w:ascii="Times New Roman" w:hAnsi="Times New Roman" w:eastAsia="宋体" w:cs="黑体"/>
                      <w:b w:val="0"/>
                      <w:color w:val="auto"/>
                      <w:kern w:val="2"/>
                      <w:sz w:val="21"/>
                      <w:szCs w:val="24"/>
                      <w:lang w:val="en-US" w:eastAsia="zh-CN" w:bidi="ar-SA"/>
                    </w:rPr>
                    <w:t>0.3</w:t>
                  </w:r>
                </w:p>
              </w:tc>
              <w:tc>
                <w:tcPr>
                  <w:tcW w:w="667" w:type="pct"/>
                  <w:vAlign w:val="center"/>
                </w:tcPr>
                <w:p w14:paraId="5CA3861D">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0.198</w:t>
                  </w:r>
                </w:p>
              </w:tc>
              <w:tc>
                <w:tcPr>
                  <w:tcW w:w="689" w:type="pct"/>
                  <w:vAlign w:val="center"/>
                </w:tcPr>
                <w:p w14:paraId="3947D222">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66.00</w:t>
                  </w:r>
                </w:p>
              </w:tc>
              <w:tc>
                <w:tcPr>
                  <w:tcW w:w="383" w:type="pct"/>
                  <w:vAlign w:val="center"/>
                </w:tcPr>
                <w:p w14:paraId="58D45056">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0</w:t>
                  </w:r>
                </w:p>
              </w:tc>
              <w:tc>
                <w:tcPr>
                  <w:tcW w:w="318" w:type="pct"/>
                  <w:vAlign w:val="center"/>
                </w:tcPr>
                <w:p w14:paraId="46D23EB7">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达标</w:t>
                  </w:r>
                </w:p>
              </w:tc>
            </w:tr>
            <w:tr w14:paraId="2957A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77" w:type="pct"/>
                  <w:vMerge w:val="continue"/>
                  <w:vAlign w:val="center"/>
                </w:tcPr>
                <w:p w14:paraId="75B72378">
                  <w:pPr>
                    <w:pStyle w:val="29"/>
                    <w:bidi w:val="0"/>
                    <w:rPr>
                      <w:rFonts w:hint="default"/>
                      <w:color w:val="auto"/>
                      <w:lang w:val="en-US" w:eastAsia="zh-CN"/>
                    </w:rPr>
                  </w:pPr>
                </w:p>
              </w:tc>
              <w:tc>
                <w:tcPr>
                  <w:tcW w:w="995" w:type="pct"/>
                  <w:shd w:val="clear" w:color="auto" w:fill="auto"/>
                  <w:vAlign w:val="center"/>
                </w:tcPr>
                <w:p w14:paraId="08A082B7">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default" w:ascii="Times New Roman" w:hAnsi="Times New Roman" w:eastAsia="宋体" w:cs="黑体"/>
                      <w:b w:val="0"/>
                      <w:color w:val="auto"/>
                      <w:kern w:val="2"/>
                      <w:sz w:val="21"/>
                      <w:szCs w:val="24"/>
                      <w:lang w:val="en-US" w:eastAsia="zh-CN" w:bidi="ar-SA"/>
                    </w:rPr>
                    <w:t>2025.12.22-23</w:t>
                  </w:r>
                </w:p>
              </w:tc>
              <w:tc>
                <w:tcPr>
                  <w:tcW w:w="689" w:type="pct"/>
                  <w:vAlign w:val="center"/>
                </w:tcPr>
                <w:p w14:paraId="429A0371">
                  <w:pPr>
                    <w:pStyle w:val="29"/>
                    <w:ind w:firstLine="0" w:firstLineChars="0"/>
                    <w:rPr>
                      <w:rFonts w:hint="eastAsia" w:cs="黑体"/>
                      <w:b w:val="0"/>
                      <w:color w:val="auto"/>
                      <w:kern w:val="2"/>
                      <w:sz w:val="21"/>
                      <w:szCs w:val="24"/>
                      <w:lang w:val="en-US" w:eastAsia="zh-CN" w:bidi="ar-SA"/>
                    </w:rPr>
                  </w:pPr>
                  <w:r>
                    <w:rPr>
                      <w:rFonts w:hint="eastAsia" w:cs="黑体"/>
                      <w:b w:val="0"/>
                      <w:color w:val="auto"/>
                      <w:kern w:val="2"/>
                      <w:sz w:val="21"/>
                      <w:szCs w:val="24"/>
                      <w:lang w:val="en-US" w:eastAsia="zh-CN" w:bidi="ar-SA"/>
                    </w:rPr>
                    <w:t>TSP</w:t>
                  </w:r>
                </w:p>
              </w:tc>
              <w:tc>
                <w:tcPr>
                  <w:tcW w:w="679" w:type="pct"/>
                  <w:vAlign w:val="center"/>
                </w:tcPr>
                <w:p w14:paraId="047BFF73">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0.3</w:t>
                  </w:r>
                </w:p>
              </w:tc>
              <w:tc>
                <w:tcPr>
                  <w:tcW w:w="667" w:type="pct"/>
                  <w:vAlign w:val="center"/>
                </w:tcPr>
                <w:p w14:paraId="5F69194C">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0.169</w:t>
                  </w:r>
                </w:p>
              </w:tc>
              <w:tc>
                <w:tcPr>
                  <w:tcW w:w="689" w:type="pct"/>
                  <w:vAlign w:val="center"/>
                </w:tcPr>
                <w:p w14:paraId="193250B1">
                  <w:pPr>
                    <w:pStyle w:val="29"/>
                    <w:ind w:firstLine="0" w:firstLineChars="0"/>
                    <w:rPr>
                      <w:rFonts w:hint="default" w:cs="黑体"/>
                      <w:b w:val="0"/>
                      <w:color w:val="auto"/>
                      <w:kern w:val="2"/>
                      <w:sz w:val="21"/>
                      <w:szCs w:val="24"/>
                      <w:lang w:val="en-US" w:eastAsia="zh-CN" w:bidi="ar-SA"/>
                    </w:rPr>
                  </w:pPr>
                  <w:r>
                    <w:rPr>
                      <w:rFonts w:hint="eastAsia" w:cs="黑体"/>
                      <w:b w:val="0"/>
                      <w:color w:val="auto"/>
                      <w:kern w:val="2"/>
                      <w:sz w:val="21"/>
                      <w:szCs w:val="24"/>
                      <w:lang w:val="en-US" w:eastAsia="zh-CN" w:bidi="ar-SA"/>
                    </w:rPr>
                    <w:t>56.33</w:t>
                  </w:r>
                </w:p>
              </w:tc>
              <w:tc>
                <w:tcPr>
                  <w:tcW w:w="383" w:type="pct"/>
                  <w:vAlign w:val="center"/>
                </w:tcPr>
                <w:p w14:paraId="633FF43F">
                  <w:pPr>
                    <w:pStyle w:val="29"/>
                    <w:ind w:firstLine="0" w:firstLineChars="0"/>
                    <w:rPr>
                      <w:rFonts w:hint="default" w:cs="黑体"/>
                      <w:b w:val="0"/>
                      <w:color w:val="auto"/>
                      <w:kern w:val="2"/>
                      <w:sz w:val="21"/>
                      <w:szCs w:val="24"/>
                      <w:lang w:val="en-US" w:eastAsia="zh-CN" w:bidi="ar-SA"/>
                    </w:rPr>
                  </w:pPr>
                  <w:r>
                    <w:rPr>
                      <w:rFonts w:hint="eastAsia" w:cs="黑体"/>
                      <w:b w:val="0"/>
                      <w:color w:val="auto"/>
                      <w:kern w:val="2"/>
                      <w:sz w:val="21"/>
                      <w:szCs w:val="24"/>
                      <w:lang w:val="en-US" w:eastAsia="zh-CN" w:bidi="ar-SA"/>
                    </w:rPr>
                    <w:t>0</w:t>
                  </w:r>
                </w:p>
              </w:tc>
              <w:tc>
                <w:tcPr>
                  <w:tcW w:w="318" w:type="pct"/>
                  <w:vAlign w:val="center"/>
                </w:tcPr>
                <w:p w14:paraId="074BC0FD">
                  <w:pPr>
                    <w:pStyle w:val="29"/>
                    <w:ind w:firstLine="0" w:firstLineChars="0"/>
                    <w:rPr>
                      <w:rFonts w:hint="default" w:cs="黑体"/>
                      <w:b w:val="0"/>
                      <w:color w:val="auto"/>
                      <w:kern w:val="2"/>
                      <w:sz w:val="21"/>
                      <w:szCs w:val="24"/>
                      <w:lang w:val="en-US" w:eastAsia="zh-CN" w:bidi="ar-SA"/>
                    </w:rPr>
                  </w:pPr>
                  <w:r>
                    <w:rPr>
                      <w:rFonts w:hint="eastAsia" w:cs="黑体"/>
                      <w:b w:val="0"/>
                      <w:color w:val="auto"/>
                      <w:kern w:val="2"/>
                      <w:sz w:val="21"/>
                      <w:szCs w:val="24"/>
                      <w:lang w:val="en-US" w:eastAsia="zh-CN" w:bidi="ar-SA"/>
                    </w:rPr>
                    <w:t>达标</w:t>
                  </w:r>
                </w:p>
              </w:tc>
            </w:tr>
            <w:tr w14:paraId="2D63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77" w:type="pct"/>
                  <w:vMerge w:val="continue"/>
                  <w:vAlign w:val="center"/>
                </w:tcPr>
                <w:p w14:paraId="6200ACD4">
                  <w:pPr>
                    <w:pStyle w:val="29"/>
                    <w:bidi w:val="0"/>
                    <w:rPr>
                      <w:rFonts w:hint="eastAsia"/>
                      <w:color w:val="auto"/>
                      <w:lang w:val="en-US" w:eastAsia="zh-CN"/>
                    </w:rPr>
                  </w:pPr>
                </w:p>
              </w:tc>
              <w:tc>
                <w:tcPr>
                  <w:tcW w:w="995" w:type="pct"/>
                  <w:shd w:val="clear" w:color="auto" w:fill="auto"/>
                  <w:vAlign w:val="center"/>
                </w:tcPr>
                <w:p w14:paraId="576093D0">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default" w:ascii="Times New Roman" w:hAnsi="Times New Roman" w:eastAsia="宋体" w:cs="黑体"/>
                      <w:b w:val="0"/>
                      <w:color w:val="auto"/>
                      <w:kern w:val="2"/>
                      <w:sz w:val="21"/>
                      <w:szCs w:val="24"/>
                      <w:lang w:val="en-US" w:eastAsia="zh-CN" w:bidi="ar-SA"/>
                    </w:rPr>
                    <w:t>2025.12.23-24</w:t>
                  </w:r>
                </w:p>
              </w:tc>
              <w:tc>
                <w:tcPr>
                  <w:tcW w:w="689" w:type="pct"/>
                  <w:vAlign w:val="center"/>
                </w:tcPr>
                <w:p w14:paraId="44C33C00">
                  <w:pPr>
                    <w:pStyle w:val="29"/>
                    <w:ind w:firstLine="0" w:firstLineChars="0"/>
                    <w:rPr>
                      <w:rFonts w:hint="eastAsia" w:cs="黑体"/>
                      <w:b w:val="0"/>
                      <w:color w:val="auto"/>
                      <w:kern w:val="2"/>
                      <w:sz w:val="21"/>
                      <w:szCs w:val="24"/>
                      <w:lang w:val="en-US" w:eastAsia="zh-CN" w:bidi="ar-SA"/>
                    </w:rPr>
                  </w:pPr>
                  <w:r>
                    <w:rPr>
                      <w:rFonts w:hint="eastAsia" w:cs="黑体"/>
                      <w:b w:val="0"/>
                      <w:color w:val="auto"/>
                      <w:kern w:val="2"/>
                      <w:sz w:val="21"/>
                      <w:szCs w:val="24"/>
                      <w:lang w:val="en-US" w:eastAsia="zh-CN" w:bidi="ar-SA"/>
                    </w:rPr>
                    <w:t>TSP</w:t>
                  </w:r>
                </w:p>
              </w:tc>
              <w:tc>
                <w:tcPr>
                  <w:tcW w:w="679" w:type="pct"/>
                  <w:vAlign w:val="center"/>
                </w:tcPr>
                <w:p w14:paraId="2709CDC1">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0.3</w:t>
                  </w:r>
                </w:p>
              </w:tc>
              <w:tc>
                <w:tcPr>
                  <w:tcW w:w="667" w:type="pct"/>
                  <w:vAlign w:val="center"/>
                </w:tcPr>
                <w:p w14:paraId="7788163C">
                  <w:pPr>
                    <w:pStyle w:val="29"/>
                    <w:ind w:firstLine="0" w:firstLineChars="0"/>
                    <w:rPr>
                      <w:rFonts w:hint="default" w:ascii="Times New Roman" w:hAnsi="Times New Roman" w:eastAsia="宋体" w:cs="黑体"/>
                      <w:b w:val="0"/>
                      <w:color w:val="auto"/>
                      <w:kern w:val="2"/>
                      <w:sz w:val="21"/>
                      <w:szCs w:val="24"/>
                      <w:lang w:val="en-US" w:eastAsia="zh-CN" w:bidi="ar-SA"/>
                    </w:rPr>
                  </w:pPr>
                  <w:r>
                    <w:rPr>
                      <w:rFonts w:hint="eastAsia" w:cs="黑体"/>
                      <w:b w:val="0"/>
                      <w:color w:val="auto"/>
                      <w:kern w:val="2"/>
                      <w:sz w:val="21"/>
                      <w:szCs w:val="24"/>
                      <w:lang w:val="en-US" w:eastAsia="zh-CN" w:bidi="ar-SA"/>
                    </w:rPr>
                    <w:t>0.156</w:t>
                  </w:r>
                </w:p>
              </w:tc>
              <w:tc>
                <w:tcPr>
                  <w:tcW w:w="689" w:type="pct"/>
                  <w:vAlign w:val="center"/>
                </w:tcPr>
                <w:p w14:paraId="6FEA4BB1">
                  <w:pPr>
                    <w:pStyle w:val="29"/>
                    <w:ind w:firstLine="0" w:firstLineChars="0"/>
                    <w:rPr>
                      <w:rFonts w:hint="default" w:cs="黑体"/>
                      <w:b w:val="0"/>
                      <w:color w:val="auto"/>
                      <w:kern w:val="2"/>
                      <w:sz w:val="21"/>
                      <w:szCs w:val="24"/>
                      <w:lang w:val="en-US" w:eastAsia="zh-CN" w:bidi="ar-SA"/>
                    </w:rPr>
                  </w:pPr>
                  <w:r>
                    <w:rPr>
                      <w:rFonts w:hint="eastAsia" w:cs="黑体"/>
                      <w:b w:val="0"/>
                      <w:color w:val="auto"/>
                      <w:kern w:val="2"/>
                      <w:sz w:val="21"/>
                      <w:szCs w:val="24"/>
                      <w:lang w:val="en-US" w:eastAsia="zh-CN" w:bidi="ar-SA"/>
                    </w:rPr>
                    <w:t>52.00</w:t>
                  </w:r>
                </w:p>
              </w:tc>
              <w:tc>
                <w:tcPr>
                  <w:tcW w:w="383" w:type="pct"/>
                  <w:vAlign w:val="center"/>
                </w:tcPr>
                <w:p w14:paraId="36FED384">
                  <w:pPr>
                    <w:pStyle w:val="29"/>
                    <w:ind w:firstLine="0" w:firstLineChars="0"/>
                    <w:rPr>
                      <w:rFonts w:hint="default" w:cs="黑体"/>
                      <w:b w:val="0"/>
                      <w:color w:val="auto"/>
                      <w:kern w:val="2"/>
                      <w:sz w:val="21"/>
                      <w:szCs w:val="24"/>
                      <w:lang w:val="en-US" w:eastAsia="zh-CN" w:bidi="ar-SA"/>
                    </w:rPr>
                  </w:pPr>
                  <w:r>
                    <w:rPr>
                      <w:rFonts w:hint="eastAsia" w:cs="黑体"/>
                      <w:b w:val="0"/>
                      <w:color w:val="auto"/>
                      <w:kern w:val="2"/>
                      <w:sz w:val="21"/>
                      <w:szCs w:val="24"/>
                      <w:lang w:val="en-US" w:eastAsia="zh-CN" w:bidi="ar-SA"/>
                    </w:rPr>
                    <w:t>0</w:t>
                  </w:r>
                </w:p>
              </w:tc>
              <w:tc>
                <w:tcPr>
                  <w:tcW w:w="318" w:type="pct"/>
                  <w:vAlign w:val="center"/>
                </w:tcPr>
                <w:p w14:paraId="58E3F455">
                  <w:pPr>
                    <w:pStyle w:val="29"/>
                    <w:ind w:firstLine="0" w:firstLineChars="0"/>
                    <w:rPr>
                      <w:rFonts w:hint="eastAsia" w:cs="黑体"/>
                      <w:b w:val="0"/>
                      <w:color w:val="auto"/>
                      <w:kern w:val="2"/>
                      <w:sz w:val="21"/>
                      <w:szCs w:val="24"/>
                      <w:lang w:val="en-US" w:eastAsia="zh-CN" w:bidi="ar-SA"/>
                    </w:rPr>
                  </w:pPr>
                  <w:r>
                    <w:rPr>
                      <w:rFonts w:hint="eastAsia" w:cs="黑体"/>
                      <w:b w:val="0"/>
                      <w:color w:val="auto"/>
                      <w:kern w:val="2"/>
                      <w:sz w:val="21"/>
                      <w:szCs w:val="24"/>
                      <w:lang w:val="en-US" w:eastAsia="zh-CN" w:bidi="ar-SA"/>
                    </w:rPr>
                    <w:t>达标</w:t>
                  </w:r>
                </w:p>
              </w:tc>
            </w:tr>
          </w:tbl>
          <w:p w14:paraId="4E2B831B">
            <w:pPr>
              <w:adjustRightInd w:val="0"/>
              <w:snapToGrid w:val="0"/>
              <w:ind w:firstLine="480"/>
              <w:rPr>
                <w:rFonts w:hint="eastAsia" w:cs="Times New Roman"/>
                <w:bCs/>
                <w:color w:val="auto"/>
              </w:rPr>
            </w:pPr>
            <w:r>
              <w:rPr>
                <w:rFonts w:hint="eastAsia" w:cs="Times New Roman"/>
                <w:bCs/>
                <w:color w:val="auto"/>
              </w:rPr>
              <w:t>由上表3-</w:t>
            </w:r>
            <w:r>
              <w:rPr>
                <w:rFonts w:hint="eastAsia" w:cs="Times New Roman"/>
                <w:bCs/>
                <w:color w:val="auto"/>
                <w:lang w:val="en-US" w:eastAsia="zh-CN"/>
              </w:rPr>
              <w:t>3</w:t>
            </w:r>
            <w:r>
              <w:rPr>
                <w:rFonts w:hint="eastAsia" w:cs="Times New Roman"/>
                <w:bCs/>
                <w:color w:val="auto"/>
              </w:rPr>
              <w:t>监测结果可知，项目所在区域TSP满足《环境空气质量标准》（GB3095-2012）二级标准同时满足《环境空气质量标准》（GB3095-2026）二级标准（过渡阶段）。</w:t>
            </w:r>
          </w:p>
          <w:p w14:paraId="101573FA">
            <w:pPr>
              <w:adjustRightInd w:val="0"/>
              <w:snapToGrid w:val="0"/>
              <w:ind w:firstLine="480"/>
              <w:rPr>
                <w:rFonts w:hint="eastAsia" w:cs="Times New Roman"/>
                <w:bCs/>
                <w:color w:val="auto"/>
                <w:lang w:eastAsia="zh-CN"/>
              </w:rPr>
            </w:pPr>
            <w:r>
              <w:rPr>
                <w:rFonts w:hint="eastAsia" w:cs="Times New Roman"/>
                <w:bCs/>
                <w:color w:val="auto"/>
                <w:lang w:eastAsia="zh-CN"/>
              </w:rPr>
              <w:t>本次</w:t>
            </w:r>
            <w:r>
              <w:rPr>
                <w:rFonts w:hint="eastAsia" w:cs="Times New Roman"/>
                <w:bCs/>
                <w:color w:val="auto"/>
                <w:lang w:val="en-US" w:eastAsia="zh-CN"/>
              </w:rPr>
              <w:t>NMHC</w:t>
            </w:r>
            <w:r>
              <w:rPr>
                <w:rFonts w:hint="eastAsia" w:cs="Times New Roman"/>
                <w:bCs/>
                <w:color w:val="auto"/>
                <w:lang w:eastAsia="zh-CN"/>
              </w:rPr>
              <w:t>评价引用</w:t>
            </w:r>
            <w:r>
              <w:rPr>
                <w:rFonts w:hint="eastAsia" w:cs="Times New Roman"/>
                <w:bCs/>
                <w:color w:val="auto"/>
                <w:lang w:val="en-US" w:eastAsia="zh-CN"/>
              </w:rPr>
              <w:t>云南恩典科技产业发展有限公司《爆珠、颗粒、功能性新材料和烟用香精香料产业化生产扩建项目环境影响报告表》中对何王屯村现状监测数据，该监测点位于项目东南侧1.15km，监测时间为2025年1月5日-1月7日，引用的检测数据时限及距离均符合指南要求。</w:t>
            </w:r>
          </w:p>
          <w:p w14:paraId="09FE8976">
            <w:pPr>
              <w:adjustRightInd w:val="0"/>
              <w:snapToGrid w:val="0"/>
              <w:ind w:firstLine="480"/>
              <w:rPr>
                <w:rFonts w:hint="eastAsia" w:cs="Times New Roman"/>
                <w:bCs/>
                <w:color w:val="auto"/>
                <w:lang w:val="en-US" w:eastAsia="zh-CN"/>
              </w:rPr>
            </w:pPr>
            <w:r>
              <w:rPr>
                <w:rFonts w:hint="eastAsia" w:cs="Times New Roman"/>
                <w:bCs/>
                <w:color w:val="auto"/>
                <w:lang w:eastAsia="zh-CN"/>
              </w:rPr>
              <w:t>监测时间：</w:t>
            </w:r>
            <w:r>
              <w:rPr>
                <w:rFonts w:hint="eastAsia" w:cs="Times New Roman"/>
                <w:bCs/>
                <w:color w:val="auto"/>
                <w:lang w:val="en-US" w:eastAsia="zh-CN"/>
              </w:rPr>
              <w:t>2025年1月5日~1月7日；</w:t>
            </w:r>
          </w:p>
          <w:p w14:paraId="3A6AD004">
            <w:pPr>
              <w:adjustRightInd w:val="0"/>
              <w:snapToGrid w:val="0"/>
              <w:ind w:firstLine="480"/>
              <w:rPr>
                <w:rFonts w:hint="eastAsia" w:cs="Times New Roman"/>
                <w:bCs/>
                <w:color w:val="auto"/>
                <w:lang w:val="en-US" w:eastAsia="zh-CN"/>
              </w:rPr>
            </w:pPr>
            <w:r>
              <w:rPr>
                <w:rFonts w:hint="eastAsia" w:cs="Times New Roman"/>
                <w:bCs/>
                <w:color w:val="auto"/>
                <w:lang w:val="en-US" w:eastAsia="zh-CN"/>
              </w:rPr>
              <w:t>监测点：何王屯村，距离本项目东南面最近距离约1.15km；</w:t>
            </w:r>
          </w:p>
          <w:p w14:paraId="075679CF">
            <w:pPr>
              <w:adjustRightInd w:val="0"/>
              <w:snapToGrid w:val="0"/>
              <w:ind w:firstLine="480"/>
              <w:rPr>
                <w:rFonts w:hint="eastAsia" w:cs="Times New Roman"/>
                <w:bCs/>
                <w:color w:val="auto"/>
                <w:lang w:val="en-US" w:eastAsia="zh-CN"/>
              </w:rPr>
            </w:pPr>
            <w:r>
              <w:rPr>
                <w:rFonts w:hint="eastAsia" w:cs="Times New Roman"/>
                <w:bCs/>
                <w:color w:val="auto"/>
                <w:lang w:val="en-US" w:eastAsia="zh-CN"/>
              </w:rPr>
              <w:t>监测因子：非甲烷总烃（NMHC）；</w:t>
            </w:r>
          </w:p>
          <w:p w14:paraId="091B1ECB">
            <w:pPr>
              <w:adjustRightInd w:val="0"/>
              <w:snapToGrid w:val="0"/>
              <w:ind w:firstLine="480"/>
              <w:rPr>
                <w:rFonts w:hint="eastAsia" w:cs="Times New Roman"/>
                <w:bCs/>
                <w:color w:val="auto"/>
                <w:lang w:val="en-US" w:eastAsia="zh-CN"/>
              </w:rPr>
            </w:pPr>
            <w:r>
              <w:rPr>
                <w:rFonts w:hint="eastAsia" w:cs="Times New Roman"/>
                <w:bCs/>
                <w:color w:val="auto"/>
                <w:lang w:val="en-US" w:eastAsia="zh-CN"/>
              </w:rPr>
              <w:t>本项目与引用监测点位位置关系详见下图。</w:t>
            </w:r>
          </w:p>
          <w:p w14:paraId="28974A4D">
            <w:pPr>
              <w:adjustRightInd w:val="0"/>
              <w:snapToGrid w:val="0"/>
              <w:ind w:left="0" w:leftChars="0" w:firstLine="0" w:firstLineChars="0"/>
              <w:rPr>
                <w:rFonts w:hint="eastAsia" w:cs="Times New Roman"/>
                <w:bCs/>
                <w:color w:val="auto"/>
                <w:lang w:val="en-US" w:eastAsia="zh-CN"/>
              </w:rPr>
            </w:pPr>
            <w:r>
              <w:rPr>
                <w:rFonts w:hint="eastAsia" w:eastAsia="宋体"/>
                <w:b/>
                <w:bCs/>
                <w:color w:val="auto"/>
                <w:lang w:eastAsia="zh-CN"/>
              </w:rPr>
              <w:drawing>
                <wp:anchor distT="0" distB="0" distL="114300" distR="114300" simplePos="0" relativeHeight="251672576" behindDoc="0" locked="0" layoutInCell="1" allowOverlap="1">
                  <wp:simplePos x="0" y="0"/>
                  <wp:positionH relativeFrom="column">
                    <wp:posOffset>4314190</wp:posOffset>
                  </wp:positionH>
                  <wp:positionV relativeFrom="paragraph">
                    <wp:posOffset>7620</wp:posOffset>
                  </wp:positionV>
                  <wp:extent cx="652780" cy="823595"/>
                  <wp:effectExtent l="9525" t="9525" r="23495" b="24130"/>
                  <wp:wrapNone/>
                  <wp:docPr id="8" name="图片 8"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玉溪风玫瑰"/>
                          <pic:cNvPicPr>
                            <a:picLocks noChangeAspect="1"/>
                          </pic:cNvPicPr>
                        </pic:nvPicPr>
                        <pic:blipFill>
                          <a:blip r:embed="rId20"/>
                          <a:stretch>
                            <a:fillRect/>
                          </a:stretch>
                        </pic:blipFill>
                        <pic:spPr>
                          <a:xfrm>
                            <a:off x="0" y="0"/>
                            <a:ext cx="652780" cy="823595"/>
                          </a:xfrm>
                          <a:prstGeom prst="rect">
                            <a:avLst/>
                          </a:prstGeom>
                          <a:ln>
                            <a:solidFill>
                              <a:schemeClr val="tx1"/>
                            </a:solidFill>
                          </a:ln>
                        </pic:spPr>
                      </pic:pic>
                    </a:graphicData>
                  </a:graphic>
                </wp:anchor>
              </w:drawing>
            </w:r>
            <w:r>
              <w:rPr>
                <w:rFonts w:hint="eastAsia" w:cs="Times New Roman"/>
                <w:bCs/>
                <w:color w:val="auto"/>
                <w:lang w:val="en-US" w:eastAsia="zh-CN"/>
              </w:rPr>
              <w:drawing>
                <wp:inline distT="0" distB="0" distL="114300" distR="114300">
                  <wp:extent cx="4992370" cy="2318385"/>
                  <wp:effectExtent l="0" t="0" r="17780" b="5715"/>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22"/>
                          <a:stretch>
                            <a:fillRect/>
                          </a:stretch>
                        </pic:blipFill>
                        <pic:spPr>
                          <a:xfrm>
                            <a:off x="0" y="0"/>
                            <a:ext cx="4992370" cy="2318385"/>
                          </a:xfrm>
                          <a:prstGeom prst="rect">
                            <a:avLst/>
                          </a:prstGeom>
                          <a:noFill/>
                          <a:ln>
                            <a:noFill/>
                          </a:ln>
                        </pic:spPr>
                      </pic:pic>
                    </a:graphicData>
                  </a:graphic>
                </wp:inline>
              </w:drawing>
            </w:r>
          </w:p>
          <w:p w14:paraId="14B288B5">
            <w:pPr>
              <w:pStyle w:val="30"/>
              <w:bidi w:val="0"/>
              <w:rPr>
                <w:rFonts w:hint="eastAsia"/>
                <w:color w:val="auto"/>
                <w:lang w:val="en-US" w:eastAsia="zh-CN"/>
              </w:rPr>
            </w:pPr>
            <w:r>
              <w:rPr>
                <w:rFonts w:hint="eastAsia"/>
                <w:color w:val="auto"/>
                <w:lang w:val="en-US" w:eastAsia="zh-CN"/>
              </w:rPr>
              <w:t>图3-2 项目与NMHC引用监测点位位置关系示意图</w:t>
            </w:r>
          </w:p>
          <w:p w14:paraId="78EB6133">
            <w:pPr>
              <w:bidi w:val="0"/>
              <w:rPr>
                <w:rFonts w:hint="eastAsia"/>
                <w:color w:val="auto"/>
                <w:lang w:val="en-US" w:eastAsia="zh-CN"/>
              </w:rPr>
            </w:pPr>
            <w:r>
              <w:rPr>
                <w:rFonts w:hint="eastAsia"/>
                <w:color w:val="auto"/>
                <w:lang w:val="en-US" w:eastAsia="zh-CN"/>
              </w:rPr>
              <w:t>检测结果详见下表：</w:t>
            </w:r>
          </w:p>
          <w:p w14:paraId="029F22C1">
            <w:pPr>
              <w:pStyle w:val="30"/>
              <w:bidi w:val="0"/>
              <w:rPr>
                <w:rFonts w:hint="eastAsia"/>
                <w:color w:val="auto"/>
                <w:lang w:val="en-US" w:eastAsia="zh-CN"/>
              </w:rPr>
            </w:pPr>
            <w:r>
              <w:rPr>
                <w:rFonts w:hint="eastAsia"/>
                <w:color w:val="auto"/>
                <w:lang w:val="en-US" w:eastAsia="zh-CN"/>
              </w:rPr>
              <w:t>表3-4  引用NMHC现状监测检测结果一览表 单位：m</w:t>
            </w:r>
            <w:r>
              <w:rPr>
                <w:rFonts w:hint="eastAsia"/>
                <w:color w:val="auto"/>
                <w:lang w:eastAsia="zh-CN"/>
              </w:rPr>
              <w:t>g/m</w:t>
            </w:r>
            <w:r>
              <w:rPr>
                <w:rFonts w:hint="eastAsia"/>
                <w:color w:val="auto"/>
                <w:vertAlign w:val="superscript"/>
                <w:lang w:eastAsia="zh-CN"/>
              </w:rPr>
              <w:t>3</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877"/>
              <w:gridCol w:w="885"/>
              <w:gridCol w:w="872"/>
              <w:gridCol w:w="1119"/>
              <w:gridCol w:w="1081"/>
              <w:gridCol w:w="601"/>
              <w:gridCol w:w="499"/>
            </w:tblGrid>
            <w:tr w14:paraId="6506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0" w:hRule="atLeast"/>
              </w:trPr>
              <w:tc>
                <w:tcPr>
                  <w:tcW w:w="577" w:type="pct"/>
                  <w:vAlign w:val="center"/>
                </w:tcPr>
                <w:p w14:paraId="3A5DD773">
                  <w:pPr>
                    <w:pStyle w:val="29"/>
                    <w:bidi w:val="0"/>
                    <w:rPr>
                      <w:rFonts w:hint="eastAsia"/>
                      <w:color w:val="auto"/>
                      <w:lang w:val="en-US" w:eastAsia="zh-CN"/>
                    </w:rPr>
                  </w:pPr>
                  <w:r>
                    <w:rPr>
                      <w:rFonts w:hint="eastAsia"/>
                      <w:color w:val="auto"/>
                      <w:lang w:val="en-US" w:eastAsia="zh-CN"/>
                    </w:rPr>
                    <w:t>监测点位</w:t>
                  </w:r>
                </w:p>
              </w:tc>
              <w:tc>
                <w:tcPr>
                  <w:tcW w:w="1196" w:type="pct"/>
                  <w:vAlign w:val="center"/>
                </w:tcPr>
                <w:p w14:paraId="4967E6A8">
                  <w:pPr>
                    <w:pStyle w:val="29"/>
                    <w:bidi w:val="0"/>
                    <w:rPr>
                      <w:rFonts w:hint="eastAsia"/>
                      <w:color w:val="auto"/>
                      <w:lang w:val="en-US" w:eastAsia="zh-CN"/>
                    </w:rPr>
                  </w:pPr>
                  <w:r>
                    <w:rPr>
                      <w:rFonts w:hint="eastAsia"/>
                      <w:color w:val="auto"/>
                      <w:lang w:val="en-US" w:eastAsia="zh-CN"/>
                    </w:rPr>
                    <w:t>监测时间</w:t>
                  </w:r>
                </w:p>
              </w:tc>
              <w:tc>
                <w:tcPr>
                  <w:tcW w:w="564" w:type="pct"/>
                  <w:vAlign w:val="center"/>
                </w:tcPr>
                <w:p w14:paraId="25430DCC">
                  <w:pPr>
                    <w:pStyle w:val="29"/>
                    <w:bidi w:val="0"/>
                    <w:rPr>
                      <w:rFonts w:hint="eastAsia"/>
                      <w:color w:val="auto"/>
                      <w:lang w:val="en-US" w:eastAsia="zh-CN"/>
                    </w:rPr>
                  </w:pPr>
                  <w:r>
                    <w:rPr>
                      <w:rFonts w:hint="eastAsia"/>
                      <w:color w:val="auto"/>
                      <w:lang w:val="en-US" w:eastAsia="zh-CN"/>
                    </w:rPr>
                    <w:t>污染物</w:t>
                  </w:r>
                </w:p>
              </w:tc>
              <w:tc>
                <w:tcPr>
                  <w:tcW w:w="556" w:type="pct"/>
                  <w:vAlign w:val="center"/>
                </w:tcPr>
                <w:p w14:paraId="4D2505CC">
                  <w:pPr>
                    <w:pStyle w:val="29"/>
                    <w:bidi w:val="0"/>
                    <w:rPr>
                      <w:rFonts w:hint="eastAsia"/>
                      <w:color w:val="auto"/>
                      <w:lang w:val="en-US" w:eastAsia="zh-CN"/>
                    </w:rPr>
                  </w:pPr>
                  <w:r>
                    <w:rPr>
                      <w:rFonts w:hint="eastAsia"/>
                      <w:color w:val="auto"/>
                      <w:lang w:val="en-US" w:eastAsia="zh-CN"/>
                    </w:rPr>
                    <w:t>标准值</w:t>
                  </w:r>
                </w:p>
              </w:tc>
              <w:tc>
                <w:tcPr>
                  <w:tcW w:w="713" w:type="pct"/>
                  <w:vAlign w:val="center"/>
                </w:tcPr>
                <w:p w14:paraId="41C74D79">
                  <w:pPr>
                    <w:pStyle w:val="29"/>
                    <w:bidi w:val="0"/>
                    <w:rPr>
                      <w:rFonts w:hint="eastAsia"/>
                      <w:color w:val="auto"/>
                      <w:lang w:val="en-US" w:eastAsia="zh-CN"/>
                    </w:rPr>
                  </w:pPr>
                  <w:r>
                    <w:rPr>
                      <w:rFonts w:hint="eastAsia"/>
                      <w:color w:val="auto"/>
                      <w:lang w:val="en-US" w:eastAsia="zh-CN"/>
                    </w:rPr>
                    <w:t>浓度范围</w:t>
                  </w:r>
                </w:p>
              </w:tc>
              <w:tc>
                <w:tcPr>
                  <w:tcW w:w="689" w:type="pct"/>
                  <w:vAlign w:val="center"/>
                </w:tcPr>
                <w:p w14:paraId="197BC202">
                  <w:pPr>
                    <w:pStyle w:val="29"/>
                    <w:bidi w:val="0"/>
                    <w:rPr>
                      <w:rFonts w:hint="eastAsia"/>
                      <w:color w:val="auto"/>
                      <w:lang w:val="en-US" w:eastAsia="zh-CN"/>
                    </w:rPr>
                  </w:pPr>
                  <w:r>
                    <w:rPr>
                      <w:rFonts w:hint="eastAsia"/>
                      <w:color w:val="auto"/>
                      <w:lang w:val="en-US" w:eastAsia="zh-CN"/>
                    </w:rPr>
                    <w:t>最大浓度占标率%</w:t>
                  </w:r>
                </w:p>
              </w:tc>
              <w:tc>
                <w:tcPr>
                  <w:tcW w:w="383" w:type="pct"/>
                  <w:vAlign w:val="center"/>
                </w:tcPr>
                <w:p w14:paraId="344AC49D">
                  <w:pPr>
                    <w:pStyle w:val="29"/>
                    <w:bidi w:val="0"/>
                    <w:rPr>
                      <w:rFonts w:hint="eastAsia"/>
                      <w:color w:val="auto"/>
                      <w:lang w:val="en-US" w:eastAsia="zh-CN"/>
                    </w:rPr>
                  </w:pPr>
                  <w:r>
                    <w:rPr>
                      <w:rFonts w:hint="eastAsia"/>
                      <w:color w:val="auto"/>
                      <w:lang w:val="en-US" w:eastAsia="zh-CN"/>
                    </w:rPr>
                    <w:t>超标</w:t>
                  </w:r>
                </w:p>
                <w:p w14:paraId="35A1D291">
                  <w:pPr>
                    <w:pStyle w:val="29"/>
                    <w:bidi w:val="0"/>
                    <w:rPr>
                      <w:rFonts w:hint="eastAsia"/>
                      <w:color w:val="auto"/>
                      <w:lang w:val="en-US" w:eastAsia="zh-CN"/>
                    </w:rPr>
                  </w:pPr>
                  <w:r>
                    <w:rPr>
                      <w:rFonts w:hint="eastAsia"/>
                      <w:color w:val="auto"/>
                      <w:lang w:val="en-US" w:eastAsia="zh-CN"/>
                    </w:rPr>
                    <w:t>率%</w:t>
                  </w:r>
                </w:p>
              </w:tc>
              <w:tc>
                <w:tcPr>
                  <w:tcW w:w="318" w:type="pct"/>
                  <w:vAlign w:val="center"/>
                </w:tcPr>
                <w:p w14:paraId="4975EA5E">
                  <w:pPr>
                    <w:pStyle w:val="29"/>
                    <w:bidi w:val="0"/>
                    <w:rPr>
                      <w:rFonts w:hint="eastAsia"/>
                      <w:color w:val="auto"/>
                      <w:lang w:val="en-US" w:eastAsia="zh-CN"/>
                    </w:rPr>
                  </w:pPr>
                  <w:r>
                    <w:rPr>
                      <w:rFonts w:hint="eastAsia"/>
                      <w:color w:val="auto"/>
                      <w:lang w:val="en-US" w:eastAsia="zh-CN"/>
                    </w:rPr>
                    <w:t>达标情况</w:t>
                  </w:r>
                </w:p>
              </w:tc>
            </w:tr>
            <w:tr w14:paraId="277D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77" w:type="pct"/>
                  <w:vAlign w:val="center"/>
                </w:tcPr>
                <w:p w14:paraId="337A3EE5">
                  <w:pPr>
                    <w:pStyle w:val="29"/>
                    <w:bidi w:val="0"/>
                    <w:rPr>
                      <w:rFonts w:hint="eastAsia"/>
                      <w:color w:val="auto"/>
                      <w:lang w:val="en-US" w:eastAsia="zh-CN"/>
                    </w:rPr>
                  </w:pPr>
                  <w:r>
                    <w:rPr>
                      <w:rFonts w:hint="eastAsia"/>
                      <w:color w:val="auto"/>
                      <w:lang w:val="en-US" w:eastAsia="zh-CN"/>
                    </w:rPr>
                    <w:t>何王屯村</w:t>
                  </w:r>
                </w:p>
              </w:tc>
              <w:tc>
                <w:tcPr>
                  <w:tcW w:w="1196" w:type="pct"/>
                  <w:vAlign w:val="center"/>
                </w:tcPr>
                <w:p w14:paraId="04889B02">
                  <w:pPr>
                    <w:pStyle w:val="29"/>
                    <w:bidi w:val="0"/>
                    <w:rPr>
                      <w:rFonts w:hint="default"/>
                      <w:color w:val="auto"/>
                      <w:lang w:val="en-US" w:eastAsia="zh-CN"/>
                    </w:rPr>
                  </w:pPr>
                  <w:r>
                    <w:rPr>
                      <w:rFonts w:hint="eastAsia"/>
                      <w:color w:val="auto"/>
                      <w:lang w:val="en-US" w:eastAsia="zh-CN"/>
                    </w:rPr>
                    <w:t>2025.1.5-2025.1.7</w:t>
                  </w:r>
                </w:p>
              </w:tc>
              <w:tc>
                <w:tcPr>
                  <w:tcW w:w="564" w:type="pct"/>
                  <w:vAlign w:val="center"/>
                </w:tcPr>
                <w:p w14:paraId="470503E5">
                  <w:pPr>
                    <w:pStyle w:val="29"/>
                    <w:bidi w:val="0"/>
                    <w:rPr>
                      <w:rFonts w:hint="eastAsia"/>
                      <w:color w:val="auto"/>
                      <w:lang w:val="en-US" w:eastAsia="zh-CN"/>
                    </w:rPr>
                  </w:pPr>
                  <w:r>
                    <w:rPr>
                      <w:rFonts w:hint="eastAsia"/>
                      <w:color w:val="auto"/>
                      <w:lang w:val="en-US" w:eastAsia="zh-CN"/>
                    </w:rPr>
                    <w:t>NMHC</w:t>
                  </w:r>
                </w:p>
              </w:tc>
              <w:tc>
                <w:tcPr>
                  <w:tcW w:w="556" w:type="pct"/>
                  <w:vAlign w:val="center"/>
                </w:tcPr>
                <w:p w14:paraId="4E704785">
                  <w:pPr>
                    <w:pStyle w:val="29"/>
                    <w:bidi w:val="0"/>
                    <w:rPr>
                      <w:rFonts w:hint="default"/>
                      <w:color w:val="auto"/>
                      <w:lang w:val="en-US" w:eastAsia="zh-CN"/>
                    </w:rPr>
                  </w:pPr>
                  <w:r>
                    <w:rPr>
                      <w:rFonts w:hint="eastAsia"/>
                      <w:color w:val="auto"/>
                      <w:lang w:val="en-US" w:eastAsia="zh-CN"/>
                    </w:rPr>
                    <w:t>2.0</w:t>
                  </w:r>
                </w:p>
              </w:tc>
              <w:tc>
                <w:tcPr>
                  <w:tcW w:w="713" w:type="pct"/>
                  <w:vAlign w:val="center"/>
                </w:tcPr>
                <w:p w14:paraId="67B9DFDB">
                  <w:pPr>
                    <w:pStyle w:val="29"/>
                    <w:bidi w:val="0"/>
                    <w:rPr>
                      <w:rFonts w:hint="default"/>
                      <w:color w:val="auto"/>
                      <w:lang w:val="en-US" w:eastAsia="zh-CN"/>
                    </w:rPr>
                  </w:pPr>
                  <w:r>
                    <w:rPr>
                      <w:rFonts w:hint="eastAsia"/>
                      <w:color w:val="auto"/>
                      <w:lang w:val="en-US" w:eastAsia="zh-CN"/>
                    </w:rPr>
                    <w:t>0.10~0.17</w:t>
                  </w:r>
                </w:p>
              </w:tc>
              <w:tc>
                <w:tcPr>
                  <w:tcW w:w="689" w:type="pct"/>
                  <w:vAlign w:val="center"/>
                </w:tcPr>
                <w:p w14:paraId="6A2D7547">
                  <w:pPr>
                    <w:pStyle w:val="29"/>
                    <w:bidi w:val="0"/>
                    <w:rPr>
                      <w:rFonts w:hint="default"/>
                      <w:color w:val="auto"/>
                      <w:lang w:val="en-US" w:eastAsia="zh-CN"/>
                    </w:rPr>
                  </w:pPr>
                  <w:r>
                    <w:rPr>
                      <w:rFonts w:hint="eastAsia"/>
                      <w:color w:val="auto"/>
                      <w:lang w:val="en-US" w:eastAsia="zh-CN"/>
                    </w:rPr>
                    <w:t>8.50</w:t>
                  </w:r>
                </w:p>
              </w:tc>
              <w:tc>
                <w:tcPr>
                  <w:tcW w:w="383" w:type="pct"/>
                  <w:vAlign w:val="center"/>
                </w:tcPr>
                <w:p w14:paraId="510964F9">
                  <w:pPr>
                    <w:pStyle w:val="29"/>
                    <w:bidi w:val="0"/>
                    <w:rPr>
                      <w:rFonts w:hint="eastAsia"/>
                      <w:color w:val="auto"/>
                      <w:lang w:val="en-US" w:eastAsia="zh-CN"/>
                    </w:rPr>
                  </w:pPr>
                  <w:r>
                    <w:rPr>
                      <w:rFonts w:hint="eastAsia"/>
                      <w:color w:val="auto"/>
                      <w:lang w:val="en-US" w:eastAsia="zh-CN"/>
                    </w:rPr>
                    <w:t>0</w:t>
                  </w:r>
                </w:p>
              </w:tc>
              <w:tc>
                <w:tcPr>
                  <w:tcW w:w="318" w:type="pct"/>
                  <w:vAlign w:val="center"/>
                </w:tcPr>
                <w:p w14:paraId="2D6B15C2">
                  <w:pPr>
                    <w:pStyle w:val="29"/>
                    <w:bidi w:val="0"/>
                    <w:rPr>
                      <w:rFonts w:hint="eastAsia"/>
                      <w:color w:val="auto"/>
                      <w:lang w:val="en-US" w:eastAsia="zh-CN"/>
                    </w:rPr>
                  </w:pPr>
                  <w:r>
                    <w:rPr>
                      <w:rFonts w:hint="eastAsia"/>
                      <w:color w:val="auto"/>
                      <w:lang w:val="en-US" w:eastAsia="zh-CN"/>
                    </w:rPr>
                    <w:t>达标</w:t>
                  </w:r>
                </w:p>
              </w:tc>
            </w:tr>
          </w:tbl>
          <w:p w14:paraId="15F81285">
            <w:pPr>
              <w:adjustRightInd w:val="0"/>
              <w:snapToGrid w:val="0"/>
              <w:ind w:firstLine="480"/>
              <w:rPr>
                <w:rFonts w:hint="eastAsia" w:cs="Times New Roman"/>
                <w:bCs/>
                <w:color w:val="auto"/>
                <w:lang w:eastAsia="zh-CN"/>
              </w:rPr>
            </w:pPr>
            <w:r>
              <w:rPr>
                <w:rFonts w:hint="eastAsia" w:cs="Times New Roman"/>
                <w:bCs/>
                <w:color w:val="auto"/>
                <w:lang w:val="en-US" w:eastAsia="zh-CN"/>
              </w:rPr>
              <w:t>根据上表可知，</w:t>
            </w:r>
            <w:r>
              <w:rPr>
                <w:rFonts w:hint="eastAsia" w:cs="Times New Roman"/>
                <w:bCs/>
                <w:color w:val="auto"/>
                <w:lang w:eastAsia="zh-CN"/>
              </w:rPr>
              <w:t>非甲烷总烃满足《大气污染物综合排放标准详解》（国家环境保护局科技标准司编著、中国环境科学出版社1997年10月1日出版）中一次浓度限值。</w:t>
            </w:r>
          </w:p>
          <w:p w14:paraId="668E8DCD">
            <w:pPr>
              <w:adjustRightInd w:val="0"/>
              <w:snapToGrid w:val="0"/>
              <w:ind w:firstLine="480"/>
              <w:rPr>
                <w:rFonts w:hint="eastAsia" w:cs="Times New Roman"/>
                <w:bCs/>
                <w:color w:val="auto"/>
                <w:lang w:val="en-US" w:eastAsia="zh-CN"/>
              </w:rPr>
            </w:pPr>
            <w:r>
              <w:rPr>
                <w:rFonts w:hint="eastAsia" w:cs="Times New Roman"/>
                <w:bCs/>
                <w:color w:val="auto"/>
                <w:lang w:val="en-US" w:eastAsia="zh-CN"/>
              </w:rPr>
              <w:t>本次臭气浓度引用的玉溪兴洁垃圾处理有限公司《玉溪市医疗废物处理中心提质改造建设项目环境影响报告书》中委托云南长源检测技术有限公司开展的现状补充监测，监测时段于2026.01.04~2.26.01.10日处于区域常规工况期，监测结果可真实代表本项目所在地的臭气浓度环境本底，监测点位位于本项目西南面3.75km，引用的检测数据时限及距离均符合指南要求。</w:t>
            </w:r>
          </w:p>
          <w:p w14:paraId="394886BA">
            <w:pPr>
              <w:adjustRightInd w:val="0"/>
              <w:snapToGrid w:val="0"/>
              <w:ind w:firstLine="480"/>
              <w:rPr>
                <w:rFonts w:hint="eastAsia" w:cs="Times New Roman"/>
                <w:bCs/>
                <w:color w:val="auto"/>
                <w:lang w:val="en-US" w:eastAsia="zh-CN"/>
              </w:rPr>
            </w:pPr>
            <w:r>
              <w:rPr>
                <w:rFonts w:hint="eastAsia" w:cs="Times New Roman"/>
                <w:bCs/>
                <w:color w:val="auto"/>
                <w:lang w:val="en-US" w:eastAsia="zh-CN"/>
              </w:rPr>
              <w:t>监测时间：2026年1月4日~1月10日；</w:t>
            </w:r>
          </w:p>
          <w:p w14:paraId="64CBD1DC">
            <w:pPr>
              <w:adjustRightInd w:val="0"/>
              <w:snapToGrid w:val="0"/>
              <w:ind w:firstLine="480"/>
              <w:rPr>
                <w:rFonts w:hint="eastAsia" w:cs="Times New Roman"/>
                <w:bCs/>
                <w:color w:val="auto"/>
                <w:lang w:val="en-US" w:eastAsia="zh-CN"/>
              </w:rPr>
            </w:pPr>
            <w:r>
              <w:rPr>
                <w:rFonts w:hint="eastAsia" w:cs="Times New Roman"/>
                <w:bCs/>
                <w:color w:val="auto"/>
                <w:lang w:val="en-US" w:eastAsia="zh-CN"/>
              </w:rPr>
              <w:t>监测点：厂区下风向，坐标为：102.500331，24.398044；</w:t>
            </w:r>
          </w:p>
          <w:p w14:paraId="3B177F07">
            <w:pPr>
              <w:adjustRightInd w:val="0"/>
              <w:snapToGrid w:val="0"/>
              <w:ind w:firstLine="480"/>
              <w:rPr>
                <w:rFonts w:hint="eastAsia" w:cs="Times New Roman"/>
                <w:bCs/>
                <w:color w:val="auto"/>
                <w:lang w:val="en-US" w:eastAsia="zh-CN"/>
              </w:rPr>
            </w:pPr>
            <w:r>
              <w:rPr>
                <w:rFonts w:hint="eastAsia" w:cs="Times New Roman"/>
                <w:bCs/>
                <w:color w:val="auto"/>
                <w:lang w:val="en-US" w:eastAsia="zh-CN"/>
              </w:rPr>
              <w:t>监测因子：臭气浓度；</w:t>
            </w:r>
          </w:p>
          <w:p w14:paraId="5D5D9841">
            <w:pPr>
              <w:adjustRightInd w:val="0"/>
              <w:snapToGrid w:val="0"/>
              <w:ind w:firstLine="480"/>
              <w:rPr>
                <w:rFonts w:hint="eastAsia" w:cs="Times New Roman"/>
                <w:bCs/>
                <w:color w:val="auto"/>
                <w:lang w:val="en-US" w:eastAsia="zh-CN"/>
              </w:rPr>
            </w:pPr>
            <w:r>
              <w:rPr>
                <w:rFonts w:hint="eastAsia" w:cs="Times New Roman"/>
                <w:bCs/>
                <w:color w:val="auto"/>
                <w:lang w:val="en-US" w:eastAsia="zh-CN"/>
              </w:rPr>
              <w:t>本项目与引用监测点位位置关系详见下图。</w:t>
            </w:r>
          </w:p>
          <w:p w14:paraId="160E5CF1">
            <w:pPr>
              <w:adjustRightInd w:val="0"/>
              <w:snapToGrid w:val="0"/>
              <w:ind w:left="0" w:leftChars="0" w:firstLine="0" w:firstLineChars="0"/>
              <w:jc w:val="center"/>
              <w:rPr>
                <w:rStyle w:val="42"/>
                <w:rFonts w:hint="eastAsia" w:eastAsia="宋体"/>
                <w:color w:val="auto"/>
                <w:lang w:val="en-US" w:eastAsia="zh-CN"/>
              </w:rPr>
            </w:pPr>
            <w:r>
              <w:rPr>
                <w:rFonts w:hint="eastAsia" w:eastAsia="宋体"/>
                <w:b/>
                <w:bCs/>
                <w:color w:val="auto"/>
                <w:lang w:eastAsia="zh-CN"/>
              </w:rPr>
              <w:drawing>
                <wp:anchor distT="0" distB="0" distL="114300" distR="114300" simplePos="0" relativeHeight="251673600" behindDoc="0" locked="0" layoutInCell="1" allowOverlap="1">
                  <wp:simplePos x="0" y="0"/>
                  <wp:positionH relativeFrom="column">
                    <wp:posOffset>4375785</wp:posOffset>
                  </wp:positionH>
                  <wp:positionV relativeFrom="paragraph">
                    <wp:posOffset>40005</wp:posOffset>
                  </wp:positionV>
                  <wp:extent cx="581660" cy="734060"/>
                  <wp:effectExtent l="9525" t="9525" r="18415" b="18415"/>
                  <wp:wrapNone/>
                  <wp:docPr id="31" name="图片 31"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玉溪风玫瑰"/>
                          <pic:cNvPicPr>
                            <a:picLocks noChangeAspect="1"/>
                          </pic:cNvPicPr>
                        </pic:nvPicPr>
                        <pic:blipFill>
                          <a:blip r:embed="rId20"/>
                          <a:stretch>
                            <a:fillRect/>
                          </a:stretch>
                        </pic:blipFill>
                        <pic:spPr>
                          <a:xfrm>
                            <a:off x="0" y="0"/>
                            <a:ext cx="581660" cy="734060"/>
                          </a:xfrm>
                          <a:prstGeom prst="rect">
                            <a:avLst/>
                          </a:prstGeom>
                          <a:ln>
                            <a:solidFill>
                              <a:schemeClr val="tx1"/>
                            </a:solidFill>
                          </a:ln>
                        </pic:spPr>
                      </pic:pic>
                    </a:graphicData>
                  </a:graphic>
                </wp:anchor>
              </w:drawing>
            </w:r>
            <w:r>
              <w:rPr>
                <w:rStyle w:val="42"/>
                <w:rFonts w:hint="eastAsia" w:eastAsia="宋体"/>
                <w:color w:val="auto"/>
                <w:lang w:val="en-US" w:eastAsia="zh-CN"/>
              </w:rPr>
              <w:drawing>
                <wp:inline distT="0" distB="0" distL="114300" distR="114300">
                  <wp:extent cx="5006340" cy="3345180"/>
                  <wp:effectExtent l="9525" t="9525" r="13335" b="17145"/>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23"/>
                          <a:stretch>
                            <a:fillRect/>
                          </a:stretch>
                        </pic:blipFill>
                        <pic:spPr>
                          <a:xfrm>
                            <a:off x="0" y="0"/>
                            <a:ext cx="5006340" cy="3345180"/>
                          </a:xfrm>
                          <a:prstGeom prst="rect">
                            <a:avLst/>
                          </a:prstGeom>
                          <a:noFill/>
                          <a:ln>
                            <a:solidFill>
                              <a:schemeClr val="tx1"/>
                            </a:solidFill>
                          </a:ln>
                        </pic:spPr>
                      </pic:pic>
                    </a:graphicData>
                  </a:graphic>
                </wp:inline>
              </w:drawing>
            </w:r>
          </w:p>
          <w:p w14:paraId="7BC88C8D">
            <w:pPr>
              <w:pStyle w:val="30"/>
              <w:bidi w:val="0"/>
              <w:rPr>
                <w:rFonts w:hint="eastAsia"/>
                <w:color w:val="auto"/>
                <w:lang w:val="en-US" w:eastAsia="zh-CN"/>
              </w:rPr>
            </w:pPr>
            <w:r>
              <w:rPr>
                <w:rFonts w:hint="eastAsia"/>
                <w:color w:val="auto"/>
                <w:lang w:val="en-US" w:eastAsia="zh-CN"/>
              </w:rPr>
              <w:t>图3-3 项目与臭气浓度引用监测点位位置关系示意图</w:t>
            </w:r>
          </w:p>
          <w:p w14:paraId="0C13736D">
            <w:pPr>
              <w:bidi w:val="0"/>
              <w:rPr>
                <w:rFonts w:hint="eastAsia"/>
                <w:color w:val="auto"/>
                <w:lang w:val="en-US" w:eastAsia="zh-CN"/>
              </w:rPr>
            </w:pPr>
            <w:r>
              <w:rPr>
                <w:rFonts w:hint="eastAsia"/>
                <w:color w:val="auto"/>
                <w:lang w:val="en-US" w:eastAsia="zh-CN"/>
              </w:rPr>
              <w:t>检测结果详见下表：</w:t>
            </w:r>
          </w:p>
          <w:p w14:paraId="68DEBD3D">
            <w:pPr>
              <w:pStyle w:val="30"/>
              <w:bidi w:val="0"/>
              <w:rPr>
                <w:rFonts w:hint="default"/>
                <w:color w:val="auto"/>
                <w:lang w:val="en-US" w:eastAsia="zh-CN"/>
              </w:rPr>
            </w:pPr>
            <w:r>
              <w:rPr>
                <w:rFonts w:hint="eastAsia"/>
                <w:color w:val="auto"/>
                <w:lang w:val="en-US" w:eastAsia="zh-CN"/>
              </w:rPr>
              <w:t>表3-5  引用臭气浓度现状监测检测结果一览表  单位：无量纲</w:t>
            </w: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899"/>
              <w:gridCol w:w="1246"/>
              <w:gridCol w:w="1420"/>
              <w:gridCol w:w="1483"/>
              <w:gridCol w:w="826"/>
              <w:gridCol w:w="889"/>
            </w:tblGrid>
            <w:tr w14:paraId="12D0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685" w:type="pct"/>
                  <w:vMerge w:val="restart"/>
                  <w:vAlign w:val="center"/>
                </w:tcPr>
                <w:p w14:paraId="1A762571">
                  <w:pPr>
                    <w:pStyle w:val="29"/>
                    <w:bidi w:val="0"/>
                    <w:rPr>
                      <w:rFonts w:hint="eastAsia"/>
                      <w:color w:val="auto"/>
                      <w:lang w:eastAsia="zh-CN"/>
                    </w:rPr>
                  </w:pPr>
                  <w:r>
                    <w:rPr>
                      <w:rFonts w:hint="default"/>
                      <w:color w:val="auto"/>
                    </w:rPr>
                    <w:t>监测</w:t>
                  </w:r>
                  <w:r>
                    <w:rPr>
                      <w:rFonts w:hint="eastAsia"/>
                      <w:color w:val="auto"/>
                      <w:lang w:val="en-US" w:eastAsia="zh-CN"/>
                    </w:rPr>
                    <w:t>因子</w:t>
                  </w:r>
                </w:p>
              </w:tc>
              <w:tc>
                <w:tcPr>
                  <w:tcW w:w="574" w:type="pct"/>
                  <w:vMerge w:val="restart"/>
                  <w:vAlign w:val="center"/>
                </w:tcPr>
                <w:p w14:paraId="7B686A64">
                  <w:pPr>
                    <w:pStyle w:val="29"/>
                    <w:bidi w:val="0"/>
                    <w:rPr>
                      <w:rFonts w:hint="default"/>
                      <w:color w:val="auto"/>
                      <w:lang w:val="en-US" w:eastAsia="zh-CN"/>
                    </w:rPr>
                  </w:pPr>
                  <w:r>
                    <w:rPr>
                      <w:rFonts w:hint="eastAsia"/>
                      <w:color w:val="auto"/>
                      <w:lang w:val="en-US" w:eastAsia="zh-CN"/>
                    </w:rPr>
                    <w:t>平均时间</w:t>
                  </w:r>
                </w:p>
              </w:tc>
              <w:tc>
                <w:tcPr>
                  <w:tcW w:w="795" w:type="pct"/>
                  <w:vMerge w:val="restart"/>
                  <w:vAlign w:val="center"/>
                </w:tcPr>
                <w:p w14:paraId="3F3C51F2">
                  <w:pPr>
                    <w:pStyle w:val="29"/>
                    <w:bidi w:val="0"/>
                    <w:rPr>
                      <w:rFonts w:hint="eastAsia"/>
                      <w:color w:val="auto"/>
                      <w:lang w:val="en-US" w:eastAsia="zh-CN"/>
                    </w:rPr>
                  </w:pPr>
                  <w:r>
                    <w:rPr>
                      <w:rFonts w:hint="eastAsia"/>
                      <w:color w:val="auto"/>
                      <w:lang w:val="en-US" w:eastAsia="zh-CN"/>
                    </w:rPr>
                    <w:t>评价</w:t>
                  </w:r>
                  <w:r>
                    <w:rPr>
                      <w:rFonts w:hint="default"/>
                      <w:color w:val="auto"/>
                    </w:rPr>
                    <w:t>标准</w:t>
                  </w:r>
                </w:p>
              </w:tc>
              <w:tc>
                <w:tcPr>
                  <w:tcW w:w="906" w:type="pct"/>
                  <w:vMerge w:val="restart"/>
                  <w:vAlign w:val="center"/>
                </w:tcPr>
                <w:p w14:paraId="55236854">
                  <w:pPr>
                    <w:pStyle w:val="29"/>
                    <w:bidi w:val="0"/>
                    <w:rPr>
                      <w:rFonts w:hint="eastAsia"/>
                      <w:color w:val="auto"/>
                      <w:lang w:val="en-US" w:eastAsia="zh-CN"/>
                    </w:rPr>
                  </w:pPr>
                  <w:r>
                    <w:rPr>
                      <w:rFonts w:hint="eastAsia"/>
                      <w:color w:val="auto"/>
                      <w:lang w:val="en-US" w:eastAsia="zh-CN"/>
                    </w:rPr>
                    <w:t>监测</w:t>
                  </w:r>
                  <w:r>
                    <w:rPr>
                      <w:rFonts w:hint="default"/>
                      <w:color w:val="auto"/>
                    </w:rPr>
                    <w:t>浓度</w:t>
                  </w:r>
                  <w:r>
                    <w:rPr>
                      <w:rFonts w:hint="eastAsia"/>
                      <w:color w:val="auto"/>
                    </w:rPr>
                    <w:t>范围</w:t>
                  </w:r>
                </w:p>
              </w:tc>
              <w:tc>
                <w:tcPr>
                  <w:tcW w:w="946" w:type="pct"/>
                  <w:vMerge w:val="restart"/>
                  <w:vAlign w:val="center"/>
                </w:tcPr>
                <w:p w14:paraId="4EE4607B">
                  <w:pPr>
                    <w:pStyle w:val="29"/>
                    <w:bidi w:val="0"/>
                    <w:rPr>
                      <w:rFonts w:hint="default"/>
                      <w:color w:val="auto"/>
                      <w:lang w:val="en-US" w:eastAsia="zh-CN"/>
                    </w:rPr>
                  </w:pPr>
                  <w:r>
                    <w:rPr>
                      <w:rFonts w:hint="eastAsia"/>
                      <w:color w:val="auto"/>
                    </w:rPr>
                    <w:t>最大</w:t>
                  </w:r>
                  <w:r>
                    <w:rPr>
                      <w:rFonts w:hint="eastAsia"/>
                      <w:color w:val="auto"/>
                      <w:lang w:val="en-US" w:eastAsia="zh-CN"/>
                    </w:rPr>
                    <w:t>浓度占标率%</w:t>
                  </w:r>
                </w:p>
              </w:tc>
              <w:tc>
                <w:tcPr>
                  <w:tcW w:w="527" w:type="pct"/>
                  <w:vMerge w:val="restart"/>
                  <w:vAlign w:val="center"/>
                </w:tcPr>
                <w:p w14:paraId="5C6A590F">
                  <w:pPr>
                    <w:pStyle w:val="29"/>
                    <w:bidi w:val="0"/>
                    <w:rPr>
                      <w:rFonts w:hint="default"/>
                      <w:color w:val="auto"/>
                      <w:lang w:val="en-US" w:eastAsia="zh-CN"/>
                    </w:rPr>
                  </w:pPr>
                  <w:r>
                    <w:rPr>
                      <w:rFonts w:hint="eastAsia"/>
                      <w:color w:val="auto"/>
                      <w:lang w:val="en-US" w:eastAsia="zh-CN"/>
                    </w:rPr>
                    <w:t>超标率%</w:t>
                  </w:r>
                </w:p>
              </w:tc>
              <w:tc>
                <w:tcPr>
                  <w:tcW w:w="564" w:type="pct"/>
                  <w:vMerge w:val="restart"/>
                  <w:vAlign w:val="center"/>
                </w:tcPr>
                <w:p w14:paraId="7D47F5E8">
                  <w:pPr>
                    <w:pStyle w:val="29"/>
                    <w:bidi w:val="0"/>
                    <w:rPr>
                      <w:rFonts w:hint="default"/>
                      <w:color w:val="auto"/>
                      <w:lang w:val="en-US" w:eastAsia="zh-CN"/>
                    </w:rPr>
                  </w:pPr>
                  <w:r>
                    <w:rPr>
                      <w:rFonts w:hint="default"/>
                      <w:color w:val="auto"/>
                    </w:rPr>
                    <w:t>达标情况</w:t>
                  </w:r>
                </w:p>
              </w:tc>
            </w:tr>
            <w:tr w14:paraId="5179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685" w:type="pct"/>
                  <w:vMerge w:val="continue"/>
                  <w:vAlign w:val="center"/>
                </w:tcPr>
                <w:p w14:paraId="79D60B44">
                  <w:pPr>
                    <w:pStyle w:val="29"/>
                    <w:bidi w:val="0"/>
                    <w:rPr>
                      <w:rFonts w:hint="default"/>
                      <w:color w:val="auto"/>
                    </w:rPr>
                  </w:pPr>
                </w:p>
              </w:tc>
              <w:tc>
                <w:tcPr>
                  <w:tcW w:w="574" w:type="pct"/>
                  <w:vMerge w:val="continue"/>
                  <w:vAlign w:val="center"/>
                </w:tcPr>
                <w:p w14:paraId="0F56A235">
                  <w:pPr>
                    <w:pStyle w:val="29"/>
                    <w:bidi w:val="0"/>
                    <w:rPr>
                      <w:rFonts w:hint="default"/>
                      <w:color w:val="auto"/>
                    </w:rPr>
                  </w:pPr>
                </w:p>
              </w:tc>
              <w:tc>
                <w:tcPr>
                  <w:tcW w:w="795" w:type="pct"/>
                  <w:vMerge w:val="continue"/>
                  <w:vAlign w:val="center"/>
                </w:tcPr>
                <w:p w14:paraId="17BD03AC">
                  <w:pPr>
                    <w:pStyle w:val="29"/>
                    <w:bidi w:val="0"/>
                    <w:rPr>
                      <w:rFonts w:hint="default"/>
                      <w:color w:val="auto"/>
                    </w:rPr>
                  </w:pPr>
                </w:p>
              </w:tc>
              <w:tc>
                <w:tcPr>
                  <w:tcW w:w="906" w:type="pct"/>
                  <w:vMerge w:val="continue"/>
                  <w:vAlign w:val="center"/>
                </w:tcPr>
                <w:p w14:paraId="481E8CA0">
                  <w:pPr>
                    <w:pStyle w:val="29"/>
                    <w:bidi w:val="0"/>
                    <w:rPr>
                      <w:rFonts w:hint="default"/>
                      <w:color w:val="auto"/>
                    </w:rPr>
                  </w:pPr>
                </w:p>
              </w:tc>
              <w:tc>
                <w:tcPr>
                  <w:tcW w:w="946" w:type="pct"/>
                  <w:vMerge w:val="continue"/>
                  <w:vAlign w:val="center"/>
                </w:tcPr>
                <w:p w14:paraId="4EF1ABC0">
                  <w:pPr>
                    <w:pStyle w:val="29"/>
                    <w:bidi w:val="0"/>
                    <w:rPr>
                      <w:rFonts w:hint="default"/>
                      <w:color w:val="auto"/>
                    </w:rPr>
                  </w:pPr>
                </w:p>
              </w:tc>
              <w:tc>
                <w:tcPr>
                  <w:tcW w:w="527" w:type="pct"/>
                  <w:vMerge w:val="continue"/>
                  <w:vAlign w:val="center"/>
                </w:tcPr>
                <w:p w14:paraId="1F5E2358">
                  <w:pPr>
                    <w:pStyle w:val="29"/>
                    <w:bidi w:val="0"/>
                    <w:rPr>
                      <w:rFonts w:hint="default"/>
                      <w:color w:val="auto"/>
                    </w:rPr>
                  </w:pPr>
                </w:p>
              </w:tc>
              <w:tc>
                <w:tcPr>
                  <w:tcW w:w="564" w:type="pct"/>
                  <w:vMerge w:val="continue"/>
                  <w:vAlign w:val="center"/>
                </w:tcPr>
                <w:p w14:paraId="41D6C1E5">
                  <w:pPr>
                    <w:pStyle w:val="29"/>
                    <w:bidi w:val="0"/>
                    <w:rPr>
                      <w:rFonts w:hint="default"/>
                      <w:color w:val="auto"/>
                    </w:rPr>
                  </w:pPr>
                </w:p>
              </w:tc>
            </w:tr>
            <w:tr w14:paraId="2392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685" w:type="pct"/>
                  <w:vAlign w:val="center"/>
                </w:tcPr>
                <w:p w14:paraId="116B86E9">
                  <w:pPr>
                    <w:pStyle w:val="29"/>
                    <w:bidi w:val="0"/>
                    <w:rPr>
                      <w:rFonts w:hint="default"/>
                      <w:color w:val="auto"/>
                      <w:lang w:val="en-US" w:eastAsia="zh-CN"/>
                    </w:rPr>
                  </w:pPr>
                  <w:r>
                    <w:rPr>
                      <w:rFonts w:hint="eastAsia"/>
                      <w:color w:val="auto"/>
                      <w:lang w:val="en-US" w:eastAsia="zh-CN"/>
                    </w:rPr>
                    <w:t>臭气浓度</w:t>
                  </w:r>
                </w:p>
              </w:tc>
              <w:tc>
                <w:tcPr>
                  <w:tcW w:w="574" w:type="pct"/>
                  <w:vAlign w:val="center"/>
                </w:tcPr>
                <w:p w14:paraId="75D8C2E5">
                  <w:pPr>
                    <w:pStyle w:val="29"/>
                    <w:bidi w:val="0"/>
                    <w:rPr>
                      <w:rFonts w:hint="default"/>
                      <w:color w:val="auto"/>
                      <w:lang w:val="en-US" w:eastAsia="zh-CN"/>
                    </w:rPr>
                  </w:pPr>
                  <w:r>
                    <w:rPr>
                      <w:rFonts w:hint="eastAsia"/>
                      <w:color w:val="auto"/>
                      <w:lang w:val="en-US" w:eastAsia="zh-CN"/>
                    </w:rPr>
                    <w:t>1h</w:t>
                  </w:r>
                </w:p>
              </w:tc>
              <w:tc>
                <w:tcPr>
                  <w:tcW w:w="795" w:type="pct"/>
                  <w:vAlign w:val="center"/>
                </w:tcPr>
                <w:p w14:paraId="3815E4FA">
                  <w:pPr>
                    <w:pStyle w:val="29"/>
                    <w:bidi w:val="0"/>
                    <w:rPr>
                      <w:rFonts w:hint="default"/>
                      <w:color w:val="auto"/>
                      <w:lang w:val="en-US" w:eastAsia="zh-CN"/>
                    </w:rPr>
                  </w:pPr>
                  <w:r>
                    <w:rPr>
                      <w:rFonts w:hint="eastAsia"/>
                      <w:color w:val="auto"/>
                      <w:lang w:val="en-US" w:eastAsia="zh-CN"/>
                    </w:rPr>
                    <w:t>/</w:t>
                  </w:r>
                </w:p>
              </w:tc>
              <w:tc>
                <w:tcPr>
                  <w:tcW w:w="906" w:type="pct"/>
                  <w:vAlign w:val="center"/>
                </w:tcPr>
                <w:p w14:paraId="3163D916">
                  <w:pPr>
                    <w:pStyle w:val="29"/>
                    <w:bidi w:val="0"/>
                    <w:rPr>
                      <w:rFonts w:hint="default"/>
                      <w:color w:val="auto"/>
                      <w:lang w:val="en-US" w:eastAsia="zh-CN"/>
                    </w:rPr>
                  </w:pPr>
                  <w:r>
                    <w:rPr>
                      <w:rFonts w:hint="eastAsia"/>
                      <w:color w:val="auto"/>
                      <w:lang w:val="en-US" w:eastAsia="zh-CN"/>
                    </w:rPr>
                    <w:t>10L</w:t>
                  </w:r>
                </w:p>
              </w:tc>
              <w:tc>
                <w:tcPr>
                  <w:tcW w:w="946" w:type="pct"/>
                  <w:vAlign w:val="center"/>
                </w:tcPr>
                <w:p w14:paraId="7D80EB7C">
                  <w:pPr>
                    <w:pStyle w:val="29"/>
                    <w:bidi w:val="0"/>
                    <w:rPr>
                      <w:rFonts w:hint="default"/>
                      <w:color w:val="auto"/>
                      <w:lang w:val="en-US" w:eastAsia="zh-CN"/>
                    </w:rPr>
                  </w:pPr>
                  <w:r>
                    <w:rPr>
                      <w:rFonts w:hint="eastAsia"/>
                      <w:color w:val="auto"/>
                      <w:lang w:val="en-US" w:eastAsia="zh-CN"/>
                    </w:rPr>
                    <w:t>/</w:t>
                  </w:r>
                </w:p>
              </w:tc>
              <w:tc>
                <w:tcPr>
                  <w:tcW w:w="527" w:type="pct"/>
                  <w:vAlign w:val="center"/>
                </w:tcPr>
                <w:p w14:paraId="39FC20B5">
                  <w:pPr>
                    <w:pStyle w:val="29"/>
                    <w:bidi w:val="0"/>
                    <w:rPr>
                      <w:rFonts w:hint="default"/>
                      <w:color w:val="auto"/>
                      <w:lang w:val="en-US" w:eastAsia="zh-CN"/>
                    </w:rPr>
                  </w:pPr>
                  <w:r>
                    <w:rPr>
                      <w:rFonts w:hint="eastAsia"/>
                      <w:color w:val="auto"/>
                      <w:lang w:val="en-US" w:eastAsia="zh-CN"/>
                    </w:rPr>
                    <w:t>/</w:t>
                  </w:r>
                </w:p>
              </w:tc>
              <w:tc>
                <w:tcPr>
                  <w:tcW w:w="564" w:type="pct"/>
                  <w:vAlign w:val="center"/>
                </w:tcPr>
                <w:p w14:paraId="4FD834F1">
                  <w:pPr>
                    <w:pStyle w:val="29"/>
                    <w:bidi w:val="0"/>
                    <w:rPr>
                      <w:rFonts w:hint="default"/>
                      <w:color w:val="auto"/>
                      <w:lang w:val="en-US" w:eastAsia="zh-CN"/>
                    </w:rPr>
                  </w:pPr>
                  <w:r>
                    <w:rPr>
                      <w:rFonts w:hint="eastAsia"/>
                      <w:color w:val="auto"/>
                      <w:lang w:val="en-US" w:eastAsia="zh-CN"/>
                    </w:rPr>
                    <w:t>/</w:t>
                  </w:r>
                </w:p>
              </w:tc>
            </w:tr>
            <w:tr w14:paraId="68B4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5000" w:type="pct"/>
                  <w:gridSpan w:val="7"/>
                  <w:vAlign w:val="center"/>
                </w:tcPr>
                <w:p w14:paraId="2B042E34">
                  <w:pPr>
                    <w:pStyle w:val="29"/>
                    <w:bidi w:val="0"/>
                    <w:jc w:val="left"/>
                    <w:rPr>
                      <w:rFonts w:hint="default"/>
                      <w:color w:val="auto"/>
                      <w:lang w:val="en-US" w:eastAsia="zh-CN"/>
                    </w:rPr>
                  </w:pPr>
                  <w:r>
                    <w:rPr>
                      <w:rFonts w:hint="eastAsia"/>
                      <w:color w:val="auto"/>
                      <w:lang w:val="en-US" w:eastAsia="zh-CN"/>
                    </w:rPr>
                    <w:t>备注：</w:t>
                  </w:r>
                  <w:r>
                    <w:rPr>
                      <w:rFonts w:hint="eastAsia"/>
                      <w:color w:val="auto"/>
                    </w:rPr>
                    <w:t>检测结果低于标准方法检出限的，用</w:t>
                  </w:r>
                  <w:r>
                    <w:rPr>
                      <w:rFonts w:hint="default"/>
                      <w:color w:val="auto"/>
                    </w:rPr>
                    <w:t>“</w:t>
                  </w:r>
                  <w:r>
                    <w:rPr>
                      <w:rFonts w:hint="eastAsia"/>
                      <w:color w:val="auto"/>
                    </w:rPr>
                    <w:t>检出限</w:t>
                  </w:r>
                  <w:r>
                    <w:rPr>
                      <w:rFonts w:hint="default"/>
                      <w:color w:val="auto"/>
                    </w:rPr>
                    <w:t>+L”</w:t>
                  </w:r>
                  <w:r>
                    <w:rPr>
                      <w:rFonts w:hint="eastAsia"/>
                      <w:color w:val="auto"/>
                    </w:rPr>
                    <w:t>表示</w:t>
                  </w:r>
                </w:p>
              </w:tc>
            </w:tr>
          </w:tbl>
          <w:p w14:paraId="2AD78AC2">
            <w:pPr>
              <w:bidi w:val="0"/>
              <w:rPr>
                <w:rFonts w:hint="eastAsia"/>
                <w:color w:val="auto"/>
                <w:lang w:val="en-US" w:eastAsia="zh-CN"/>
              </w:rPr>
            </w:pPr>
            <w:r>
              <w:rPr>
                <w:rFonts w:hint="eastAsia"/>
                <w:color w:val="auto"/>
                <w:lang w:val="en-US" w:eastAsia="zh-CN"/>
              </w:rPr>
              <w:t>由上表可知，项目所在区臭气浓度低于检出限，由于臭气浓度无环境质量标准，仅进行背景值监测，不进行现状评价。</w:t>
            </w:r>
          </w:p>
        </w:tc>
      </w:tr>
    </w:tbl>
    <w:p w14:paraId="6FC3A6DE">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6"/>
        <w:gridCol w:w="7986"/>
      </w:tblGrid>
      <w:tr w14:paraId="40D22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14:paraId="10E6E31A">
            <w:pPr>
              <w:ind w:firstLine="0" w:firstLineChars="0"/>
              <w:jc w:val="center"/>
              <w:rPr>
                <w:rFonts w:hint="eastAsia"/>
                <w:color w:val="auto"/>
              </w:rPr>
            </w:pPr>
          </w:p>
        </w:tc>
        <w:tc>
          <w:tcPr>
            <w:tcW w:w="7964" w:type="dxa"/>
          </w:tcPr>
          <w:p w14:paraId="1D5534C3">
            <w:pPr>
              <w:pStyle w:val="45"/>
              <w:ind w:firstLine="482" w:firstLineChars="200"/>
              <w:rPr>
                <w:rFonts w:hint="default"/>
                <w:color w:val="auto"/>
              </w:rPr>
            </w:pPr>
            <w:r>
              <w:rPr>
                <w:rFonts w:hint="eastAsia"/>
                <w:color w:val="auto"/>
                <w:lang w:val="en-US" w:eastAsia="zh-CN"/>
              </w:rPr>
              <w:t>2、</w:t>
            </w:r>
            <w:r>
              <w:rPr>
                <w:color w:val="auto"/>
              </w:rPr>
              <w:t>地表水环境</w:t>
            </w:r>
          </w:p>
          <w:p w14:paraId="7AB9B4A4">
            <w:pPr>
              <w:pStyle w:val="9"/>
              <w:ind w:firstLine="482"/>
              <w:rPr>
                <w:b/>
                <w:bCs/>
                <w:color w:val="auto"/>
              </w:rPr>
            </w:pPr>
            <w:r>
              <w:rPr>
                <w:rFonts w:hint="eastAsia"/>
                <w:b/>
                <w:bCs/>
                <w:color w:val="auto"/>
              </w:rPr>
              <w:t>（1）地表水环境</w:t>
            </w:r>
            <w:r>
              <w:rPr>
                <w:rFonts w:hint="eastAsia"/>
                <w:b/>
                <w:bCs/>
                <w:color w:val="auto"/>
                <w:lang w:val="en-US" w:eastAsia="zh-CN"/>
              </w:rPr>
              <w:t>功能区划及执行</w:t>
            </w:r>
            <w:r>
              <w:rPr>
                <w:rFonts w:hint="eastAsia"/>
                <w:b/>
                <w:bCs/>
                <w:color w:val="auto"/>
              </w:rPr>
              <w:t>标准</w:t>
            </w:r>
          </w:p>
          <w:p w14:paraId="06F6DA2E">
            <w:pPr>
              <w:ind w:firstLine="480"/>
              <w:rPr>
                <w:color w:val="auto"/>
              </w:rPr>
            </w:pPr>
            <w:r>
              <w:rPr>
                <w:rFonts w:hint="eastAsia"/>
                <w:color w:val="auto"/>
              </w:rPr>
              <w:t>本项目周边分布两处地表水体，西侧360m为老西河，东侧610m为新西河</w:t>
            </w:r>
            <w:r>
              <w:rPr>
                <w:rFonts w:hint="eastAsia"/>
                <w:color w:val="auto"/>
                <w:lang w:val="en-US" w:eastAsia="zh-CN"/>
              </w:rPr>
              <w:t>，老西河为片区景观生态管控河道，不属于本项目排水规划范围内的指定受纳水体，项目所在片区受纳水体主要为东侧610m处的新西河，新西河自北向南沿既定河道流淌，最终汇入玉溪大河，</w:t>
            </w:r>
            <w:r>
              <w:rPr>
                <w:rFonts w:hint="eastAsia"/>
                <w:color w:val="auto"/>
              </w:rPr>
              <w:t>根据《云南省水功能区划》（</w:t>
            </w:r>
            <w:r>
              <w:rPr>
                <w:rFonts w:hint="eastAsia"/>
                <w:color w:val="auto"/>
                <w:lang w:eastAsia="zh-CN"/>
              </w:rPr>
              <w:t>2014年修订</w:t>
            </w:r>
            <w:r>
              <w:rPr>
                <w:rFonts w:hint="eastAsia"/>
                <w:color w:val="auto"/>
              </w:rPr>
              <w:t>），玉溪大河“东风水库坝址-红塔区汇溪闸”，水环境功能为景观用水、农灌用水，水质目标为Ⅲ类；同时参考《玉溪市水功能区划》（玉溪市水利局，2014年版）和《玉溪高新区技术产业开发区总体规划修编（2021-2035年）环境影响报告书》，西河、新西河、老西河执行《地表水环境质量标准》（GB3838-2002）Ⅴ类标准。</w:t>
            </w:r>
            <w:r>
              <w:rPr>
                <w:color w:val="auto"/>
              </w:rPr>
              <w:t>具体指标见表</w:t>
            </w:r>
            <w:r>
              <w:rPr>
                <w:rFonts w:hint="eastAsia"/>
                <w:color w:val="auto"/>
              </w:rPr>
              <w:t>3-</w:t>
            </w:r>
            <w:r>
              <w:rPr>
                <w:rFonts w:hint="eastAsia"/>
                <w:color w:val="auto"/>
                <w:lang w:val="en-US" w:eastAsia="zh-CN"/>
              </w:rPr>
              <w:t>5</w:t>
            </w:r>
            <w:r>
              <w:rPr>
                <w:color w:val="auto"/>
              </w:rPr>
              <w:t>。</w:t>
            </w:r>
          </w:p>
          <w:p w14:paraId="088970F9">
            <w:pPr>
              <w:pStyle w:val="7"/>
              <w:adjustRightInd w:val="0"/>
              <w:snapToGrid w:val="0"/>
              <w:spacing w:line="240" w:lineRule="auto"/>
              <w:ind w:firstLine="422"/>
              <w:jc w:val="center"/>
              <w:rPr>
                <w:b/>
                <w:color w:val="auto"/>
                <w:sz w:val="21"/>
                <w:szCs w:val="21"/>
              </w:rPr>
            </w:pPr>
            <w:r>
              <w:rPr>
                <w:b/>
                <w:color w:val="auto"/>
                <w:sz w:val="21"/>
                <w:szCs w:val="21"/>
              </w:rPr>
              <w:t>表</w:t>
            </w:r>
            <w:r>
              <w:rPr>
                <w:rFonts w:hint="eastAsia"/>
                <w:b/>
                <w:color w:val="auto"/>
                <w:sz w:val="21"/>
                <w:szCs w:val="21"/>
              </w:rPr>
              <w:t>3-</w:t>
            </w:r>
            <w:r>
              <w:rPr>
                <w:rFonts w:hint="eastAsia"/>
                <w:b/>
                <w:color w:val="auto"/>
                <w:sz w:val="21"/>
                <w:szCs w:val="21"/>
                <w:lang w:val="en-US" w:eastAsia="zh-CN"/>
              </w:rPr>
              <w:t>6</w:t>
            </w:r>
            <w:r>
              <w:rPr>
                <w:b/>
                <w:color w:val="auto"/>
                <w:sz w:val="21"/>
                <w:szCs w:val="21"/>
              </w:rPr>
              <w:t xml:space="preserve">  地表水环境质量标准</w:t>
            </w:r>
            <w:r>
              <w:rPr>
                <w:rFonts w:hint="eastAsia"/>
                <w:b/>
                <w:color w:val="auto"/>
                <w:sz w:val="21"/>
                <w:szCs w:val="21"/>
              </w:rPr>
              <w:t xml:space="preserve">  </w:t>
            </w:r>
            <w:r>
              <w:rPr>
                <w:b/>
                <w:color w:val="auto"/>
                <w:sz w:val="21"/>
                <w:szCs w:val="21"/>
              </w:rPr>
              <w:t>单位：mg/L，pH除外</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5"/>
              <w:gridCol w:w="1063"/>
              <w:gridCol w:w="1248"/>
              <w:gridCol w:w="1287"/>
              <w:gridCol w:w="1268"/>
              <w:gridCol w:w="1166"/>
            </w:tblGrid>
            <w:tr w14:paraId="2A39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50911BD7">
                  <w:pPr>
                    <w:pStyle w:val="29"/>
                    <w:rPr>
                      <w:rFonts w:hint="default"/>
                      <w:color w:val="auto"/>
                    </w:rPr>
                  </w:pPr>
                  <w:r>
                    <w:rPr>
                      <w:color w:val="auto"/>
                    </w:rPr>
                    <w:t>项目</w:t>
                  </w:r>
                </w:p>
              </w:tc>
              <w:tc>
                <w:tcPr>
                  <w:tcW w:w="685" w:type="pct"/>
                  <w:tcBorders>
                    <w:top w:val="single" w:color="auto" w:sz="4" w:space="0"/>
                    <w:left w:val="single" w:color="auto" w:sz="4" w:space="0"/>
                    <w:bottom w:val="single" w:color="auto" w:sz="4" w:space="0"/>
                    <w:right w:val="single" w:color="auto" w:sz="4" w:space="0"/>
                  </w:tcBorders>
                  <w:vAlign w:val="center"/>
                </w:tcPr>
                <w:p w14:paraId="468B3CF1">
                  <w:pPr>
                    <w:pStyle w:val="29"/>
                    <w:rPr>
                      <w:rFonts w:hint="default"/>
                      <w:color w:val="auto"/>
                    </w:rPr>
                  </w:pPr>
                  <w:r>
                    <w:rPr>
                      <w:color w:val="auto"/>
                    </w:rPr>
                    <w:t>pH</w:t>
                  </w:r>
                </w:p>
              </w:tc>
              <w:tc>
                <w:tcPr>
                  <w:tcW w:w="804" w:type="pct"/>
                  <w:tcBorders>
                    <w:top w:val="single" w:color="auto" w:sz="4" w:space="0"/>
                    <w:left w:val="single" w:color="auto" w:sz="4" w:space="0"/>
                    <w:bottom w:val="single" w:color="auto" w:sz="4" w:space="0"/>
                    <w:right w:val="single" w:color="auto" w:sz="4" w:space="0"/>
                  </w:tcBorders>
                  <w:vAlign w:val="center"/>
                </w:tcPr>
                <w:p w14:paraId="7909D57D">
                  <w:pPr>
                    <w:pStyle w:val="29"/>
                    <w:rPr>
                      <w:rFonts w:hint="default"/>
                      <w:color w:val="auto"/>
                    </w:rPr>
                  </w:pPr>
                  <w:r>
                    <w:rPr>
                      <w:color w:val="auto"/>
                    </w:rPr>
                    <w:t>COD</w:t>
                  </w:r>
                  <w:r>
                    <w:rPr>
                      <w:color w:val="auto"/>
                      <w:vertAlign w:val="subscript"/>
                    </w:rPr>
                    <w:t>Cr</w:t>
                  </w:r>
                </w:p>
              </w:tc>
              <w:tc>
                <w:tcPr>
                  <w:tcW w:w="829" w:type="pct"/>
                  <w:tcBorders>
                    <w:top w:val="single" w:color="auto" w:sz="4" w:space="0"/>
                    <w:left w:val="single" w:color="auto" w:sz="4" w:space="0"/>
                    <w:bottom w:val="single" w:color="auto" w:sz="4" w:space="0"/>
                    <w:right w:val="single" w:color="auto" w:sz="4" w:space="0"/>
                  </w:tcBorders>
                  <w:vAlign w:val="center"/>
                </w:tcPr>
                <w:p w14:paraId="02D4F3F2">
                  <w:pPr>
                    <w:pStyle w:val="29"/>
                    <w:rPr>
                      <w:rFonts w:hint="default"/>
                      <w:color w:val="auto"/>
                    </w:rPr>
                  </w:pPr>
                  <w:r>
                    <w:rPr>
                      <w:color w:val="auto"/>
                    </w:rPr>
                    <w:t>BOD</w:t>
                  </w:r>
                  <w:r>
                    <w:rPr>
                      <w:color w:val="auto"/>
                      <w:vertAlign w:val="subscript"/>
                    </w:rPr>
                    <w:t>5</w:t>
                  </w:r>
                </w:p>
              </w:tc>
              <w:tc>
                <w:tcPr>
                  <w:tcW w:w="817" w:type="pct"/>
                  <w:tcBorders>
                    <w:top w:val="single" w:color="auto" w:sz="4" w:space="0"/>
                    <w:left w:val="single" w:color="auto" w:sz="4" w:space="0"/>
                    <w:bottom w:val="single" w:color="auto" w:sz="4" w:space="0"/>
                    <w:right w:val="single" w:color="auto" w:sz="4" w:space="0"/>
                  </w:tcBorders>
                  <w:vAlign w:val="center"/>
                </w:tcPr>
                <w:p w14:paraId="4D4858E1">
                  <w:pPr>
                    <w:pStyle w:val="29"/>
                    <w:rPr>
                      <w:rFonts w:hint="default"/>
                      <w:color w:val="auto"/>
                    </w:rPr>
                  </w:pPr>
                  <w:r>
                    <w:rPr>
                      <w:color w:val="auto"/>
                    </w:rPr>
                    <w:t>NH</w:t>
                  </w:r>
                  <w:r>
                    <w:rPr>
                      <w:color w:val="auto"/>
                      <w:vertAlign w:val="subscript"/>
                    </w:rPr>
                    <w:t>3</w:t>
                  </w:r>
                  <w:r>
                    <w:rPr>
                      <w:color w:val="auto"/>
                    </w:rPr>
                    <w:t>-N</w:t>
                  </w:r>
                </w:p>
              </w:tc>
              <w:tc>
                <w:tcPr>
                  <w:tcW w:w="751" w:type="pct"/>
                  <w:tcBorders>
                    <w:top w:val="single" w:color="auto" w:sz="4" w:space="0"/>
                    <w:left w:val="single" w:color="auto" w:sz="4" w:space="0"/>
                    <w:bottom w:val="single" w:color="auto" w:sz="4" w:space="0"/>
                    <w:right w:val="single" w:color="auto" w:sz="4" w:space="0"/>
                  </w:tcBorders>
                  <w:vAlign w:val="center"/>
                </w:tcPr>
                <w:p w14:paraId="7364AB84">
                  <w:pPr>
                    <w:pStyle w:val="29"/>
                    <w:rPr>
                      <w:rFonts w:hint="default"/>
                      <w:color w:val="auto"/>
                    </w:rPr>
                  </w:pPr>
                  <w:r>
                    <w:rPr>
                      <w:color w:val="auto"/>
                    </w:rPr>
                    <w:t>TP</w:t>
                  </w:r>
                </w:p>
              </w:tc>
            </w:tr>
            <w:tr w14:paraId="6F33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3704C56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III类标准</w:t>
                  </w:r>
                </w:p>
              </w:tc>
              <w:tc>
                <w:tcPr>
                  <w:tcW w:w="685" w:type="pct"/>
                  <w:tcBorders>
                    <w:top w:val="single" w:color="auto" w:sz="4" w:space="0"/>
                    <w:left w:val="single" w:color="auto" w:sz="4" w:space="0"/>
                    <w:bottom w:val="single" w:color="auto" w:sz="4" w:space="0"/>
                    <w:right w:val="single" w:color="auto" w:sz="4" w:space="0"/>
                  </w:tcBorders>
                  <w:vAlign w:val="center"/>
                </w:tcPr>
                <w:p w14:paraId="07EA3EB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6~9</w:t>
                  </w:r>
                </w:p>
              </w:tc>
              <w:tc>
                <w:tcPr>
                  <w:tcW w:w="804" w:type="pct"/>
                  <w:tcBorders>
                    <w:top w:val="single" w:color="auto" w:sz="4" w:space="0"/>
                    <w:left w:val="single" w:color="auto" w:sz="4" w:space="0"/>
                    <w:bottom w:val="single" w:color="auto" w:sz="4" w:space="0"/>
                    <w:right w:val="single" w:color="auto" w:sz="4" w:space="0"/>
                  </w:tcBorders>
                  <w:vAlign w:val="center"/>
                </w:tcPr>
                <w:p w14:paraId="48B32EC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20</w:t>
                  </w:r>
                </w:p>
              </w:tc>
              <w:tc>
                <w:tcPr>
                  <w:tcW w:w="829" w:type="pct"/>
                  <w:tcBorders>
                    <w:top w:val="single" w:color="auto" w:sz="4" w:space="0"/>
                    <w:left w:val="single" w:color="auto" w:sz="4" w:space="0"/>
                    <w:bottom w:val="single" w:color="auto" w:sz="4" w:space="0"/>
                    <w:right w:val="single" w:color="auto" w:sz="4" w:space="0"/>
                  </w:tcBorders>
                  <w:vAlign w:val="center"/>
                </w:tcPr>
                <w:p w14:paraId="63C7F9A1">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color w:val="auto"/>
                    </w:rPr>
                    <w:t>4</w:t>
                  </w:r>
                </w:p>
              </w:tc>
              <w:tc>
                <w:tcPr>
                  <w:tcW w:w="817" w:type="pct"/>
                  <w:tcBorders>
                    <w:top w:val="single" w:color="auto" w:sz="4" w:space="0"/>
                    <w:left w:val="single" w:color="auto" w:sz="4" w:space="0"/>
                    <w:bottom w:val="single" w:color="auto" w:sz="4" w:space="0"/>
                    <w:right w:val="single" w:color="auto" w:sz="4" w:space="0"/>
                  </w:tcBorders>
                  <w:vAlign w:val="center"/>
                </w:tcPr>
                <w:p w14:paraId="42B45BA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1.0</w:t>
                  </w:r>
                </w:p>
              </w:tc>
              <w:tc>
                <w:tcPr>
                  <w:tcW w:w="751" w:type="pct"/>
                  <w:tcBorders>
                    <w:top w:val="single" w:color="auto" w:sz="4" w:space="0"/>
                    <w:left w:val="single" w:color="auto" w:sz="4" w:space="0"/>
                    <w:bottom w:val="single" w:color="auto" w:sz="4" w:space="0"/>
                    <w:right w:val="single" w:color="auto" w:sz="4" w:space="0"/>
                  </w:tcBorders>
                  <w:vAlign w:val="center"/>
                </w:tcPr>
                <w:p w14:paraId="494505A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0.2</w:t>
                  </w:r>
                </w:p>
              </w:tc>
            </w:tr>
            <w:tr w14:paraId="5E56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5D37A36E">
                  <w:pPr>
                    <w:pStyle w:val="29"/>
                    <w:ind w:firstLine="0" w:firstLineChars="0"/>
                    <w:rPr>
                      <w:color w:val="auto"/>
                    </w:rPr>
                  </w:pPr>
                  <w:r>
                    <w:rPr>
                      <w:color w:val="auto"/>
                    </w:rPr>
                    <w:t>Ⅴ类水质标准</w:t>
                  </w:r>
                </w:p>
              </w:tc>
              <w:tc>
                <w:tcPr>
                  <w:tcW w:w="685" w:type="pct"/>
                  <w:tcBorders>
                    <w:top w:val="single" w:color="auto" w:sz="4" w:space="0"/>
                    <w:left w:val="single" w:color="auto" w:sz="4" w:space="0"/>
                    <w:bottom w:val="single" w:color="auto" w:sz="4" w:space="0"/>
                    <w:right w:val="single" w:color="auto" w:sz="4" w:space="0"/>
                  </w:tcBorders>
                  <w:vAlign w:val="center"/>
                </w:tcPr>
                <w:p w14:paraId="537B6705">
                  <w:pPr>
                    <w:pStyle w:val="29"/>
                    <w:ind w:firstLine="0" w:firstLineChars="0"/>
                    <w:rPr>
                      <w:color w:val="auto"/>
                    </w:rPr>
                  </w:pPr>
                  <w:r>
                    <w:rPr>
                      <w:color w:val="auto"/>
                    </w:rPr>
                    <w:t>6~9</w:t>
                  </w:r>
                </w:p>
              </w:tc>
              <w:tc>
                <w:tcPr>
                  <w:tcW w:w="804" w:type="pct"/>
                  <w:tcBorders>
                    <w:top w:val="single" w:color="auto" w:sz="4" w:space="0"/>
                    <w:left w:val="single" w:color="auto" w:sz="4" w:space="0"/>
                    <w:bottom w:val="single" w:color="auto" w:sz="4" w:space="0"/>
                    <w:right w:val="single" w:color="auto" w:sz="4" w:space="0"/>
                  </w:tcBorders>
                  <w:vAlign w:val="center"/>
                </w:tcPr>
                <w:p w14:paraId="444D695E">
                  <w:pPr>
                    <w:pStyle w:val="29"/>
                    <w:ind w:firstLine="0" w:firstLineChars="0"/>
                    <w:rPr>
                      <w:rFonts w:hint="default" w:eastAsia="宋体"/>
                      <w:color w:val="auto"/>
                      <w:lang w:val="en-US" w:eastAsia="zh-CN"/>
                    </w:rPr>
                  </w:pPr>
                  <w:r>
                    <w:rPr>
                      <w:rFonts w:hint="eastAsia"/>
                      <w:color w:val="auto"/>
                      <w:lang w:val="en-US" w:eastAsia="zh-CN"/>
                    </w:rPr>
                    <w:t>40</w:t>
                  </w:r>
                </w:p>
              </w:tc>
              <w:tc>
                <w:tcPr>
                  <w:tcW w:w="829" w:type="pct"/>
                  <w:tcBorders>
                    <w:top w:val="single" w:color="auto" w:sz="4" w:space="0"/>
                    <w:left w:val="single" w:color="auto" w:sz="4" w:space="0"/>
                    <w:bottom w:val="single" w:color="auto" w:sz="4" w:space="0"/>
                    <w:right w:val="single" w:color="auto" w:sz="4" w:space="0"/>
                  </w:tcBorders>
                  <w:vAlign w:val="center"/>
                </w:tcPr>
                <w:p w14:paraId="1BC1F9CB">
                  <w:pPr>
                    <w:pStyle w:val="29"/>
                    <w:ind w:firstLine="0" w:firstLineChars="0"/>
                    <w:rPr>
                      <w:rFonts w:hint="default" w:eastAsia="宋体"/>
                      <w:color w:val="auto"/>
                      <w:lang w:val="en-US" w:eastAsia="zh-CN"/>
                    </w:rPr>
                  </w:pPr>
                  <w:r>
                    <w:rPr>
                      <w:rFonts w:hint="eastAsia"/>
                      <w:color w:val="auto"/>
                      <w:lang w:val="en-US" w:eastAsia="zh-CN"/>
                    </w:rPr>
                    <w:t>10</w:t>
                  </w:r>
                </w:p>
              </w:tc>
              <w:tc>
                <w:tcPr>
                  <w:tcW w:w="817" w:type="pct"/>
                  <w:tcBorders>
                    <w:top w:val="single" w:color="auto" w:sz="4" w:space="0"/>
                    <w:left w:val="single" w:color="auto" w:sz="4" w:space="0"/>
                    <w:bottom w:val="single" w:color="auto" w:sz="4" w:space="0"/>
                    <w:right w:val="single" w:color="auto" w:sz="4" w:space="0"/>
                  </w:tcBorders>
                  <w:vAlign w:val="center"/>
                </w:tcPr>
                <w:p w14:paraId="5B0F7212">
                  <w:pPr>
                    <w:pStyle w:val="29"/>
                    <w:ind w:firstLine="0" w:firstLineChars="0"/>
                    <w:rPr>
                      <w:rFonts w:hint="default" w:eastAsia="宋体"/>
                      <w:color w:val="auto"/>
                      <w:lang w:val="en-US" w:eastAsia="zh-CN"/>
                    </w:rPr>
                  </w:pPr>
                  <w:r>
                    <w:rPr>
                      <w:rFonts w:hint="eastAsia"/>
                      <w:color w:val="auto"/>
                      <w:lang w:val="en-US" w:eastAsia="zh-CN"/>
                    </w:rPr>
                    <w:t>2.0</w:t>
                  </w:r>
                </w:p>
              </w:tc>
              <w:tc>
                <w:tcPr>
                  <w:tcW w:w="751" w:type="pct"/>
                  <w:tcBorders>
                    <w:top w:val="single" w:color="auto" w:sz="4" w:space="0"/>
                    <w:left w:val="single" w:color="auto" w:sz="4" w:space="0"/>
                    <w:bottom w:val="single" w:color="auto" w:sz="4" w:space="0"/>
                    <w:right w:val="single" w:color="auto" w:sz="4" w:space="0"/>
                  </w:tcBorders>
                  <w:vAlign w:val="center"/>
                </w:tcPr>
                <w:p w14:paraId="57F47A1D">
                  <w:pPr>
                    <w:pStyle w:val="29"/>
                    <w:ind w:firstLine="0" w:firstLineChars="0"/>
                    <w:rPr>
                      <w:rFonts w:hint="default" w:eastAsia="宋体"/>
                      <w:color w:val="auto"/>
                      <w:lang w:val="en-US" w:eastAsia="zh-CN"/>
                    </w:rPr>
                  </w:pPr>
                  <w:r>
                    <w:rPr>
                      <w:rFonts w:hint="eastAsia"/>
                      <w:color w:val="auto"/>
                      <w:lang w:val="en-US" w:eastAsia="zh-CN"/>
                    </w:rPr>
                    <w:t>0.2</w:t>
                  </w:r>
                </w:p>
              </w:tc>
            </w:tr>
            <w:tr w14:paraId="292A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3CC6966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项目</w:t>
                  </w:r>
                </w:p>
              </w:tc>
              <w:tc>
                <w:tcPr>
                  <w:tcW w:w="685" w:type="pct"/>
                  <w:tcBorders>
                    <w:top w:val="single" w:color="auto" w:sz="4" w:space="0"/>
                    <w:left w:val="single" w:color="auto" w:sz="4" w:space="0"/>
                    <w:bottom w:val="single" w:color="auto" w:sz="4" w:space="0"/>
                    <w:right w:val="single" w:color="auto" w:sz="4" w:space="0"/>
                  </w:tcBorders>
                  <w:vAlign w:val="center"/>
                </w:tcPr>
                <w:p w14:paraId="3979C88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总氮</w:t>
                  </w:r>
                </w:p>
              </w:tc>
              <w:tc>
                <w:tcPr>
                  <w:tcW w:w="804" w:type="pct"/>
                  <w:tcBorders>
                    <w:top w:val="single" w:color="auto" w:sz="4" w:space="0"/>
                    <w:left w:val="single" w:color="auto" w:sz="4" w:space="0"/>
                    <w:bottom w:val="single" w:color="auto" w:sz="4" w:space="0"/>
                    <w:right w:val="single" w:color="auto" w:sz="4" w:space="0"/>
                  </w:tcBorders>
                  <w:vAlign w:val="center"/>
                </w:tcPr>
                <w:p w14:paraId="27CA838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铜</w:t>
                  </w:r>
                </w:p>
              </w:tc>
              <w:tc>
                <w:tcPr>
                  <w:tcW w:w="829" w:type="pct"/>
                  <w:tcBorders>
                    <w:top w:val="single" w:color="auto" w:sz="4" w:space="0"/>
                    <w:left w:val="single" w:color="auto" w:sz="4" w:space="0"/>
                    <w:bottom w:val="single" w:color="auto" w:sz="4" w:space="0"/>
                    <w:right w:val="single" w:color="auto" w:sz="4" w:space="0"/>
                  </w:tcBorders>
                  <w:vAlign w:val="center"/>
                </w:tcPr>
                <w:p w14:paraId="021C6A6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总锌</w:t>
                  </w:r>
                </w:p>
              </w:tc>
              <w:tc>
                <w:tcPr>
                  <w:tcW w:w="817" w:type="pct"/>
                  <w:tcBorders>
                    <w:top w:val="single" w:color="auto" w:sz="4" w:space="0"/>
                    <w:left w:val="single" w:color="auto" w:sz="4" w:space="0"/>
                    <w:bottom w:val="single" w:color="auto" w:sz="4" w:space="0"/>
                    <w:right w:val="single" w:color="auto" w:sz="4" w:space="0"/>
                  </w:tcBorders>
                  <w:vAlign w:val="center"/>
                </w:tcPr>
                <w:p w14:paraId="29061BA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氟化物</w:t>
                  </w:r>
                </w:p>
              </w:tc>
              <w:tc>
                <w:tcPr>
                  <w:tcW w:w="751" w:type="pct"/>
                  <w:tcBorders>
                    <w:top w:val="single" w:color="auto" w:sz="4" w:space="0"/>
                    <w:left w:val="single" w:color="auto" w:sz="4" w:space="0"/>
                    <w:bottom w:val="single" w:color="auto" w:sz="4" w:space="0"/>
                    <w:right w:val="single" w:color="auto" w:sz="4" w:space="0"/>
                  </w:tcBorders>
                  <w:vAlign w:val="center"/>
                </w:tcPr>
                <w:p w14:paraId="41EB784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砷</w:t>
                  </w:r>
                </w:p>
              </w:tc>
            </w:tr>
            <w:tr w14:paraId="56B04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299B18E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III类标准</w:t>
                  </w:r>
                </w:p>
              </w:tc>
              <w:tc>
                <w:tcPr>
                  <w:tcW w:w="685" w:type="pct"/>
                  <w:tcBorders>
                    <w:top w:val="single" w:color="auto" w:sz="4" w:space="0"/>
                    <w:left w:val="single" w:color="auto" w:sz="4" w:space="0"/>
                    <w:bottom w:val="single" w:color="auto" w:sz="4" w:space="0"/>
                    <w:right w:val="single" w:color="auto" w:sz="4" w:space="0"/>
                  </w:tcBorders>
                  <w:vAlign w:val="center"/>
                </w:tcPr>
                <w:p w14:paraId="5720433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1.0</w:t>
                  </w:r>
                </w:p>
              </w:tc>
              <w:tc>
                <w:tcPr>
                  <w:tcW w:w="804" w:type="pct"/>
                  <w:tcBorders>
                    <w:top w:val="single" w:color="auto" w:sz="4" w:space="0"/>
                    <w:left w:val="single" w:color="auto" w:sz="4" w:space="0"/>
                    <w:bottom w:val="single" w:color="auto" w:sz="4" w:space="0"/>
                    <w:right w:val="single" w:color="auto" w:sz="4" w:space="0"/>
                  </w:tcBorders>
                  <w:vAlign w:val="center"/>
                </w:tcPr>
                <w:p w14:paraId="5590EE5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1.0</w:t>
                  </w:r>
                </w:p>
              </w:tc>
              <w:tc>
                <w:tcPr>
                  <w:tcW w:w="829" w:type="pct"/>
                  <w:tcBorders>
                    <w:top w:val="single" w:color="auto" w:sz="4" w:space="0"/>
                    <w:left w:val="single" w:color="auto" w:sz="4" w:space="0"/>
                    <w:bottom w:val="single" w:color="auto" w:sz="4" w:space="0"/>
                    <w:right w:val="single" w:color="auto" w:sz="4" w:space="0"/>
                  </w:tcBorders>
                  <w:vAlign w:val="center"/>
                </w:tcPr>
                <w:p w14:paraId="07DE3DD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1.0</w:t>
                  </w:r>
                </w:p>
              </w:tc>
              <w:tc>
                <w:tcPr>
                  <w:tcW w:w="817" w:type="pct"/>
                  <w:tcBorders>
                    <w:top w:val="single" w:color="auto" w:sz="4" w:space="0"/>
                    <w:left w:val="single" w:color="auto" w:sz="4" w:space="0"/>
                    <w:bottom w:val="single" w:color="auto" w:sz="4" w:space="0"/>
                    <w:right w:val="single" w:color="auto" w:sz="4" w:space="0"/>
                  </w:tcBorders>
                  <w:vAlign w:val="center"/>
                </w:tcPr>
                <w:p w14:paraId="57D3102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1.0</w:t>
                  </w:r>
                </w:p>
              </w:tc>
              <w:tc>
                <w:tcPr>
                  <w:tcW w:w="751" w:type="pct"/>
                  <w:tcBorders>
                    <w:top w:val="single" w:color="auto" w:sz="4" w:space="0"/>
                    <w:left w:val="single" w:color="auto" w:sz="4" w:space="0"/>
                    <w:bottom w:val="single" w:color="auto" w:sz="4" w:space="0"/>
                    <w:right w:val="single" w:color="auto" w:sz="4" w:space="0"/>
                  </w:tcBorders>
                  <w:vAlign w:val="center"/>
                </w:tcPr>
                <w:p w14:paraId="5BE27FF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0.05</w:t>
                  </w:r>
                </w:p>
              </w:tc>
            </w:tr>
            <w:tr w14:paraId="4767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4F6E9807">
                  <w:pPr>
                    <w:pStyle w:val="29"/>
                    <w:ind w:firstLine="0" w:firstLineChars="0"/>
                    <w:rPr>
                      <w:color w:val="auto"/>
                    </w:rPr>
                  </w:pPr>
                  <w:r>
                    <w:rPr>
                      <w:color w:val="auto"/>
                    </w:rPr>
                    <w:t>Ⅴ类水质标准</w:t>
                  </w:r>
                </w:p>
              </w:tc>
              <w:tc>
                <w:tcPr>
                  <w:tcW w:w="685" w:type="pct"/>
                  <w:tcBorders>
                    <w:top w:val="single" w:color="auto" w:sz="4" w:space="0"/>
                    <w:left w:val="single" w:color="auto" w:sz="4" w:space="0"/>
                    <w:bottom w:val="single" w:color="auto" w:sz="4" w:space="0"/>
                    <w:right w:val="single" w:color="auto" w:sz="4" w:space="0"/>
                  </w:tcBorders>
                  <w:vAlign w:val="center"/>
                </w:tcPr>
                <w:p w14:paraId="7FE0EBBE">
                  <w:pPr>
                    <w:pStyle w:val="29"/>
                    <w:ind w:firstLine="0" w:firstLineChars="0"/>
                    <w:rPr>
                      <w:rFonts w:hint="default" w:eastAsia="宋体"/>
                      <w:color w:val="auto"/>
                      <w:lang w:val="en-US" w:eastAsia="zh-CN"/>
                    </w:rPr>
                  </w:pPr>
                  <w:r>
                    <w:rPr>
                      <w:rFonts w:hint="eastAsia"/>
                      <w:color w:val="auto"/>
                      <w:lang w:val="en-US" w:eastAsia="zh-CN"/>
                    </w:rPr>
                    <w:t>2.0</w:t>
                  </w:r>
                </w:p>
              </w:tc>
              <w:tc>
                <w:tcPr>
                  <w:tcW w:w="804" w:type="pct"/>
                  <w:tcBorders>
                    <w:top w:val="single" w:color="auto" w:sz="4" w:space="0"/>
                    <w:left w:val="single" w:color="auto" w:sz="4" w:space="0"/>
                    <w:bottom w:val="single" w:color="auto" w:sz="4" w:space="0"/>
                    <w:right w:val="single" w:color="auto" w:sz="4" w:space="0"/>
                  </w:tcBorders>
                  <w:vAlign w:val="center"/>
                </w:tcPr>
                <w:p w14:paraId="3D6ECE6E">
                  <w:pPr>
                    <w:pStyle w:val="29"/>
                    <w:ind w:firstLine="0" w:firstLineChars="0"/>
                    <w:rPr>
                      <w:rFonts w:hint="default" w:eastAsia="宋体"/>
                      <w:color w:val="auto"/>
                      <w:lang w:val="en-US" w:eastAsia="zh-CN"/>
                    </w:rPr>
                  </w:pPr>
                  <w:r>
                    <w:rPr>
                      <w:rFonts w:hint="eastAsia"/>
                      <w:color w:val="auto"/>
                      <w:lang w:val="en-US" w:eastAsia="zh-CN"/>
                    </w:rPr>
                    <w:t>1.0</w:t>
                  </w:r>
                </w:p>
              </w:tc>
              <w:tc>
                <w:tcPr>
                  <w:tcW w:w="829" w:type="pct"/>
                  <w:tcBorders>
                    <w:top w:val="single" w:color="auto" w:sz="4" w:space="0"/>
                    <w:left w:val="single" w:color="auto" w:sz="4" w:space="0"/>
                    <w:bottom w:val="single" w:color="auto" w:sz="4" w:space="0"/>
                    <w:right w:val="single" w:color="auto" w:sz="4" w:space="0"/>
                  </w:tcBorders>
                  <w:vAlign w:val="center"/>
                </w:tcPr>
                <w:p w14:paraId="303A29A0">
                  <w:pPr>
                    <w:pStyle w:val="29"/>
                    <w:ind w:firstLine="0" w:firstLineChars="0"/>
                    <w:rPr>
                      <w:rFonts w:hint="default" w:eastAsia="宋体"/>
                      <w:color w:val="auto"/>
                      <w:lang w:val="en-US" w:eastAsia="zh-CN"/>
                    </w:rPr>
                  </w:pPr>
                  <w:r>
                    <w:rPr>
                      <w:rFonts w:hint="eastAsia"/>
                      <w:color w:val="auto"/>
                      <w:lang w:val="en-US" w:eastAsia="zh-CN"/>
                    </w:rPr>
                    <w:t>2.0</w:t>
                  </w:r>
                </w:p>
              </w:tc>
              <w:tc>
                <w:tcPr>
                  <w:tcW w:w="817" w:type="pct"/>
                  <w:tcBorders>
                    <w:top w:val="single" w:color="auto" w:sz="4" w:space="0"/>
                    <w:left w:val="single" w:color="auto" w:sz="4" w:space="0"/>
                    <w:bottom w:val="single" w:color="auto" w:sz="4" w:space="0"/>
                    <w:right w:val="single" w:color="auto" w:sz="4" w:space="0"/>
                  </w:tcBorders>
                  <w:vAlign w:val="center"/>
                </w:tcPr>
                <w:p w14:paraId="0DFCC089">
                  <w:pPr>
                    <w:pStyle w:val="29"/>
                    <w:ind w:firstLine="0" w:firstLineChars="0"/>
                    <w:rPr>
                      <w:rFonts w:hint="default" w:eastAsia="宋体"/>
                      <w:color w:val="auto"/>
                      <w:lang w:val="en-US" w:eastAsia="zh-CN"/>
                    </w:rPr>
                  </w:pPr>
                  <w:r>
                    <w:rPr>
                      <w:rFonts w:hint="eastAsia"/>
                      <w:color w:val="auto"/>
                      <w:lang w:val="en-US" w:eastAsia="zh-CN"/>
                    </w:rPr>
                    <w:t>1.5</w:t>
                  </w:r>
                </w:p>
              </w:tc>
              <w:tc>
                <w:tcPr>
                  <w:tcW w:w="751" w:type="pct"/>
                  <w:tcBorders>
                    <w:top w:val="single" w:color="auto" w:sz="4" w:space="0"/>
                    <w:left w:val="single" w:color="auto" w:sz="4" w:space="0"/>
                    <w:bottom w:val="single" w:color="auto" w:sz="4" w:space="0"/>
                    <w:right w:val="single" w:color="auto" w:sz="4" w:space="0"/>
                  </w:tcBorders>
                  <w:vAlign w:val="center"/>
                </w:tcPr>
                <w:p w14:paraId="1F141600">
                  <w:pPr>
                    <w:pStyle w:val="29"/>
                    <w:ind w:firstLine="0" w:firstLineChars="0"/>
                    <w:rPr>
                      <w:rFonts w:hint="default" w:eastAsia="宋体"/>
                      <w:color w:val="auto"/>
                      <w:lang w:val="en-US" w:eastAsia="zh-CN"/>
                    </w:rPr>
                  </w:pPr>
                  <w:r>
                    <w:rPr>
                      <w:rFonts w:hint="eastAsia"/>
                      <w:color w:val="auto"/>
                      <w:lang w:val="en-US" w:eastAsia="zh-CN"/>
                    </w:rPr>
                    <w:t>0.1</w:t>
                  </w:r>
                </w:p>
              </w:tc>
            </w:tr>
            <w:tr w14:paraId="19C1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18FC765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项目</w:t>
                  </w:r>
                </w:p>
              </w:tc>
              <w:tc>
                <w:tcPr>
                  <w:tcW w:w="685" w:type="pct"/>
                  <w:tcBorders>
                    <w:top w:val="single" w:color="auto" w:sz="4" w:space="0"/>
                    <w:left w:val="single" w:color="auto" w:sz="4" w:space="0"/>
                    <w:bottom w:val="single" w:color="auto" w:sz="4" w:space="0"/>
                    <w:right w:val="single" w:color="auto" w:sz="4" w:space="0"/>
                  </w:tcBorders>
                  <w:vAlign w:val="center"/>
                </w:tcPr>
                <w:p w14:paraId="19C04F9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汞</w:t>
                  </w:r>
                </w:p>
              </w:tc>
              <w:tc>
                <w:tcPr>
                  <w:tcW w:w="804" w:type="pct"/>
                  <w:tcBorders>
                    <w:top w:val="single" w:color="auto" w:sz="4" w:space="0"/>
                    <w:left w:val="single" w:color="auto" w:sz="4" w:space="0"/>
                    <w:bottom w:val="single" w:color="auto" w:sz="4" w:space="0"/>
                    <w:right w:val="single" w:color="auto" w:sz="4" w:space="0"/>
                  </w:tcBorders>
                  <w:vAlign w:val="center"/>
                </w:tcPr>
                <w:p w14:paraId="5CE2F80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镉</w:t>
                  </w:r>
                </w:p>
              </w:tc>
              <w:tc>
                <w:tcPr>
                  <w:tcW w:w="829" w:type="pct"/>
                  <w:tcBorders>
                    <w:top w:val="single" w:color="auto" w:sz="4" w:space="0"/>
                    <w:left w:val="single" w:color="auto" w:sz="4" w:space="0"/>
                    <w:bottom w:val="single" w:color="auto" w:sz="4" w:space="0"/>
                    <w:right w:val="single" w:color="auto" w:sz="4" w:space="0"/>
                  </w:tcBorders>
                  <w:vAlign w:val="center"/>
                </w:tcPr>
                <w:p w14:paraId="09D96AC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六价铬</w:t>
                  </w:r>
                </w:p>
              </w:tc>
              <w:tc>
                <w:tcPr>
                  <w:tcW w:w="817" w:type="pct"/>
                  <w:tcBorders>
                    <w:top w:val="single" w:color="auto" w:sz="4" w:space="0"/>
                    <w:left w:val="single" w:color="auto" w:sz="4" w:space="0"/>
                    <w:bottom w:val="single" w:color="auto" w:sz="4" w:space="0"/>
                    <w:right w:val="single" w:color="auto" w:sz="4" w:space="0"/>
                  </w:tcBorders>
                  <w:vAlign w:val="center"/>
                </w:tcPr>
                <w:p w14:paraId="333F31A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铅</w:t>
                  </w:r>
                </w:p>
              </w:tc>
              <w:tc>
                <w:tcPr>
                  <w:tcW w:w="751" w:type="pct"/>
                  <w:tcBorders>
                    <w:top w:val="single" w:color="auto" w:sz="4" w:space="0"/>
                    <w:left w:val="single" w:color="auto" w:sz="4" w:space="0"/>
                    <w:bottom w:val="single" w:color="auto" w:sz="4" w:space="0"/>
                    <w:right w:val="single" w:color="auto" w:sz="4" w:space="0"/>
                  </w:tcBorders>
                  <w:vAlign w:val="center"/>
                </w:tcPr>
                <w:p w14:paraId="6DE4A61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氰化物</w:t>
                  </w:r>
                </w:p>
              </w:tc>
            </w:tr>
            <w:tr w14:paraId="14C2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48EE6C8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III类标准</w:t>
                  </w:r>
                </w:p>
              </w:tc>
              <w:tc>
                <w:tcPr>
                  <w:tcW w:w="685" w:type="pct"/>
                  <w:tcBorders>
                    <w:top w:val="single" w:color="auto" w:sz="4" w:space="0"/>
                    <w:left w:val="single" w:color="auto" w:sz="4" w:space="0"/>
                    <w:bottom w:val="single" w:color="auto" w:sz="4" w:space="0"/>
                    <w:right w:val="single" w:color="auto" w:sz="4" w:space="0"/>
                  </w:tcBorders>
                  <w:vAlign w:val="center"/>
                </w:tcPr>
                <w:p w14:paraId="4DCEDA8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0.00</w:t>
                  </w:r>
                  <w:r>
                    <w:rPr>
                      <w:rFonts w:hint="eastAsia"/>
                      <w:color w:val="auto"/>
                      <w:lang w:val="en-US" w:eastAsia="zh-CN"/>
                    </w:rPr>
                    <w:t>0</w:t>
                  </w:r>
                  <w:r>
                    <w:rPr>
                      <w:color w:val="auto"/>
                    </w:rPr>
                    <w:t>1</w:t>
                  </w:r>
                </w:p>
              </w:tc>
              <w:tc>
                <w:tcPr>
                  <w:tcW w:w="804" w:type="pct"/>
                  <w:tcBorders>
                    <w:top w:val="single" w:color="auto" w:sz="4" w:space="0"/>
                    <w:left w:val="single" w:color="auto" w:sz="4" w:space="0"/>
                    <w:bottom w:val="single" w:color="auto" w:sz="4" w:space="0"/>
                    <w:right w:val="single" w:color="auto" w:sz="4" w:space="0"/>
                  </w:tcBorders>
                  <w:vAlign w:val="center"/>
                </w:tcPr>
                <w:p w14:paraId="00513B8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0.005</w:t>
                  </w:r>
                </w:p>
              </w:tc>
              <w:tc>
                <w:tcPr>
                  <w:tcW w:w="829" w:type="pct"/>
                  <w:tcBorders>
                    <w:top w:val="single" w:color="auto" w:sz="4" w:space="0"/>
                    <w:left w:val="single" w:color="auto" w:sz="4" w:space="0"/>
                    <w:bottom w:val="single" w:color="auto" w:sz="4" w:space="0"/>
                    <w:right w:val="single" w:color="auto" w:sz="4" w:space="0"/>
                  </w:tcBorders>
                  <w:vAlign w:val="center"/>
                </w:tcPr>
                <w:p w14:paraId="116E7B3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0.05</w:t>
                  </w:r>
                </w:p>
              </w:tc>
              <w:tc>
                <w:tcPr>
                  <w:tcW w:w="817" w:type="pct"/>
                  <w:tcBorders>
                    <w:top w:val="single" w:color="auto" w:sz="4" w:space="0"/>
                    <w:left w:val="single" w:color="auto" w:sz="4" w:space="0"/>
                    <w:bottom w:val="single" w:color="auto" w:sz="4" w:space="0"/>
                    <w:right w:val="single" w:color="auto" w:sz="4" w:space="0"/>
                  </w:tcBorders>
                  <w:vAlign w:val="center"/>
                </w:tcPr>
                <w:p w14:paraId="3A3AC6E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0.05</w:t>
                  </w:r>
                </w:p>
              </w:tc>
              <w:tc>
                <w:tcPr>
                  <w:tcW w:w="751" w:type="pct"/>
                  <w:tcBorders>
                    <w:top w:val="single" w:color="auto" w:sz="4" w:space="0"/>
                    <w:left w:val="single" w:color="auto" w:sz="4" w:space="0"/>
                    <w:bottom w:val="single" w:color="auto" w:sz="4" w:space="0"/>
                    <w:right w:val="single" w:color="auto" w:sz="4" w:space="0"/>
                  </w:tcBorders>
                  <w:vAlign w:val="center"/>
                </w:tcPr>
                <w:p w14:paraId="74C8892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0.2</w:t>
                  </w:r>
                </w:p>
              </w:tc>
            </w:tr>
            <w:tr w14:paraId="3AC6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420627C1">
                  <w:pPr>
                    <w:pStyle w:val="29"/>
                    <w:ind w:firstLine="0" w:firstLineChars="0"/>
                    <w:rPr>
                      <w:color w:val="auto"/>
                    </w:rPr>
                  </w:pPr>
                  <w:r>
                    <w:rPr>
                      <w:color w:val="auto"/>
                    </w:rPr>
                    <w:t>Ⅴ类水质标准</w:t>
                  </w:r>
                </w:p>
              </w:tc>
              <w:tc>
                <w:tcPr>
                  <w:tcW w:w="685" w:type="pct"/>
                  <w:tcBorders>
                    <w:top w:val="single" w:color="auto" w:sz="4" w:space="0"/>
                    <w:left w:val="single" w:color="auto" w:sz="4" w:space="0"/>
                    <w:bottom w:val="single" w:color="auto" w:sz="4" w:space="0"/>
                    <w:right w:val="single" w:color="auto" w:sz="4" w:space="0"/>
                  </w:tcBorders>
                  <w:vAlign w:val="center"/>
                </w:tcPr>
                <w:p w14:paraId="09B93A50">
                  <w:pPr>
                    <w:pStyle w:val="29"/>
                    <w:ind w:firstLine="0" w:firstLineChars="0"/>
                    <w:rPr>
                      <w:rFonts w:hint="default" w:eastAsia="宋体"/>
                      <w:color w:val="auto"/>
                      <w:lang w:val="en-US" w:eastAsia="zh-CN"/>
                    </w:rPr>
                  </w:pPr>
                  <w:r>
                    <w:rPr>
                      <w:rFonts w:hint="eastAsia"/>
                      <w:color w:val="auto"/>
                      <w:lang w:val="en-US" w:eastAsia="zh-CN"/>
                    </w:rPr>
                    <w:t>0.001</w:t>
                  </w:r>
                </w:p>
              </w:tc>
              <w:tc>
                <w:tcPr>
                  <w:tcW w:w="804" w:type="pct"/>
                  <w:tcBorders>
                    <w:top w:val="single" w:color="auto" w:sz="4" w:space="0"/>
                    <w:left w:val="single" w:color="auto" w:sz="4" w:space="0"/>
                    <w:bottom w:val="single" w:color="auto" w:sz="4" w:space="0"/>
                    <w:right w:val="single" w:color="auto" w:sz="4" w:space="0"/>
                  </w:tcBorders>
                  <w:vAlign w:val="center"/>
                </w:tcPr>
                <w:p w14:paraId="4830BD61">
                  <w:pPr>
                    <w:pStyle w:val="29"/>
                    <w:ind w:firstLine="0" w:firstLineChars="0"/>
                    <w:rPr>
                      <w:rFonts w:hint="default" w:eastAsia="宋体"/>
                      <w:color w:val="auto"/>
                      <w:lang w:val="en-US" w:eastAsia="zh-CN"/>
                    </w:rPr>
                  </w:pPr>
                  <w:r>
                    <w:rPr>
                      <w:rFonts w:hint="eastAsia"/>
                      <w:color w:val="auto"/>
                      <w:lang w:val="en-US" w:eastAsia="zh-CN"/>
                    </w:rPr>
                    <w:t>0.01</w:t>
                  </w:r>
                </w:p>
              </w:tc>
              <w:tc>
                <w:tcPr>
                  <w:tcW w:w="829" w:type="pct"/>
                  <w:tcBorders>
                    <w:top w:val="single" w:color="auto" w:sz="4" w:space="0"/>
                    <w:left w:val="single" w:color="auto" w:sz="4" w:space="0"/>
                    <w:bottom w:val="single" w:color="auto" w:sz="4" w:space="0"/>
                    <w:right w:val="single" w:color="auto" w:sz="4" w:space="0"/>
                  </w:tcBorders>
                  <w:vAlign w:val="center"/>
                </w:tcPr>
                <w:p w14:paraId="3E11D367">
                  <w:pPr>
                    <w:pStyle w:val="29"/>
                    <w:ind w:firstLine="0" w:firstLineChars="0"/>
                    <w:rPr>
                      <w:rFonts w:hint="default" w:eastAsia="宋体"/>
                      <w:color w:val="auto"/>
                      <w:lang w:val="en-US" w:eastAsia="zh-CN"/>
                    </w:rPr>
                  </w:pPr>
                  <w:r>
                    <w:rPr>
                      <w:rFonts w:hint="eastAsia"/>
                      <w:color w:val="auto"/>
                      <w:lang w:val="en-US" w:eastAsia="zh-CN"/>
                    </w:rPr>
                    <w:t>1.0</w:t>
                  </w:r>
                </w:p>
              </w:tc>
              <w:tc>
                <w:tcPr>
                  <w:tcW w:w="817" w:type="pct"/>
                  <w:tcBorders>
                    <w:top w:val="single" w:color="auto" w:sz="4" w:space="0"/>
                    <w:left w:val="single" w:color="auto" w:sz="4" w:space="0"/>
                    <w:bottom w:val="single" w:color="auto" w:sz="4" w:space="0"/>
                    <w:right w:val="single" w:color="auto" w:sz="4" w:space="0"/>
                  </w:tcBorders>
                  <w:vAlign w:val="center"/>
                </w:tcPr>
                <w:p w14:paraId="050E5780">
                  <w:pPr>
                    <w:pStyle w:val="29"/>
                    <w:ind w:firstLine="0" w:firstLineChars="0"/>
                    <w:rPr>
                      <w:rFonts w:hint="default" w:eastAsia="宋体"/>
                      <w:color w:val="auto"/>
                      <w:lang w:val="en-US" w:eastAsia="zh-CN"/>
                    </w:rPr>
                  </w:pPr>
                  <w:r>
                    <w:rPr>
                      <w:rFonts w:hint="eastAsia"/>
                      <w:color w:val="auto"/>
                      <w:lang w:val="en-US" w:eastAsia="zh-CN"/>
                    </w:rPr>
                    <w:t>0.1</w:t>
                  </w:r>
                </w:p>
              </w:tc>
              <w:tc>
                <w:tcPr>
                  <w:tcW w:w="751" w:type="pct"/>
                  <w:tcBorders>
                    <w:top w:val="single" w:color="auto" w:sz="4" w:space="0"/>
                    <w:left w:val="single" w:color="auto" w:sz="4" w:space="0"/>
                    <w:bottom w:val="single" w:color="auto" w:sz="4" w:space="0"/>
                    <w:right w:val="single" w:color="auto" w:sz="4" w:space="0"/>
                  </w:tcBorders>
                  <w:vAlign w:val="center"/>
                </w:tcPr>
                <w:p w14:paraId="1587942E">
                  <w:pPr>
                    <w:pStyle w:val="29"/>
                    <w:ind w:firstLine="0" w:firstLineChars="0"/>
                    <w:rPr>
                      <w:rFonts w:hint="default" w:eastAsia="宋体"/>
                      <w:color w:val="auto"/>
                      <w:lang w:val="en-US" w:eastAsia="zh-CN"/>
                    </w:rPr>
                  </w:pPr>
                  <w:r>
                    <w:rPr>
                      <w:rFonts w:hint="eastAsia"/>
                      <w:color w:val="auto"/>
                      <w:lang w:val="en-US" w:eastAsia="zh-CN"/>
                    </w:rPr>
                    <w:t>0.2</w:t>
                  </w:r>
                </w:p>
              </w:tc>
            </w:tr>
            <w:tr w14:paraId="6A12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65FAAD6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项目</w:t>
                  </w:r>
                </w:p>
              </w:tc>
              <w:tc>
                <w:tcPr>
                  <w:tcW w:w="685" w:type="pct"/>
                  <w:tcBorders>
                    <w:top w:val="single" w:color="auto" w:sz="4" w:space="0"/>
                    <w:left w:val="single" w:color="auto" w:sz="4" w:space="0"/>
                    <w:bottom w:val="single" w:color="auto" w:sz="4" w:space="0"/>
                    <w:right w:val="single" w:color="auto" w:sz="4" w:space="0"/>
                  </w:tcBorders>
                  <w:vAlign w:val="center"/>
                </w:tcPr>
                <w:p w14:paraId="6BEE638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挥发酚</w:t>
                  </w:r>
                </w:p>
              </w:tc>
              <w:tc>
                <w:tcPr>
                  <w:tcW w:w="804" w:type="pct"/>
                  <w:tcBorders>
                    <w:top w:val="single" w:color="auto" w:sz="4" w:space="0"/>
                    <w:left w:val="single" w:color="auto" w:sz="4" w:space="0"/>
                    <w:bottom w:val="single" w:color="auto" w:sz="4" w:space="0"/>
                    <w:right w:val="single" w:color="auto" w:sz="4" w:space="0"/>
                  </w:tcBorders>
                  <w:vAlign w:val="center"/>
                </w:tcPr>
                <w:p w14:paraId="3026EF7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石油类</w:t>
                  </w:r>
                </w:p>
              </w:tc>
              <w:tc>
                <w:tcPr>
                  <w:tcW w:w="829" w:type="pct"/>
                  <w:tcBorders>
                    <w:top w:val="single" w:color="auto" w:sz="4" w:space="0"/>
                    <w:left w:val="single" w:color="auto" w:sz="4" w:space="0"/>
                    <w:bottom w:val="single" w:color="auto" w:sz="4" w:space="0"/>
                    <w:right w:val="single" w:color="auto" w:sz="4" w:space="0"/>
                  </w:tcBorders>
                  <w:vAlign w:val="center"/>
                </w:tcPr>
                <w:p w14:paraId="111D916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阴离子表面活性剂</w:t>
                  </w:r>
                </w:p>
              </w:tc>
              <w:tc>
                <w:tcPr>
                  <w:tcW w:w="817" w:type="pct"/>
                  <w:tcBorders>
                    <w:top w:val="single" w:color="auto" w:sz="4" w:space="0"/>
                    <w:left w:val="single" w:color="auto" w:sz="4" w:space="0"/>
                    <w:bottom w:val="single" w:color="auto" w:sz="4" w:space="0"/>
                    <w:right w:val="single" w:color="auto" w:sz="4" w:space="0"/>
                  </w:tcBorders>
                  <w:vAlign w:val="center"/>
                </w:tcPr>
                <w:p w14:paraId="0B7BA13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硫化物</w:t>
                  </w:r>
                </w:p>
              </w:tc>
              <w:tc>
                <w:tcPr>
                  <w:tcW w:w="751" w:type="pct"/>
                  <w:tcBorders>
                    <w:top w:val="single" w:color="auto" w:sz="4" w:space="0"/>
                    <w:left w:val="single" w:color="auto" w:sz="4" w:space="0"/>
                    <w:bottom w:val="single" w:color="auto" w:sz="4" w:space="0"/>
                    <w:right w:val="single" w:color="auto" w:sz="4" w:space="0"/>
                  </w:tcBorders>
                  <w:vAlign w:val="center"/>
                </w:tcPr>
                <w:p w14:paraId="04071E3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粪大肠菌</w:t>
                  </w:r>
                  <w:r>
                    <w:rPr>
                      <w:rFonts w:hint="eastAsia"/>
                      <w:color w:val="auto"/>
                      <w:lang w:eastAsia="zh-CN"/>
                    </w:rPr>
                    <w:t>群</w:t>
                  </w:r>
                  <w:r>
                    <w:rPr>
                      <w:color w:val="auto"/>
                    </w:rPr>
                    <w:t>（个/L）</w:t>
                  </w:r>
                </w:p>
              </w:tc>
            </w:tr>
            <w:tr w14:paraId="11A6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4E0C090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III类标准</w:t>
                  </w:r>
                </w:p>
              </w:tc>
              <w:tc>
                <w:tcPr>
                  <w:tcW w:w="685" w:type="pct"/>
                  <w:tcBorders>
                    <w:top w:val="single" w:color="auto" w:sz="4" w:space="0"/>
                    <w:left w:val="single" w:color="auto" w:sz="4" w:space="0"/>
                    <w:bottom w:val="single" w:color="auto" w:sz="4" w:space="0"/>
                    <w:right w:val="single" w:color="auto" w:sz="4" w:space="0"/>
                  </w:tcBorders>
                  <w:vAlign w:val="center"/>
                </w:tcPr>
                <w:p w14:paraId="63756A3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0.005</w:t>
                  </w:r>
                </w:p>
              </w:tc>
              <w:tc>
                <w:tcPr>
                  <w:tcW w:w="804" w:type="pct"/>
                  <w:tcBorders>
                    <w:top w:val="single" w:color="auto" w:sz="4" w:space="0"/>
                    <w:left w:val="single" w:color="auto" w:sz="4" w:space="0"/>
                    <w:bottom w:val="single" w:color="auto" w:sz="4" w:space="0"/>
                    <w:right w:val="single" w:color="auto" w:sz="4" w:space="0"/>
                  </w:tcBorders>
                  <w:vAlign w:val="center"/>
                </w:tcPr>
                <w:p w14:paraId="7B27DCF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0.05</w:t>
                  </w:r>
                </w:p>
              </w:tc>
              <w:tc>
                <w:tcPr>
                  <w:tcW w:w="829" w:type="pct"/>
                  <w:tcBorders>
                    <w:top w:val="single" w:color="auto" w:sz="4" w:space="0"/>
                    <w:left w:val="single" w:color="auto" w:sz="4" w:space="0"/>
                    <w:bottom w:val="single" w:color="auto" w:sz="4" w:space="0"/>
                    <w:right w:val="single" w:color="auto" w:sz="4" w:space="0"/>
                  </w:tcBorders>
                  <w:vAlign w:val="center"/>
                </w:tcPr>
                <w:p w14:paraId="036ACFF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0.2</w:t>
                  </w:r>
                </w:p>
              </w:tc>
              <w:tc>
                <w:tcPr>
                  <w:tcW w:w="817" w:type="pct"/>
                  <w:tcBorders>
                    <w:top w:val="single" w:color="auto" w:sz="4" w:space="0"/>
                    <w:left w:val="single" w:color="auto" w:sz="4" w:space="0"/>
                    <w:bottom w:val="single" w:color="auto" w:sz="4" w:space="0"/>
                    <w:right w:val="single" w:color="auto" w:sz="4" w:space="0"/>
                  </w:tcBorders>
                  <w:vAlign w:val="center"/>
                </w:tcPr>
                <w:p w14:paraId="3474BD7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0.2</w:t>
                  </w:r>
                </w:p>
              </w:tc>
              <w:tc>
                <w:tcPr>
                  <w:tcW w:w="751" w:type="pct"/>
                  <w:tcBorders>
                    <w:top w:val="single" w:color="auto" w:sz="4" w:space="0"/>
                    <w:left w:val="single" w:color="auto" w:sz="4" w:space="0"/>
                    <w:bottom w:val="single" w:color="auto" w:sz="4" w:space="0"/>
                    <w:right w:val="single" w:color="auto" w:sz="4" w:space="0"/>
                  </w:tcBorders>
                  <w:vAlign w:val="center"/>
                </w:tcPr>
                <w:p w14:paraId="60171B7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10000</w:t>
                  </w:r>
                </w:p>
              </w:tc>
            </w:tr>
            <w:tr w14:paraId="3FF9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11" w:type="pct"/>
                  <w:tcBorders>
                    <w:top w:val="single" w:color="auto" w:sz="4" w:space="0"/>
                    <w:left w:val="single" w:color="auto" w:sz="4" w:space="0"/>
                    <w:bottom w:val="single" w:color="auto" w:sz="4" w:space="0"/>
                    <w:right w:val="single" w:color="auto" w:sz="4" w:space="0"/>
                  </w:tcBorders>
                  <w:vAlign w:val="center"/>
                </w:tcPr>
                <w:p w14:paraId="2C60E20A">
                  <w:pPr>
                    <w:pStyle w:val="29"/>
                    <w:ind w:firstLine="0" w:firstLineChars="0"/>
                    <w:rPr>
                      <w:color w:val="auto"/>
                    </w:rPr>
                  </w:pPr>
                  <w:r>
                    <w:rPr>
                      <w:color w:val="auto"/>
                    </w:rPr>
                    <w:t>Ⅴ类水质标准</w:t>
                  </w:r>
                </w:p>
              </w:tc>
              <w:tc>
                <w:tcPr>
                  <w:tcW w:w="685" w:type="pct"/>
                  <w:tcBorders>
                    <w:top w:val="single" w:color="auto" w:sz="4" w:space="0"/>
                    <w:left w:val="single" w:color="auto" w:sz="4" w:space="0"/>
                    <w:bottom w:val="single" w:color="auto" w:sz="4" w:space="0"/>
                    <w:right w:val="single" w:color="auto" w:sz="4" w:space="0"/>
                  </w:tcBorders>
                  <w:vAlign w:val="center"/>
                </w:tcPr>
                <w:p w14:paraId="5129D1B3">
                  <w:pPr>
                    <w:pStyle w:val="29"/>
                    <w:ind w:firstLine="0" w:firstLineChars="0"/>
                    <w:rPr>
                      <w:rFonts w:hint="default" w:eastAsia="宋体"/>
                      <w:color w:val="auto"/>
                      <w:lang w:val="en-US" w:eastAsia="zh-CN"/>
                    </w:rPr>
                  </w:pPr>
                  <w:r>
                    <w:rPr>
                      <w:rFonts w:hint="eastAsia"/>
                      <w:color w:val="auto"/>
                      <w:lang w:val="en-US" w:eastAsia="zh-CN"/>
                    </w:rPr>
                    <w:t>0.1</w:t>
                  </w:r>
                </w:p>
              </w:tc>
              <w:tc>
                <w:tcPr>
                  <w:tcW w:w="804" w:type="pct"/>
                  <w:tcBorders>
                    <w:top w:val="single" w:color="auto" w:sz="4" w:space="0"/>
                    <w:left w:val="single" w:color="auto" w:sz="4" w:space="0"/>
                    <w:bottom w:val="single" w:color="auto" w:sz="4" w:space="0"/>
                    <w:right w:val="single" w:color="auto" w:sz="4" w:space="0"/>
                  </w:tcBorders>
                  <w:vAlign w:val="center"/>
                </w:tcPr>
                <w:p w14:paraId="3821633E">
                  <w:pPr>
                    <w:pStyle w:val="29"/>
                    <w:ind w:firstLine="0" w:firstLineChars="0"/>
                    <w:rPr>
                      <w:rFonts w:hint="default" w:eastAsia="宋体"/>
                      <w:color w:val="auto"/>
                      <w:lang w:val="en-US" w:eastAsia="zh-CN"/>
                    </w:rPr>
                  </w:pPr>
                  <w:r>
                    <w:rPr>
                      <w:rFonts w:hint="eastAsia"/>
                      <w:color w:val="auto"/>
                      <w:lang w:val="en-US" w:eastAsia="zh-CN"/>
                    </w:rPr>
                    <w:t>1.0</w:t>
                  </w:r>
                </w:p>
              </w:tc>
              <w:tc>
                <w:tcPr>
                  <w:tcW w:w="829" w:type="pct"/>
                  <w:tcBorders>
                    <w:top w:val="single" w:color="auto" w:sz="4" w:space="0"/>
                    <w:left w:val="single" w:color="auto" w:sz="4" w:space="0"/>
                    <w:bottom w:val="single" w:color="auto" w:sz="4" w:space="0"/>
                    <w:right w:val="single" w:color="auto" w:sz="4" w:space="0"/>
                  </w:tcBorders>
                  <w:vAlign w:val="center"/>
                </w:tcPr>
                <w:p w14:paraId="3D68D33B">
                  <w:pPr>
                    <w:pStyle w:val="29"/>
                    <w:ind w:firstLine="0" w:firstLineChars="0"/>
                    <w:rPr>
                      <w:rFonts w:hint="default" w:eastAsia="宋体"/>
                      <w:color w:val="auto"/>
                      <w:lang w:val="en-US" w:eastAsia="zh-CN"/>
                    </w:rPr>
                  </w:pPr>
                  <w:r>
                    <w:rPr>
                      <w:rFonts w:hint="eastAsia"/>
                      <w:color w:val="auto"/>
                      <w:lang w:val="en-US" w:eastAsia="zh-CN"/>
                    </w:rPr>
                    <w:t>0.3</w:t>
                  </w:r>
                </w:p>
              </w:tc>
              <w:tc>
                <w:tcPr>
                  <w:tcW w:w="817" w:type="pct"/>
                  <w:tcBorders>
                    <w:top w:val="single" w:color="auto" w:sz="4" w:space="0"/>
                    <w:left w:val="single" w:color="auto" w:sz="4" w:space="0"/>
                    <w:bottom w:val="single" w:color="auto" w:sz="4" w:space="0"/>
                    <w:right w:val="single" w:color="auto" w:sz="4" w:space="0"/>
                  </w:tcBorders>
                  <w:vAlign w:val="center"/>
                </w:tcPr>
                <w:p w14:paraId="1597707A">
                  <w:pPr>
                    <w:pStyle w:val="29"/>
                    <w:ind w:firstLine="0" w:firstLineChars="0"/>
                    <w:rPr>
                      <w:rFonts w:hint="default" w:eastAsia="宋体"/>
                      <w:color w:val="auto"/>
                      <w:lang w:val="en-US" w:eastAsia="zh-CN"/>
                    </w:rPr>
                  </w:pPr>
                  <w:r>
                    <w:rPr>
                      <w:rFonts w:hint="eastAsia"/>
                      <w:color w:val="auto"/>
                      <w:lang w:val="en-US" w:eastAsia="zh-CN"/>
                    </w:rPr>
                    <w:t>1.0</w:t>
                  </w:r>
                </w:p>
              </w:tc>
              <w:tc>
                <w:tcPr>
                  <w:tcW w:w="751" w:type="pct"/>
                  <w:tcBorders>
                    <w:top w:val="single" w:color="auto" w:sz="4" w:space="0"/>
                    <w:left w:val="single" w:color="auto" w:sz="4" w:space="0"/>
                    <w:bottom w:val="single" w:color="auto" w:sz="4" w:space="0"/>
                    <w:right w:val="single" w:color="auto" w:sz="4" w:space="0"/>
                  </w:tcBorders>
                  <w:vAlign w:val="center"/>
                </w:tcPr>
                <w:p w14:paraId="653F08D7">
                  <w:pPr>
                    <w:pStyle w:val="29"/>
                    <w:ind w:firstLine="0" w:firstLineChars="0"/>
                    <w:rPr>
                      <w:rFonts w:hint="default" w:eastAsia="宋体"/>
                      <w:color w:val="auto"/>
                      <w:lang w:val="en-US" w:eastAsia="zh-CN"/>
                    </w:rPr>
                  </w:pPr>
                  <w:r>
                    <w:rPr>
                      <w:rFonts w:hint="eastAsia"/>
                      <w:color w:val="auto"/>
                      <w:lang w:val="en-US" w:eastAsia="zh-CN"/>
                    </w:rPr>
                    <w:t>40000</w:t>
                  </w:r>
                </w:p>
              </w:tc>
            </w:tr>
          </w:tbl>
          <w:p w14:paraId="6B53A542">
            <w:pPr>
              <w:pStyle w:val="9"/>
              <w:ind w:firstLine="482"/>
              <w:rPr>
                <w:b/>
                <w:bCs/>
                <w:color w:val="auto"/>
              </w:rPr>
            </w:pPr>
            <w:r>
              <w:rPr>
                <w:rFonts w:hint="eastAsia"/>
                <w:b/>
                <w:bCs/>
                <w:color w:val="auto"/>
              </w:rPr>
              <w:t>（2）地表水环境质量现状</w:t>
            </w:r>
          </w:p>
          <w:p w14:paraId="098C52C8">
            <w:pPr>
              <w:pStyle w:val="9"/>
              <w:ind w:firstLine="480"/>
              <w:rPr>
                <w:rFonts w:hint="default" w:eastAsia="宋体"/>
                <w:b/>
                <w:bCs w:val="0"/>
                <w:color w:val="auto"/>
                <w:lang w:val="en-US" w:eastAsia="zh-CN"/>
              </w:rPr>
            </w:pPr>
            <w:r>
              <w:rPr>
                <w:rFonts w:hint="eastAsia"/>
                <w:b/>
                <w:bCs w:val="0"/>
                <w:color w:val="auto"/>
                <w:lang w:val="en-US" w:eastAsia="zh-CN"/>
              </w:rPr>
              <w:t>1）老西河环境质量现状</w:t>
            </w:r>
          </w:p>
          <w:p w14:paraId="1B71AD73">
            <w:pPr>
              <w:pStyle w:val="9"/>
              <w:ind w:left="0" w:leftChars="0" w:firstLine="480" w:firstLineChars="200"/>
              <w:rPr>
                <w:rFonts w:hint="eastAsia"/>
                <w:bCs/>
                <w:color w:val="auto"/>
                <w:lang w:eastAsia="zh-CN"/>
              </w:rPr>
            </w:pPr>
            <w:r>
              <w:rPr>
                <w:rFonts w:hint="eastAsia"/>
                <w:bCs/>
                <w:color w:val="auto"/>
                <w:lang w:eastAsia="zh-CN"/>
              </w:rPr>
              <w:t>本次引用玉溪合原能源有限公司《生物质导热油炉红塔塑胶供热项目环境影响报告表》中国检测试控股集团云南京诚检测有限公司于2023年11月9日至11日对老西河（项目区</w:t>
            </w:r>
            <w:r>
              <w:rPr>
                <w:rFonts w:hint="eastAsia"/>
                <w:bCs/>
                <w:color w:val="auto"/>
                <w:lang w:val="en-US" w:eastAsia="zh-CN"/>
              </w:rPr>
              <w:t>上</w:t>
            </w:r>
            <w:r>
              <w:rPr>
                <w:rFonts w:hint="eastAsia"/>
                <w:bCs/>
                <w:color w:val="auto"/>
                <w:lang w:eastAsia="zh-CN"/>
              </w:rPr>
              <w:t>游</w:t>
            </w:r>
            <w:r>
              <w:rPr>
                <w:rFonts w:hint="eastAsia"/>
                <w:bCs/>
                <w:color w:val="auto"/>
                <w:lang w:val="en-US" w:eastAsia="zh-CN"/>
              </w:rPr>
              <w:t>1000</w:t>
            </w:r>
            <w:r>
              <w:rPr>
                <w:rFonts w:hint="eastAsia"/>
                <w:bCs/>
                <w:color w:val="auto"/>
                <w:lang w:eastAsia="zh-CN"/>
              </w:rPr>
              <w:t>m处）水质进行的监测数据。</w:t>
            </w:r>
            <w:r>
              <w:rPr>
                <w:rFonts w:hint="eastAsia" w:eastAsia="宋体"/>
                <w:b/>
                <w:bCs/>
                <w:color w:val="auto"/>
                <w:lang w:eastAsia="zh-CN"/>
              </w:rPr>
              <w:drawing>
                <wp:anchor distT="0" distB="0" distL="114300" distR="114300" simplePos="0" relativeHeight="251661312" behindDoc="0" locked="0" layoutInCell="1" allowOverlap="1">
                  <wp:simplePos x="0" y="0"/>
                  <wp:positionH relativeFrom="column">
                    <wp:posOffset>4170045</wp:posOffset>
                  </wp:positionH>
                  <wp:positionV relativeFrom="paragraph">
                    <wp:posOffset>65405</wp:posOffset>
                  </wp:positionV>
                  <wp:extent cx="718820" cy="906780"/>
                  <wp:effectExtent l="9525" t="9525" r="14605" b="17145"/>
                  <wp:wrapNone/>
                  <wp:docPr id="23" name="图片 23"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玉溪风玫瑰"/>
                          <pic:cNvPicPr>
                            <a:picLocks noChangeAspect="1"/>
                          </pic:cNvPicPr>
                        </pic:nvPicPr>
                        <pic:blipFill>
                          <a:blip r:embed="rId20"/>
                          <a:stretch>
                            <a:fillRect/>
                          </a:stretch>
                        </pic:blipFill>
                        <pic:spPr>
                          <a:xfrm>
                            <a:off x="0" y="0"/>
                            <a:ext cx="718820" cy="906780"/>
                          </a:xfrm>
                          <a:prstGeom prst="rect">
                            <a:avLst/>
                          </a:prstGeom>
                          <a:ln>
                            <a:solidFill>
                              <a:schemeClr val="tx1"/>
                            </a:solidFill>
                          </a:ln>
                        </pic:spPr>
                      </pic:pic>
                    </a:graphicData>
                  </a:graphic>
                </wp:anchor>
              </w:drawing>
            </w:r>
            <w:r>
              <w:rPr>
                <w:color w:val="auto"/>
                <w:sz w:val="24"/>
              </w:rPr>
              <mc:AlternateContent>
                <mc:Choice Requires="wps">
                  <w:drawing>
                    <wp:anchor distT="0" distB="0" distL="114300" distR="114300" simplePos="0" relativeHeight="251666432" behindDoc="0" locked="0" layoutInCell="1" allowOverlap="1">
                      <wp:simplePos x="0" y="0"/>
                      <wp:positionH relativeFrom="column">
                        <wp:posOffset>777240</wp:posOffset>
                      </wp:positionH>
                      <wp:positionV relativeFrom="paragraph">
                        <wp:posOffset>2120900</wp:posOffset>
                      </wp:positionV>
                      <wp:extent cx="82550" cy="279400"/>
                      <wp:effectExtent l="22225" t="5715" r="28575" b="635"/>
                      <wp:wrapNone/>
                      <wp:docPr id="16" name="直接箭头连接符 16"/>
                      <wp:cNvGraphicFramePr/>
                      <a:graphic xmlns:a="http://schemas.openxmlformats.org/drawingml/2006/main">
                        <a:graphicData uri="http://schemas.microsoft.com/office/word/2010/wordprocessingShape">
                          <wps:wsp>
                            <wps:cNvCnPr/>
                            <wps:spPr>
                              <a:xfrm flipH="1">
                                <a:off x="0" y="0"/>
                                <a:ext cx="82550" cy="27940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61.2pt;margin-top:167pt;height:22pt;width:6.5pt;z-index:251666432;mso-width-relative:page;mso-height-relative:page;" filled="f" stroked="t" coordsize="21600,21600" o:gfxdata="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jrodG&#10;2wAAAAsBAAAPAAAAAAAAAAEAIAAAACIAAABkcnMvZG93bnJldi54bWxQSwECFAAUAAAACACHTuJA&#10;KOvUex4CAAAWBAAADgAAAAAAAAABACAAAAAqAQAAZHJzL2Uyb0RvYy54bWxQSwUGAAAAAAYABgBZ&#10;AQAAugUAAAAA&#10;">
                      <v:fill on="f" focussize="0,0"/>
                      <v:stroke weight="3pt" color="#00FFFF [3204]" joinstyle="round" endarrow="block"/>
                      <v:imagedata o:title=""/>
                      <o:lock v:ext="edit" aspectratio="f"/>
                    </v:shape>
                  </w:pict>
                </mc:Fallback>
              </mc:AlternateContent>
            </w:r>
            <w:r>
              <w:rPr>
                <w:color w:val="auto"/>
                <w:sz w:val="24"/>
              </w:rPr>
              <mc:AlternateContent>
                <mc:Choice Requires="wps">
                  <w:drawing>
                    <wp:anchor distT="0" distB="0" distL="114300" distR="114300" simplePos="0" relativeHeight="251662336" behindDoc="0" locked="0" layoutInCell="1" allowOverlap="1">
                      <wp:simplePos x="0" y="0"/>
                      <wp:positionH relativeFrom="column">
                        <wp:posOffset>356870</wp:posOffset>
                      </wp:positionH>
                      <wp:positionV relativeFrom="paragraph">
                        <wp:posOffset>2983230</wp:posOffset>
                      </wp:positionV>
                      <wp:extent cx="325120" cy="219710"/>
                      <wp:effectExtent l="0" t="15875" r="17780" b="12065"/>
                      <wp:wrapNone/>
                      <wp:docPr id="24" name="直接箭头连接符 24"/>
                      <wp:cNvGraphicFramePr/>
                      <a:graphic xmlns:a="http://schemas.openxmlformats.org/drawingml/2006/main">
                        <a:graphicData uri="http://schemas.microsoft.com/office/word/2010/wordprocessingShape">
                          <wps:wsp>
                            <wps:cNvCnPr/>
                            <wps:spPr>
                              <a:xfrm flipH="1">
                                <a:off x="4864735" y="3896360"/>
                                <a:ext cx="325120" cy="21971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8.1pt;margin-top:234.9pt;height:17.3pt;width:25.6pt;z-index:251662336;mso-width-relative:page;mso-height-relative:page;" filled="f" stroked="t" coordsize="21600,21600" o:gfxdata="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vGQQy2wAAAAoBAAAPAAAAAAAAAAEAIAAAACIAAABkcnMvZG93bnJldi54bWxQ&#10;SwECFAAUAAAACACHTuJAuXp0fS0CAAAjBAAADgAAAAAAAAABACAAAAAqAQAAZHJzL2Uyb0RvYy54&#10;bWxQSwUGAAAAAAYABgBZAQAAyQUAAAAA&#10;">
                      <v:fill on="f" focussize="0,0"/>
                      <v:stroke weight="3pt" color="#00FFFF [3204]" joinstyle="round" endarrow="block"/>
                      <v:imagedata o:title=""/>
                      <o:lock v:ext="edit" aspectratio="f"/>
                    </v:shape>
                  </w:pict>
                </mc:Fallback>
              </mc:AlternateContent>
            </w:r>
            <w:r>
              <w:rPr>
                <w:color w:val="auto"/>
                <w:sz w:val="24"/>
              </w:rPr>
              <mc:AlternateContent>
                <mc:Choice Requires="wps">
                  <w:drawing>
                    <wp:anchor distT="0" distB="0" distL="114300" distR="114300" simplePos="0" relativeHeight="251663360" behindDoc="0" locked="0" layoutInCell="1" allowOverlap="1">
                      <wp:simplePos x="0" y="0"/>
                      <wp:positionH relativeFrom="column">
                        <wp:posOffset>1132840</wp:posOffset>
                      </wp:positionH>
                      <wp:positionV relativeFrom="paragraph">
                        <wp:posOffset>970280</wp:posOffset>
                      </wp:positionV>
                      <wp:extent cx="158750" cy="400050"/>
                      <wp:effectExtent l="10795" t="6985" r="20955" b="12065"/>
                      <wp:wrapNone/>
                      <wp:docPr id="25" name="直接箭头连接符 25"/>
                      <wp:cNvGraphicFramePr/>
                      <a:graphic xmlns:a="http://schemas.openxmlformats.org/drawingml/2006/main">
                        <a:graphicData uri="http://schemas.microsoft.com/office/word/2010/wordprocessingShape">
                          <wps:wsp>
                            <wps:cNvCnPr/>
                            <wps:spPr>
                              <a:xfrm flipH="1">
                                <a:off x="0" y="0"/>
                                <a:ext cx="158750" cy="40005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89.2pt;margin-top:76.4pt;height:31.5pt;width:12.5pt;z-index:251663360;mso-width-relative:page;mso-height-relative:page;" filled="f" stroked="t" coordsize="21600,21600" o:gfxdata="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7bthNoA&#10;AAALAQAADwAAAAAAAAABACAAAAAiAAAAZHJzL2Rvd25yZXYueG1sUEsBAhQAFAAAAAgAh07iQDBf&#10;VlYdAgAAFwQAAA4AAAAAAAAAAQAgAAAAKQEAAGRycy9lMm9Eb2MueG1sUEsFBgAAAAAGAAYAWQEA&#10;ALgFAAAAAA==&#10;">
                      <v:fill on="f" focussize="0,0"/>
                      <v:stroke weight="3pt" color="#00FFFF [3204]" joinstyle="round" endarrow="block"/>
                      <v:imagedata o:title=""/>
                      <o:lock v:ext="edit" aspectratio="f"/>
                    </v:shape>
                  </w:pict>
                </mc:Fallback>
              </mc:AlternateContent>
            </w:r>
            <w:r>
              <w:rPr>
                <w:rFonts w:hint="eastAsia"/>
                <w:bCs/>
                <w:color w:val="auto"/>
                <w:lang w:eastAsia="zh-CN"/>
              </w:rPr>
              <w:drawing>
                <wp:inline distT="0" distB="0" distL="114300" distR="114300">
                  <wp:extent cx="4916805" cy="5441950"/>
                  <wp:effectExtent l="0" t="0" r="17145" b="6350"/>
                  <wp:docPr id="11" name="图片 11" descr="6bd9d62c5873c83fadcc403b82fe6b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bd9d62c5873c83fadcc403b82fe6bcd"/>
                          <pic:cNvPicPr>
                            <a:picLocks noChangeAspect="1"/>
                          </pic:cNvPicPr>
                        </pic:nvPicPr>
                        <pic:blipFill>
                          <a:blip r:embed="rId24"/>
                          <a:stretch>
                            <a:fillRect/>
                          </a:stretch>
                        </pic:blipFill>
                        <pic:spPr>
                          <a:xfrm>
                            <a:off x="0" y="0"/>
                            <a:ext cx="4916805" cy="5441950"/>
                          </a:xfrm>
                          <a:prstGeom prst="rect">
                            <a:avLst/>
                          </a:prstGeom>
                        </pic:spPr>
                      </pic:pic>
                    </a:graphicData>
                  </a:graphic>
                </wp:inline>
              </w:drawing>
            </w:r>
            <w:r>
              <w:rPr>
                <w:rFonts w:hint="eastAsia" w:eastAsia="宋体"/>
                <w:b/>
                <w:bCs/>
                <w:color w:val="auto"/>
                <w:lang w:eastAsia="zh-CN"/>
              </w:rPr>
              <w:drawing>
                <wp:anchor distT="0" distB="0" distL="114300" distR="114300" simplePos="0" relativeHeight="251660288" behindDoc="0" locked="0" layoutInCell="1" allowOverlap="1">
                  <wp:simplePos x="0" y="0"/>
                  <wp:positionH relativeFrom="column">
                    <wp:posOffset>7555865</wp:posOffset>
                  </wp:positionH>
                  <wp:positionV relativeFrom="paragraph">
                    <wp:posOffset>-594360</wp:posOffset>
                  </wp:positionV>
                  <wp:extent cx="738505" cy="931545"/>
                  <wp:effectExtent l="9525" t="9525" r="13970" b="11430"/>
                  <wp:wrapNone/>
                  <wp:docPr id="20" name="图片 20"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玉溪风玫瑰"/>
                          <pic:cNvPicPr>
                            <a:picLocks noChangeAspect="1"/>
                          </pic:cNvPicPr>
                        </pic:nvPicPr>
                        <pic:blipFill>
                          <a:blip r:embed="rId20"/>
                          <a:stretch>
                            <a:fillRect/>
                          </a:stretch>
                        </pic:blipFill>
                        <pic:spPr>
                          <a:xfrm>
                            <a:off x="0" y="0"/>
                            <a:ext cx="738505" cy="931545"/>
                          </a:xfrm>
                          <a:prstGeom prst="rect">
                            <a:avLst/>
                          </a:prstGeom>
                          <a:ln>
                            <a:solidFill>
                              <a:schemeClr val="tx1"/>
                            </a:solidFill>
                          </a:ln>
                        </pic:spPr>
                      </pic:pic>
                    </a:graphicData>
                  </a:graphic>
                </wp:anchor>
              </w:drawing>
            </w:r>
          </w:p>
          <w:p w14:paraId="4D5D2DB7">
            <w:pPr>
              <w:pStyle w:val="30"/>
              <w:bidi w:val="0"/>
              <w:rPr>
                <w:rFonts w:hint="eastAsia"/>
                <w:color w:val="auto"/>
                <w:lang w:eastAsia="zh-CN"/>
              </w:rPr>
            </w:pPr>
            <w:r>
              <w:rPr>
                <w:rFonts w:hint="eastAsia"/>
                <w:color w:val="auto"/>
                <w:lang w:eastAsia="zh-CN"/>
              </w:rPr>
              <w:t>图3-</w:t>
            </w:r>
            <w:r>
              <w:rPr>
                <w:rFonts w:hint="eastAsia"/>
                <w:color w:val="auto"/>
                <w:lang w:val="en-US" w:eastAsia="zh-CN"/>
              </w:rPr>
              <w:t>3</w:t>
            </w:r>
            <w:r>
              <w:rPr>
                <w:rFonts w:hint="eastAsia"/>
                <w:color w:val="auto"/>
                <w:lang w:eastAsia="zh-CN"/>
              </w:rPr>
              <w:t xml:space="preserve"> 项目与地表水监测点位位置关系示意图</w:t>
            </w:r>
          </w:p>
          <w:p w14:paraId="7D2CCF23">
            <w:pPr>
              <w:pStyle w:val="9"/>
              <w:ind w:firstLine="480"/>
              <w:rPr>
                <w:rFonts w:hint="eastAsia"/>
                <w:bCs/>
                <w:color w:val="auto"/>
                <w:lang w:val="en-US" w:eastAsia="zh-CN"/>
              </w:rPr>
            </w:pPr>
            <w:r>
              <w:rPr>
                <w:rFonts w:hint="eastAsia"/>
                <w:bCs/>
                <w:color w:val="auto"/>
                <w:lang w:val="en-US" w:eastAsia="zh-CN"/>
              </w:rPr>
              <w:t>具体检测情况如下：</w:t>
            </w:r>
          </w:p>
          <w:p w14:paraId="67E98BDE">
            <w:pPr>
              <w:pStyle w:val="30"/>
              <w:bidi w:val="0"/>
              <w:rPr>
                <w:rFonts w:hint="default"/>
                <w:color w:val="auto"/>
                <w:lang w:val="en-US" w:eastAsia="zh-CN"/>
              </w:rPr>
            </w:pPr>
            <w:r>
              <w:rPr>
                <w:rFonts w:hint="eastAsia"/>
                <w:color w:val="auto"/>
                <w:lang w:val="en-US" w:eastAsia="zh-CN"/>
              </w:rPr>
              <w:t>表3-7  老西河水质监测数据一览表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1"/>
              <w:gridCol w:w="1534"/>
              <w:gridCol w:w="812"/>
              <w:gridCol w:w="722"/>
              <w:gridCol w:w="742"/>
              <w:gridCol w:w="652"/>
              <w:gridCol w:w="762"/>
              <w:gridCol w:w="642"/>
            </w:tblGrid>
            <w:tr w14:paraId="6A4E2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219" w:type="pct"/>
                  <w:vMerge w:val="restart"/>
                  <w:tcBorders>
                    <w:top w:val="single" w:color="auto" w:sz="4" w:space="0"/>
                    <w:left w:val="single" w:color="auto" w:sz="4" w:space="0"/>
                    <w:right w:val="single" w:color="auto" w:sz="4" w:space="0"/>
                  </w:tcBorders>
                  <w:vAlign w:val="center"/>
                </w:tcPr>
                <w:p w14:paraId="5F91C41B">
                  <w:pPr>
                    <w:pStyle w:val="29"/>
                    <w:rPr>
                      <w:rFonts w:hint="eastAsia" w:eastAsia="宋体"/>
                      <w:color w:val="auto"/>
                      <w:lang w:eastAsia="zh-CN"/>
                    </w:rPr>
                  </w:pPr>
                  <w:r>
                    <w:rPr>
                      <w:rFonts w:hint="eastAsia"/>
                      <w:color w:val="auto"/>
                      <w:lang w:val="en-US" w:eastAsia="zh-CN"/>
                    </w:rPr>
                    <w:t>监测点</w:t>
                  </w:r>
                </w:p>
              </w:tc>
              <w:tc>
                <w:tcPr>
                  <w:tcW w:w="989" w:type="pct"/>
                  <w:vMerge w:val="restart"/>
                  <w:tcBorders>
                    <w:top w:val="single" w:color="auto" w:sz="4" w:space="0"/>
                    <w:left w:val="single" w:color="auto" w:sz="4" w:space="0"/>
                    <w:right w:val="single" w:color="000000" w:sz="4" w:space="0"/>
                  </w:tcBorders>
                  <w:vAlign w:val="center"/>
                </w:tcPr>
                <w:p w14:paraId="6EBF1762">
                  <w:pPr>
                    <w:pStyle w:val="29"/>
                    <w:rPr>
                      <w:color w:val="auto"/>
                    </w:rPr>
                  </w:pPr>
                  <w:r>
                    <w:rPr>
                      <w:color w:val="auto"/>
                    </w:rPr>
                    <w:t>采样</w:t>
                  </w:r>
                </w:p>
                <w:p w14:paraId="51855C2E">
                  <w:pPr>
                    <w:pStyle w:val="29"/>
                    <w:rPr>
                      <w:color w:val="auto"/>
                    </w:rPr>
                  </w:pPr>
                  <w:r>
                    <w:rPr>
                      <w:color w:val="auto"/>
                    </w:rPr>
                    <w:t>时间</w:t>
                  </w:r>
                </w:p>
              </w:tc>
              <w:tc>
                <w:tcPr>
                  <w:tcW w:w="2791" w:type="pct"/>
                  <w:gridSpan w:val="6"/>
                  <w:tcBorders>
                    <w:top w:val="single" w:color="auto" w:sz="4" w:space="0"/>
                    <w:left w:val="single" w:color="auto" w:sz="4" w:space="0"/>
                    <w:bottom w:val="single" w:color="auto" w:sz="4" w:space="0"/>
                    <w:right w:val="single" w:color="auto" w:sz="4" w:space="0"/>
                  </w:tcBorders>
                  <w:vAlign w:val="center"/>
                </w:tcPr>
                <w:p w14:paraId="351D71A4">
                  <w:pPr>
                    <w:pStyle w:val="29"/>
                    <w:rPr>
                      <w:color w:val="auto"/>
                    </w:rPr>
                  </w:pPr>
                  <w:r>
                    <w:rPr>
                      <w:color w:val="auto"/>
                    </w:rPr>
                    <w:t>检测结果</w:t>
                  </w:r>
                </w:p>
              </w:tc>
            </w:tr>
            <w:tr w14:paraId="2EED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19" w:type="pct"/>
                  <w:vMerge w:val="continue"/>
                  <w:tcBorders>
                    <w:left w:val="single" w:color="auto" w:sz="4" w:space="0"/>
                    <w:bottom w:val="single" w:color="auto" w:sz="4" w:space="0"/>
                    <w:right w:val="single" w:color="auto" w:sz="4" w:space="0"/>
                  </w:tcBorders>
                  <w:vAlign w:val="center"/>
                </w:tcPr>
                <w:p w14:paraId="3641BE77">
                  <w:pPr>
                    <w:pStyle w:val="29"/>
                    <w:rPr>
                      <w:color w:val="auto"/>
                    </w:rPr>
                  </w:pPr>
                </w:p>
              </w:tc>
              <w:tc>
                <w:tcPr>
                  <w:tcW w:w="989" w:type="pct"/>
                  <w:vMerge w:val="continue"/>
                  <w:tcBorders>
                    <w:left w:val="single" w:color="auto" w:sz="4" w:space="0"/>
                    <w:bottom w:val="single" w:color="auto" w:sz="4" w:space="0"/>
                    <w:right w:val="single" w:color="000000" w:sz="4" w:space="0"/>
                  </w:tcBorders>
                  <w:vAlign w:val="center"/>
                </w:tcPr>
                <w:p w14:paraId="4A794541">
                  <w:pPr>
                    <w:pStyle w:val="29"/>
                    <w:rPr>
                      <w:color w:val="auto"/>
                    </w:rPr>
                  </w:pPr>
                </w:p>
              </w:tc>
              <w:tc>
                <w:tcPr>
                  <w:tcW w:w="523" w:type="pct"/>
                  <w:tcBorders>
                    <w:top w:val="single" w:color="auto" w:sz="4" w:space="0"/>
                    <w:left w:val="single" w:color="auto" w:sz="4" w:space="0"/>
                    <w:bottom w:val="single" w:color="auto" w:sz="4" w:space="0"/>
                    <w:right w:val="single" w:color="auto" w:sz="4" w:space="0"/>
                  </w:tcBorders>
                  <w:vAlign w:val="center"/>
                </w:tcPr>
                <w:p w14:paraId="528653CF">
                  <w:pPr>
                    <w:pStyle w:val="29"/>
                    <w:rPr>
                      <w:color w:val="auto"/>
                    </w:rPr>
                  </w:pPr>
                  <w:r>
                    <w:rPr>
                      <w:color w:val="auto"/>
                    </w:rPr>
                    <w:t>pH</w:t>
                  </w:r>
                </w:p>
              </w:tc>
              <w:tc>
                <w:tcPr>
                  <w:tcW w:w="465" w:type="pct"/>
                  <w:tcBorders>
                    <w:top w:val="single" w:color="auto" w:sz="4" w:space="0"/>
                    <w:left w:val="single" w:color="auto" w:sz="4" w:space="0"/>
                    <w:bottom w:val="single" w:color="auto" w:sz="4" w:space="0"/>
                    <w:right w:val="single" w:color="auto" w:sz="4" w:space="0"/>
                  </w:tcBorders>
                  <w:vAlign w:val="center"/>
                </w:tcPr>
                <w:p w14:paraId="0791BF0E">
                  <w:pPr>
                    <w:pStyle w:val="29"/>
                    <w:rPr>
                      <w:color w:val="auto"/>
                    </w:rPr>
                  </w:pPr>
                  <w:r>
                    <w:rPr>
                      <w:rFonts w:hint="eastAsia"/>
                      <w:color w:val="auto"/>
                    </w:rPr>
                    <w:t>COD</w:t>
                  </w:r>
                </w:p>
              </w:tc>
              <w:tc>
                <w:tcPr>
                  <w:tcW w:w="478" w:type="pct"/>
                  <w:tcBorders>
                    <w:top w:val="single" w:color="auto" w:sz="4" w:space="0"/>
                    <w:left w:val="single" w:color="auto" w:sz="4" w:space="0"/>
                    <w:bottom w:val="single" w:color="auto" w:sz="4" w:space="0"/>
                    <w:right w:val="single" w:color="auto" w:sz="4" w:space="0"/>
                  </w:tcBorders>
                  <w:vAlign w:val="center"/>
                </w:tcPr>
                <w:p w14:paraId="2D07D8C7">
                  <w:pPr>
                    <w:pStyle w:val="29"/>
                    <w:rPr>
                      <w:color w:val="auto"/>
                    </w:rPr>
                  </w:pPr>
                  <w:r>
                    <w:rPr>
                      <w:rFonts w:hint="eastAsia"/>
                      <w:color w:val="auto"/>
                    </w:rPr>
                    <w:t>BOD</w:t>
                  </w:r>
                  <w:r>
                    <w:rPr>
                      <w:rFonts w:hint="eastAsia"/>
                      <w:color w:val="auto"/>
                      <w:vertAlign w:val="subscript"/>
                    </w:rPr>
                    <w:t>5</w:t>
                  </w:r>
                </w:p>
              </w:tc>
              <w:tc>
                <w:tcPr>
                  <w:tcW w:w="420" w:type="pct"/>
                  <w:tcBorders>
                    <w:top w:val="single" w:color="auto" w:sz="4" w:space="0"/>
                    <w:left w:val="single" w:color="auto" w:sz="4" w:space="0"/>
                    <w:bottom w:val="single" w:color="auto" w:sz="4" w:space="0"/>
                    <w:right w:val="single" w:color="auto" w:sz="4" w:space="0"/>
                  </w:tcBorders>
                  <w:vAlign w:val="center"/>
                </w:tcPr>
                <w:p w14:paraId="1B639F37">
                  <w:pPr>
                    <w:pStyle w:val="29"/>
                    <w:rPr>
                      <w:color w:val="auto"/>
                    </w:rPr>
                  </w:pPr>
                  <w:r>
                    <w:rPr>
                      <w:color w:val="auto"/>
                    </w:rPr>
                    <w:t>氨氮</w:t>
                  </w:r>
                </w:p>
              </w:tc>
              <w:tc>
                <w:tcPr>
                  <w:tcW w:w="491" w:type="pct"/>
                  <w:tcBorders>
                    <w:top w:val="single" w:color="auto" w:sz="4" w:space="0"/>
                    <w:left w:val="single" w:color="auto" w:sz="4" w:space="0"/>
                    <w:bottom w:val="single" w:color="auto" w:sz="4" w:space="0"/>
                    <w:right w:val="single" w:color="auto" w:sz="4" w:space="0"/>
                  </w:tcBorders>
                  <w:vAlign w:val="center"/>
                </w:tcPr>
                <w:p w14:paraId="1994273E">
                  <w:pPr>
                    <w:pStyle w:val="29"/>
                    <w:rPr>
                      <w:color w:val="auto"/>
                    </w:rPr>
                  </w:pPr>
                  <w:r>
                    <w:rPr>
                      <w:color w:val="auto"/>
                    </w:rPr>
                    <w:t>总氮</w:t>
                  </w:r>
                </w:p>
              </w:tc>
              <w:tc>
                <w:tcPr>
                  <w:tcW w:w="413" w:type="pct"/>
                  <w:tcBorders>
                    <w:top w:val="single" w:color="auto" w:sz="4" w:space="0"/>
                    <w:left w:val="single" w:color="auto" w:sz="4" w:space="0"/>
                    <w:bottom w:val="single" w:color="auto" w:sz="4" w:space="0"/>
                    <w:right w:val="single" w:color="auto" w:sz="4" w:space="0"/>
                  </w:tcBorders>
                  <w:vAlign w:val="center"/>
                </w:tcPr>
                <w:p w14:paraId="17B553E1">
                  <w:pPr>
                    <w:pStyle w:val="29"/>
                    <w:rPr>
                      <w:color w:val="auto"/>
                    </w:rPr>
                  </w:pPr>
                  <w:r>
                    <w:rPr>
                      <w:color w:val="auto"/>
                    </w:rPr>
                    <w:t>总磷</w:t>
                  </w:r>
                </w:p>
              </w:tc>
            </w:tr>
            <w:tr w14:paraId="7E5B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19" w:type="pct"/>
                  <w:vMerge w:val="restart"/>
                  <w:tcBorders>
                    <w:top w:val="single" w:color="auto" w:sz="4" w:space="0"/>
                    <w:left w:val="single" w:color="auto" w:sz="4" w:space="0"/>
                    <w:right w:val="single" w:color="auto" w:sz="4" w:space="0"/>
                  </w:tcBorders>
                  <w:vAlign w:val="center"/>
                </w:tcPr>
                <w:p w14:paraId="789B0E73">
                  <w:pPr>
                    <w:pStyle w:val="29"/>
                    <w:rPr>
                      <w:color w:val="auto"/>
                    </w:rPr>
                  </w:pPr>
                  <w:r>
                    <w:rPr>
                      <w:color w:val="auto"/>
                    </w:rPr>
                    <w:t>老西河项目区</w:t>
                  </w:r>
                  <w:r>
                    <w:rPr>
                      <w:rFonts w:hint="eastAsia"/>
                      <w:color w:val="auto"/>
                      <w:lang w:val="en-US" w:eastAsia="zh-CN"/>
                    </w:rPr>
                    <w:t>上</w:t>
                  </w:r>
                  <w:r>
                    <w:rPr>
                      <w:color w:val="auto"/>
                    </w:rPr>
                    <w:t>游</w:t>
                  </w:r>
                  <w:r>
                    <w:rPr>
                      <w:rFonts w:hint="eastAsia"/>
                      <w:color w:val="auto"/>
                      <w:lang w:val="en-US" w:eastAsia="zh-CN"/>
                    </w:rPr>
                    <w:t>1000</w:t>
                  </w:r>
                  <w:r>
                    <w:rPr>
                      <w:color w:val="auto"/>
                    </w:rPr>
                    <w:t>m处</w:t>
                  </w:r>
                </w:p>
              </w:tc>
              <w:tc>
                <w:tcPr>
                  <w:tcW w:w="989" w:type="pct"/>
                  <w:tcBorders>
                    <w:top w:val="single" w:color="auto" w:sz="4" w:space="0"/>
                    <w:left w:val="single" w:color="auto" w:sz="4" w:space="0"/>
                    <w:right w:val="single" w:color="000000" w:sz="4" w:space="0"/>
                  </w:tcBorders>
                  <w:vAlign w:val="center"/>
                </w:tcPr>
                <w:p w14:paraId="0D4F10F7">
                  <w:pPr>
                    <w:pStyle w:val="29"/>
                    <w:rPr>
                      <w:color w:val="auto"/>
                    </w:rPr>
                  </w:pPr>
                  <w:r>
                    <w:rPr>
                      <w:color w:val="auto"/>
                    </w:rPr>
                    <w:t>2023.11.09</w:t>
                  </w:r>
                </w:p>
              </w:tc>
              <w:tc>
                <w:tcPr>
                  <w:tcW w:w="523" w:type="pct"/>
                  <w:tcBorders>
                    <w:top w:val="single" w:color="auto" w:sz="4" w:space="0"/>
                    <w:left w:val="single" w:color="auto" w:sz="4" w:space="0"/>
                    <w:bottom w:val="single" w:color="auto" w:sz="4" w:space="0"/>
                    <w:right w:val="single" w:color="auto" w:sz="4" w:space="0"/>
                  </w:tcBorders>
                  <w:vAlign w:val="center"/>
                </w:tcPr>
                <w:p w14:paraId="345910C0">
                  <w:pPr>
                    <w:pStyle w:val="29"/>
                    <w:rPr>
                      <w:color w:val="auto"/>
                    </w:rPr>
                  </w:pPr>
                  <w:r>
                    <w:rPr>
                      <w:rFonts w:hint="eastAsia"/>
                      <w:color w:val="auto"/>
                    </w:rPr>
                    <w:t>7.3</w:t>
                  </w:r>
                </w:p>
              </w:tc>
              <w:tc>
                <w:tcPr>
                  <w:tcW w:w="465" w:type="pct"/>
                  <w:tcBorders>
                    <w:top w:val="single" w:color="auto" w:sz="4" w:space="0"/>
                    <w:left w:val="single" w:color="auto" w:sz="4" w:space="0"/>
                    <w:bottom w:val="single" w:color="auto" w:sz="4" w:space="0"/>
                    <w:right w:val="single" w:color="auto" w:sz="4" w:space="0"/>
                  </w:tcBorders>
                  <w:vAlign w:val="center"/>
                </w:tcPr>
                <w:p w14:paraId="0C408F49">
                  <w:pPr>
                    <w:pStyle w:val="29"/>
                    <w:rPr>
                      <w:color w:val="auto"/>
                    </w:rPr>
                  </w:pPr>
                  <w:r>
                    <w:rPr>
                      <w:color w:val="auto"/>
                    </w:rPr>
                    <w:t>41</w:t>
                  </w:r>
                </w:p>
              </w:tc>
              <w:tc>
                <w:tcPr>
                  <w:tcW w:w="478" w:type="pct"/>
                  <w:tcBorders>
                    <w:top w:val="single" w:color="auto" w:sz="4" w:space="0"/>
                    <w:left w:val="single" w:color="auto" w:sz="4" w:space="0"/>
                    <w:bottom w:val="single" w:color="auto" w:sz="4" w:space="0"/>
                    <w:right w:val="single" w:color="auto" w:sz="4" w:space="0"/>
                  </w:tcBorders>
                  <w:vAlign w:val="center"/>
                </w:tcPr>
                <w:p w14:paraId="618EF6F1">
                  <w:pPr>
                    <w:pStyle w:val="29"/>
                    <w:rPr>
                      <w:color w:val="auto"/>
                    </w:rPr>
                  </w:pPr>
                  <w:r>
                    <w:rPr>
                      <w:color w:val="auto"/>
                    </w:rPr>
                    <w:t>9.5</w:t>
                  </w:r>
                </w:p>
              </w:tc>
              <w:tc>
                <w:tcPr>
                  <w:tcW w:w="420" w:type="pct"/>
                  <w:tcBorders>
                    <w:top w:val="single" w:color="auto" w:sz="4" w:space="0"/>
                    <w:left w:val="single" w:color="auto" w:sz="4" w:space="0"/>
                    <w:bottom w:val="single" w:color="auto" w:sz="4" w:space="0"/>
                    <w:right w:val="single" w:color="auto" w:sz="4" w:space="0"/>
                  </w:tcBorders>
                  <w:vAlign w:val="center"/>
                </w:tcPr>
                <w:p w14:paraId="30E40CDC">
                  <w:pPr>
                    <w:pStyle w:val="29"/>
                    <w:rPr>
                      <w:color w:val="auto"/>
                    </w:rPr>
                  </w:pPr>
                  <w:r>
                    <w:rPr>
                      <w:color w:val="auto"/>
                    </w:rPr>
                    <w:t>12.0</w:t>
                  </w:r>
                </w:p>
              </w:tc>
              <w:tc>
                <w:tcPr>
                  <w:tcW w:w="491" w:type="pct"/>
                  <w:tcBorders>
                    <w:top w:val="single" w:color="auto" w:sz="4" w:space="0"/>
                    <w:left w:val="single" w:color="auto" w:sz="4" w:space="0"/>
                    <w:bottom w:val="single" w:color="auto" w:sz="4" w:space="0"/>
                    <w:right w:val="single" w:color="auto" w:sz="4" w:space="0"/>
                  </w:tcBorders>
                  <w:vAlign w:val="center"/>
                </w:tcPr>
                <w:p w14:paraId="5DDAA5E4">
                  <w:pPr>
                    <w:pStyle w:val="29"/>
                    <w:rPr>
                      <w:color w:val="auto"/>
                    </w:rPr>
                  </w:pPr>
                  <w:r>
                    <w:rPr>
                      <w:color w:val="auto"/>
                    </w:rPr>
                    <w:t>19.4</w:t>
                  </w:r>
                </w:p>
              </w:tc>
              <w:tc>
                <w:tcPr>
                  <w:tcW w:w="413" w:type="pct"/>
                  <w:tcBorders>
                    <w:top w:val="single" w:color="auto" w:sz="4" w:space="0"/>
                    <w:left w:val="single" w:color="auto" w:sz="4" w:space="0"/>
                    <w:bottom w:val="single" w:color="auto" w:sz="4" w:space="0"/>
                    <w:right w:val="single" w:color="auto" w:sz="4" w:space="0"/>
                  </w:tcBorders>
                  <w:vAlign w:val="center"/>
                </w:tcPr>
                <w:p w14:paraId="5C0F42CC">
                  <w:pPr>
                    <w:pStyle w:val="29"/>
                    <w:rPr>
                      <w:color w:val="auto"/>
                    </w:rPr>
                  </w:pPr>
                  <w:r>
                    <w:rPr>
                      <w:color w:val="auto"/>
                    </w:rPr>
                    <w:t>0.39</w:t>
                  </w:r>
                </w:p>
              </w:tc>
            </w:tr>
            <w:tr w14:paraId="749A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19" w:type="pct"/>
                  <w:vMerge w:val="continue"/>
                  <w:tcBorders>
                    <w:left w:val="single" w:color="auto" w:sz="4" w:space="0"/>
                    <w:right w:val="single" w:color="auto" w:sz="4" w:space="0"/>
                  </w:tcBorders>
                  <w:vAlign w:val="center"/>
                </w:tcPr>
                <w:p w14:paraId="6908645A">
                  <w:pPr>
                    <w:pStyle w:val="29"/>
                    <w:rPr>
                      <w:color w:val="auto"/>
                    </w:rPr>
                  </w:pPr>
                </w:p>
              </w:tc>
              <w:tc>
                <w:tcPr>
                  <w:tcW w:w="989" w:type="pct"/>
                  <w:tcBorders>
                    <w:top w:val="single" w:color="auto" w:sz="4" w:space="0"/>
                    <w:left w:val="single" w:color="auto" w:sz="4" w:space="0"/>
                    <w:right w:val="single" w:color="000000" w:sz="4" w:space="0"/>
                  </w:tcBorders>
                  <w:vAlign w:val="center"/>
                </w:tcPr>
                <w:p w14:paraId="2444648D">
                  <w:pPr>
                    <w:pStyle w:val="29"/>
                    <w:rPr>
                      <w:color w:val="auto"/>
                    </w:rPr>
                  </w:pPr>
                  <w:r>
                    <w:rPr>
                      <w:color w:val="auto"/>
                    </w:rPr>
                    <w:t>2023.11.10</w:t>
                  </w:r>
                </w:p>
              </w:tc>
              <w:tc>
                <w:tcPr>
                  <w:tcW w:w="523" w:type="pct"/>
                  <w:tcBorders>
                    <w:top w:val="single" w:color="auto" w:sz="4" w:space="0"/>
                    <w:left w:val="single" w:color="auto" w:sz="4" w:space="0"/>
                    <w:bottom w:val="single" w:color="auto" w:sz="4" w:space="0"/>
                    <w:right w:val="single" w:color="auto" w:sz="4" w:space="0"/>
                  </w:tcBorders>
                  <w:vAlign w:val="center"/>
                </w:tcPr>
                <w:p w14:paraId="452F4BF9">
                  <w:pPr>
                    <w:pStyle w:val="29"/>
                    <w:rPr>
                      <w:color w:val="auto"/>
                    </w:rPr>
                  </w:pPr>
                  <w:r>
                    <w:rPr>
                      <w:rFonts w:hint="eastAsia"/>
                      <w:color w:val="auto"/>
                    </w:rPr>
                    <w:t>7.4</w:t>
                  </w:r>
                </w:p>
              </w:tc>
              <w:tc>
                <w:tcPr>
                  <w:tcW w:w="465" w:type="pct"/>
                  <w:tcBorders>
                    <w:top w:val="single" w:color="auto" w:sz="4" w:space="0"/>
                    <w:left w:val="single" w:color="auto" w:sz="4" w:space="0"/>
                    <w:bottom w:val="single" w:color="auto" w:sz="4" w:space="0"/>
                    <w:right w:val="single" w:color="auto" w:sz="4" w:space="0"/>
                  </w:tcBorders>
                  <w:vAlign w:val="center"/>
                </w:tcPr>
                <w:p w14:paraId="278E234C">
                  <w:pPr>
                    <w:pStyle w:val="29"/>
                    <w:rPr>
                      <w:color w:val="auto"/>
                    </w:rPr>
                  </w:pPr>
                  <w:r>
                    <w:rPr>
                      <w:color w:val="auto"/>
                    </w:rPr>
                    <w:t>44</w:t>
                  </w:r>
                </w:p>
              </w:tc>
              <w:tc>
                <w:tcPr>
                  <w:tcW w:w="478" w:type="pct"/>
                  <w:tcBorders>
                    <w:top w:val="single" w:color="auto" w:sz="4" w:space="0"/>
                    <w:left w:val="single" w:color="auto" w:sz="4" w:space="0"/>
                    <w:bottom w:val="single" w:color="auto" w:sz="4" w:space="0"/>
                    <w:right w:val="single" w:color="auto" w:sz="4" w:space="0"/>
                  </w:tcBorders>
                  <w:vAlign w:val="center"/>
                </w:tcPr>
                <w:p w14:paraId="429FF28A">
                  <w:pPr>
                    <w:pStyle w:val="29"/>
                    <w:rPr>
                      <w:color w:val="auto"/>
                    </w:rPr>
                  </w:pPr>
                  <w:r>
                    <w:rPr>
                      <w:color w:val="auto"/>
                    </w:rPr>
                    <w:t>8.5</w:t>
                  </w:r>
                </w:p>
              </w:tc>
              <w:tc>
                <w:tcPr>
                  <w:tcW w:w="420" w:type="pct"/>
                  <w:tcBorders>
                    <w:top w:val="single" w:color="auto" w:sz="4" w:space="0"/>
                    <w:left w:val="single" w:color="auto" w:sz="4" w:space="0"/>
                    <w:bottom w:val="single" w:color="auto" w:sz="4" w:space="0"/>
                    <w:right w:val="single" w:color="auto" w:sz="4" w:space="0"/>
                  </w:tcBorders>
                  <w:vAlign w:val="center"/>
                </w:tcPr>
                <w:p w14:paraId="359F754C">
                  <w:pPr>
                    <w:pStyle w:val="29"/>
                    <w:rPr>
                      <w:color w:val="auto"/>
                    </w:rPr>
                  </w:pPr>
                  <w:r>
                    <w:rPr>
                      <w:color w:val="auto"/>
                    </w:rPr>
                    <w:t>12.2</w:t>
                  </w:r>
                </w:p>
              </w:tc>
              <w:tc>
                <w:tcPr>
                  <w:tcW w:w="491" w:type="pct"/>
                  <w:tcBorders>
                    <w:top w:val="single" w:color="auto" w:sz="4" w:space="0"/>
                    <w:left w:val="single" w:color="auto" w:sz="4" w:space="0"/>
                    <w:bottom w:val="single" w:color="auto" w:sz="4" w:space="0"/>
                    <w:right w:val="single" w:color="auto" w:sz="4" w:space="0"/>
                  </w:tcBorders>
                  <w:vAlign w:val="center"/>
                </w:tcPr>
                <w:p w14:paraId="2633899C">
                  <w:pPr>
                    <w:pStyle w:val="29"/>
                    <w:rPr>
                      <w:color w:val="auto"/>
                    </w:rPr>
                  </w:pPr>
                  <w:r>
                    <w:rPr>
                      <w:color w:val="auto"/>
                    </w:rPr>
                    <w:t>20.4</w:t>
                  </w:r>
                </w:p>
              </w:tc>
              <w:tc>
                <w:tcPr>
                  <w:tcW w:w="413" w:type="pct"/>
                  <w:tcBorders>
                    <w:top w:val="single" w:color="auto" w:sz="4" w:space="0"/>
                    <w:left w:val="single" w:color="auto" w:sz="4" w:space="0"/>
                    <w:bottom w:val="single" w:color="auto" w:sz="4" w:space="0"/>
                    <w:right w:val="single" w:color="auto" w:sz="4" w:space="0"/>
                  </w:tcBorders>
                  <w:vAlign w:val="center"/>
                </w:tcPr>
                <w:p w14:paraId="7EA361BE">
                  <w:pPr>
                    <w:pStyle w:val="29"/>
                    <w:rPr>
                      <w:color w:val="auto"/>
                    </w:rPr>
                  </w:pPr>
                  <w:r>
                    <w:rPr>
                      <w:color w:val="auto"/>
                    </w:rPr>
                    <w:t>0.35</w:t>
                  </w:r>
                </w:p>
              </w:tc>
            </w:tr>
            <w:tr w14:paraId="01AA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219" w:type="pct"/>
                  <w:vMerge w:val="continue"/>
                  <w:tcBorders>
                    <w:left w:val="single" w:color="auto" w:sz="4" w:space="0"/>
                    <w:right w:val="single" w:color="auto" w:sz="4" w:space="0"/>
                  </w:tcBorders>
                  <w:vAlign w:val="center"/>
                </w:tcPr>
                <w:p w14:paraId="37A3AF3A">
                  <w:pPr>
                    <w:pStyle w:val="29"/>
                    <w:rPr>
                      <w:color w:val="auto"/>
                    </w:rPr>
                  </w:pPr>
                </w:p>
              </w:tc>
              <w:tc>
                <w:tcPr>
                  <w:tcW w:w="989" w:type="pct"/>
                  <w:tcBorders>
                    <w:top w:val="single" w:color="auto" w:sz="4" w:space="0"/>
                    <w:left w:val="single" w:color="auto" w:sz="4" w:space="0"/>
                    <w:bottom w:val="single" w:color="auto" w:sz="4" w:space="0"/>
                    <w:right w:val="single" w:color="000000" w:sz="4" w:space="0"/>
                  </w:tcBorders>
                  <w:vAlign w:val="center"/>
                </w:tcPr>
                <w:p w14:paraId="5FB2E29C">
                  <w:pPr>
                    <w:pStyle w:val="29"/>
                    <w:rPr>
                      <w:color w:val="auto"/>
                    </w:rPr>
                  </w:pPr>
                  <w:r>
                    <w:rPr>
                      <w:color w:val="auto"/>
                    </w:rPr>
                    <w:t>2023.11.11</w:t>
                  </w:r>
                </w:p>
              </w:tc>
              <w:tc>
                <w:tcPr>
                  <w:tcW w:w="523" w:type="pct"/>
                  <w:tcBorders>
                    <w:top w:val="single" w:color="auto" w:sz="4" w:space="0"/>
                    <w:left w:val="single" w:color="auto" w:sz="4" w:space="0"/>
                    <w:bottom w:val="single" w:color="auto" w:sz="4" w:space="0"/>
                    <w:right w:val="single" w:color="auto" w:sz="4" w:space="0"/>
                  </w:tcBorders>
                  <w:vAlign w:val="center"/>
                </w:tcPr>
                <w:p w14:paraId="4D3F4949">
                  <w:pPr>
                    <w:pStyle w:val="29"/>
                    <w:rPr>
                      <w:color w:val="auto"/>
                    </w:rPr>
                  </w:pPr>
                  <w:r>
                    <w:rPr>
                      <w:rFonts w:hint="eastAsia"/>
                      <w:color w:val="auto"/>
                    </w:rPr>
                    <w:t>7.2</w:t>
                  </w:r>
                </w:p>
              </w:tc>
              <w:tc>
                <w:tcPr>
                  <w:tcW w:w="465" w:type="pct"/>
                  <w:tcBorders>
                    <w:top w:val="single" w:color="auto" w:sz="4" w:space="0"/>
                    <w:left w:val="single" w:color="auto" w:sz="4" w:space="0"/>
                    <w:bottom w:val="single" w:color="auto" w:sz="4" w:space="0"/>
                    <w:right w:val="single" w:color="auto" w:sz="4" w:space="0"/>
                  </w:tcBorders>
                  <w:vAlign w:val="center"/>
                </w:tcPr>
                <w:p w14:paraId="79115B78">
                  <w:pPr>
                    <w:pStyle w:val="29"/>
                    <w:rPr>
                      <w:color w:val="auto"/>
                    </w:rPr>
                  </w:pPr>
                  <w:r>
                    <w:rPr>
                      <w:color w:val="auto"/>
                    </w:rPr>
                    <w:t>42</w:t>
                  </w:r>
                </w:p>
              </w:tc>
              <w:tc>
                <w:tcPr>
                  <w:tcW w:w="478" w:type="pct"/>
                  <w:tcBorders>
                    <w:top w:val="single" w:color="auto" w:sz="4" w:space="0"/>
                    <w:left w:val="single" w:color="auto" w:sz="4" w:space="0"/>
                    <w:bottom w:val="single" w:color="auto" w:sz="4" w:space="0"/>
                    <w:right w:val="single" w:color="auto" w:sz="4" w:space="0"/>
                  </w:tcBorders>
                  <w:vAlign w:val="center"/>
                </w:tcPr>
                <w:p w14:paraId="7FA298F6">
                  <w:pPr>
                    <w:pStyle w:val="29"/>
                    <w:rPr>
                      <w:color w:val="auto"/>
                    </w:rPr>
                  </w:pPr>
                  <w:r>
                    <w:rPr>
                      <w:color w:val="auto"/>
                    </w:rPr>
                    <w:t>9.7</w:t>
                  </w:r>
                </w:p>
              </w:tc>
              <w:tc>
                <w:tcPr>
                  <w:tcW w:w="420" w:type="pct"/>
                  <w:tcBorders>
                    <w:top w:val="single" w:color="auto" w:sz="4" w:space="0"/>
                    <w:left w:val="single" w:color="auto" w:sz="4" w:space="0"/>
                    <w:bottom w:val="single" w:color="auto" w:sz="4" w:space="0"/>
                    <w:right w:val="single" w:color="auto" w:sz="4" w:space="0"/>
                  </w:tcBorders>
                  <w:vAlign w:val="center"/>
                </w:tcPr>
                <w:p w14:paraId="2D366564">
                  <w:pPr>
                    <w:pStyle w:val="29"/>
                    <w:rPr>
                      <w:color w:val="auto"/>
                    </w:rPr>
                  </w:pPr>
                  <w:r>
                    <w:rPr>
                      <w:color w:val="auto"/>
                    </w:rPr>
                    <w:t>11.8</w:t>
                  </w:r>
                </w:p>
              </w:tc>
              <w:tc>
                <w:tcPr>
                  <w:tcW w:w="491" w:type="pct"/>
                  <w:tcBorders>
                    <w:top w:val="single" w:color="auto" w:sz="4" w:space="0"/>
                    <w:left w:val="single" w:color="auto" w:sz="4" w:space="0"/>
                    <w:bottom w:val="single" w:color="auto" w:sz="4" w:space="0"/>
                    <w:right w:val="single" w:color="auto" w:sz="4" w:space="0"/>
                  </w:tcBorders>
                  <w:vAlign w:val="center"/>
                </w:tcPr>
                <w:p w14:paraId="30BFDAE0">
                  <w:pPr>
                    <w:pStyle w:val="29"/>
                    <w:rPr>
                      <w:color w:val="auto"/>
                    </w:rPr>
                  </w:pPr>
                  <w:r>
                    <w:rPr>
                      <w:color w:val="auto"/>
                    </w:rPr>
                    <w:t>19.4</w:t>
                  </w:r>
                </w:p>
              </w:tc>
              <w:tc>
                <w:tcPr>
                  <w:tcW w:w="413" w:type="pct"/>
                  <w:tcBorders>
                    <w:top w:val="single" w:color="auto" w:sz="4" w:space="0"/>
                    <w:left w:val="single" w:color="auto" w:sz="4" w:space="0"/>
                    <w:bottom w:val="single" w:color="auto" w:sz="4" w:space="0"/>
                    <w:right w:val="single" w:color="auto" w:sz="4" w:space="0"/>
                  </w:tcBorders>
                  <w:vAlign w:val="center"/>
                </w:tcPr>
                <w:p w14:paraId="4B9D19A4">
                  <w:pPr>
                    <w:pStyle w:val="29"/>
                    <w:rPr>
                      <w:color w:val="auto"/>
                    </w:rPr>
                  </w:pPr>
                  <w:r>
                    <w:rPr>
                      <w:color w:val="auto"/>
                    </w:rPr>
                    <w:t>0.42</w:t>
                  </w:r>
                </w:p>
              </w:tc>
            </w:tr>
            <w:tr w14:paraId="5DF1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2208" w:type="pct"/>
                  <w:gridSpan w:val="2"/>
                  <w:tcBorders>
                    <w:left w:val="single" w:color="auto" w:sz="4" w:space="0"/>
                    <w:right w:val="single" w:color="000000" w:sz="4" w:space="0"/>
                  </w:tcBorders>
                  <w:vAlign w:val="center"/>
                </w:tcPr>
                <w:p w14:paraId="295D2783">
                  <w:pPr>
                    <w:pStyle w:val="29"/>
                    <w:rPr>
                      <w:color w:val="auto"/>
                    </w:rPr>
                  </w:pPr>
                  <w:r>
                    <w:rPr>
                      <w:color w:val="auto"/>
                    </w:rPr>
                    <w:t>Ⅴ类标准限值</w:t>
                  </w:r>
                </w:p>
              </w:tc>
              <w:tc>
                <w:tcPr>
                  <w:tcW w:w="523" w:type="pct"/>
                  <w:tcBorders>
                    <w:top w:val="single" w:color="auto" w:sz="4" w:space="0"/>
                    <w:left w:val="single" w:color="auto" w:sz="4" w:space="0"/>
                    <w:bottom w:val="single" w:color="auto" w:sz="4" w:space="0"/>
                    <w:right w:val="single" w:color="auto" w:sz="4" w:space="0"/>
                  </w:tcBorders>
                  <w:vAlign w:val="center"/>
                </w:tcPr>
                <w:p w14:paraId="251DD54A">
                  <w:pPr>
                    <w:pStyle w:val="29"/>
                    <w:rPr>
                      <w:color w:val="auto"/>
                    </w:rPr>
                  </w:pPr>
                  <w:r>
                    <w:rPr>
                      <w:rFonts w:hint="eastAsia"/>
                      <w:color w:val="auto"/>
                    </w:rPr>
                    <w:t>6-9</w:t>
                  </w:r>
                </w:p>
              </w:tc>
              <w:tc>
                <w:tcPr>
                  <w:tcW w:w="465" w:type="pct"/>
                  <w:tcBorders>
                    <w:top w:val="single" w:color="auto" w:sz="4" w:space="0"/>
                    <w:left w:val="single" w:color="auto" w:sz="4" w:space="0"/>
                    <w:bottom w:val="single" w:color="auto" w:sz="4" w:space="0"/>
                    <w:right w:val="single" w:color="auto" w:sz="4" w:space="0"/>
                  </w:tcBorders>
                  <w:vAlign w:val="center"/>
                </w:tcPr>
                <w:p w14:paraId="4F1BB5C7">
                  <w:pPr>
                    <w:pStyle w:val="29"/>
                    <w:rPr>
                      <w:color w:val="auto"/>
                    </w:rPr>
                  </w:pPr>
                  <w:r>
                    <w:rPr>
                      <w:rFonts w:hint="eastAsia"/>
                      <w:color w:val="auto"/>
                    </w:rPr>
                    <w:t>40</w:t>
                  </w:r>
                </w:p>
              </w:tc>
              <w:tc>
                <w:tcPr>
                  <w:tcW w:w="478" w:type="pct"/>
                  <w:tcBorders>
                    <w:top w:val="single" w:color="auto" w:sz="4" w:space="0"/>
                    <w:left w:val="single" w:color="auto" w:sz="4" w:space="0"/>
                    <w:bottom w:val="single" w:color="auto" w:sz="4" w:space="0"/>
                    <w:right w:val="single" w:color="auto" w:sz="4" w:space="0"/>
                  </w:tcBorders>
                  <w:vAlign w:val="center"/>
                </w:tcPr>
                <w:p w14:paraId="2084E0EC">
                  <w:pPr>
                    <w:pStyle w:val="29"/>
                    <w:rPr>
                      <w:color w:val="auto"/>
                    </w:rPr>
                  </w:pPr>
                  <w:r>
                    <w:rPr>
                      <w:rFonts w:hint="eastAsia"/>
                      <w:color w:val="auto"/>
                    </w:rPr>
                    <w:t>10</w:t>
                  </w:r>
                </w:p>
              </w:tc>
              <w:tc>
                <w:tcPr>
                  <w:tcW w:w="420" w:type="pct"/>
                  <w:tcBorders>
                    <w:top w:val="single" w:color="auto" w:sz="4" w:space="0"/>
                    <w:left w:val="single" w:color="auto" w:sz="4" w:space="0"/>
                    <w:bottom w:val="single" w:color="auto" w:sz="4" w:space="0"/>
                    <w:right w:val="single" w:color="auto" w:sz="4" w:space="0"/>
                  </w:tcBorders>
                  <w:vAlign w:val="center"/>
                </w:tcPr>
                <w:p w14:paraId="4D927B48">
                  <w:pPr>
                    <w:pStyle w:val="29"/>
                    <w:rPr>
                      <w:color w:val="auto"/>
                    </w:rPr>
                  </w:pPr>
                  <w:r>
                    <w:rPr>
                      <w:rFonts w:hint="eastAsia"/>
                      <w:color w:val="auto"/>
                    </w:rPr>
                    <w:t>2.0</w:t>
                  </w:r>
                </w:p>
              </w:tc>
              <w:tc>
                <w:tcPr>
                  <w:tcW w:w="491" w:type="pct"/>
                  <w:tcBorders>
                    <w:top w:val="single" w:color="auto" w:sz="4" w:space="0"/>
                    <w:left w:val="single" w:color="auto" w:sz="4" w:space="0"/>
                    <w:bottom w:val="single" w:color="auto" w:sz="4" w:space="0"/>
                    <w:right w:val="single" w:color="auto" w:sz="4" w:space="0"/>
                  </w:tcBorders>
                  <w:vAlign w:val="center"/>
                </w:tcPr>
                <w:p w14:paraId="77B897EE">
                  <w:pPr>
                    <w:pStyle w:val="29"/>
                    <w:rPr>
                      <w:color w:val="auto"/>
                    </w:rPr>
                  </w:pPr>
                  <w:r>
                    <w:rPr>
                      <w:rFonts w:hint="eastAsia"/>
                      <w:color w:val="auto"/>
                    </w:rPr>
                    <w:t>2.0</w:t>
                  </w:r>
                </w:p>
              </w:tc>
              <w:tc>
                <w:tcPr>
                  <w:tcW w:w="413" w:type="pct"/>
                  <w:tcBorders>
                    <w:top w:val="single" w:color="auto" w:sz="4" w:space="0"/>
                    <w:left w:val="single" w:color="auto" w:sz="4" w:space="0"/>
                    <w:bottom w:val="single" w:color="auto" w:sz="4" w:space="0"/>
                    <w:right w:val="single" w:color="auto" w:sz="4" w:space="0"/>
                  </w:tcBorders>
                  <w:vAlign w:val="center"/>
                </w:tcPr>
                <w:p w14:paraId="6CC34067">
                  <w:pPr>
                    <w:pStyle w:val="29"/>
                    <w:rPr>
                      <w:color w:val="auto"/>
                    </w:rPr>
                  </w:pPr>
                  <w:r>
                    <w:rPr>
                      <w:rFonts w:hint="eastAsia"/>
                      <w:color w:val="auto"/>
                    </w:rPr>
                    <w:t>0.4</w:t>
                  </w:r>
                </w:p>
              </w:tc>
            </w:tr>
            <w:tr w14:paraId="3BBBF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208" w:type="pct"/>
                  <w:gridSpan w:val="2"/>
                  <w:tcBorders>
                    <w:left w:val="single" w:color="auto" w:sz="4" w:space="0"/>
                    <w:right w:val="single" w:color="000000" w:sz="4" w:space="0"/>
                  </w:tcBorders>
                  <w:vAlign w:val="center"/>
                </w:tcPr>
                <w:p w14:paraId="30005481">
                  <w:pPr>
                    <w:pStyle w:val="29"/>
                    <w:rPr>
                      <w:color w:val="auto"/>
                    </w:rPr>
                  </w:pPr>
                  <w:r>
                    <w:rPr>
                      <w:rFonts w:hint="eastAsia"/>
                      <w:color w:val="auto"/>
                    </w:rPr>
                    <w:t>达标情况</w:t>
                  </w:r>
                </w:p>
              </w:tc>
              <w:tc>
                <w:tcPr>
                  <w:tcW w:w="523" w:type="pct"/>
                  <w:tcBorders>
                    <w:top w:val="single" w:color="auto" w:sz="4" w:space="0"/>
                    <w:left w:val="single" w:color="auto" w:sz="4" w:space="0"/>
                    <w:bottom w:val="single" w:color="auto" w:sz="4" w:space="0"/>
                    <w:right w:val="single" w:color="auto" w:sz="4" w:space="0"/>
                  </w:tcBorders>
                  <w:vAlign w:val="center"/>
                </w:tcPr>
                <w:p w14:paraId="4522A835">
                  <w:pPr>
                    <w:pStyle w:val="29"/>
                    <w:rPr>
                      <w:color w:val="auto"/>
                    </w:rPr>
                  </w:pPr>
                  <w:r>
                    <w:rPr>
                      <w:rFonts w:hint="eastAsia"/>
                      <w:color w:val="auto"/>
                    </w:rPr>
                    <w:t>达标</w:t>
                  </w:r>
                </w:p>
              </w:tc>
              <w:tc>
                <w:tcPr>
                  <w:tcW w:w="465" w:type="pct"/>
                  <w:tcBorders>
                    <w:top w:val="single" w:color="auto" w:sz="4" w:space="0"/>
                    <w:left w:val="single" w:color="auto" w:sz="4" w:space="0"/>
                    <w:bottom w:val="single" w:color="auto" w:sz="4" w:space="0"/>
                    <w:right w:val="single" w:color="auto" w:sz="4" w:space="0"/>
                  </w:tcBorders>
                  <w:vAlign w:val="center"/>
                </w:tcPr>
                <w:p w14:paraId="44942303">
                  <w:pPr>
                    <w:pStyle w:val="29"/>
                    <w:rPr>
                      <w:color w:val="auto"/>
                    </w:rPr>
                  </w:pPr>
                  <w:r>
                    <w:rPr>
                      <w:rFonts w:hint="eastAsia"/>
                      <w:color w:val="auto"/>
                    </w:rPr>
                    <w:t>超标</w:t>
                  </w:r>
                </w:p>
              </w:tc>
              <w:tc>
                <w:tcPr>
                  <w:tcW w:w="478" w:type="pct"/>
                  <w:tcBorders>
                    <w:top w:val="single" w:color="auto" w:sz="4" w:space="0"/>
                    <w:left w:val="single" w:color="auto" w:sz="4" w:space="0"/>
                    <w:bottom w:val="single" w:color="auto" w:sz="4" w:space="0"/>
                    <w:right w:val="single" w:color="auto" w:sz="4" w:space="0"/>
                  </w:tcBorders>
                  <w:vAlign w:val="center"/>
                </w:tcPr>
                <w:p w14:paraId="1DE51C0D">
                  <w:pPr>
                    <w:pStyle w:val="29"/>
                    <w:rPr>
                      <w:color w:val="auto"/>
                    </w:rPr>
                  </w:pPr>
                  <w:r>
                    <w:rPr>
                      <w:rFonts w:hint="eastAsia"/>
                      <w:color w:val="auto"/>
                    </w:rPr>
                    <w:t>达标</w:t>
                  </w:r>
                </w:p>
              </w:tc>
              <w:tc>
                <w:tcPr>
                  <w:tcW w:w="420" w:type="pct"/>
                  <w:tcBorders>
                    <w:top w:val="single" w:color="auto" w:sz="4" w:space="0"/>
                    <w:left w:val="single" w:color="auto" w:sz="4" w:space="0"/>
                    <w:bottom w:val="single" w:color="auto" w:sz="4" w:space="0"/>
                    <w:right w:val="single" w:color="auto" w:sz="4" w:space="0"/>
                  </w:tcBorders>
                  <w:vAlign w:val="center"/>
                </w:tcPr>
                <w:p w14:paraId="2A3BC266">
                  <w:pPr>
                    <w:pStyle w:val="29"/>
                    <w:rPr>
                      <w:color w:val="auto"/>
                    </w:rPr>
                  </w:pPr>
                  <w:r>
                    <w:rPr>
                      <w:rFonts w:hint="eastAsia"/>
                      <w:color w:val="auto"/>
                    </w:rPr>
                    <w:t>超标</w:t>
                  </w:r>
                </w:p>
              </w:tc>
              <w:tc>
                <w:tcPr>
                  <w:tcW w:w="491" w:type="pct"/>
                  <w:tcBorders>
                    <w:top w:val="single" w:color="auto" w:sz="4" w:space="0"/>
                    <w:left w:val="single" w:color="auto" w:sz="4" w:space="0"/>
                    <w:bottom w:val="single" w:color="auto" w:sz="4" w:space="0"/>
                    <w:right w:val="single" w:color="auto" w:sz="4" w:space="0"/>
                  </w:tcBorders>
                  <w:vAlign w:val="center"/>
                </w:tcPr>
                <w:p w14:paraId="3337AF65">
                  <w:pPr>
                    <w:pStyle w:val="29"/>
                    <w:rPr>
                      <w:color w:val="auto"/>
                    </w:rPr>
                  </w:pPr>
                  <w:r>
                    <w:rPr>
                      <w:rFonts w:hint="eastAsia"/>
                      <w:color w:val="auto"/>
                    </w:rPr>
                    <w:t>超标</w:t>
                  </w:r>
                </w:p>
              </w:tc>
              <w:tc>
                <w:tcPr>
                  <w:tcW w:w="413" w:type="pct"/>
                  <w:tcBorders>
                    <w:top w:val="single" w:color="auto" w:sz="4" w:space="0"/>
                    <w:left w:val="single" w:color="auto" w:sz="4" w:space="0"/>
                    <w:bottom w:val="single" w:color="auto" w:sz="4" w:space="0"/>
                    <w:right w:val="single" w:color="auto" w:sz="4" w:space="0"/>
                  </w:tcBorders>
                  <w:vAlign w:val="center"/>
                </w:tcPr>
                <w:p w14:paraId="3BC01460">
                  <w:pPr>
                    <w:pStyle w:val="29"/>
                    <w:rPr>
                      <w:color w:val="auto"/>
                    </w:rPr>
                  </w:pPr>
                  <w:r>
                    <w:rPr>
                      <w:rFonts w:hint="eastAsia"/>
                      <w:color w:val="auto"/>
                    </w:rPr>
                    <w:t>超标</w:t>
                  </w:r>
                </w:p>
              </w:tc>
            </w:tr>
          </w:tbl>
          <w:p w14:paraId="3625F6E6">
            <w:pPr>
              <w:pStyle w:val="9"/>
              <w:ind w:firstLine="480"/>
              <w:rPr>
                <w:rFonts w:hint="eastAsia"/>
                <w:color w:val="auto"/>
                <w:highlight w:val="none"/>
                <w:lang w:val="en-US" w:eastAsia="zh-CN"/>
              </w:rPr>
            </w:pPr>
            <w:r>
              <w:rPr>
                <w:rFonts w:hint="eastAsia"/>
                <w:color w:val="auto"/>
                <w:highlight w:val="none"/>
                <w:lang w:val="en-US" w:eastAsia="zh-CN"/>
              </w:rPr>
              <w:t>从上表监测结果可知，老西河监测断面中监测指标除BOD</w:t>
            </w:r>
            <w:r>
              <w:rPr>
                <w:rFonts w:hint="eastAsia"/>
                <w:color w:val="auto"/>
                <w:highlight w:val="none"/>
                <w:vertAlign w:val="subscript"/>
                <w:lang w:val="en-US" w:eastAsia="zh-CN"/>
              </w:rPr>
              <w:t>5</w:t>
            </w:r>
            <w:r>
              <w:rPr>
                <w:rFonts w:hint="eastAsia"/>
                <w:color w:val="auto"/>
                <w:highlight w:val="none"/>
                <w:lang w:val="en-US" w:eastAsia="zh-CN"/>
              </w:rPr>
              <w:t>外其他均出现不同程度的超标。综上，老西河水质不满足《地表水环境质量标准》（GB3838-2002）Ⅴ类水质标准，超标原因：老西河为红塔区城市景观生态型河道，沿岸零散村落散排生活污水、周边菜地雨季径流、老旧河道底泥污染物释放，是水质超标核心原因。本项目全程无废水排入，无任何水力关联，完全不新增污染负荷，不会加剧现有超标现状。</w:t>
            </w:r>
          </w:p>
          <w:p w14:paraId="021BDF5E">
            <w:pPr>
              <w:pStyle w:val="9"/>
              <w:ind w:firstLine="480"/>
              <w:rPr>
                <w:rFonts w:hint="eastAsia"/>
                <w:b/>
                <w:bCs w:val="0"/>
                <w:color w:val="auto"/>
                <w:lang w:val="en-US" w:eastAsia="zh-CN"/>
              </w:rPr>
            </w:pPr>
            <w:r>
              <w:rPr>
                <w:rFonts w:hint="eastAsia"/>
                <w:b/>
                <w:bCs w:val="0"/>
                <w:color w:val="auto"/>
                <w:lang w:val="en-US" w:eastAsia="zh-CN"/>
              </w:rPr>
              <w:t>2）新西河环境质量现状</w:t>
            </w:r>
          </w:p>
          <w:p w14:paraId="343343E1">
            <w:pPr>
              <w:pStyle w:val="9"/>
              <w:ind w:firstLine="480"/>
              <w:rPr>
                <w:rFonts w:hint="default"/>
                <w:b w:val="0"/>
                <w:bCs/>
                <w:color w:val="auto"/>
                <w:lang w:val="en-US" w:eastAsia="zh-CN"/>
              </w:rPr>
            </w:pPr>
            <w:r>
              <w:rPr>
                <w:rFonts w:hint="default"/>
                <w:b w:val="0"/>
                <w:bCs/>
                <w:color w:val="auto"/>
                <w:lang w:val="en-US" w:eastAsia="zh-CN"/>
              </w:rPr>
              <w:t>本次评价引用云南清源环境科技有限公司于2024年9月26日~9月27日对项目下游约</w:t>
            </w:r>
            <w:r>
              <w:rPr>
                <w:rFonts w:hint="eastAsia"/>
                <w:b w:val="0"/>
                <w:bCs/>
                <w:color w:val="auto"/>
                <w:lang w:val="en-US" w:eastAsia="zh-CN"/>
              </w:rPr>
              <w:t>1.13k</w:t>
            </w:r>
            <w:r>
              <w:rPr>
                <w:rFonts w:hint="default"/>
                <w:b w:val="0"/>
                <w:bCs/>
                <w:color w:val="auto"/>
                <w:lang w:val="en-US" w:eastAsia="zh-CN"/>
              </w:rPr>
              <w:t>m处新西河断面进行现状监测结果</w:t>
            </w:r>
            <w:r>
              <w:rPr>
                <w:rFonts w:hint="eastAsia"/>
                <w:b w:val="0"/>
                <w:bCs/>
                <w:color w:val="auto"/>
                <w:lang w:val="en-US" w:eastAsia="zh-CN"/>
              </w:rPr>
              <w:t>。</w:t>
            </w:r>
          </w:p>
          <w:p w14:paraId="6635078E">
            <w:pPr>
              <w:pStyle w:val="9"/>
              <w:ind w:left="0" w:leftChars="0" w:firstLine="0" w:firstLineChars="0"/>
              <w:rPr>
                <w:rFonts w:hint="default"/>
                <w:b w:val="0"/>
                <w:bCs/>
                <w:color w:val="auto"/>
                <w:lang w:val="en-US" w:eastAsia="zh-CN"/>
              </w:rPr>
            </w:pPr>
            <w:r>
              <w:rPr>
                <w:rFonts w:hint="eastAsia" w:eastAsia="宋体"/>
                <w:b/>
                <w:bCs/>
                <w:color w:val="auto"/>
                <w:lang w:eastAsia="zh-CN"/>
              </w:rPr>
              <w:drawing>
                <wp:anchor distT="0" distB="0" distL="114300" distR="114300" simplePos="0" relativeHeight="251671552" behindDoc="0" locked="0" layoutInCell="1" allowOverlap="1">
                  <wp:simplePos x="0" y="0"/>
                  <wp:positionH relativeFrom="column">
                    <wp:posOffset>4170045</wp:posOffset>
                  </wp:positionH>
                  <wp:positionV relativeFrom="paragraph">
                    <wp:posOffset>116205</wp:posOffset>
                  </wp:positionV>
                  <wp:extent cx="718820" cy="906780"/>
                  <wp:effectExtent l="9525" t="9525" r="14605" b="17145"/>
                  <wp:wrapNone/>
                  <wp:docPr id="28" name="图片 28"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玉溪风玫瑰"/>
                          <pic:cNvPicPr>
                            <a:picLocks noChangeAspect="1"/>
                          </pic:cNvPicPr>
                        </pic:nvPicPr>
                        <pic:blipFill>
                          <a:blip r:embed="rId20"/>
                          <a:stretch>
                            <a:fillRect/>
                          </a:stretch>
                        </pic:blipFill>
                        <pic:spPr>
                          <a:xfrm>
                            <a:off x="0" y="0"/>
                            <a:ext cx="718820" cy="906780"/>
                          </a:xfrm>
                          <a:prstGeom prst="rect">
                            <a:avLst/>
                          </a:prstGeom>
                          <a:ln>
                            <a:solidFill>
                              <a:schemeClr val="tx1"/>
                            </a:solidFill>
                          </a:ln>
                        </pic:spPr>
                      </pic:pic>
                    </a:graphicData>
                  </a:graphic>
                </wp:anchor>
              </w:drawing>
            </w:r>
            <w:r>
              <w:rPr>
                <w:color w:val="auto"/>
                <w:sz w:val="24"/>
              </w:rPr>
              <mc:AlternateContent>
                <mc:Choice Requires="wps">
                  <w:drawing>
                    <wp:anchor distT="0" distB="0" distL="114300" distR="114300" simplePos="0" relativeHeight="251670528" behindDoc="0" locked="0" layoutInCell="1" allowOverlap="1">
                      <wp:simplePos x="0" y="0"/>
                      <wp:positionH relativeFrom="column">
                        <wp:posOffset>402590</wp:posOffset>
                      </wp:positionH>
                      <wp:positionV relativeFrom="paragraph">
                        <wp:posOffset>656590</wp:posOffset>
                      </wp:positionV>
                      <wp:extent cx="169545" cy="447040"/>
                      <wp:effectExtent l="12700" t="6985" r="27305" b="3175"/>
                      <wp:wrapNone/>
                      <wp:docPr id="27" name="直接箭头连接符 27"/>
                      <wp:cNvGraphicFramePr/>
                      <a:graphic xmlns:a="http://schemas.openxmlformats.org/drawingml/2006/main">
                        <a:graphicData uri="http://schemas.microsoft.com/office/word/2010/wordprocessingShape">
                          <wps:wsp>
                            <wps:cNvCnPr/>
                            <wps:spPr>
                              <a:xfrm flipH="1">
                                <a:off x="0" y="0"/>
                                <a:ext cx="169545" cy="44704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31.7pt;margin-top:51.7pt;height:35.2pt;width:13.35pt;z-index:251670528;mso-width-relative:page;mso-height-relative:page;" filled="f" stroked="t" coordsize="21600,21600" o:gfxdata="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nso9&#10;zdoAAAAJAQAADwAAAAAAAAABACAAAAAiAAAAZHJzL2Rvd25yZXYueG1sUEsBAhQAFAAAAAgAh07i&#10;QAfz7BggAgAAFwQAAA4AAAAAAAAAAQAgAAAAKQEAAGRycy9lMm9Eb2MueG1sUEsFBgAAAAAGAAYA&#10;WQEAALsFAAAAAA==&#10;">
                      <v:fill on="f" focussize="0,0"/>
                      <v:stroke weight="3pt" color="#00FFFF [3204]" joinstyle="round" endarrow="block"/>
                      <v:imagedata o:title=""/>
                      <o:lock v:ext="edit" aspectratio="f"/>
                    </v:shape>
                  </w:pict>
                </mc:Fallback>
              </mc:AlternateContent>
            </w:r>
            <w:r>
              <w:rPr>
                <w:color w:val="auto"/>
                <w:sz w:val="24"/>
              </w:rPr>
              <mc:AlternateContent>
                <mc:Choice Requires="wps">
                  <w:drawing>
                    <wp:anchor distT="0" distB="0" distL="114300" distR="114300" simplePos="0" relativeHeight="251667456" behindDoc="0" locked="0" layoutInCell="1" allowOverlap="1">
                      <wp:simplePos x="0" y="0"/>
                      <wp:positionH relativeFrom="column">
                        <wp:posOffset>3323590</wp:posOffset>
                      </wp:positionH>
                      <wp:positionV relativeFrom="paragraph">
                        <wp:posOffset>1833880</wp:posOffset>
                      </wp:positionV>
                      <wp:extent cx="106045" cy="393700"/>
                      <wp:effectExtent l="25400" t="5080" r="20955" b="1270"/>
                      <wp:wrapNone/>
                      <wp:docPr id="21" name="直接箭头连接符 21"/>
                      <wp:cNvGraphicFramePr/>
                      <a:graphic xmlns:a="http://schemas.openxmlformats.org/drawingml/2006/main">
                        <a:graphicData uri="http://schemas.microsoft.com/office/word/2010/wordprocessingShape">
                          <wps:wsp>
                            <wps:cNvCnPr/>
                            <wps:spPr>
                              <a:xfrm flipH="1">
                                <a:off x="0" y="0"/>
                                <a:ext cx="106045" cy="39370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61.7pt;margin-top:144.4pt;height:31pt;width:8.35pt;z-index:251667456;mso-width-relative:page;mso-height-relative:page;" filled="f" stroked="t" coordsize="21600,21600" o:gfxdata="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cS&#10;dufcAAAACwEAAA8AAAAAAAAAAQAgAAAAIgAAAGRycy9kb3ducmV2LnhtbFBLAQIUABQAAAAIAIdO&#10;4kB4YQDJHwIAABcEAAAOAAAAAAAAAAEAIAAAACsBAABkcnMvZTJvRG9jLnhtbFBLBQYAAAAABgAG&#10;AFkBAAC8BQAAAAA=&#10;">
                      <v:fill on="f" focussize="0,0"/>
                      <v:stroke weight="3pt" color="#00FFFF [3204]" joinstyle="round" endarrow="block"/>
                      <v:imagedata o:title=""/>
                      <o:lock v:ext="edit" aspectratio="f"/>
                    </v:shape>
                  </w:pict>
                </mc:Fallback>
              </mc:AlternateContent>
            </w:r>
            <w:r>
              <w:rPr>
                <w:color w:val="auto"/>
                <w:sz w:val="24"/>
              </w:rPr>
              <mc:AlternateContent>
                <mc:Choice Requires="wps">
                  <w:drawing>
                    <wp:anchor distT="0" distB="0" distL="114300" distR="114300" simplePos="0" relativeHeight="251669504" behindDoc="0" locked="0" layoutInCell="1" allowOverlap="1">
                      <wp:simplePos x="0" y="0"/>
                      <wp:positionH relativeFrom="column">
                        <wp:posOffset>3037840</wp:posOffset>
                      </wp:positionH>
                      <wp:positionV relativeFrom="paragraph">
                        <wp:posOffset>3539490</wp:posOffset>
                      </wp:positionV>
                      <wp:extent cx="80645" cy="427990"/>
                      <wp:effectExtent l="34925" t="3810" r="36830" b="6350"/>
                      <wp:wrapNone/>
                      <wp:docPr id="26" name="直接箭头连接符 26"/>
                      <wp:cNvGraphicFramePr/>
                      <a:graphic xmlns:a="http://schemas.openxmlformats.org/drawingml/2006/main">
                        <a:graphicData uri="http://schemas.microsoft.com/office/word/2010/wordprocessingShape">
                          <wps:wsp>
                            <wps:cNvCnPr/>
                            <wps:spPr>
                              <a:xfrm flipH="1">
                                <a:off x="0" y="0"/>
                                <a:ext cx="80645" cy="42799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39.2pt;margin-top:278.7pt;height:33.7pt;width:6.35pt;z-index:251669504;mso-width-relative:page;mso-height-relative:page;" filled="f" stroked="t" coordsize="21600,21600" o:gfxdata="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u4n5Tt0AAAALAQAADwAAAAAAAAABACAAAAAiAAAAZHJzL2Rvd25yZXYueG1sUEsBAhQAFAAAAAgA&#10;h07iQE7WyXsgAgAAFgQAAA4AAAAAAAAAAQAgAAAALAEAAGRycy9lMm9Eb2MueG1sUEsFBgAAAAAG&#10;AAYAWQEAAL4FAAAAAA==&#10;">
                      <v:fill on="f" focussize="0,0"/>
                      <v:stroke weight="3pt" color="#00FFFF [3204]" joinstyle="round" endarrow="block"/>
                      <v:imagedata o:title=""/>
                      <o:lock v:ext="edit" aspectratio="f"/>
                    </v:shape>
                  </w:pict>
                </mc:Fallback>
              </mc:AlternateContent>
            </w: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3666490</wp:posOffset>
                      </wp:positionH>
                      <wp:positionV relativeFrom="paragraph">
                        <wp:posOffset>309880</wp:posOffset>
                      </wp:positionV>
                      <wp:extent cx="86995" cy="400050"/>
                      <wp:effectExtent l="31750" t="3810" r="33655" b="15240"/>
                      <wp:wrapNone/>
                      <wp:docPr id="22" name="直接箭头连接符 22"/>
                      <wp:cNvGraphicFramePr/>
                      <a:graphic xmlns:a="http://schemas.openxmlformats.org/drawingml/2006/main">
                        <a:graphicData uri="http://schemas.microsoft.com/office/word/2010/wordprocessingShape">
                          <wps:wsp>
                            <wps:cNvCnPr/>
                            <wps:spPr>
                              <a:xfrm flipH="1">
                                <a:off x="0" y="0"/>
                                <a:ext cx="86995" cy="400050"/>
                              </a:xfrm>
                              <a:prstGeom prst="straightConnector1">
                                <a:avLst/>
                              </a:prstGeom>
                              <a:noFill/>
                              <a:ln w="38100" cap="flat" cmpd="sng" algn="ctr">
                                <a:solidFill>
                                  <a:srgbClr val="00FFFF"/>
                                </a:solidFill>
                                <a:prstDash val="solid"/>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x;margin-left:288.7pt;margin-top:24.4pt;height:31.5pt;width:6.85pt;z-index:251668480;mso-width-relative:page;mso-height-relative:page;" filled="f" stroked="t" coordsize="21600,21600" o:gfxdata="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KAd&#10;iczbAAAACgEAAA8AAAAAAAAAAQAgAAAAIgAAAGRycy9kb3ducmV2LnhtbFBLAQIUABQAAAAIAIdO&#10;4kDCdYk2IAIAABYEAAAOAAAAAAAAAAEAIAAAACoBAABkcnMvZTJvRG9jLnhtbFBLBQYAAAAABgAG&#10;AFkBAAC8BQAAAAA=&#10;">
                      <v:fill on="f" focussize="0,0"/>
                      <v:stroke weight="3pt" color="#00FFFF [3204]" joinstyle="round" endarrow="block"/>
                      <v:imagedata o:title=""/>
                      <o:lock v:ext="edit" aspectratio="f"/>
                    </v:shape>
                  </w:pict>
                </mc:Fallback>
              </mc:AlternateContent>
            </w:r>
            <w:r>
              <w:rPr>
                <w:rFonts w:hint="default"/>
                <w:b w:val="0"/>
                <w:bCs/>
                <w:color w:val="auto"/>
                <w:lang w:val="en-US" w:eastAsia="zh-CN"/>
              </w:rPr>
              <w:drawing>
                <wp:inline distT="0" distB="0" distL="114300" distR="114300">
                  <wp:extent cx="4918075" cy="4567555"/>
                  <wp:effectExtent l="0" t="0" r="15875" b="4445"/>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25"/>
                          <a:stretch>
                            <a:fillRect/>
                          </a:stretch>
                        </pic:blipFill>
                        <pic:spPr>
                          <a:xfrm>
                            <a:off x="0" y="0"/>
                            <a:ext cx="4918075" cy="4567555"/>
                          </a:xfrm>
                          <a:prstGeom prst="rect">
                            <a:avLst/>
                          </a:prstGeom>
                          <a:noFill/>
                          <a:ln>
                            <a:noFill/>
                          </a:ln>
                        </pic:spPr>
                      </pic:pic>
                    </a:graphicData>
                  </a:graphic>
                </wp:inline>
              </w:drawing>
            </w:r>
          </w:p>
          <w:p w14:paraId="5D867228">
            <w:pPr>
              <w:pStyle w:val="30"/>
              <w:bidi w:val="0"/>
              <w:rPr>
                <w:rFonts w:hint="eastAsia"/>
                <w:b w:val="0"/>
                <w:bCs/>
                <w:color w:val="auto"/>
                <w:lang w:val="en-US" w:eastAsia="zh-CN"/>
              </w:rPr>
            </w:pPr>
            <w:r>
              <w:rPr>
                <w:rFonts w:hint="eastAsia"/>
                <w:color w:val="auto"/>
                <w:lang w:val="en-US" w:eastAsia="zh-CN"/>
              </w:rPr>
              <w:t>图3-4 项目与地表水监测点位位置关系示意图</w:t>
            </w:r>
          </w:p>
          <w:p w14:paraId="563F9964">
            <w:pPr>
              <w:pStyle w:val="9"/>
              <w:ind w:firstLine="480"/>
              <w:rPr>
                <w:rFonts w:hint="default"/>
                <w:b w:val="0"/>
                <w:bCs/>
                <w:color w:val="auto"/>
                <w:lang w:val="en-US" w:eastAsia="zh-CN"/>
              </w:rPr>
            </w:pPr>
            <w:r>
              <w:rPr>
                <w:rFonts w:hint="eastAsia"/>
                <w:b w:val="0"/>
                <w:bCs/>
                <w:color w:val="auto"/>
                <w:lang w:val="en-US" w:eastAsia="zh-CN"/>
              </w:rPr>
              <w:t>具体</w:t>
            </w:r>
            <w:r>
              <w:rPr>
                <w:rFonts w:hint="default"/>
                <w:b w:val="0"/>
                <w:bCs/>
                <w:color w:val="auto"/>
                <w:lang w:val="en-US" w:eastAsia="zh-CN"/>
              </w:rPr>
              <w:t>监测结果见</w:t>
            </w:r>
            <w:r>
              <w:rPr>
                <w:rFonts w:hint="eastAsia"/>
                <w:b w:val="0"/>
                <w:bCs/>
                <w:color w:val="auto"/>
                <w:lang w:val="en-US" w:eastAsia="zh-CN"/>
              </w:rPr>
              <w:t>下</w:t>
            </w:r>
            <w:r>
              <w:rPr>
                <w:rFonts w:hint="default"/>
                <w:b w:val="0"/>
                <w:bCs/>
                <w:color w:val="auto"/>
                <w:lang w:val="en-US" w:eastAsia="zh-CN"/>
              </w:rPr>
              <w:t>表</w:t>
            </w:r>
          </w:p>
          <w:p w14:paraId="60F708DB">
            <w:pPr>
              <w:pStyle w:val="30"/>
              <w:bidi w:val="0"/>
              <w:rPr>
                <w:rFonts w:hint="eastAsia"/>
                <w:color w:val="auto"/>
                <w:lang w:val="en-US" w:eastAsia="zh-CN"/>
              </w:rPr>
            </w:pPr>
            <w:r>
              <w:rPr>
                <w:rFonts w:hint="eastAsia"/>
                <w:color w:val="auto"/>
                <w:lang w:val="en-US" w:eastAsia="zh-CN"/>
              </w:rPr>
              <w:t>表3-8  老西河水质监测数据一览表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1092"/>
              <w:gridCol w:w="777"/>
              <w:gridCol w:w="776"/>
              <w:gridCol w:w="895"/>
              <w:gridCol w:w="850"/>
              <w:gridCol w:w="774"/>
              <w:gridCol w:w="969"/>
              <w:gridCol w:w="685"/>
            </w:tblGrid>
            <w:tr w14:paraId="469B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05" w:type="pct"/>
                  <w:vMerge w:val="restart"/>
                  <w:tcBorders>
                    <w:top w:val="single" w:color="auto" w:sz="4" w:space="0"/>
                    <w:left w:val="single" w:color="auto" w:sz="4" w:space="0"/>
                    <w:right w:val="single" w:color="auto" w:sz="4" w:space="0"/>
                  </w:tcBorders>
                  <w:vAlign w:val="center"/>
                </w:tcPr>
                <w:p w14:paraId="6EC0D163">
                  <w:pPr>
                    <w:pStyle w:val="29"/>
                    <w:rPr>
                      <w:rFonts w:hint="eastAsia" w:eastAsia="宋体"/>
                      <w:color w:val="auto"/>
                      <w:lang w:eastAsia="zh-CN"/>
                    </w:rPr>
                  </w:pPr>
                  <w:r>
                    <w:rPr>
                      <w:rFonts w:hint="eastAsia"/>
                      <w:color w:val="auto"/>
                      <w:lang w:val="en-US" w:eastAsia="zh-CN"/>
                    </w:rPr>
                    <w:t>监测点</w:t>
                  </w:r>
                </w:p>
              </w:tc>
              <w:tc>
                <w:tcPr>
                  <w:tcW w:w="704" w:type="pct"/>
                  <w:vMerge w:val="restart"/>
                  <w:tcBorders>
                    <w:top w:val="single" w:color="auto" w:sz="4" w:space="0"/>
                    <w:left w:val="single" w:color="auto" w:sz="4" w:space="0"/>
                    <w:right w:val="single" w:color="auto" w:sz="4" w:space="0"/>
                  </w:tcBorders>
                  <w:vAlign w:val="center"/>
                </w:tcPr>
                <w:p w14:paraId="20B2E252">
                  <w:pPr>
                    <w:pStyle w:val="29"/>
                    <w:rPr>
                      <w:rFonts w:hint="default"/>
                      <w:color w:val="auto"/>
                      <w:lang w:val="en-US" w:eastAsia="zh-CN"/>
                    </w:rPr>
                  </w:pPr>
                  <w:r>
                    <w:rPr>
                      <w:rFonts w:hint="eastAsia"/>
                      <w:color w:val="auto"/>
                      <w:lang w:val="en-US" w:eastAsia="zh-CN"/>
                    </w:rPr>
                    <w:t>采样时间</w:t>
                  </w:r>
                </w:p>
              </w:tc>
              <w:tc>
                <w:tcPr>
                  <w:tcW w:w="3690" w:type="pct"/>
                  <w:gridSpan w:val="7"/>
                  <w:tcBorders>
                    <w:top w:val="single" w:color="auto" w:sz="4" w:space="0"/>
                    <w:left w:val="single" w:color="auto" w:sz="4" w:space="0"/>
                    <w:right w:val="single" w:color="auto" w:sz="4" w:space="0"/>
                  </w:tcBorders>
                  <w:vAlign w:val="center"/>
                </w:tcPr>
                <w:p w14:paraId="4CA7244E">
                  <w:pPr>
                    <w:pStyle w:val="29"/>
                    <w:rPr>
                      <w:color w:val="auto"/>
                    </w:rPr>
                  </w:pPr>
                  <w:r>
                    <w:rPr>
                      <w:color w:val="auto"/>
                    </w:rPr>
                    <w:t>检测结果</w:t>
                  </w:r>
                </w:p>
              </w:tc>
            </w:tr>
            <w:tr w14:paraId="26D6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05" w:type="pct"/>
                  <w:vMerge w:val="continue"/>
                  <w:tcBorders>
                    <w:left w:val="single" w:color="auto" w:sz="4" w:space="0"/>
                    <w:right w:val="single" w:color="auto" w:sz="4" w:space="0"/>
                  </w:tcBorders>
                  <w:vAlign w:val="center"/>
                </w:tcPr>
                <w:p w14:paraId="424AA687">
                  <w:pPr>
                    <w:pStyle w:val="29"/>
                    <w:rPr>
                      <w:color w:val="auto"/>
                    </w:rPr>
                  </w:pPr>
                </w:p>
              </w:tc>
              <w:tc>
                <w:tcPr>
                  <w:tcW w:w="704" w:type="pct"/>
                  <w:vMerge w:val="continue"/>
                  <w:tcBorders>
                    <w:left w:val="single" w:color="auto" w:sz="4" w:space="0"/>
                    <w:bottom w:val="single" w:color="auto" w:sz="4" w:space="0"/>
                    <w:right w:val="single" w:color="auto" w:sz="4" w:space="0"/>
                  </w:tcBorders>
                  <w:vAlign w:val="center"/>
                </w:tcPr>
                <w:p w14:paraId="2E0F175A">
                  <w:pPr>
                    <w:pStyle w:val="29"/>
                    <w:rPr>
                      <w:color w:val="auto"/>
                    </w:rPr>
                  </w:pPr>
                </w:p>
              </w:tc>
              <w:tc>
                <w:tcPr>
                  <w:tcW w:w="501" w:type="pct"/>
                  <w:tcBorders>
                    <w:left w:val="single" w:color="auto" w:sz="4" w:space="0"/>
                    <w:bottom w:val="single" w:color="auto" w:sz="4" w:space="0"/>
                    <w:right w:val="single" w:color="000000" w:sz="4" w:space="0"/>
                  </w:tcBorders>
                  <w:shd w:val="clear" w:color="auto" w:fill="auto"/>
                  <w:vAlign w:val="center"/>
                </w:tcPr>
                <w:p w14:paraId="27AEB8B8">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color w:val="auto"/>
                    </w:rPr>
                    <w:t>pH</w:t>
                  </w:r>
                </w:p>
              </w:tc>
              <w:tc>
                <w:tcPr>
                  <w:tcW w:w="500" w:type="pct"/>
                  <w:tcBorders>
                    <w:left w:val="single" w:color="auto" w:sz="4" w:space="0"/>
                    <w:bottom w:val="single" w:color="auto" w:sz="4" w:space="0"/>
                    <w:right w:val="single" w:color="000000" w:sz="4" w:space="0"/>
                  </w:tcBorders>
                  <w:shd w:val="clear" w:color="auto" w:fill="auto"/>
                  <w:vAlign w:val="center"/>
                </w:tcPr>
                <w:p w14:paraId="55678B97">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COD</w:t>
                  </w:r>
                </w:p>
              </w:tc>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0971E21C">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BOD</w:t>
                  </w:r>
                  <w:r>
                    <w:rPr>
                      <w:rFonts w:hint="eastAsia"/>
                      <w:color w:val="auto"/>
                      <w:vertAlign w:val="subscript"/>
                    </w:rPr>
                    <w:t>5</w:t>
                  </w:r>
                </w:p>
              </w:tc>
              <w:tc>
                <w:tcPr>
                  <w:tcW w:w="548" w:type="pct"/>
                  <w:tcBorders>
                    <w:top w:val="single" w:color="auto" w:sz="4" w:space="0"/>
                    <w:left w:val="single" w:color="auto" w:sz="4" w:space="0"/>
                    <w:bottom w:val="single" w:color="auto" w:sz="4" w:space="0"/>
                    <w:right w:val="single" w:color="auto" w:sz="4" w:space="0"/>
                  </w:tcBorders>
                  <w:shd w:val="clear" w:color="auto" w:fill="auto"/>
                  <w:vAlign w:val="center"/>
                </w:tcPr>
                <w:p w14:paraId="4EFE5D84">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color w:val="auto"/>
                    </w:rPr>
                    <w:t>氨氮</w:t>
                  </w:r>
                </w:p>
              </w:tc>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14:paraId="23BB664C">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color w:val="auto"/>
                    </w:rPr>
                    <w:t>总磷</w:t>
                  </w:r>
                </w:p>
              </w:tc>
              <w:tc>
                <w:tcPr>
                  <w:tcW w:w="624" w:type="pct"/>
                  <w:tcBorders>
                    <w:top w:val="single" w:color="auto" w:sz="4" w:space="0"/>
                    <w:left w:val="single" w:color="auto" w:sz="4" w:space="0"/>
                    <w:bottom w:val="single" w:color="auto" w:sz="4" w:space="0"/>
                    <w:right w:val="single" w:color="auto" w:sz="4" w:space="0"/>
                  </w:tcBorders>
                  <w:vAlign w:val="center"/>
                </w:tcPr>
                <w:p w14:paraId="3099736F">
                  <w:pPr>
                    <w:pStyle w:val="29"/>
                    <w:rPr>
                      <w:color w:val="auto"/>
                    </w:rPr>
                  </w:pPr>
                  <w:r>
                    <w:rPr>
                      <w:rFonts w:hint="eastAsia"/>
                      <w:color w:val="auto"/>
                      <w:lang w:val="en-US" w:eastAsia="zh-CN"/>
                    </w:rPr>
                    <w:t>粪大肠菌群</w:t>
                  </w:r>
                </w:p>
                <w:p w14:paraId="6E67FEDB">
                  <w:pPr>
                    <w:pStyle w:val="29"/>
                    <w:rPr>
                      <w:color w:val="auto"/>
                    </w:rPr>
                  </w:pPr>
                </w:p>
              </w:tc>
              <w:tc>
                <w:tcPr>
                  <w:tcW w:w="438" w:type="pct"/>
                  <w:tcBorders>
                    <w:top w:val="single" w:color="auto" w:sz="4" w:space="0"/>
                    <w:left w:val="single" w:color="auto" w:sz="4" w:space="0"/>
                    <w:bottom w:val="single" w:color="auto" w:sz="4" w:space="0"/>
                    <w:right w:val="single" w:color="auto" w:sz="4" w:space="0"/>
                  </w:tcBorders>
                  <w:vAlign w:val="center"/>
                </w:tcPr>
                <w:p w14:paraId="583C47FF">
                  <w:pPr>
                    <w:pStyle w:val="29"/>
                    <w:rPr>
                      <w:rFonts w:hint="eastAsia" w:eastAsia="宋体"/>
                      <w:color w:val="auto"/>
                      <w:lang w:val="en-US" w:eastAsia="zh-CN"/>
                    </w:rPr>
                  </w:pPr>
                  <w:r>
                    <w:rPr>
                      <w:rFonts w:hint="eastAsia"/>
                      <w:color w:val="auto"/>
                      <w:lang w:val="en-US" w:eastAsia="zh-CN"/>
                    </w:rPr>
                    <w:t>石油类</w:t>
                  </w:r>
                </w:p>
              </w:tc>
            </w:tr>
            <w:tr w14:paraId="7056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5" w:type="pct"/>
                  <w:vMerge w:val="restart"/>
                  <w:tcBorders>
                    <w:left w:val="single" w:color="auto" w:sz="4" w:space="0"/>
                    <w:right w:val="single" w:color="auto" w:sz="4" w:space="0"/>
                  </w:tcBorders>
                  <w:vAlign w:val="center"/>
                </w:tcPr>
                <w:p w14:paraId="589B1F3B">
                  <w:pPr>
                    <w:pStyle w:val="29"/>
                    <w:rPr>
                      <w:color w:val="auto"/>
                    </w:rPr>
                  </w:pPr>
                  <w:r>
                    <w:rPr>
                      <w:color w:val="auto"/>
                    </w:rPr>
                    <w:t>项目区下游</w:t>
                  </w:r>
                  <w:r>
                    <w:rPr>
                      <w:rFonts w:hint="eastAsia"/>
                      <w:color w:val="auto"/>
                      <w:lang w:val="en-US" w:eastAsia="zh-CN"/>
                    </w:rPr>
                    <w:t>1.13k</w:t>
                  </w:r>
                  <w:r>
                    <w:rPr>
                      <w:color w:val="auto"/>
                    </w:rPr>
                    <w:t>m处</w:t>
                  </w:r>
                </w:p>
              </w:tc>
              <w:tc>
                <w:tcPr>
                  <w:tcW w:w="704" w:type="pct"/>
                  <w:tcBorders>
                    <w:top w:val="single" w:color="auto" w:sz="4" w:space="0"/>
                    <w:left w:val="single" w:color="auto" w:sz="4" w:space="0"/>
                    <w:right w:val="single" w:color="auto" w:sz="4" w:space="0"/>
                  </w:tcBorders>
                  <w:vAlign w:val="center"/>
                </w:tcPr>
                <w:p w14:paraId="12896D26">
                  <w:pPr>
                    <w:pStyle w:val="29"/>
                    <w:rPr>
                      <w:color w:val="auto"/>
                    </w:rPr>
                  </w:pPr>
                  <w:r>
                    <w:rPr>
                      <w:rFonts w:hint="eastAsia"/>
                      <w:color w:val="auto"/>
                    </w:rPr>
                    <w:t>2024</w:t>
                  </w:r>
                  <w:r>
                    <w:rPr>
                      <w:rFonts w:hint="eastAsia"/>
                      <w:color w:val="auto"/>
                      <w:lang w:eastAsia="zh-CN"/>
                    </w:rPr>
                    <w:t>.</w:t>
                  </w:r>
                  <w:r>
                    <w:rPr>
                      <w:rFonts w:hint="eastAsia"/>
                      <w:color w:val="auto"/>
                    </w:rPr>
                    <w:t>9</w:t>
                  </w:r>
                  <w:r>
                    <w:rPr>
                      <w:rFonts w:hint="eastAsia"/>
                      <w:color w:val="auto"/>
                      <w:lang w:val="en-US" w:eastAsia="zh-CN"/>
                    </w:rPr>
                    <w:t>.</w:t>
                  </w:r>
                  <w:r>
                    <w:rPr>
                      <w:rFonts w:hint="eastAsia"/>
                      <w:color w:val="auto"/>
                    </w:rPr>
                    <w:t>26</w:t>
                  </w:r>
                </w:p>
              </w:tc>
              <w:tc>
                <w:tcPr>
                  <w:tcW w:w="501" w:type="pct"/>
                  <w:tcBorders>
                    <w:top w:val="single" w:color="auto" w:sz="4" w:space="0"/>
                    <w:left w:val="single" w:color="auto" w:sz="4" w:space="0"/>
                    <w:right w:val="single" w:color="000000" w:sz="4" w:space="0"/>
                  </w:tcBorders>
                  <w:vAlign w:val="center"/>
                </w:tcPr>
                <w:p w14:paraId="2B10ECAB">
                  <w:pPr>
                    <w:pStyle w:val="29"/>
                    <w:rPr>
                      <w:rFonts w:hint="default" w:eastAsia="宋体"/>
                      <w:color w:val="auto"/>
                      <w:lang w:val="en-US" w:eastAsia="zh-CN"/>
                    </w:rPr>
                  </w:pPr>
                  <w:r>
                    <w:rPr>
                      <w:rFonts w:hint="eastAsia"/>
                      <w:color w:val="auto"/>
                      <w:lang w:val="en-US" w:eastAsia="zh-CN"/>
                    </w:rPr>
                    <w:t>7.5</w:t>
                  </w:r>
                </w:p>
              </w:tc>
              <w:tc>
                <w:tcPr>
                  <w:tcW w:w="500" w:type="pct"/>
                  <w:tcBorders>
                    <w:top w:val="single" w:color="auto" w:sz="4" w:space="0"/>
                    <w:left w:val="single" w:color="auto" w:sz="4" w:space="0"/>
                    <w:right w:val="single" w:color="000000" w:sz="4" w:space="0"/>
                  </w:tcBorders>
                  <w:vAlign w:val="center"/>
                </w:tcPr>
                <w:p w14:paraId="0A3C5DCE">
                  <w:pPr>
                    <w:pStyle w:val="29"/>
                    <w:rPr>
                      <w:rFonts w:hint="default" w:eastAsia="宋体"/>
                      <w:color w:val="auto"/>
                      <w:lang w:val="en-US" w:eastAsia="zh-CN"/>
                    </w:rPr>
                  </w:pPr>
                  <w:r>
                    <w:rPr>
                      <w:rFonts w:hint="eastAsia"/>
                      <w:color w:val="auto"/>
                      <w:lang w:val="en-US" w:eastAsia="zh-CN"/>
                    </w:rPr>
                    <w:t>23</w:t>
                  </w:r>
                </w:p>
              </w:tc>
              <w:tc>
                <w:tcPr>
                  <w:tcW w:w="577" w:type="pct"/>
                  <w:tcBorders>
                    <w:top w:val="single" w:color="auto" w:sz="4" w:space="0"/>
                    <w:left w:val="single" w:color="auto" w:sz="4" w:space="0"/>
                    <w:bottom w:val="single" w:color="auto" w:sz="4" w:space="0"/>
                    <w:right w:val="single" w:color="auto" w:sz="4" w:space="0"/>
                  </w:tcBorders>
                  <w:vAlign w:val="center"/>
                </w:tcPr>
                <w:p w14:paraId="0EFC4C09">
                  <w:pPr>
                    <w:pStyle w:val="29"/>
                    <w:rPr>
                      <w:rFonts w:hint="default" w:eastAsia="宋体"/>
                      <w:color w:val="auto"/>
                      <w:lang w:val="en-US" w:eastAsia="zh-CN"/>
                    </w:rPr>
                  </w:pPr>
                  <w:r>
                    <w:rPr>
                      <w:rFonts w:hint="eastAsia"/>
                      <w:color w:val="auto"/>
                      <w:lang w:val="en-US" w:eastAsia="zh-CN"/>
                    </w:rPr>
                    <w:t>3.3</w:t>
                  </w:r>
                </w:p>
              </w:tc>
              <w:tc>
                <w:tcPr>
                  <w:tcW w:w="548" w:type="pct"/>
                  <w:tcBorders>
                    <w:top w:val="single" w:color="auto" w:sz="4" w:space="0"/>
                    <w:left w:val="single" w:color="auto" w:sz="4" w:space="0"/>
                    <w:bottom w:val="single" w:color="auto" w:sz="4" w:space="0"/>
                    <w:right w:val="single" w:color="auto" w:sz="4" w:space="0"/>
                  </w:tcBorders>
                  <w:vAlign w:val="center"/>
                </w:tcPr>
                <w:p w14:paraId="5C197830">
                  <w:pPr>
                    <w:pStyle w:val="29"/>
                    <w:rPr>
                      <w:rFonts w:hint="default" w:eastAsia="宋体"/>
                      <w:color w:val="auto"/>
                      <w:lang w:val="en-US" w:eastAsia="zh-CN"/>
                    </w:rPr>
                  </w:pPr>
                  <w:r>
                    <w:rPr>
                      <w:rFonts w:hint="eastAsia"/>
                      <w:color w:val="auto"/>
                      <w:lang w:val="en-US" w:eastAsia="zh-CN"/>
                    </w:rPr>
                    <w:t>3.48</w:t>
                  </w:r>
                </w:p>
              </w:tc>
              <w:tc>
                <w:tcPr>
                  <w:tcW w:w="499" w:type="pct"/>
                  <w:tcBorders>
                    <w:top w:val="single" w:color="auto" w:sz="4" w:space="0"/>
                    <w:left w:val="single" w:color="auto" w:sz="4" w:space="0"/>
                    <w:bottom w:val="single" w:color="auto" w:sz="4" w:space="0"/>
                    <w:right w:val="single" w:color="auto" w:sz="4" w:space="0"/>
                  </w:tcBorders>
                  <w:vAlign w:val="center"/>
                </w:tcPr>
                <w:p w14:paraId="012E58EA">
                  <w:pPr>
                    <w:pStyle w:val="29"/>
                    <w:rPr>
                      <w:rFonts w:hint="default" w:eastAsia="宋体"/>
                      <w:color w:val="auto"/>
                      <w:lang w:val="en-US" w:eastAsia="zh-CN"/>
                    </w:rPr>
                  </w:pPr>
                  <w:r>
                    <w:rPr>
                      <w:rFonts w:hint="eastAsia"/>
                      <w:color w:val="auto"/>
                      <w:lang w:val="en-US" w:eastAsia="zh-CN"/>
                    </w:rPr>
                    <w:t>0.56</w:t>
                  </w:r>
                </w:p>
              </w:tc>
              <w:tc>
                <w:tcPr>
                  <w:tcW w:w="624" w:type="pct"/>
                  <w:tcBorders>
                    <w:top w:val="single" w:color="auto" w:sz="4" w:space="0"/>
                    <w:left w:val="single" w:color="auto" w:sz="4" w:space="0"/>
                    <w:bottom w:val="single" w:color="auto" w:sz="4" w:space="0"/>
                    <w:right w:val="single" w:color="auto" w:sz="4" w:space="0"/>
                  </w:tcBorders>
                  <w:vAlign w:val="center"/>
                </w:tcPr>
                <w:p w14:paraId="3CC3D9A4">
                  <w:pPr>
                    <w:pStyle w:val="29"/>
                    <w:rPr>
                      <w:rFonts w:hint="default" w:eastAsia="宋体"/>
                      <w:color w:val="auto"/>
                      <w:lang w:val="en-US" w:eastAsia="zh-CN"/>
                    </w:rPr>
                  </w:pPr>
                  <w:r>
                    <w:rPr>
                      <w:rFonts w:hint="eastAsia"/>
                      <w:color w:val="auto"/>
                      <w:lang w:val="en-US" w:eastAsia="zh-CN"/>
                    </w:rPr>
                    <w:t>3300</w:t>
                  </w:r>
                </w:p>
              </w:tc>
              <w:tc>
                <w:tcPr>
                  <w:tcW w:w="438" w:type="pct"/>
                  <w:tcBorders>
                    <w:top w:val="single" w:color="auto" w:sz="4" w:space="0"/>
                    <w:left w:val="single" w:color="auto" w:sz="4" w:space="0"/>
                    <w:bottom w:val="single" w:color="auto" w:sz="4" w:space="0"/>
                    <w:right w:val="single" w:color="auto" w:sz="4" w:space="0"/>
                  </w:tcBorders>
                  <w:vAlign w:val="center"/>
                </w:tcPr>
                <w:p w14:paraId="69D62A27">
                  <w:pPr>
                    <w:pStyle w:val="29"/>
                    <w:rPr>
                      <w:rFonts w:hint="default" w:eastAsia="宋体"/>
                      <w:color w:val="auto"/>
                      <w:lang w:val="en-US" w:eastAsia="zh-CN"/>
                    </w:rPr>
                  </w:pPr>
                  <w:r>
                    <w:rPr>
                      <w:rFonts w:hint="eastAsia"/>
                      <w:color w:val="auto"/>
                      <w:lang w:val="en-US" w:eastAsia="zh-CN"/>
                    </w:rPr>
                    <w:t>0.03</w:t>
                  </w:r>
                </w:p>
              </w:tc>
            </w:tr>
            <w:tr w14:paraId="303D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05" w:type="pct"/>
                  <w:vMerge w:val="continue"/>
                  <w:tcBorders>
                    <w:left w:val="single" w:color="auto" w:sz="4" w:space="0"/>
                    <w:right w:val="single" w:color="auto" w:sz="4" w:space="0"/>
                  </w:tcBorders>
                  <w:vAlign w:val="center"/>
                </w:tcPr>
                <w:p w14:paraId="14C5AAF7">
                  <w:pPr>
                    <w:pStyle w:val="29"/>
                    <w:rPr>
                      <w:color w:val="auto"/>
                    </w:rPr>
                  </w:pPr>
                </w:p>
              </w:tc>
              <w:tc>
                <w:tcPr>
                  <w:tcW w:w="704" w:type="pct"/>
                  <w:tcBorders>
                    <w:left w:val="single" w:color="auto" w:sz="4" w:space="0"/>
                    <w:right w:val="single" w:color="auto" w:sz="4" w:space="0"/>
                  </w:tcBorders>
                  <w:vAlign w:val="center"/>
                </w:tcPr>
                <w:p w14:paraId="783B0691">
                  <w:pPr>
                    <w:pStyle w:val="29"/>
                    <w:rPr>
                      <w:rFonts w:hint="default" w:eastAsia="宋体"/>
                      <w:color w:val="auto"/>
                      <w:lang w:val="en-US" w:eastAsia="zh-CN"/>
                    </w:rPr>
                  </w:pPr>
                  <w:r>
                    <w:rPr>
                      <w:rFonts w:hint="eastAsia"/>
                      <w:color w:val="auto"/>
                      <w:lang w:val="en-US" w:eastAsia="zh-CN"/>
                    </w:rPr>
                    <w:t>2024.9.27</w:t>
                  </w:r>
                </w:p>
              </w:tc>
              <w:tc>
                <w:tcPr>
                  <w:tcW w:w="501" w:type="pct"/>
                  <w:tcBorders>
                    <w:top w:val="single" w:color="auto" w:sz="4" w:space="0"/>
                    <w:left w:val="single" w:color="auto" w:sz="4" w:space="0"/>
                    <w:right w:val="single" w:color="000000" w:sz="4" w:space="0"/>
                  </w:tcBorders>
                  <w:vAlign w:val="center"/>
                </w:tcPr>
                <w:p w14:paraId="64E6CDA5">
                  <w:pPr>
                    <w:pStyle w:val="29"/>
                    <w:rPr>
                      <w:rFonts w:hint="default" w:eastAsia="宋体"/>
                      <w:color w:val="auto"/>
                      <w:lang w:val="en-US" w:eastAsia="zh-CN"/>
                    </w:rPr>
                  </w:pPr>
                  <w:r>
                    <w:rPr>
                      <w:rFonts w:hint="eastAsia"/>
                      <w:color w:val="auto"/>
                      <w:lang w:val="en-US" w:eastAsia="zh-CN"/>
                    </w:rPr>
                    <w:t>7.6</w:t>
                  </w:r>
                </w:p>
              </w:tc>
              <w:tc>
                <w:tcPr>
                  <w:tcW w:w="500" w:type="pct"/>
                  <w:tcBorders>
                    <w:top w:val="single" w:color="auto" w:sz="4" w:space="0"/>
                    <w:left w:val="single" w:color="auto" w:sz="4" w:space="0"/>
                    <w:right w:val="single" w:color="000000" w:sz="4" w:space="0"/>
                  </w:tcBorders>
                  <w:vAlign w:val="center"/>
                </w:tcPr>
                <w:p w14:paraId="6E519227">
                  <w:pPr>
                    <w:pStyle w:val="29"/>
                    <w:rPr>
                      <w:rFonts w:hint="default" w:eastAsia="宋体"/>
                      <w:color w:val="auto"/>
                      <w:lang w:val="en-US" w:eastAsia="zh-CN"/>
                    </w:rPr>
                  </w:pPr>
                  <w:r>
                    <w:rPr>
                      <w:rFonts w:hint="eastAsia"/>
                      <w:color w:val="auto"/>
                      <w:lang w:val="en-US" w:eastAsia="zh-CN"/>
                    </w:rPr>
                    <w:t>24</w:t>
                  </w:r>
                </w:p>
              </w:tc>
              <w:tc>
                <w:tcPr>
                  <w:tcW w:w="577" w:type="pct"/>
                  <w:tcBorders>
                    <w:top w:val="single" w:color="auto" w:sz="4" w:space="0"/>
                    <w:left w:val="single" w:color="auto" w:sz="4" w:space="0"/>
                    <w:bottom w:val="single" w:color="auto" w:sz="4" w:space="0"/>
                    <w:right w:val="single" w:color="auto" w:sz="4" w:space="0"/>
                  </w:tcBorders>
                  <w:vAlign w:val="center"/>
                </w:tcPr>
                <w:p w14:paraId="09CD7D44">
                  <w:pPr>
                    <w:pStyle w:val="29"/>
                    <w:rPr>
                      <w:rFonts w:hint="default" w:eastAsia="宋体"/>
                      <w:color w:val="auto"/>
                      <w:lang w:val="en-US" w:eastAsia="zh-CN"/>
                    </w:rPr>
                  </w:pPr>
                  <w:r>
                    <w:rPr>
                      <w:rFonts w:hint="eastAsia"/>
                      <w:color w:val="auto"/>
                      <w:lang w:val="en-US" w:eastAsia="zh-CN"/>
                    </w:rPr>
                    <w:t>4.0</w:t>
                  </w:r>
                </w:p>
              </w:tc>
              <w:tc>
                <w:tcPr>
                  <w:tcW w:w="548" w:type="pct"/>
                  <w:tcBorders>
                    <w:top w:val="single" w:color="auto" w:sz="4" w:space="0"/>
                    <w:left w:val="single" w:color="auto" w:sz="4" w:space="0"/>
                    <w:bottom w:val="single" w:color="auto" w:sz="4" w:space="0"/>
                    <w:right w:val="single" w:color="auto" w:sz="4" w:space="0"/>
                  </w:tcBorders>
                  <w:vAlign w:val="center"/>
                </w:tcPr>
                <w:p w14:paraId="1010E4A7">
                  <w:pPr>
                    <w:pStyle w:val="29"/>
                    <w:rPr>
                      <w:rFonts w:hint="default" w:eastAsia="宋体"/>
                      <w:color w:val="auto"/>
                      <w:lang w:val="en-US" w:eastAsia="zh-CN"/>
                    </w:rPr>
                  </w:pPr>
                  <w:r>
                    <w:rPr>
                      <w:rFonts w:hint="eastAsia"/>
                      <w:color w:val="auto"/>
                      <w:lang w:val="en-US" w:eastAsia="zh-CN"/>
                    </w:rPr>
                    <w:t>4.62</w:t>
                  </w:r>
                </w:p>
              </w:tc>
              <w:tc>
                <w:tcPr>
                  <w:tcW w:w="499" w:type="pct"/>
                  <w:tcBorders>
                    <w:top w:val="single" w:color="auto" w:sz="4" w:space="0"/>
                    <w:left w:val="single" w:color="auto" w:sz="4" w:space="0"/>
                    <w:bottom w:val="single" w:color="auto" w:sz="4" w:space="0"/>
                    <w:right w:val="single" w:color="auto" w:sz="4" w:space="0"/>
                  </w:tcBorders>
                  <w:vAlign w:val="center"/>
                </w:tcPr>
                <w:p w14:paraId="1EE61501">
                  <w:pPr>
                    <w:pStyle w:val="29"/>
                    <w:rPr>
                      <w:rFonts w:hint="default" w:eastAsia="宋体"/>
                      <w:color w:val="auto"/>
                      <w:lang w:val="en-US" w:eastAsia="zh-CN"/>
                    </w:rPr>
                  </w:pPr>
                  <w:r>
                    <w:rPr>
                      <w:rFonts w:hint="eastAsia"/>
                      <w:color w:val="auto"/>
                      <w:lang w:val="en-US" w:eastAsia="zh-CN"/>
                    </w:rPr>
                    <w:t>0.63</w:t>
                  </w:r>
                </w:p>
              </w:tc>
              <w:tc>
                <w:tcPr>
                  <w:tcW w:w="624" w:type="pct"/>
                  <w:tcBorders>
                    <w:top w:val="single" w:color="auto" w:sz="4" w:space="0"/>
                    <w:left w:val="single" w:color="auto" w:sz="4" w:space="0"/>
                    <w:bottom w:val="single" w:color="auto" w:sz="4" w:space="0"/>
                    <w:right w:val="single" w:color="auto" w:sz="4" w:space="0"/>
                  </w:tcBorders>
                  <w:vAlign w:val="center"/>
                </w:tcPr>
                <w:p w14:paraId="0826552F">
                  <w:pPr>
                    <w:pStyle w:val="29"/>
                    <w:rPr>
                      <w:rFonts w:hint="default" w:eastAsia="宋体"/>
                      <w:color w:val="auto"/>
                      <w:lang w:val="en-US" w:eastAsia="zh-CN"/>
                    </w:rPr>
                  </w:pPr>
                  <w:r>
                    <w:rPr>
                      <w:rFonts w:hint="eastAsia"/>
                      <w:color w:val="auto"/>
                      <w:lang w:val="en-US" w:eastAsia="zh-CN"/>
                    </w:rPr>
                    <w:t>4600</w:t>
                  </w:r>
                </w:p>
              </w:tc>
              <w:tc>
                <w:tcPr>
                  <w:tcW w:w="438" w:type="pct"/>
                  <w:tcBorders>
                    <w:top w:val="single" w:color="auto" w:sz="4" w:space="0"/>
                    <w:left w:val="single" w:color="auto" w:sz="4" w:space="0"/>
                    <w:bottom w:val="single" w:color="auto" w:sz="4" w:space="0"/>
                    <w:right w:val="single" w:color="auto" w:sz="4" w:space="0"/>
                  </w:tcBorders>
                  <w:vAlign w:val="center"/>
                </w:tcPr>
                <w:p w14:paraId="5E8A3388">
                  <w:pPr>
                    <w:pStyle w:val="29"/>
                    <w:rPr>
                      <w:rFonts w:hint="default" w:eastAsia="宋体"/>
                      <w:color w:val="auto"/>
                      <w:lang w:val="en-US" w:eastAsia="zh-CN"/>
                    </w:rPr>
                  </w:pPr>
                  <w:r>
                    <w:rPr>
                      <w:rFonts w:hint="eastAsia"/>
                      <w:color w:val="auto"/>
                      <w:lang w:val="en-US" w:eastAsia="zh-CN"/>
                    </w:rPr>
                    <w:t>0.04</w:t>
                  </w:r>
                </w:p>
              </w:tc>
            </w:tr>
            <w:tr w14:paraId="60A8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309" w:type="pct"/>
                  <w:gridSpan w:val="2"/>
                  <w:tcBorders>
                    <w:left w:val="single" w:color="auto" w:sz="4" w:space="0"/>
                    <w:right w:val="single" w:color="000000" w:sz="4" w:space="0"/>
                  </w:tcBorders>
                  <w:vAlign w:val="center"/>
                </w:tcPr>
                <w:p w14:paraId="29D74410">
                  <w:pPr>
                    <w:pStyle w:val="29"/>
                    <w:rPr>
                      <w:color w:val="auto"/>
                    </w:rPr>
                  </w:pPr>
                  <w:r>
                    <w:rPr>
                      <w:color w:val="auto"/>
                    </w:rPr>
                    <w:t>Ⅴ类标准限值</w:t>
                  </w:r>
                </w:p>
              </w:tc>
              <w:tc>
                <w:tcPr>
                  <w:tcW w:w="501" w:type="pct"/>
                  <w:tcBorders>
                    <w:left w:val="single" w:color="auto" w:sz="4" w:space="0"/>
                    <w:right w:val="single" w:color="000000" w:sz="4" w:space="0"/>
                  </w:tcBorders>
                  <w:shd w:val="clear" w:color="auto" w:fill="auto"/>
                  <w:vAlign w:val="center"/>
                </w:tcPr>
                <w:p w14:paraId="0299EF1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6-9</w:t>
                  </w:r>
                </w:p>
              </w:tc>
              <w:tc>
                <w:tcPr>
                  <w:tcW w:w="500" w:type="pct"/>
                  <w:tcBorders>
                    <w:left w:val="single" w:color="auto" w:sz="4" w:space="0"/>
                    <w:right w:val="single" w:color="000000" w:sz="4" w:space="0"/>
                  </w:tcBorders>
                  <w:shd w:val="clear" w:color="auto" w:fill="auto"/>
                  <w:vAlign w:val="center"/>
                </w:tcPr>
                <w:p w14:paraId="6F9BD70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40</w:t>
                  </w:r>
                </w:p>
              </w:tc>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385ED8A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10</w:t>
                  </w:r>
                </w:p>
              </w:tc>
              <w:tc>
                <w:tcPr>
                  <w:tcW w:w="548" w:type="pct"/>
                  <w:tcBorders>
                    <w:top w:val="single" w:color="auto" w:sz="4" w:space="0"/>
                    <w:left w:val="single" w:color="auto" w:sz="4" w:space="0"/>
                    <w:bottom w:val="single" w:color="auto" w:sz="4" w:space="0"/>
                    <w:right w:val="single" w:color="auto" w:sz="4" w:space="0"/>
                  </w:tcBorders>
                  <w:shd w:val="clear" w:color="auto" w:fill="auto"/>
                  <w:vAlign w:val="center"/>
                </w:tcPr>
                <w:p w14:paraId="0283C8B7">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2.0</w:t>
                  </w:r>
                </w:p>
              </w:tc>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14:paraId="792E461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0.4</w:t>
                  </w:r>
                </w:p>
              </w:tc>
              <w:tc>
                <w:tcPr>
                  <w:tcW w:w="624" w:type="pct"/>
                  <w:tcBorders>
                    <w:top w:val="single" w:color="auto" w:sz="4" w:space="0"/>
                    <w:left w:val="single" w:color="auto" w:sz="4" w:space="0"/>
                    <w:bottom w:val="single" w:color="auto" w:sz="4" w:space="0"/>
                    <w:right w:val="single" w:color="auto" w:sz="4" w:space="0"/>
                  </w:tcBorders>
                  <w:vAlign w:val="center"/>
                </w:tcPr>
                <w:p w14:paraId="60432586">
                  <w:pPr>
                    <w:pStyle w:val="29"/>
                    <w:rPr>
                      <w:rFonts w:hint="default" w:eastAsia="宋体"/>
                      <w:color w:val="auto"/>
                      <w:lang w:val="en-US" w:eastAsia="zh-CN"/>
                    </w:rPr>
                  </w:pPr>
                  <w:r>
                    <w:rPr>
                      <w:rFonts w:hint="eastAsia"/>
                      <w:color w:val="auto"/>
                      <w:lang w:val="en-US" w:eastAsia="zh-CN"/>
                    </w:rPr>
                    <w:t>40000</w:t>
                  </w:r>
                </w:p>
              </w:tc>
              <w:tc>
                <w:tcPr>
                  <w:tcW w:w="438" w:type="pct"/>
                  <w:tcBorders>
                    <w:top w:val="single" w:color="auto" w:sz="4" w:space="0"/>
                    <w:left w:val="single" w:color="auto" w:sz="4" w:space="0"/>
                    <w:bottom w:val="single" w:color="auto" w:sz="4" w:space="0"/>
                    <w:right w:val="single" w:color="auto" w:sz="4" w:space="0"/>
                  </w:tcBorders>
                  <w:vAlign w:val="center"/>
                </w:tcPr>
                <w:p w14:paraId="01C2A724">
                  <w:pPr>
                    <w:pStyle w:val="29"/>
                    <w:rPr>
                      <w:rFonts w:hint="default" w:eastAsia="宋体"/>
                      <w:color w:val="auto"/>
                      <w:lang w:val="en-US" w:eastAsia="zh-CN"/>
                    </w:rPr>
                  </w:pPr>
                  <w:r>
                    <w:rPr>
                      <w:rFonts w:hint="eastAsia"/>
                      <w:color w:val="auto"/>
                      <w:lang w:val="en-US" w:eastAsia="zh-CN"/>
                    </w:rPr>
                    <w:t>1.0</w:t>
                  </w:r>
                </w:p>
              </w:tc>
            </w:tr>
            <w:tr w14:paraId="33DD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09" w:type="pct"/>
                  <w:gridSpan w:val="2"/>
                  <w:tcBorders>
                    <w:left w:val="single" w:color="auto" w:sz="4" w:space="0"/>
                    <w:right w:val="single" w:color="000000" w:sz="4" w:space="0"/>
                  </w:tcBorders>
                  <w:vAlign w:val="center"/>
                </w:tcPr>
                <w:p w14:paraId="5BEF868E">
                  <w:pPr>
                    <w:pStyle w:val="29"/>
                    <w:rPr>
                      <w:rFonts w:hint="eastAsia"/>
                      <w:color w:val="auto"/>
                    </w:rPr>
                  </w:pPr>
                  <w:r>
                    <w:rPr>
                      <w:rFonts w:hint="eastAsia"/>
                      <w:color w:val="auto"/>
                    </w:rPr>
                    <w:t>达标情况</w:t>
                  </w:r>
                </w:p>
              </w:tc>
              <w:tc>
                <w:tcPr>
                  <w:tcW w:w="501" w:type="pct"/>
                  <w:tcBorders>
                    <w:left w:val="single" w:color="auto" w:sz="4" w:space="0"/>
                    <w:right w:val="single" w:color="000000" w:sz="4" w:space="0"/>
                  </w:tcBorders>
                  <w:shd w:val="clear" w:color="auto" w:fill="auto"/>
                  <w:vAlign w:val="center"/>
                </w:tcPr>
                <w:p w14:paraId="76D0E17D">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达标</w:t>
                  </w:r>
                </w:p>
              </w:tc>
              <w:tc>
                <w:tcPr>
                  <w:tcW w:w="500" w:type="pct"/>
                  <w:tcBorders>
                    <w:left w:val="single" w:color="auto" w:sz="4" w:space="0"/>
                    <w:right w:val="single" w:color="000000" w:sz="4" w:space="0"/>
                  </w:tcBorders>
                  <w:shd w:val="clear" w:color="auto" w:fill="auto"/>
                  <w:vAlign w:val="center"/>
                </w:tcPr>
                <w:p w14:paraId="7B92D3A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达标</w:t>
                  </w:r>
                </w:p>
              </w:tc>
              <w:tc>
                <w:tcPr>
                  <w:tcW w:w="577" w:type="pct"/>
                  <w:tcBorders>
                    <w:top w:val="single" w:color="auto" w:sz="4" w:space="0"/>
                    <w:left w:val="single" w:color="auto" w:sz="4" w:space="0"/>
                    <w:bottom w:val="single" w:color="auto" w:sz="4" w:space="0"/>
                    <w:right w:val="single" w:color="auto" w:sz="4" w:space="0"/>
                  </w:tcBorders>
                  <w:shd w:val="clear" w:color="auto" w:fill="auto"/>
                  <w:vAlign w:val="center"/>
                </w:tcPr>
                <w:p w14:paraId="65843641">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达标</w:t>
                  </w:r>
                </w:p>
              </w:tc>
              <w:tc>
                <w:tcPr>
                  <w:tcW w:w="548" w:type="pct"/>
                  <w:tcBorders>
                    <w:top w:val="single" w:color="auto" w:sz="4" w:space="0"/>
                    <w:left w:val="single" w:color="auto" w:sz="4" w:space="0"/>
                    <w:bottom w:val="single" w:color="auto" w:sz="4" w:space="0"/>
                    <w:right w:val="single" w:color="auto" w:sz="4" w:space="0"/>
                  </w:tcBorders>
                  <w:shd w:val="clear" w:color="auto" w:fill="auto"/>
                  <w:vAlign w:val="center"/>
                </w:tcPr>
                <w:p w14:paraId="32DDAE24">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超标</w:t>
                  </w:r>
                </w:p>
              </w:tc>
              <w:tc>
                <w:tcPr>
                  <w:tcW w:w="499" w:type="pct"/>
                  <w:tcBorders>
                    <w:top w:val="single" w:color="auto" w:sz="4" w:space="0"/>
                    <w:left w:val="single" w:color="auto" w:sz="4" w:space="0"/>
                    <w:bottom w:val="single" w:color="auto" w:sz="4" w:space="0"/>
                    <w:right w:val="single" w:color="auto" w:sz="4" w:space="0"/>
                  </w:tcBorders>
                  <w:shd w:val="clear" w:color="auto" w:fill="auto"/>
                  <w:vAlign w:val="center"/>
                </w:tcPr>
                <w:p w14:paraId="1F6B8AD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超标</w:t>
                  </w:r>
                </w:p>
              </w:tc>
              <w:tc>
                <w:tcPr>
                  <w:tcW w:w="624" w:type="pct"/>
                  <w:tcBorders>
                    <w:top w:val="single" w:color="auto" w:sz="4" w:space="0"/>
                    <w:left w:val="single" w:color="auto" w:sz="4" w:space="0"/>
                    <w:bottom w:val="single" w:color="auto" w:sz="4" w:space="0"/>
                    <w:right w:val="single" w:color="auto" w:sz="4" w:space="0"/>
                  </w:tcBorders>
                  <w:shd w:val="clear" w:color="auto" w:fill="auto"/>
                  <w:vAlign w:val="center"/>
                </w:tcPr>
                <w:p w14:paraId="5FC5EA3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达标</w:t>
                  </w:r>
                </w:p>
              </w:tc>
              <w:tc>
                <w:tcPr>
                  <w:tcW w:w="438" w:type="pct"/>
                  <w:tcBorders>
                    <w:top w:val="single" w:color="auto" w:sz="4" w:space="0"/>
                    <w:left w:val="single" w:color="auto" w:sz="4" w:space="0"/>
                    <w:bottom w:val="single" w:color="auto" w:sz="4" w:space="0"/>
                    <w:right w:val="single" w:color="auto" w:sz="4" w:space="0"/>
                  </w:tcBorders>
                  <w:shd w:val="clear" w:color="auto" w:fill="auto"/>
                  <w:vAlign w:val="center"/>
                </w:tcPr>
                <w:p w14:paraId="52096CB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达标</w:t>
                  </w:r>
                </w:p>
              </w:tc>
            </w:tr>
          </w:tbl>
          <w:p w14:paraId="05E483BF">
            <w:pPr>
              <w:bidi w:val="0"/>
              <w:rPr>
                <w:rFonts w:hint="eastAsia"/>
                <w:b w:val="0"/>
                <w:bCs/>
                <w:color w:val="auto"/>
                <w:lang w:val="en-US" w:eastAsia="zh-CN"/>
              </w:rPr>
            </w:pPr>
            <w:r>
              <w:rPr>
                <w:rFonts w:hint="eastAsia"/>
                <w:color w:val="auto"/>
                <w:lang w:val="en-US" w:eastAsia="zh-CN"/>
              </w:rPr>
              <w:t>根据上表新西河氨氮、总磷指标不满足《地表水环境质量标准》（GB3838-2002）V类标准。新河为片区规划排污控制型河道，沿线以市政排水管网覆盖区、连片规模化农田为主，超标污染来源与老西河存在明显差异：</w:t>
            </w:r>
            <w:r>
              <w:rPr>
                <w:rFonts w:hint="default" w:ascii="Times New Roman" w:hAnsi="Times New Roman" w:cs="Times New Roman"/>
                <w:color w:val="auto"/>
                <w:lang w:val="en-US" w:eastAsia="zh-CN"/>
              </w:rPr>
              <w:t>①沿</w:t>
            </w:r>
            <w:r>
              <w:rPr>
                <w:rFonts w:hint="eastAsia"/>
                <w:color w:val="auto"/>
                <w:lang w:val="en-US" w:eastAsia="zh-CN"/>
              </w:rPr>
              <w:t>线村落生活污染：新西河沿岸分布6个行政村，虽然已配套村级生活污水处理站，但约20%的站点存在运维不到位、处理效率不足的问题，部分尾水未能稳定达标排放。同时，部分村落的雨污合流管网在雨季形成溢流，携带大量生活污染物直排河道，是水质波动超标的主要原因。</w:t>
            </w:r>
            <w:r>
              <w:rPr>
                <w:rFonts w:hint="default" w:ascii="Times New Roman" w:hAnsi="Times New Roman" w:cs="Times New Roman"/>
                <w:color w:val="auto"/>
                <w:lang w:val="en-US" w:eastAsia="zh-CN"/>
              </w:rPr>
              <w:t>②</w:t>
            </w:r>
            <w:r>
              <w:rPr>
                <w:rFonts w:hint="eastAsia"/>
                <w:color w:val="auto"/>
                <w:lang w:val="en-US" w:eastAsia="zh-CN"/>
              </w:rPr>
              <w:t>连片农田面源污染：河道两侧1km范围内分布连片粮食种植区，以水稻、烤烟轮作为主，种植期氮肥施用量偏高，雨季初期形成的地表径流携带大量未被作物吸收的氮素汇入河道，是总氮指标长期超标的主导因素。部分农田退水沟渠未设置生态拦截带，面源污染拦截效率不足。</w:t>
            </w:r>
            <w:r>
              <w:rPr>
                <w:rFonts w:hint="default" w:ascii="Times New Roman" w:hAnsi="Times New Roman" w:cs="Times New Roman"/>
                <w:color w:val="auto"/>
                <w:lang w:val="en-US" w:eastAsia="zh-CN"/>
              </w:rPr>
              <w:t>③</w:t>
            </w:r>
            <w:r>
              <w:rPr>
                <w:rFonts w:hint="default" w:ascii="Calibri" w:hAnsi="Calibri" w:cs="Calibri"/>
                <w:color w:val="auto"/>
                <w:lang w:val="en-US" w:eastAsia="zh-CN"/>
              </w:rPr>
              <w:t>市政配套污染：新西河沿线部分老旧市政污水管网存在局部渗漏问题，少量未完全收集的生活污水渗入河道，叠加早期部分工业企业预处理不到位的废水汇入，进一步拉高了本底污染物浓度</w:t>
            </w:r>
            <w:r>
              <w:rPr>
                <w:rFonts w:hint="eastAsia"/>
                <w:b w:val="0"/>
                <w:bCs/>
                <w:color w:val="auto"/>
                <w:lang w:val="en-US" w:eastAsia="zh-CN"/>
              </w:rPr>
              <w:t>。</w:t>
            </w:r>
          </w:p>
          <w:p w14:paraId="7964C57B">
            <w:pPr>
              <w:bidi w:val="0"/>
              <w:rPr>
                <w:rFonts w:hint="eastAsia"/>
                <w:b w:val="0"/>
                <w:bCs/>
                <w:color w:val="auto"/>
                <w:lang w:val="en-US" w:eastAsia="zh-CN"/>
              </w:rPr>
            </w:pPr>
            <w:r>
              <w:rPr>
                <w:rFonts w:hint="eastAsia"/>
                <w:b w:val="0"/>
                <w:bCs/>
                <w:color w:val="auto"/>
                <w:lang w:val="en-US" w:eastAsia="zh-CN"/>
              </w:rPr>
              <w:t>项目废水经预处理后，COD、氨氮、总磷等主要污染物的排放浓度远低于新西河现有本底浓度，经市政污水处理厂进一步削减后，最终排入新西河的污染物增量占河道现有本底污染负荷的比例不足2%，不会改变新西河现有污染物的浓度水平；本项目的啤酒高浓废水属于优质碳源，可作为下游市政污水处理厂的补充碳源，提升污水处理厂的脱氮效率，间接减少污水处理厂尾水的总氮排放总量，有助于降低新西河的总氮本底负荷，对河道水质改善存在正向协同作用。</w:t>
            </w:r>
          </w:p>
          <w:p w14:paraId="62DC0B86">
            <w:pPr>
              <w:pStyle w:val="9"/>
              <w:ind w:firstLine="480"/>
              <w:rPr>
                <w:rFonts w:hint="default" w:eastAsia="宋体"/>
                <w:b/>
                <w:bCs w:val="0"/>
                <w:color w:val="auto"/>
                <w:lang w:val="en-US" w:eastAsia="zh-CN"/>
              </w:rPr>
            </w:pPr>
            <w:r>
              <w:rPr>
                <w:rFonts w:hint="eastAsia"/>
                <w:b/>
                <w:bCs w:val="0"/>
                <w:color w:val="auto"/>
                <w:lang w:val="en-US" w:eastAsia="zh-CN"/>
              </w:rPr>
              <w:t>3）玉溪大河环境质量现状</w:t>
            </w:r>
          </w:p>
          <w:p w14:paraId="2B5C56F5">
            <w:pPr>
              <w:pStyle w:val="9"/>
              <w:ind w:firstLine="480"/>
              <w:rPr>
                <w:rFonts w:hint="eastAsia" w:eastAsia="宋体"/>
                <w:bCs/>
                <w:color w:val="auto"/>
                <w:lang w:eastAsia="zh-CN"/>
              </w:rPr>
            </w:pPr>
            <w:r>
              <w:rPr>
                <w:rFonts w:hint="eastAsia"/>
                <w:bCs/>
                <w:color w:val="auto"/>
                <w:lang w:val="en-US" w:eastAsia="zh-CN"/>
              </w:rPr>
              <w:t>新西河、</w:t>
            </w:r>
            <w:r>
              <w:rPr>
                <w:rFonts w:hint="eastAsia" w:eastAsia="宋体"/>
                <w:bCs/>
                <w:color w:val="auto"/>
                <w:lang w:eastAsia="zh-CN"/>
              </w:rPr>
              <w:t>老西河</w:t>
            </w:r>
            <w:r>
              <w:rPr>
                <w:rFonts w:hint="eastAsia"/>
                <w:bCs/>
                <w:color w:val="auto"/>
                <w:lang w:val="en-US" w:eastAsia="zh-CN"/>
              </w:rPr>
              <w:t>均</w:t>
            </w:r>
            <w:r>
              <w:rPr>
                <w:rFonts w:hint="eastAsia" w:eastAsia="宋体"/>
                <w:bCs/>
                <w:color w:val="auto"/>
                <w:lang w:eastAsia="zh-CN"/>
              </w:rPr>
              <w:t>属于玉溪大河支流，玉溪大河红塔区段有一例行监测断面，位于项目径流区下游的矣读可，根据《玉溪市生态环境状况公报（2024年度）》玉溪大河（矣读可断面）为出境断面，2024年综合水质评价Ⅳ类（与2023年相同），不满足水功能区划Ⅲ类水质标准的要求，超标原因主要为玉溪大河接纳了中心城区污水处理厂尾水及沿途村庄生活污水及农业面源污染所致。</w:t>
            </w:r>
          </w:p>
          <w:p w14:paraId="5113764F">
            <w:pPr>
              <w:pStyle w:val="45"/>
              <w:ind w:firstLine="482" w:firstLineChars="200"/>
              <w:rPr>
                <w:rFonts w:hint="default"/>
                <w:color w:val="auto"/>
              </w:rPr>
            </w:pPr>
            <w:r>
              <w:rPr>
                <w:color w:val="auto"/>
              </w:rPr>
              <w:t>3</w:t>
            </w:r>
            <w:r>
              <w:rPr>
                <w:rFonts w:hint="eastAsia"/>
                <w:color w:val="auto"/>
                <w:lang w:eastAsia="zh-CN"/>
              </w:rPr>
              <w:t>、</w:t>
            </w:r>
            <w:r>
              <w:rPr>
                <w:color w:val="auto"/>
              </w:rPr>
              <w:t>声环境</w:t>
            </w:r>
          </w:p>
          <w:p w14:paraId="7D00F48B">
            <w:pPr>
              <w:ind w:firstLine="482"/>
              <w:rPr>
                <w:b/>
                <w:bCs/>
                <w:color w:val="auto"/>
              </w:rPr>
            </w:pPr>
            <w:r>
              <w:rPr>
                <w:rFonts w:hint="eastAsia"/>
                <w:b/>
                <w:bCs/>
                <w:color w:val="auto"/>
              </w:rPr>
              <w:t>（1）声环境质量执行标准</w:t>
            </w:r>
          </w:p>
          <w:p w14:paraId="0FBA0233">
            <w:pPr>
              <w:ind w:firstLine="480"/>
              <w:rPr>
                <w:color w:val="auto"/>
              </w:rPr>
            </w:pPr>
            <w:r>
              <w:rPr>
                <w:rFonts w:hint="eastAsia"/>
                <w:color w:val="auto"/>
              </w:rPr>
              <w:t>项目位于</w:t>
            </w:r>
            <w:r>
              <w:rPr>
                <w:rFonts w:hint="eastAsia"/>
                <w:color w:val="auto"/>
                <w:lang w:val="en-US" w:eastAsia="zh-CN"/>
              </w:rPr>
              <w:t>玉溪市高新区九龙池片区工业园区内D4栋第一层，</w:t>
            </w:r>
            <w:r>
              <w:rPr>
                <w:color w:val="auto"/>
              </w:rPr>
              <w:t>声环境功能为</w:t>
            </w:r>
            <w:r>
              <w:rPr>
                <w:rFonts w:hint="eastAsia"/>
                <w:color w:val="auto"/>
                <w:lang w:val="en-US" w:eastAsia="zh-CN"/>
              </w:rPr>
              <w:t>3</w:t>
            </w:r>
            <w:r>
              <w:rPr>
                <w:color w:val="auto"/>
              </w:rPr>
              <w:t>类区，项目区执行《声环境质量标准》（GB3096-2008）</w:t>
            </w:r>
            <w:r>
              <w:rPr>
                <w:rFonts w:hint="eastAsia"/>
                <w:color w:val="auto"/>
                <w:lang w:val="en-US" w:eastAsia="zh-CN"/>
              </w:rPr>
              <w:t>3</w:t>
            </w:r>
            <w:r>
              <w:rPr>
                <w:color w:val="auto"/>
              </w:rPr>
              <w:t>类标准，标准值见表</w:t>
            </w:r>
            <w:r>
              <w:rPr>
                <w:rFonts w:hint="eastAsia"/>
                <w:color w:val="auto"/>
              </w:rPr>
              <w:t>3-</w:t>
            </w:r>
            <w:r>
              <w:rPr>
                <w:rFonts w:hint="eastAsia"/>
                <w:color w:val="auto"/>
                <w:lang w:val="en-US" w:eastAsia="zh-CN"/>
              </w:rPr>
              <w:t>9</w:t>
            </w:r>
            <w:r>
              <w:rPr>
                <w:color w:val="auto"/>
              </w:rPr>
              <w:t>。</w:t>
            </w:r>
          </w:p>
          <w:p w14:paraId="350E05FE">
            <w:pPr>
              <w:pStyle w:val="30"/>
              <w:rPr>
                <w:rFonts w:hint="default"/>
                <w:color w:val="auto"/>
                <w:kern w:val="0"/>
                <w:szCs w:val="20"/>
              </w:rPr>
            </w:pPr>
            <w:r>
              <w:rPr>
                <w:color w:val="auto"/>
                <w:kern w:val="0"/>
                <w:szCs w:val="20"/>
              </w:rPr>
              <w:t>表3-</w:t>
            </w:r>
            <w:r>
              <w:rPr>
                <w:rFonts w:hint="eastAsia"/>
                <w:color w:val="auto"/>
                <w:kern w:val="0"/>
                <w:szCs w:val="20"/>
                <w:lang w:val="en-US" w:eastAsia="zh-CN"/>
              </w:rPr>
              <w:t>9</w:t>
            </w:r>
            <w:r>
              <w:rPr>
                <w:color w:val="auto"/>
                <w:kern w:val="0"/>
                <w:szCs w:val="20"/>
              </w:rPr>
              <w:t xml:space="preserve">  声环境质量标准</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7"/>
              <w:gridCol w:w="2390"/>
              <w:gridCol w:w="1962"/>
              <w:gridCol w:w="1968"/>
            </w:tblGrid>
            <w:tr w14:paraId="3A74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926" w:type="pct"/>
                  <w:vMerge w:val="restart"/>
                  <w:tcBorders>
                    <w:top w:val="single" w:color="auto" w:sz="4" w:space="0"/>
                    <w:left w:val="single" w:color="auto" w:sz="4" w:space="0"/>
                    <w:bottom w:val="single" w:color="auto" w:sz="4" w:space="0"/>
                    <w:right w:val="single" w:color="auto" w:sz="4" w:space="0"/>
                  </w:tcBorders>
                  <w:vAlign w:val="center"/>
                </w:tcPr>
                <w:p w14:paraId="6C1CA3EC">
                  <w:pPr>
                    <w:pStyle w:val="29"/>
                    <w:bidi w:val="0"/>
                    <w:rPr>
                      <w:rFonts w:hint="default"/>
                      <w:color w:val="auto"/>
                    </w:rPr>
                  </w:pPr>
                  <w:r>
                    <w:rPr>
                      <w:color w:val="auto"/>
                    </w:rPr>
                    <w:t>类别</w:t>
                  </w:r>
                </w:p>
              </w:tc>
              <w:tc>
                <w:tcPr>
                  <w:tcW w:w="1540" w:type="pct"/>
                  <w:vMerge w:val="restart"/>
                  <w:tcBorders>
                    <w:top w:val="single" w:color="auto" w:sz="4" w:space="0"/>
                    <w:left w:val="single" w:color="auto" w:sz="4" w:space="0"/>
                    <w:bottom w:val="single" w:color="auto" w:sz="4" w:space="0"/>
                    <w:right w:val="single" w:color="auto" w:sz="4" w:space="0"/>
                  </w:tcBorders>
                  <w:vAlign w:val="center"/>
                </w:tcPr>
                <w:p w14:paraId="7E516E72">
                  <w:pPr>
                    <w:pStyle w:val="29"/>
                    <w:bidi w:val="0"/>
                    <w:rPr>
                      <w:rFonts w:hint="default"/>
                      <w:color w:val="auto"/>
                    </w:rPr>
                  </w:pPr>
                  <w:r>
                    <w:rPr>
                      <w:color w:val="auto"/>
                    </w:rPr>
                    <w:t>适用区域</w:t>
                  </w:r>
                </w:p>
              </w:tc>
              <w:tc>
                <w:tcPr>
                  <w:tcW w:w="2532" w:type="pct"/>
                  <w:gridSpan w:val="2"/>
                  <w:tcBorders>
                    <w:top w:val="single" w:color="auto" w:sz="4" w:space="0"/>
                    <w:left w:val="single" w:color="auto" w:sz="4" w:space="0"/>
                    <w:bottom w:val="single" w:color="auto" w:sz="4" w:space="0"/>
                    <w:right w:val="single" w:color="auto" w:sz="4" w:space="0"/>
                  </w:tcBorders>
                  <w:vAlign w:val="center"/>
                </w:tcPr>
                <w:p w14:paraId="2B9C91BB">
                  <w:pPr>
                    <w:pStyle w:val="29"/>
                    <w:bidi w:val="0"/>
                    <w:rPr>
                      <w:rFonts w:hint="default"/>
                      <w:color w:val="auto"/>
                    </w:rPr>
                  </w:pPr>
                  <w:r>
                    <w:rPr>
                      <w:color w:val="auto"/>
                    </w:rPr>
                    <w:t>等效声级[dB(A)]</w:t>
                  </w:r>
                </w:p>
              </w:tc>
            </w:tr>
            <w:tr w14:paraId="30D2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926" w:type="pct"/>
                  <w:vMerge w:val="continue"/>
                  <w:tcBorders>
                    <w:top w:val="single" w:color="auto" w:sz="4" w:space="0"/>
                    <w:left w:val="single" w:color="auto" w:sz="4" w:space="0"/>
                    <w:bottom w:val="single" w:color="auto" w:sz="4" w:space="0"/>
                    <w:right w:val="single" w:color="auto" w:sz="4" w:space="0"/>
                  </w:tcBorders>
                  <w:vAlign w:val="center"/>
                </w:tcPr>
                <w:p w14:paraId="240CC60D">
                  <w:pPr>
                    <w:pStyle w:val="29"/>
                    <w:bidi w:val="0"/>
                    <w:rPr>
                      <w:rFonts w:hint="default"/>
                      <w:color w:val="auto"/>
                    </w:rPr>
                  </w:pPr>
                </w:p>
              </w:tc>
              <w:tc>
                <w:tcPr>
                  <w:tcW w:w="1540" w:type="pct"/>
                  <w:vMerge w:val="continue"/>
                  <w:tcBorders>
                    <w:top w:val="single" w:color="auto" w:sz="4" w:space="0"/>
                    <w:left w:val="single" w:color="auto" w:sz="4" w:space="0"/>
                    <w:bottom w:val="single" w:color="auto" w:sz="4" w:space="0"/>
                    <w:right w:val="single" w:color="auto" w:sz="4" w:space="0"/>
                  </w:tcBorders>
                  <w:vAlign w:val="center"/>
                </w:tcPr>
                <w:p w14:paraId="5762B484">
                  <w:pPr>
                    <w:pStyle w:val="29"/>
                    <w:bidi w:val="0"/>
                    <w:rPr>
                      <w:rFonts w:hint="default"/>
                      <w:color w:val="auto"/>
                    </w:rPr>
                  </w:pPr>
                </w:p>
              </w:tc>
              <w:tc>
                <w:tcPr>
                  <w:tcW w:w="1264" w:type="pct"/>
                  <w:tcBorders>
                    <w:top w:val="single" w:color="auto" w:sz="4" w:space="0"/>
                    <w:left w:val="single" w:color="auto" w:sz="4" w:space="0"/>
                    <w:bottom w:val="single" w:color="auto" w:sz="4" w:space="0"/>
                    <w:right w:val="single" w:color="auto" w:sz="4" w:space="0"/>
                  </w:tcBorders>
                  <w:vAlign w:val="center"/>
                </w:tcPr>
                <w:p w14:paraId="639CB4DC">
                  <w:pPr>
                    <w:pStyle w:val="29"/>
                    <w:bidi w:val="0"/>
                    <w:rPr>
                      <w:rFonts w:hint="default"/>
                      <w:color w:val="auto"/>
                    </w:rPr>
                  </w:pPr>
                  <w:r>
                    <w:rPr>
                      <w:color w:val="auto"/>
                    </w:rPr>
                    <w:t>昼间</w:t>
                  </w:r>
                </w:p>
              </w:tc>
              <w:tc>
                <w:tcPr>
                  <w:tcW w:w="1268" w:type="pct"/>
                  <w:tcBorders>
                    <w:top w:val="single" w:color="auto" w:sz="4" w:space="0"/>
                    <w:left w:val="single" w:color="auto" w:sz="4" w:space="0"/>
                    <w:bottom w:val="single" w:color="auto" w:sz="4" w:space="0"/>
                    <w:right w:val="single" w:color="auto" w:sz="4" w:space="0"/>
                  </w:tcBorders>
                  <w:vAlign w:val="center"/>
                </w:tcPr>
                <w:p w14:paraId="5D813973">
                  <w:pPr>
                    <w:pStyle w:val="29"/>
                    <w:bidi w:val="0"/>
                    <w:rPr>
                      <w:rFonts w:hint="default"/>
                      <w:color w:val="auto"/>
                    </w:rPr>
                  </w:pPr>
                  <w:r>
                    <w:rPr>
                      <w:color w:val="auto"/>
                    </w:rPr>
                    <w:t>夜间</w:t>
                  </w:r>
                </w:p>
              </w:tc>
            </w:tr>
            <w:tr w14:paraId="27B4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6" w:type="pct"/>
                  <w:tcBorders>
                    <w:top w:val="single" w:color="auto" w:sz="4" w:space="0"/>
                    <w:left w:val="single" w:color="auto" w:sz="4" w:space="0"/>
                    <w:bottom w:val="single" w:color="auto" w:sz="4" w:space="0"/>
                    <w:right w:val="single" w:color="auto" w:sz="4" w:space="0"/>
                  </w:tcBorders>
                  <w:vAlign w:val="center"/>
                </w:tcPr>
                <w:p w14:paraId="765EEC26">
                  <w:pPr>
                    <w:pStyle w:val="29"/>
                    <w:bidi w:val="0"/>
                    <w:rPr>
                      <w:rFonts w:hint="default"/>
                      <w:color w:val="auto"/>
                    </w:rPr>
                  </w:pPr>
                  <w:r>
                    <w:rPr>
                      <w:rFonts w:hint="eastAsia"/>
                      <w:color w:val="auto"/>
                      <w:lang w:val="en-US" w:eastAsia="zh-CN"/>
                    </w:rPr>
                    <w:t>3</w:t>
                  </w:r>
                  <w:r>
                    <w:rPr>
                      <w:color w:val="auto"/>
                    </w:rPr>
                    <w:t>类</w:t>
                  </w:r>
                </w:p>
              </w:tc>
              <w:tc>
                <w:tcPr>
                  <w:tcW w:w="1540" w:type="pct"/>
                  <w:tcBorders>
                    <w:top w:val="single" w:color="auto" w:sz="4" w:space="0"/>
                    <w:left w:val="single" w:color="auto" w:sz="4" w:space="0"/>
                    <w:bottom w:val="single" w:color="auto" w:sz="4" w:space="0"/>
                    <w:right w:val="single" w:color="auto" w:sz="4" w:space="0"/>
                  </w:tcBorders>
                  <w:vAlign w:val="center"/>
                </w:tcPr>
                <w:p w14:paraId="466D824D">
                  <w:pPr>
                    <w:pStyle w:val="29"/>
                    <w:bidi w:val="0"/>
                    <w:rPr>
                      <w:rFonts w:hint="default"/>
                      <w:color w:val="auto"/>
                    </w:rPr>
                  </w:pPr>
                  <w:r>
                    <w:rPr>
                      <w:color w:val="auto"/>
                    </w:rPr>
                    <w:t>项目区</w:t>
                  </w:r>
                </w:p>
              </w:tc>
              <w:tc>
                <w:tcPr>
                  <w:tcW w:w="1264" w:type="pct"/>
                  <w:tcBorders>
                    <w:top w:val="single" w:color="auto" w:sz="4" w:space="0"/>
                    <w:left w:val="single" w:color="auto" w:sz="4" w:space="0"/>
                    <w:bottom w:val="single" w:color="auto" w:sz="4" w:space="0"/>
                    <w:right w:val="single" w:color="auto" w:sz="4" w:space="0"/>
                  </w:tcBorders>
                  <w:vAlign w:val="center"/>
                </w:tcPr>
                <w:p w14:paraId="0218D7C5">
                  <w:pPr>
                    <w:pStyle w:val="29"/>
                    <w:bidi w:val="0"/>
                    <w:rPr>
                      <w:rFonts w:hint="default"/>
                      <w:color w:val="auto"/>
                      <w:lang w:val="en-US" w:eastAsia="zh-CN"/>
                    </w:rPr>
                  </w:pPr>
                  <w:r>
                    <w:rPr>
                      <w:rFonts w:hint="eastAsia"/>
                      <w:color w:val="auto"/>
                      <w:lang w:val="en-US" w:eastAsia="zh-CN"/>
                    </w:rPr>
                    <w:t>65</w:t>
                  </w:r>
                </w:p>
              </w:tc>
              <w:tc>
                <w:tcPr>
                  <w:tcW w:w="1268" w:type="pct"/>
                  <w:tcBorders>
                    <w:top w:val="single" w:color="auto" w:sz="4" w:space="0"/>
                    <w:left w:val="single" w:color="auto" w:sz="4" w:space="0"/>
                    <w:bottom w:val="single" w:color="auto" w:sz="4" w:space="0"/>
                    <w:right w:val="single" w:color="auto" w:sz="4" w:space="0"/>
                  </w:tcBorders>
                  <w:vAlign w:val="center"/>
                </w:tcPr>
                <w:p w14:paraId="7BD21933">
                  <w:pPr>
                    <w:pStyle w:val="29"/>
                    <w:bidi w:val="0"/>
                    <w:rPr>
                      <w:rFonts w:hint="default"/>
                      <w:color w:val="auto"/>
                      <w:lang w:val="en-US" w:eastAsia="zh-CN"/>
                    </w:rPr>
                  </w:pPr>
                  <w:r>
                    <w:rPr>
                      <w:rFonts w:hint="eastAsia"/>
                      <w:color w:val="auto"/>
                      <w:lang w:val="en-US" w:eastAsia="zh-CN"/>
                    </w:rPr>
                    <w:t>55</w:t>
                  </w:r>
                </w:p>
              </w:tc>
            </w:tr>
          </w:tbl>
          <w:p w14:paraId="047A8F32">
            <w:pPr>
              <w:ind w:firstLine="482"/>
              <w:rPr>
                <w:b/>
                <w:bCs/>
                <w:color w:val="auto"/>
              </w:rPr>
            </w:pPr>
            <w:r>
              <w:rPr>
                <w:rFonts w:hint="eastAsia"/>
                <w:b/>
                <w:bCs/>
                <w:color w:val="auto"/>
              </w:rPr>
              <w:t>（2）声环境质量现状</w:t>
            </w:r>
          </w:p>
          <w:p w14:paraId="54290FA7">
            <w:pPr>
              <w:rPr>
                <w:rFonts w:hint="eastAsia"/>
                <w:color w:val="auto"/>
                <w:lang w:val="en-US" w:eastAsia="zh-CN"/>
              </w:rPr>
            </w:pPr>
            <w:r>
              <w:rPr>
                <w:rFonts w:hint="eastAsia"/>
                <w:color w:val="auto"/>
              </w:rPr>
              <w:t>根</w:t>
            </w:r>
            <w:r>
              <w:rPr>
                <w:color w:val="auto"/>
              </w:rPr>
              <w:t>据现场踏勘</w:t>
            </w:r>
            <w:r>
              <w:rPr>
                <w:rFonts w:hint="eastAsia"/>
                <w:color w:val="auto"/>
                <w:lang w:eastAsia="zh-CN"/>
              </w:rPr>
              <w:t>，</w:t>
            </w:r>
            <w:r>
              <w:rPr>
                <w:rFonts w:hint="eastAsia"/>
                <w:color w:val="auto"/>
                <w:lang w:val="en-US" w:eastAsia="zh-CN"/>
              </w:rPr>
              <w:t>厂界外周边50m范围内不存在声环境保护目标，但为了解项目区周边声环境质量现状，建设单位于2026年07月07日委托云南清源环境科技有限公司对项目区四周厂界进行了现场监测（详见附件13），监测结果见下表：</w:t>
            </w:r>
          </w:p>
          <w:p w14:paraId="214649D4">
            <w:pPr>
              <w:pStyle w:val="30"/>
              <w:bidi w:val="0"/>
              <w:rPr>
                <w:rFonts w:hint="default"/>
                <w:color w:val="auto"/>
                <w:lang w:val="en-US" w:eastAsia="zh-CN"/>
              </w:rPr>
            </w:pPr>
            <w:r>
              <w:rPr>
                <w:rFonts w:hint="eastAsia"/>
                <w:color w:val="auto"/>
                <w:lang w:val="en-US" w:eastAsia="zh-CN"/>
              </w:rPr>
              <w:t>表3-10 声环境质量现状监测结果一览表</w:t>
            </w:r>
          </w:p>
          <w:tbl>
            <w:tblPr>
              <w:tblStyle w:val="24"/>
              <w:tblW w:w="7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4"/>
              <w:gridCol w:w="1264"/>
              <w:gridCol w:w="1072"/>
              <w:gridCol w:w="835"/>
              <w:gridCol w:w="1603"/>
              <w:gridCol w:w="1550"/>
            </w:tblGrid>
            <w:tr w14:paraId="2E46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vAlign w:val="center"/>
                </w:tcPr>
                <w:p w14:paraId="77E1602F">
                  <w:pPr>
                    <w:pStyle w:val="29"/>
                    <w:bidi w:val="0"/>
                    <w:rPr>
                      <w:rFonts w:hint="eastAsia" w:eastAsia="宋体"/>
                      <w:color w:val="auto"/>
                      <w:lang w:val="en-US" w:eastAsia="zh-CN"/>
                    </w:rPr>
                  </w:pPr>
                  <w:r>
                    <w:rPr>
                      <w:rFonts w:hint="eastAsia"/>
                      <w:color w:val="auto"/>
                      <w:lang w:val="en-US" w:eastAsia="zh-CN"/>
                    </w:rPr>
                    <w:t>检测点位</w:t>
                  </w:r>
                </w:p>
              </w:tc>
              <w:tc>
                <w:tcPr>
                  <w:tcW w:w="1264" w:type="dxa"/>
                  <w:vAlign w:val="center"/>
                </w:tcPr>
                <w:p w14:paraId="2303C6C1">
                  <w:pPr>
                    <w:pStyle w:val="29"/>
                    <w:bidi w:val="0"/>
                    <w:rPr>
                      <w:rFonts w:hint="default" w:eastAsia="宋体"/>
                      <w:color w:val="auto"/>
                      <w:lang w:val="en-US" w:eastAsia="zh-CN"/>
                    </w:rPr>
                  </w:pPr>
                  <w:r>
                    <w:rPr>
                      <w:rFonts w:hint="eastAsia"/>
                      <w:color w:val="auto"/>
                      <w:lang w:val="en-US" w:eastAsia="zh-CN"/>
                    </w:rPr>
                    <w:t>检测日期</w:t>
                  </w:r>
                </w:p>
              </w:tc>
              <w:tc>
                <w:tcPr>
                  <w:tcW w:w="1072" w:type="dxa"/>
                  <w:vAlign w:val="center"/>
                </w:tcPr>
                <w:p w14:paraId="676A4E01">
                  <w:pPr>
                    <w:pStyle w:val="29"/>
                    <w:bidi w:val="0"/>
                    <w:rPr>
                      <w:rFonts w:hint="default" w:eastAsia="宋体"/>
                      <w:color w:val="auto"/>
                      <w:lang w:val="en-US" w:eastAsia="zh-CN"/>
                    </w:rPr>
                  </w:pPr>
                  <w:r>
                    <w:rPr>
                      <w:rFonts w:hint="eastAsia"/>
                      <w:color w:val="auto"/>
                      <w:lang w:val="en-US" w:eastAsia="zh-CN"/>
                    </w:rPr>
                    <w:t>检测时间</w:t>
                  </w:r>
                </w:p>
              </w:tc>
              <w:tc>
                <w:tcPr>
                  <w:tcW w:w="835" w:type="dxa"/>
                  <w:vAlign w:val="center"/>
                </w:tcPr>
                <w:p w14:paraId="1CAD206A">
                  <w:pPr>
                    <w:pStyle w:val="29"/>
                    <w:bidi w:val="0"/>
                    <w:rPr>
                      <w:rFonts w:hint="default" w:eastAsia="宋体"/>
                      <w:color w:val="auto"/>
                      <w:lang w:val="en-US" w:eastAsia="zh-CN"/>
                    </w:rPr>
                  </w:pPr>
                  <w:r>
                    <w:rPr>
                      <w:rFonts w:hint="eastAsia"/>
                      <w:color w:val="auto"/>
                      <w:lang w:val="en-US" w:eastAsia="zh-CN"/>
                    </w:rPr>
                    <w:t>主要声源</w:t>
                  </w:r>
                </w:p>
              </w:tc>
              <w:tc>
                <w:tcPr>
                  <w:tcW w:w="1603" w:type="dxa"/>
                  <w:vAlign w:val="center"/>
                </w:tcPr>
                <w:p w14:paraId="74120BEC">
                  <w:pPr>
                    <w:pStyle w:val="29"/>
                    <w:bidi w:val="0"/>
                    <w:rPr>
                      <w:rFonts w:hint="default"/>
                      <w:color w:val="auto"/>
                      <w:lang w:val="en-US" w:eastAsia="zh-CN"/>
                    </w:rPr>
                  </w:pPr>
                  <w:r>
                    <w:rPr>
                      <w:rFonts w:hint="default"/>
                      <w:color w:val="auto"/>
                      <w:lang w:val="en-US" w:eastAsia="zh-CN"/>
                    </w:rPr>
                    <w:t>L</w:t>
                  </w:r>
                  <w:r>
                    <w:rPr>
                      <w:rFonts w:hint="default"/>
                      <w:color w:val="auto"/>
                      <w:vertAlign w:val="subscript"/>
                      <w:lang w:val="en-US" w:eastAsia="zh-CN"/>
                    </w:rPr>
                    <w:t>Aeq,T</w:t>
                  </w:r>
                </w:p>
                <w:p w14:paraId="2A1345D1">
                  <w:pPr>
                    <w:pStyle w:val="29"/>
                    <w:bidi w:val="0"/>
                    <w:rPr>
                      <w:color w:val="auto"/>
                    </w:rPr>
                  </w:pPr>
                  <w:r>
                    <w:rPr>
                      <w:rFonts w:hint="default"/>
                      <w:color w:val="auto"/>
                      <w:lang w:val="en-US" w:eastAsia="zh-CN"/>
                    </w:rPr>
                    <w:t>dB</w:t>
                  </w:r>
                  <w:r>
                    <w:rPr>
                      <w:rFonts w:hint="eastAsia"/>
                      <w:color w:val="auto"/>
                      <w:lang w:val="en-US" w:eastAsia="zh-CN"/>
                    </w:rPr>
                    <w:t>（</w:t>
                  </w:r>
                  <w:r>
                    <w:rPr>
                      <w:rFonts w:hint="default"/>
                      <w:color w:val="auto"/>
                      <w:lang w:val="en-US" w:eastAsia="zh-CN"/>
                    </w:rPr>
                    <w:t>A</w:t>
                  </w:r>
                  <w:r>
                    <w:rPr>
                      <w:rFonts w:hint="eastAsia"/>
                      <w:color w:val="auto"/>
                      <w:lang w:val="en-US" w:eastAsia="zh-CN"/>
                    </w:rPr>
                    <w:t>）</w:t>
                  </w:r>
                </w:p>
              </w:tc>
              <w:tc>
                <w:tcPr>
                  <w:tcW w:w="1550" w:type="dxa"/>
                  <w:vAlign w:val="center"/>
                </w:tcPr>
                <w:p w14:paraId="6CEF8EB5">
                  <w:pPr>
                    <w:pStyle w:val="29"/>
                    <w:bidi w:val="0"/>
                    <w:rPr>
                      <w:rFonts w:hint="default" w:eastAsia="宋体"/>
                      <w:color w:val="auto"/>
                      <w:lang w:val="en-US" w:eastAsia="zh-CN"/>
                    </w:rPr>
                  </w:pPr>
                  <w:r>
                    <w:rPr>
                      <w:rFonts w:hint="eastAsia"/>
                      <w:color w:val="auto"/>
                      <w:lang w:val="en-US" w:eastAsia="zh-CN"/>
                    </w:rPr>
                    <w:t>标准限值</w:t>
                  </w:r>
                </w:p>
              </w:tc>
            </w:tr>
            <w:tr w14:paraId="4A47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vAlign w:val="center"/>
                </w:tcPr>
                <w:p w14:paraId="79AAC4CB">
                  <w:pPr>
                    <w:pStyle w:val="29"/>
                    <w:bidi w:val="0"/>
                    <w:rPr>
                      <w:rFonts w:hint="default" w:eastAsia="宋体"/>
                      <w:color w:val="auto"/>
                      <w:lang w:val="en-US" w:eastAsia="zh-CN"/>
                    </w:rPr>
                  </w:pPr>
                  <w:r>
                    <w:rPr>
                      <w:rFonts w:hint="eastAsia"/>
                      <w:color w:val="auto"/>
                      <w:lang w:val="en-US" w:eastAsia="zh-CN"/>
                    </w:rPr>
                    <w:t>厂界东侧N1</w:t>
                  </w:r>
                </w:p>
              </w:tc>
              <w:tc>
                <w:tcPr>
                  <w:tcW w:w="1264" w:type="dxa"/>
                  <w:vMerge w:val="restart"/>
                  <w:vAlign w:val="center"/>
                </w:tcPr>
                <w:p w14:paraId="64EB6F41">
                  <w:pPr>
                    <w:pStyle w:val="29"/>
                    <w:bidi w:val="0"/>
                    <w:rPr>
                      <w:color w:val="auto"/>
                    </w:rPr>
                  </w:pPr>
                  <w:r>
                    <w:rPr>
                      <w:rFonts w:hint="default"/>
                      <w:color w:val="auto"/>
                      <w:lang w:val="en-US" w:eastAsia="zh-CN"/>
                    </w:rPr>
                    <w:t>2026.07.07</w:t>
                  </w:r>
                </w:p>
              </w:tc>
              <w:tc>
                <w:tcPr>
                  <w:tcW w:w="1072" w:type="dxa"/>
                  <w:vAlign w:val="center"/>
                </w:tcPr>
                <w:p w14:paraId="794C461D">
                  <w:pPr>
                    <w:pStyle w:val="29"/>
                    <w:bidi w:val="0"/>
                    <w:rPr>
                      <w:rFonts w:hint="default" w:eastAsia="宋体"/>
                      <w:color w:val="auto"/>
                      <w:lang w:val="en-US" w:eastAsia="zh-CN"/>
                    </w:rPr>
                  </w:pPr>
                  <w:r>
                    <w:rPr>
                      <w:rFonts w:hint="eastAsia"/>
                      <w:color w:val="auto"/>
                      <w:lang w:val="en-US" w:eastAsia="zh-CN"/>
                    </w:rPr>
                    <w:t>15:40</w:t>
                  </w:r>
                </w:p>
              </w:tc>
              <w:tc>
                <w:tcPr>
                  <w:tcW w:w="835" w:type="dxa"/>
                  <w:vAlign w:val="center"/>
                </w:tcPr>
                <w:p w14:paraId="0B037DA9">
                  <w:pPr>
                    <w:pStyle w:val="29"/>
                    <w:bidi w:val="0"/>
                    <w:rPr>
                      <w:rFonts w:hint="default" w:eastAsia="宋体"/>
                      <w:color w:val="auto"/>
                      <w:lang w:val="en-US" w:eastAsia="zh-CN"/>
                    </w:rPr>
                  </w:pPr>
                  <w:r>
                    <w:rPr>
                      <w:rFonts w:hint="eastAsia"/>
                      <w:color w:val="auto"/>
                      <w:lang w:val="en-US" w:eastAsia="zh-CN"/>
                    </w:rPr>
                    <w:t>设备</w:t>
                  </w:r>
                </w:p>
              </w:tc>
              <w:tc>
                <w:tcPr>
                  <w:tcW w:w="1603" w:type="dxa"/>
                  <w:vAlign w:val="center"/>
                </w:tcPr>
                <w:p w14:paraId="22F0E35B">
                  <w:pPr>
                    <w:pStyle w:val="29"/>
                    <w:bidi w:val="0"/>
                    <w:rPr>
                      <w:rFonts w:hint="default" w:eastAsia="宋体"/>
                      <w:color w:val="auto"/>
                      <w:lang w:val="en-US" w:eastAsia="zh-CN"/>
                    </w:rPr>
                  </w:pPr>
                  <w:r>
                    <w:rPr>
                      <w:rFonts w:hint="eastAsia"/>
                      <w:color w:val="auto"/>
                      <w:lang w:val="en-US" w:eastAsia="zh-CN"/>
                    </w:rPr>
                    <w:t>58.5</w:t>
                  </w:r>
                </w:p>
              </w:tc>
              <w:tc>
                <w:tcPr>
                  <w:tcW w:w="1550" w:type="dxa"/>
                  <w:vAlign w:val="center"/>
                </w:tcPr>
                <w:p w14:paraId="32D6081F">
                  <w:pPr>
                    <w:pStyle w:val="29"/>
                    <w:bidi w:val="0"/>
                    <w:rPr>
                      <w:rFonts w:hint="default" w:eastAsia="宋体"/>
                      <w:color w:val="auto"/>
                      <w:lang w:val="en-US" w:eastAsia="zh-CN"/>
                    </w:rPr>
                  </w:pPr>
                  <w:r>
                    <w:rPr>
                      <w:rFonts w:hint="eastAsia"/>
                      <w:color w:val="auto"/>
                      <w:lang w:val="en-US" w:eastAsia="zh-CN"/>
                    </w:rPr>
                    <w:t>65</w:t>
                  </w:r>
                </w:p>
              </w:tc>
            </w:tr>
            <w:tr w14:paraId="02E8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vAlign w:val="center"/>
                </w:tcPr>
                <w:p w14:paraId="00DBBFBA">
                  <w:pPr>
                    <w:pStyle w:val="29"/>
                    <w:bidi w:val="0"/>
                    <w:rPr>
                      <w:rFonts w:hint="default" w:eastAsia="宋体"/>
                      <w:color w:val="auto"/>
                      <w:lang w:val="en-US" w:eastAsia="zh-CN"/>
                    </w:rPr>
                  </w:pPr>
                  <w:r>
                    <w:rPr>
                      <w:rFonts w:hint="eastAsia"/>
                      <w:color w:val="auto"/>
                      <w:lang w:val="en-US" w:eastAsia="zh-CN"/>
                    </w:rPr>
                    <w:t>厂界南侧N2</w:t>
                  </w:r>
                </w:p>
              </w:tc>
              <w:tc>
                <w:tcPr>
                  <w:tcW w:w="1264" w:type="dxa"/>
                  <w:vMerge w:val="continue"/>
                  <w:vAlign w:val="center"/>
                </w:tcPr>
                <w:p w14:paraId="090F88DF">
                  <w:pPr>
                    <w:pStyle w:val="29"/>
                    <w:bidi w:val="0"/>
                    <w:rPr>
                      <w:color w:val="auto"/>
                    </w:rPr>
                  </w:pPr>
                </w:p>
              </w:tc>
              <w:tc>
                <w:tcPr>
                  <w:tcW w:w="1072" w:type="dxa"/>
                  <w:vAlign w:val="center"/>
                </w:tcPr>
                <w:p w14:paraId="0A6E31E5">
                  <w:pPr>
                    <w:pStyle w:val="29"/>
                    <w:bidi w:val="0"/>
                    <w:rPr>
                      <w:rFonts w:hint="default" w:eastAsia="宋体"/>
                      <w:color w:val="auto"/>
                      <w:lang w:val="en-US" w:eastAsia="zh-CN"/>
                    </w:rPr>
                  </w:pPr>
                  <w:r>
                    <w:rPr>
                      <w:rFonts w:hint="eastAsia"/>
                      <w:color w:val="auto"/>
                      <w:lang w:val="en-US" w:eastAsia="zh-CN"/>
                    </w:rPr>
                    <w:t>15:51</w:t>
                  </w:r>
                </w:p>
              </w:tc>
              <w:tc>
                <w:tcPr>
                  <w:tcW w:w="835" w:type="dxa"/>
                  <w:vAlign w:val="center"/>
                </w:tcPr>
                <w:p w14:paraId="22CF416D">
                  <w:pPr>
                    <w:pStyle w:val="29"/>
                    <w:bidi w:val="0"/>
                    <w:rPr>
                      <w:rFonts w:hint="eastAsia" w:eastAsia="宋体"/>
                      <w:color w:val="auto"/>
                      <w:lang w:val="en-US" w:eastAsia="zh-CN"/>
                    </w:rPr>
                  </w:pPr>
                  <w:r>
                    <w:rPr>
                      <w:rFonts w:hint="eastAsia"/>
                      <w:color w:val="auto"/>
                      <w:lang w:val="en-US" w:eastAsia="zh-CN"/>
                    </w:rPr>
                    <w:t>设备</w:t>
                  </w:r>
                </w:p>
              </w:tc>
              <w:tc>
                <w:tcPr>
                  <w:tcW w:w="1603" w:type="dxa"/>
                  <w:vAlign w:val="center"/>
                </w:tcPr>
                <w:p w14:paraId="13B0E2FA">
                  <w:pPr>
                    <w:pStyle w:val="29"/>
                    <w:bidi w:val="0"/>
                    <w:rPr>
                      <w:rFonts w:hint="default" w:eastAsia="宋体"/>
                      <w:color w:val="auto"/>
                      <w:lang w:val="en-US" w:eastAsia="zh-CN"/>
                    </w:rPr>
                  </w:pPr>
                  <w:r>
                    <w:rPr>
                      <w:rFonts w:hint="eastAsia"/>
                      <w:color w:val="auto"/>
                      <w:lang w:val="en-US" w:eastAsia="zh-CN"/>
                    </w:rPr>
                    <w:t>49.5</w:t>
                  </w:r>
                </w:p>
              </w:tc>
              <w:tc>
                <w:tcPr>
                  <w:tcW w:w="1550" w:type="dxa"/>
                  <w:vAlign w:val="center"/>
                </w:tcPr>
                <w:p w14:paraId="36799998">
                  <w:pPr>
                    <w:pStyle w:val="29"/>
                    <w:bidi w:val="0"/>
                    <w:rPr>
                      <w:rFonts w:hint="default" w:eastAsia="宋体"/>
                      <w:color w:val="auto"/>
                      <w:lang w:val="en-US" w:eastAsia="zh-CN"/>
                    </w:rPr>
                  </w:pPr>
                  <w:r>
                    <w:rPr>
                      <w:rFonts w:hint="eastAsia"/>
                      <w:color w:val="auto"/>
                      <w:lang w:val="en-US" w:eastAsia="zh-CN"/>
                    </w:rPr>
                    <w:t>65</w:t>
                  </w:r>
                </w:p>
              </w:tc>
            </w:tr>
            <w:tr w14:paraId="747E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vAlign w:val="center"/>
                </w:tcPr>
                <w:p w14:paraId="254D2363">
                  <w:pPr>
                    <w:pStyle w:val="29"/>
                    <w:bidi w:val="0"/>
                    <w:rPr>
                      <w:rFonts w:hint="default" w:eastAsia="宋体"/>
                      <w:color w:val="auto"/>
                      <w:lang w:val="en-US" w:eastAsia="zh-CN"/>
                    </w:rPr>
                  </w:pPr>
                  <w:r>
                    <w:rPr>
                      <w:rFonts w:hint="eastAsia"/>
                      <w:color w:val="auto"/>
                      <w:lang w:val="en-US" w:eastAsia="zh-CN"/>
                    </w:rPr>
                    <w:t>厂界西侧N3</w:t>
                  </w:r>
                </w:p>
              </w:tc>
              <w:tc>
                <w:tcPr>
                  <w:tcW w:w="1264" w:type="dxa"/>
                  <w:vMerge w:val="continue"/>
                  <w:vAlign w:val="center"/>
                </w:tcPr>
                <w:p w14:paraId="35C1EDD7">
                  <w:pPr>
                    <w:pStyle w:val="29"/>
                    <w:bidi w:val="0"/>
                    <w:rPr>
                      <w:color w:val="auto"/>
                    </w:rPr>
                  </w:pPr>
                </w:p>
              </w:tc>
              <w:tc>
                <w:tcPr>
                  <w:tcW w:w="1072" w:type="dxa"/>
                  <w:vAlign w:val="center"/>
                </w:tcPr>
                <w:p w14:paraId="0F283295">
                  <w:pPr>
                    <w:pStyle w:val="29"/>
                    <w:bidi w:val="0"/>
                    <w:rPr>
                      <w:rFonts w:hint="default" w:eastAsia="宋体"/>
                      <w:color w:val="auto"/>
                      <w:lang w:val="en-US" w:eastAsia="zh-CN"/>
                    </w:rPr>
                  </w:pPr>
                  <w:r>
                    <w:rPr>
                      <w:rFonts w:hint="eastAsia"/>
                      <w:color w:val="auto"/>
                      <w:lang w:val="en-US" w:eastAsia="zh-CN"/>
                    </w:rPr>
                    <w:t>16:03</w:t>
                  </w:r>
                </w:p>
              </w:tc>
              <w:tc>
                <w:tcPr>
                  <w:tcW w:w="835" w:type="dxa"/>
                  <w:vAlign w:val="center"/>
                </w:tcPr>
                <w:p w14:paraId="32B29FB4">
                  <w:pPr>
                    <w:pStyle w:val="29"/>
                    <w:bidi w:val="0"/>
                    <w:rPr>
                      <w:rFonts w:hint="eastAsia" w:eastAsia="宋体"/>
                      <w:color w:val="auto"/>
                      <w:lang w:val="en-US" w:eastAsia="zh-CN"/>
                    </w:rPr>
                  </w:pPr>
                  <w:r>
                    <w:rPr>
                      <w:rFonts w:hint="eastAsia"/>
                      <w:color w:val="auto"/>
                      <w:lang w:val="en-US" w:eastAsia="zh-CN"/>
                    </w:rPr>
                    <w:t>设备</w:t>
                  </w:r>
                </w:p>
              </w:tc>
              <w:tc>
                <w:tcPr>
                  <w:tcW w:w="1603" w:type="dxa"/>
                  <w:vAlign w:val="center"/>
                </w:tcPr>
                <w:p w14:paraId="05F72E8E">
                  <w:pPr>
                    <w:pStyle w:val="29"/>
                    <w:bidi w:val="0"/>
                    <w:rPr>
                      <w:rFonts w:hint="default" w:eastAsia="宋体"/>
                      <w:color w:val="auto"/>
                      <w:lang w:val="en-US" w:eastAsia="zh-CN"/>
                    </w:rPr>
                  </w:pPr>
                  <w:r>
                    <w:rPr>
                      <w:rFonts w:hint="eastAsia"/>
                      <w:color w:val="auto"/>
                      <w:lang w:val="en-US" w:eastAsia="zh-CN"/>
                    </w:rPr>
                    <w:t>56.2</w:t>
                  </w:r>
                </w:p>
              </w:tc>
              <w:tc>
                <w:tcPr>
                  <w:tcW w:w="1550" w:type="dxa"/>
                  <w:vAlign w:val="center"/>
                </w:tcPr>
                <w:p w14:paraId="4D1EA794">
                  <w:pPr>
                    <w:pStyle w:val="29"/>
                    <w:bidi w:val="0"/>
                    <w:rPr>
                      <w:rFonts w:hint="default" w:eastAsia="宋体"/>
                      <w:color w:val="auto"/>
                      <w:lang w:val="en-US" w:eastAsia="zh-CN"/>
                    </w:rPr>
                  </w:pPr>
                  <w:r>
                    <w:rPr>
                      <w:rFonts w:hint="eastAsia"/>
                      <w:color w:val="auto"/>
                      <w:lang w:val="en-US" w:eastAsia="zh-CN"/>
                    </w:rPr>
                    <w:t>65</w:t>
                  </w:r>
                </w:p>
              </w:tc>
            </w:tr>
            <w:tr w14:paraId="2FEA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vAlign w:val="center"/>
                </w:tcPr>
                <w:p w14:paraId="1E5F7205">
                  <w:pPr>
                    <w:pStyle w:val="29"/>
                    <w:bidi w:val="0"/>
                    <w:rPr>
                      <w:rFonts w:hint="default" w:eastAsia="宋体"/>
                      <w:color w:val="auto"/>
                      <w:lang w:val="en-US" w:eastAsia="zh-CN"/>
                    </w:rPr>
                  </w:pPr>
                  <w:r>
                    <w:rPr>
                      <w:rFonts w:hint="eastAsia"/>
                      <w:color w:val="auto"/>
                      <w:lang w:val="en-US" w:eastAsia="zh-CN"/>
                    </w:rPr>
                    <w:t>厂界北侧N4</w:t>
                  </w:r>
                </w:p>
              </w:tc>
              <w:tc>
                <w:tcPr>
                  <w:tcW w:w="1264" w:type="dxa"/>
                  <w:vMerge w:val="continue"/>
                  <w:vAlign w:val="center"/>
                </w:tcPr>
                <w:p w14:paraId="512E781B">
                  <w:pPr>
                    <w:pStyle w:val="29"/>
                    <w:bidi w:val="0"/>
                    <w:rPr>
                      <w:color w:val="auto"/>
                    </w:rPr>
                  </w:pPr>
                </w:p>
              </w:tc>
              <w:tc>
                <w:tcPr>
                  <w:tcW w:w="1072" w:type="dxa"/>
                  <w:vAlign w:val="center"/>
                </w:tcPr>
                <w:p w14:paraId="2EFBC671">
                  <w:pPr>
                    <w:pStyle w:val="29"/>
                    <w:bidi w:val="0"/>
                    <w:rPr>
                      <w:rFonts w:hint="default" w:eastAsia="宋体"/>
                      <w:color w:val="auto"/>
                      <w:lang w:val="en-US" w:eastAsia="zh-CN"/>
                    </w:rPr>
                  </w:pPr>
                  <w:r>
                    <w:rPr>
                      <w:rFonts w:hint="eastAsia"/>
                      <w:color w:val="auto"/>
                      <w:lang w:val="en-US" w:eastAsia="zh-CN"/>
                    </w:rPr>
                    <w:t>16:18</w:t>
                  </w:r>
                </w:p>
              </w:tc>
              <w:tc>
                <w:tcPr>
                  <w:tcW w:w="835" w:type="dxa"/>
                  <w:vAlign w:val="center"/>
                </w:tcPr>
                <w:p w14:paraId="22ECA9F1">
                  <w:pPr>
                    <w:pStyle w:val="29"/>
                    <w:bidi w:val="0"/>
                    <w:rPr>
                      <w:rFonts w:hint="eastAsia" w:eastAsia="宋体"/>
                      <w:color w:val="auto"/>
                      <w:lang w:val="en-US" w:eastAsia="zh-CN"/>
                    </w:rPr>
                  </w:pPr>
                  <w:r>
                    <w:rPr>
                      <w:rFonts w:hint="eastAsia"/>
                      <w:color w:val="auto"/>
                      <w:lang w:val="en-US" w:eastAsia="zh-CN"/>
                    </w:rPr>
                    <w:t>设备</w:t>
                  </w:r>
                </w:p>
              </w:tc>
              <w:tc>
                <w:tcPr>
                  <w:tcW w:w="1603" w:type="dxa"/>
                  <w:vAlign w:val="center"/>
                </w:tcPr>
                <w:p w14:paraId="56D09E83">
                  <w:pPr>
                    <w:pStyle w:val="29"/>
                    <w:bidi w:val="0"/>
                    <w:rPr>
                      <w:rFonts w:hint="default" w:eastAsia="宋体"/>
                      <w:color w:val="auto"/>
                      <w:lang w:val="en-US" w:eastAsia="zh-CN"/>
                    </w:rPr>
                  </w:pPr>
                  <w:r>
                    <w:rPr>
                      <w:rFonts w:hint="eastAsia"/>
                      <w:color w:val="auto"/>
                      <w:lang w:val="en-US" w:eastAsia="zh-CN"/>
                    </w:rPr>
                    <w:t>56.9</w:t>
                  </w:r>
                </w:p>
              </w:tc>
              <w:tc>
                <w:tcPr>
                  <w:tcW w:w="1550" w:type="dxa"/>
                  <w:vAlign w:val="center"/>
                </w:tcPr>
                <w:p w14:paraId="6280FEB1">
                  <w:pPr>
                    <w:pStyle w:val="29"/>
                    <w:bidi w:val="0"/>
                    <w:rPr>
                      <w:rFonts w:hint="default" w:eastAsia="宋体"/>
                      <w:color w:val="auto"/>
                      <w:lang w:val="en-US" w:eastAsia="zh-CN"/>
                    </w:rPr>
                  </w:pPr>
                  <w:r>
                    <w:rPr>
                      <w:rFonts w:hint="eastAsia"/>
                      <w:color w:val="auto"/>
                      <w:lang w:val="en-US" w:eastAsia="zh-CN"/>
                    </w:rPr>
                    <w:t>65</w:t>
                  </w:r>
                </w:p>
              </w:tc>
            </w:tr>
            <w:tr w14:paraId="37B3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shd w:val="clear" w:color="auto" w:fill="auto"/>
                  <w:vAlign w:val="center"/>
                </w:tcPr>
                <w:p w14:paraId="5A3F753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厂界东侧N1</w:t>
                  </w:r>
                </w:p>
              </w:tc>
              <w:tc>
                <w:tcPr>
                  <w:tcW w:w="1264" w:type="dxa"/>
                  <w:vMerge w:val="restart"/>
                  <w:vAlign w:val="center"/>
                </w:tcPr>
                <w:p w14:paraId="7C2815C0">
                  <w:pPr>
                    <w:pStyle w:val="29"/>
                    <w:bidi w:val="0"/>
                    <w:rPr>
                      <w:color w:val="auto"/>
                    </w:rPr>
                  </w:pPr>
                  <w:r>
                    <w:rPr>
                      <w:rFonts w:hint="default"/>
                      <w:color w:val="auto"/>
                      <w:lang w:val="en-US" w:eastAsia="zh-CN"/>
                    </w:rPr>
                    <w:t>2026.07.07</w:t>
                  </w:r>
                </w:p>
              </w:tc>
              <w:tc>
                <w:tcPr>
                  <w:tcW w:w="1072" w:type="dxa"/>
                  <w:vAlign w:val="center"/>
                </w:tcPr>
                <w:p w14:paraId="1004ECAD">
                  <w:pPr>
                    <w:pStyle w:val="29"/>
                    <w:bidi w:val="0"/>
                    <w:rPr>
                      <w:rFonts w:hint="default" w:eastAsia="宋体"/>
                      <w:color w:val="auto"/>
                      <w:lang w:val="en-US" w:eastAsia="zh-CN"/>
                    </w:rPr>
                  </w:pPr>
                  <w:r>
                    <w:rPr>
                      <w:rFonts w:hint="eastAsia"/>
                      <w:color w:val="auto"/>
                      <w:lang w:val="en-US" w:eastAsia="zh-CN"/>
                    </w:rPr>
                    <w:t>22:54</w:t>
                  </w:r>
                </w:p>
              </w:tc>
              <w:tc>
                <w:tcPr>
                  <w:tcW w:w="835" w:type="dxa"/>
                  <w:vAlign w:val="center"/>
                </w:tcPr>
                <w:p w14:paraId="0F32BBB2">
                  <w:pPr>
                    <w:pStyle w:val="29"/>
                    <w:bidi w:val="0"/>
                    <w:rPr>
                      <w:rFonts w:hint="eastAsia" w:eastAsia="宋体"/>
                      <w:color w:val="auto"/>
                      <w:lang w:val="en-US" w:eastAsia="zh-CN"/>
                    </w:rPr>
                  </w:pPr>
                  <w:r>
                    <w:rPr>
                      <w:rFonts w:hint="eastAsia"/>
                      <w:color w:val="auto"/>
                      <w:lang w:val="en-US" w:eastAsia="zh-CN"/>
                    </w:rPr>
                    <w:t>设备</w:t>
                  </w:r>
                </w:p>
              </w:tc>
              <w:tc>
                <w:tcPr>
                  <w:tcW w:w="1603" w:type="dxa"/>
                  <w:vAlign w:val="center"/>
                </w:tcPr>
                <w:p w14:paraId="178245A5">
                  <w:pPr>
                    <w:pStyle w:val="29"/>
                    <w:bidi w:val="0"/>
                    <w:rPr>
                      <w:rFonts w:hint="default" w:eastAsia="宋体"/>
                      <w:color w:val="auto"/>
                      <w:lang w:val="en-US" w:eastAsia="zh-CN"/>
                    </w:rPr>
                  </w:pPr>
                  <w:r>
                    <w:rPr>
                      <w:rFonts w:hint="eastAsia"/>
                      <w:color w:val="auto"/>
                      <w:lang w:val="en-US" w:eastAsia="zh-CN"/>
                    </w:rPr>
                    <w:t>52.0</w:t>
                  </w:r>
                </w:p>
              </w:tc>
              <w:tc>
                <w:tcPr>
                  <w:tcW w:w="1550" w:type="dxa"/>
                  <w:vAlign w:val="center"/>
                </w:tcPr>
                <w:p w14:paraId="19A887DE">
                  <w:pPr>
                    <w:pStyle w:val="29"/>
                    <w:bidi w:val="0"/>
                    <w:rPr>
                      <w:rFonts w:hint="default" w:eastAsia="宋体"/>
                      <w:color w:val="auto"/>
                      <w:lang w:val="en-US" w:eastAsia="zh-CN"/>
                    </w:rPr>
                  </w:pPr>
                  <w:r>
                    <w:rPr>
                      <w:rFonts w:hint="eastAsia"/>
                      <w:color w:val="auto"/>
                      <w:lang w:val="en-US" w:eastAsia="zh-CN"/>
                    </w:rPr>
                    <w:t>55</w:t>
                  </w:r>
                </w:p>
              </w:tc>
            </w:tr>
            <w:tr w14:paraId="2F27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shd w:val="clear" w:color="auto" w:fill="auto"/>
                  <w:vAlign w:val="center"/>
                </w:tcPr>
                <w:p w14:paraId="4533965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厂界南侧N2</w:t>
                  </w:r>
                </w:p>
              </w:tc>
              <w:tc>
                <w:tcPr>
                  <w:tcW w:w="1264" w:type="dxa"/>
                  <w:vMerge w:val="continue"/>
                  <w:vAlign w:val="center"/>
                </w:tcPr>
                <w:p w14:paraId="1BD4E7E5">
                  <w:pPr>
                    <w:pStyle w:val="29"/>
                    <w:bidi w:val="0"/>
                    <w:rPr>
                      <w:color w:val="auto"/>
                    </w:rPr>
                  </w:pPr>
                </w:p>
              </w:tc>
              <w:tc>
                <w:tcPr>
                  <w:tcW w:w="1072" w:type="dxa"/>
                  <w:vAlign w:val="center"/>
                </w:tcPr>
                <w:p w14:paraId="1EB9DEE2">
                  <w:pPr>
                    <w:pStyle w:val="29"/>
                    <w:bidi w:val="0"/>
                    <w:rPr>
                      <w:rFonts w:hint="default" w:eastAsia="宋体"/>
                      <w:color w:val="auto"/>
                      <w:lang w:val="en-US" w:eastAsia="zh-CN"/>
                    </w:rPr>
                  </w:pPr>
                  <w:r>
                    <w:rPr>
                      <w:rFonts w:hint="eastAsia"/>
                      <w:color w:val="auto"/>
                      <w:lang w:val="en-US" w:eastAsia="zh-CN"/>
                    </w:rPr>
                    <w:t>23:05</w:t>
                  </w:r>
                </w:p>
              </w:tc>
              <w:tc>
                <w:tcPr>
                  <w:tcW w:w="835" w:type="dxa"/>
                  <w:vAlign w:val="center"/>
                </w:tcPr>
                <w:p w14:paraId="6F3BBAE5">
                  <w:pPr>
                    <w:pStyle w:val="29"/>
                    <w:bidi w:val="0"/>
                    <w:rPr>
                      <w:rFonts w:hint="eastAsia" w:eastAsia="宋体"/>
                      <w:color w:val="auto"/>
                      <w:lang w:val="en-US" w:eastAsia="zh-CN"/>
                    </w:rPr>
                  </w:pPr>
                  <w:r>
                    <w:rPr>
                      <w:rFonts w:hint="eastAsia"/>
                      <w:color w:val="auto"/>
                      <w:lang w:val="en-US" w:eastAsia="zh-CN"/>
                    </w:rPr>
                    <w:t>设备</w:t>
                  </w:r>
                </w:p>
              </w:tc>
              <w:tc>
                <w:tcPr>
                  <w:tcW w:w="1603" w:type="dxa"/>
                  <w:vAlign w:val="center"/>
                </w:tcPr>
                <w:p w14:paraId="7BF412F5">
                  <w:pPr>
                    <w:pStyle w:val="29"/>
                    <w:bidi w:val="0"/>
                    <w:rPr>
                      <w:rFonts w:hint="default" w:eastAsia="宋体"/>
                      <w:color w:val="auto"/>
                      <w:lang w:val="en-US" w:eastAsia="zh-CN"/>
                    </w:rPr>
                  </w:pPr>
                  <w:r>
                    <w:rPr>
                      <w:rFonts w:hint="eastAsia"/>
                      <w:color w:val="auto"/>
                      <w:lang w:val="en-US" w:eastAsia="zh-CN"/>
                    </w:rPr>
                    <w:t>42.1</w:t>
                  </w:r>
                </w:p>
              </w:tc>
              <w:tc>
                <w:tcPr>
                  <w:tcW w:w="1550" w:type="dxa"/>
                  <w:vAlign w:val="center"/>
                </w:tcPr>
                <w:p w14:paraId="33E72A4B">
                  <w:pPr>
                    <w:pStyle w:val="29"/>
                    <w:bidi w:val="0"/>
                    <w:rPr>
                      <w:rFonts w:hint="default" w:eastAsia="宋体"/>
                      <w:color w:val="auto"/>
                      <w:lang w:val="en-US" w:eastAsia="zh-CN"/>
                    </w:rPr>
                  </w:pPr>
                  <w:r>
                    <w:rPr>
                      <w:rFonts w:hint="eastAsia"/>
                      <w:color w:val="auto"/>
                      <w:lang w:val="en-US" w:eastAsia="zh-CN"/>
                    </w:rPr>
                    <w:t>55</w:t>
                  </w:r>
                </w:p>
              </w:tc>
            </w:tr>
            <w:tr w14:paraId="00FB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shd w:val="clear" w:color="auto" w:fill="auto"/>
                  <w:vAlign w:val="center"/>
                </w:tcPr>
                <w:p w14:paraId="2BD92EC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厂界西侧N3</w:t>
                  </w:r>
                </w:p>
              </w:tc>
              <w:tc>
                <w:tcPr>
                  <w:tcW w:w="1264" w:type="dxa"/>
                  <w:vMerge w:val="continue"/>
                  <w:vAlign w:val="center"/>
                </w:tcPr>
                <w:p w14:paraId="391AEF2F">
                  <w:pPr>
                    <w:pStyle w:val="29"/>
                    <w:bidi w:val="0"/>
                    <w:rPr>
                      <w:color w:val="auto"/>
                    </w:rPr>
                  </w:pPr>
                </w:p>
              </w:tc>
              <w:tc>
                <w:tcPr>
                  <w:tcW w:w="1072" w:type="dxa"/>
                  <w:vAlign w:val="center"/>
                </w:tcPr>
                <w:p w14:paraId="4EC17F61">
                  <w:pPr>
                    <w:pStyle w:val="29"/>
                    <w:bidi w:val="0"/>
                    <w:rPr>
                      <w:rFonts w:hint="default" w:eastAsia="宋体"/>
                      <w:color w:val="auto"/>
                      <w:lang w:val="en-US" w:eastAsia="zh-CN"/>
                    </w:rPr>
                  </w:pPr>
                  <w:r>
                    <w:rPr>
                      <w:rFonts w:hint="eastAsia"/>
                      <w:color w:val="auto"/>
                      <w:lang w:val="en-US" w:eastAsia="zh-CN"/>
                    </w:rPr>
                    <w:t>23:17</w:t>
                  </w:r>
                </w:p>
              </w:tc>
              <w:tc>
                <w:tcPr>
                  <w:tcW w:w="835" w:type="dxa"/>
                  <w:vAlign w:val="center"/>
                </w:tcPr>
                <w:p w14:paraId="77EEC228">
                  <w:pPr>
                    <w:pStyle w:val="29"/>
                    <w:bidi w:val="0"/>
                    <w:rPr>
                      <w:rFonts w:hint="eastAsia" w:eastAsia="宋体"/>
                      <w:color w:val="auto"/>
                      <w:lang w:val="en-US" w:eastAsia="zh-CN"/>
                    </w:rPr>
                  </w:pPr>
                  <w:r>
                    <w:rPr>
                      <w:rFonts w:hint="eastAsia"/>
                      <w:color w:val="auto"/>
                      <w:lang w:val="en-US" w:eastAsia="zh-CN"/>
                    </w:rPr>
                    <w:t>生活</w:t>
                  </w:r>
                </w:p>
              </w:tc>
              <w:tc>
                <w:tcPr>
                  <w:tcW w:w="1603" w:type="dxa"/>
                  <w:vAlign w:val="center"/>
                </w:tcPr>
                <w:p w14:paraId="61E239C1">
                  <w:pPr>
                    <w:pStyle w:val="29"/>
                    <w:bidi w:val="0"/>
                    <w:rPr>
                      <w:rFonts w:hint="default" w:eastAsia="宋体"/>
                      <w:color w:val="auto"/>
                      <w:lang w:val="en-US" w:eastAsia="zh-CN"/>
                    </w:rPr>
                  </w:pPr>
                  <w:r>
                    <w:rPr>
                      <w:rFonts w:hint="eastAsia"/>
                      <w:color w:val="auto"/>
                      <w:lang w:val="en-US" w:eastAsia="zh-CN"/>
                    </w:rPr>
                    <w:t>40.8</w:t>
                  </w:r>
                </w:p>
              </w:tc>
              <w:tc>
                <w:tcPr>
                  <w:tcW w:w="1550" w:type="dxa"/>
                  <w:vAlign w:val="center"/>
                </w:tcPr>
                <w:p w14:paraId="717CC9F8">
                  <w:pPr>
                    <w:pStyle w:val="29"/>
                    <w:bidi w:val="0"/>
                    <w:rPr>
                      <w:rFonts w:hint="default" w:eastAsia="宋体"/>
                      <w:color w:val="auto"/>
                      <w:lang w:val="en-US" w:eastAsia="zh-CN"/>
                    </w:rPr>
                  </w:pPr>
                  <w:r>
                    <w:rPr>
                      <w:rFonts w:hint="eastAsia"/>
                      <w:color w:val="auto"/>
                      <w:lang w:val="en-US" w:eastAsia="zh-CN"/>
                    </w:rPr>
                    <w:t>55</w:t>
                  </w:r>
                </w:p>
              </w:tc>
            </w:tr>
            <w:tr w14:paraId="762A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4" w:type="dxa"/>
                  <w:shd w:val="clear" w:color="auto" w:fill="auto"/>
                  <w:vAlign w:val="center"/>
                </w:tcPr>
                <w:p w14:paraId="6342630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厂界北侧N4</w:t>
                  </w:r>
                </w:p>
              </w:tc>
              <w:tc>
                <w:tcPr>
                  <w:tcW w:w="1264" w:type="dxa"/>
                  <w:vMerge w:val="continue"/>
                  <w:vAlign w:val="center"/>
                </w:tcPr>
                <w:p w14:paraId="498410EE">
                  <w:pPr>
                    <w:pStyle w:val="29"/>
                    <w:bidi w:val="0"/>
                    <w:rPr>
                      <w:color w:val="auto"/>
                    </w:rPr>
                  </w:pPr>
                </w:p>
              </w:tc>
              <w:tc>
                <w:tcPr>
                  <w:tcW w:w="1072" w:type="dxa"/>
                  <w:vAlign w:val="center"/>
                </w:tcPr>
                <w:p w14:paraId="0EA095E1">
                  <w:pPr>
                    <w:pStyle w:val="29"/>
                    <w:bidi w:val="0"/>
                    <w:rPr>
                      <w:rFonts w:hint="default" w:eastAsia="宋体"/>
                      <w:color w:val="auto"/>
                      <w:lang w:val="en-US" w:eastAsia="zh-CN"/>
                    </w:rPr>
                  </w:pPr>
                  <w:r>
                    <w:rPr>
                      <w:rFonts w:hint="eastAsia"/>
                      <w:color w:val="auto"/>
                      <w:lang w:val="en-US" w:eastAsia="zh-CN"/>
                    </w:rPr>
                    <w:t>23:28</w:t>
                  </w:r>
                </w:p>
              </w:tc>
              <w:tc>
                <w:tcPr>
                  <w:tcW w:w="835" w:type="dxa"/>
                  <w:vAlign w:val="center"/>
                </w:tcPr>
                <w:p w14:paraId="51CCA896">
                  <w:pPr>
                    <w:pStyle w:val="29"/>
                    <w:bidi w:val="0"/>
                    <w:rPr>
                      <w:rFonts w:hint="eastAsia" w:eastAsia="宋体"/>
                      <w:color w:val="auto"/>
                      <w:lang w:val="en-US" w:eastAsia="zh-CN"/>
                    </w:rPr>
                  </w:pPr>
                  <w:r>
                    <w:rPr>
                      <w:rFonts w:hint="eastAsia"/>
                      <w:color w:val="auto"/>
                      <w:lang w:val="en-US" w:eastAsia="zh-CN"/>
                    </w:rPr>
                    <w:t>生活</w:t>
                  </w:r>
                </w:p>
              </w:tc>
              <w:tc>
                <w:tcPr>
                  <w:tcW w:w="1603" w:type="dxa"/>
                  <w:vAlign w:val="center"/>
                </w:tcPr>
                <w:p w14:paraId="0C84E520">
                  <w:pPr>
                    <w:pStyle w:val="29"/>
                    <w:bidi w:val="0"/>
                    <w:rPr>
                      <w:rFonts w:hint="default" w:eastAsia="宋体"/>
                      <w:color w:val="auto"/>
                      <w:lang w:val="en-US" w:eastAsia="zh-CN"/>
                    </w:rPr>
                  </w:pPr>
                  <w:r>
                    <w:rPr>
                      <w:rFonts w:hint="eastAsia"/>
                      <w:color w:val="auto"/>
                      <w:lang w:val="en-US" w:eastAsia="zh-CN"/>
                    </w:rPr>
                    <w:t>38.2</w:t>
                  </w:r>
                </w:p>
              </w:tc>
              <w:tc>
                <w:tcPr>
                  <w:tcW w:w="0" w:type="auto"/>
                  <w:vAlign w:val="center"/>
                </w:tcPr>
                <w:p w14:paraId="266C3464">
                  <w:pPr>
                    <w:pStyle w:val="29"/>
                    <w:bidi w:val="0"/>
                    <w:rPr>
                      <w:rFonts w:hint="default" w:eastAsia="宋体"/>
                      <w:color w:val="auto"/>
                      <w:lang w:val="en-US" w:eastAsia="zh-CN"/>
                    </w:rPr>
                  </w:pPr>
                  <w:r>
                    <w:rPr>
                      <w:rFonts w:hint="eastAsia"/>
                      <w:color w:val="auto"/>
                      <w:lang w:val="en-US" w:eastAsia="zh-CN"/>
                    </w:rPr>
                    <w:t>55</w:t>
                  </w:r>
                </w:p>
              </w:tc>
            </w:tr>
          </w:tbl>
          <w:p w14:paraId="4DCEB648">
            <w:pPr>
              <w:pStyle w:val="45"/>
              <w:ind w:firstLine="480" w:firstLineChars="200"/>
              <w:rPr>
                <w:color w:val="auto"/>
              </w:rPr>
            </w:pPr>
            <w:r>
              <w:rPr>
                <w:rFonts w:hint="eastAsia"/>
                <w:b w:val="0"/>
                <w:bCs/>
                <w:color w:val="auto"/>
              </w:rPr>
              <w:t>根据项目区厂界四周声环境现状监测结果，区域声环境质量达到《声环境质量标准》（GB3096-2008）</w:t>
            </w:r>
            <w:r>
              <w:rPr>
                <w:rFonts w:hint="eastAsia"/>
                <w:b w:val="0"/>
                <w:bCs/>
                <w:color w:val="auto"/>
                <w:lang w:val="en-US" w:eastAsia="zh-CN"/>
              </w:rPr>
              <w:t>3</w:t>
            </w:r>
            <w:r>
              <w:rPr>
                <w:rFonts w:hint="eastAsia"/>
                <w:b w:val="0"/>
                <w:bCs/>
                <w:color w:val="auto"/>
              </w:rPr>
              <w:t>类标准要求。</w:t>
            </w:r>
          </w:p>
          <w:p w14:paraId="58CB0E7A">
            <w:pPr>
              <w:pStyle w:val="45"/>
              <w:ind w:firstLine="482" w:firstLineChars="200"/>
              <w:rPr>
                <w:rFonts w:hint="default"/>
                <w:color w:val="auto"/>
              </w:rPr>
            </w:pPr>
            <w:r>
              <w:rPr>
                <w:color w:val="auto"/>
              </w:rPr>
              <w:t>4</w:t>
            </w:r>
            <w:r>
              <w:rPr>
                <w:rFonts w:hint="eastAsia"/>
                <w:color w:val="auto"/>
                <w:lang w:eastAsia="zh-CN"/>
              </w:rPr>
              <w:t>、</w:t>
            </w:r>
            <w:r>
              <w:rPr>
                <w:color w:val="auto"/>
              </w:rPr>
              <w:t>生态环境</w:t>
            </w:r>
          </w:p>
          <w:p w14:paraId="230CCD42">
            <w:pPr>
              <w:ind w:firstLine="480"/>
              <w:rPr>
                <w:rFonts w:hint="eastAsia"/>
                <w:color w:val="auto"/>
              </w:rPr>
            </w:pPr>
            <w:r>
              <w:rPr>
                <w:rFonts w:hint="eastAsia"/>
                <w:color w:val="auto"/>
              </w:rPr>
              <w:t>项目位于工业园区内，没有特殊生态系统和敏感保护目标。据现场勘察，项目所在地周围为园区厂房、灌乔木草丛，生态环境一般。项目位于工业园区，评价范围内不存在《国家重点保护野生动物名录》和《国家重点保护野生植物名录》中规定的保护动植物。</w:t>
            </w:r>
          </w:p>
          <w:p w14:paraId="6A048BB2">
            <w:pPr>
              <w:ind w:firstLine="480"/>
              <w:rPr>
                <w:rFonts w:hint="eastAsia"/>
                <w:color w:val="auto"/>
              </w:rPr>
            </w:pPr>
            <w:r>
              <w:rPr>
                <w:rFonts w:hint="eastAsia"/>
                <w:color w:val="auto"/>
              </w:rPr>
              <w:t>总体而言，区域生态环境质量一般。</w:t>
            </w:r>
          </w:p>
          <w:p w14:paraId="42E4B290">
            <w:pPr>
              <w:ind w:firstLine="480"/>
              <w:rPr>
                <w:rFonts w:hint="eastAsia" w:eastAsia="宋体"/>
                <w:b/>
                <w:bCs/>
                <w:color w:val="auto"/>
                <w:lang w:eastAsia="zh-CN"/>
              </w:rPr>
            </w:pPr>
            <w:r>
              <w:rPr>
                <w:rFonts w:hint="eastAsia" w:eastAsia="宋体"/>
                <w:b/>
                <w:bCs/>
                <w:color w:val="auto"/>
                <w:lang w:eastAsia="zh-CN"/>
              </w:rPr>
              <w:t>5、地下水、土壤环境</w:t>
            </w:r>
          </w:p>
          <w:p w14:paraId="7E17B941">
            <w:pPr>
              <w:ind w:firstLine="480"/>
              <w:rPr>
                <w:rFonts w:hint="eastAsia" w:eastAsia="宋体"/>
                <w:color w:val="auto"/>
                <w:lang w:eastAsia="zh-CN"/>
              </w:rPr>
            </w:pPr>
            <w:r>
              <w:rPr>
                <w:rFonts w:hint="eastAsia"/>
                <w:color w:val="auto"/>
                <w:lang w:val="en-US" w:eastAsia="zh-CN"/>
              </w:rPr>
              <w:t>本项目为啤酒制造，</w:t>
            </w:r>
            <w:r>
              <w:rPr>
                <w:rFonts w:hint="eastAsia" w:eastAsia="宋体"/>
                <w:color w:val="auto"/>
                <w:lang w:eastAsia="zh-CN"/>
              </w:rPr>
              <w:t>根据《环境影响评价技术导则 土壤环境》（试行）（HJ964-2018）附录A判定，项目</w:t>
            </w:r>
            <w:r>
              <w:rPr>
                <w:rFonts w:hint="eastAsia"/>
                <w:color w:val="auto"/>
                <w:lang w:val="en-US" w:eastAsia="zh-CN"/>
              </w:rPr>
              <w:t>土壤</w:t>
            </w:r>
            <w:r>
              <w:rPr>
                <w:rFonts w:hint="eastAsia" w:eastAsia="宋体"/>
                <w:color w:val="auto"/>
                <w:lang w:eastAsia="zh-CN"/>
              </w:rPr>
              <w:t>环境影响评价项目类别为Ⅳ类，不开展土壤环境影响评价。</w:t>
            </w:r>
          </w:p>
          <w:p w14:paraId="2225C079">
            <w:pPr>
              <w:ind w:firstLine="480"/>
              <w:rPr>
                <w:rFonts w:hint="eastAsia" w:eastAsia="宋体"/>
                <w:color w:val="auto"/>
                <w:lang w:eastAsia="zh-CN"/>
              </w:rPr>
            </w:pPr>
            <w:r>
              <w:rPr>
                <w:rFonts w:hint="eastAsia" w:eastAsia="宋体"/>
                <w:color w:val="auto"/>
                <w:lang w:eastAsia="zh-CN"/>
              </w:rPr>
              <w:t>根据《环境影响评价技术导则 地下水环境》（HJ610-2016）附录A判定，项目地下水环境影响评价项目类别为Ⅳ类，不开展地下水环境影响评价。</w:t>
            </w:r>
          </w:p>
          <w:p w14:paraId="330EE06E">
            <w:pPr>
              <w:ind w:firstLine="480"/>
              <w:rPr>
                <w:rFonts w:hint="eastAsia" w:eastAsia="宋体"/>
                <w:color w:val="auto"/>
                <w:lang w:eastAsia="zh-CN"/>
              </w:rPr>
            </w:pPr>
            <w:r>
              <w:rPr>
                <w:rFonts w:hint="eastAsia" w:eastAsia="宋体"/>
                <w:color w:val="auto"/>
                <w:lang w:eastAsia="zh-CN"/>
              </w:rPr>
              <w:t>本项目污水处理站各类罐体为地上设施，生产车间、原料库、冷库、危废</w:t>
            </w:r>
            <w:r>
              <w:rPr>
                <w:rFonts w:hint="eastAsia"/>
                <w:color w:val="auto"/>
                <w:lang w:val="en-US" w:eastAsia="zh-CN"/>
              </w:rPr>
              <w:t>暂存间等</w:t>
            </w:r>
            <w:r>
              <w:rPr>
                <w:rFonts w:hint="eastAsia" w:eastAsia="宋体"/>
                <w:color w:val="auto"/>
                <w:lang w:eastAsia="zh-CN"/>
              </w:rPr>
              <w:t>在项目建设过程中进行防腐、防渗处理，正常生产情况下无土壤、地下水环境污染途径，无需进行土壤及地下水环境质量现状调查。</w:t>
            </w:r>
          </w:p>
        </w:tc>
      </w:tr>
      <w:tr w14:paraId="40D9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14:paraId="45B0131A">
            <w:pPr>
              <w:ind w:firstLine="0" w:firstLineChars="0"/>
              <w:jc w:val="center"/>
              <w:rPr>
                <w:color w:val="auto"/>
              </w:rPr>
            </w:pPr>
            <w:r>
              <w:rPr>
                <w:rFonts w:hint="eastAsia"/>
                <w:color w:val="auto"/>
              </w:rPr>
              <w:t>环境保护目标</w:t>
            </w:r>
          </w:p>
        </w:tc>
        <w:tc>
          <w:tcPr>
            <w:tcW w:w="7964" w:type="dxa"/>
          </w:tcPr>
          <w:p w14:paraId="1DDC8BB3">
            <w:pPr>
              <w:ind w:left="0" w:leftChars="0" w:firstLine="0" w:firstLineChars="0"/>
              <w:rPr>
                <w:rFonts w:hint="eastAsia" w:eastAsia="宋体"/>
                <w:b/>
                <w:bCs/>
                <w:color w:val="auto"/>
                <w:lang w:val="en-US" w:eastAsia="zh-CN"/>
              </w:rPr>
            </w:pPr>
            <w:r>
              <w:rPr>
                <w:rFonts w:hint="eastAsia"/>
                <w:b/>
                <w:bCs/>
                <w:color w:val="auto"/>
                <w:lang w:val="en-US" w:eastAsia="zh-CN"/>
              </w:rPr>
              <w:t>6、环境保护目标</w:t>
            </w:r>
          </w:p>
          <w:p w14:paraId="31C37E7A">
            <w:pPr>
              <w:ind w:firstLine="480"/>
              <w:rPr>
                <w:rFonts w:hint="default" w:eastAsia="宋体"/>
                <w:color w:val="auto"/>
                <w:lang w:val="en-US"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lang w:val="en-US" w:eastAsia="zh-CN"/>
              </w:rPr>
              <w:t>环境保护目标</w:t>
            </w:r>
          </w:p>
          <w:p w14:paraId="0C31C558">
            <w:pPr>
              <w:ind w:firstLine="480"/>
              <w:rPr>
                <w:rFonts w:hint="eastAsia" w:eastAsia="宋体"/>
                <w:color w:val="auto"/>
                <w:lang w:eastAsia="zh-CN"/>
              </w:rPr>
            </w:pPr>
            <w:r>
              <w:rPr>
                <w:color w:val="auto"/>
              </w:rPr>
              <w:t>根据现场踏勘，</w:t>
            </w:r>
            <w:r>
              <w:rPr>
                <w:rFonts w:hint="eastAsia"/>
                <w:color w:val="auto"/>
              </w:rPr>
              <w:t>本项目环境空气评价范围为厂界线外500m范围，项目厂界外500m范围内无自然保护区、风景名胜区、文化区、地下水集中式饮用水水源和热水、矿泉水、温泉等特殊地下水资源及出露点，声环境评价范围为厂界线外50m范围无居民点</w:t>
            </w:r>
            <w:r>
              <w:rPr>
                <w:rFonts w:hint="eastAsia"/>
                <w:color w:val="auto"/>
                <w:lang w:eastAsia="zh-CN"/>
              </w:rPr>
              <w:t>。</w:t>
            </w:r>
          </w:p>
          <w:p w14:paraId="1605BCE8">
            <w:pPr>
              <w:ind w:left="480" w:leftChars="200" w:firstLine="0" w:firstLineChars="0"/>
              <w:rPr>
                <w:color w:val="auto"/>
              </w:rPr>
            </w:pPr>
            <w:r>
              <w:rPr>
                <w:color w:val="auto"/>
              </w:rPr>
              <w:t>本项目主要环境保护目标见下表。</w:t>
            </w:r>
          </w:p>
          <w:p w14:paraId="6014FF7D">
            <w:pPr>
              <w:pStyle w:val="30"/>
              <w:rPr>
                <w:rFonts w:hint="default"/>
                <w:color w:val="auto"/>
              </w:rPr>
            </w:pPr>
            <w:r>
              <w:rPr>
                <w:color w:val="auto"/>
              </w:rPr>
              <w:t>表3-</w:t>
            </w:r>
            <w:r>
              <w:rPr>
                <w:rFonts w:hint="eastAsia"/>
                <w:color w:val="auto"/>
                <w:lang w:val="en-US" w:eastAsia="zh-CN"/>
              </w:rPr>
              <w:t>11</w:t>
            </w:r>
            <w:r>
              <w:rPr>
                <w:color w:val="auto"/>
              </w:rPr>
              <w:t xml:space="preserve"> 环境保护目标一览表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165"/>
              <w:gridCol w:w="1874"/>
              <w:gridCol w:w="846"/>
              <w:gridCol w:w="462"/>
              <w:gridCol w:w="800"/>
              <w:gridCol w:w="1859"/>
            </w:tblGrid>
            <w:tr w14:paraId="4ABD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Merge w:val="restart"/>
                  <w:vAlign w:val="center"/>
                </w:tcPr>
                <w:p w14:paraId="410DF862">
                  <w:pPr>
                    <w:pStyle w:val="29"/>
                    <w:bidi w:val="0"/>
                    <w:rPr>
                      <w:rFonts w:hint="default"/>
                      <w:color w:val="auto"/>
                    </w:rPr>
                  </w:pPr>
                  <w:r>
                    <w:rPr>
                      <w:rFonts w:hint="default"/>
                      <w:color w:val="auto"/>
                    </w:rPr>
                    <w:t>环境要素</w:t>
                  </w:r>
                </w:p>
              </w:tc>
              <w:tc>
                <w:tcPr>
                  <w:tcW w:w="763" w:type="pct"/>
                  <w:vMerge w:val="restart"/>
                  <w:vAlign w:val="center"/>
                </w:tcPr>
                <w:p w14:paraId="661717E6">
                  <w:pPr>
                    <w:pStyle w:val="29"/>
                    <w:bidi w:val="0"/>
                    <w:rPr>
                      <w:rFonts w:hint="default"/>
                      <w:color w:val="auto"/>
                    </w:rPr>
                  </w:pPr>
                  <w:r>
                    <w:rPr>
                      <w:rFonts w:hint="default"/>
                      <w:color w:val="auto"/>
                    </w:rPr>
                    <w:t>名称</w:t>
                  </w:r>
                </w:p>
              </w:tc>
              <w:tc>
                <w:tcPr>
                  <w:tcW w:w="1219" w:type="pct"/>
                  <w:vAlign w:val="center"/>
                </w:tcPr>
                <w:p w14:paraId="006C4F1F">
                  <w:pPr>
                    <w:pStyle w:val="29"/>
                    <w:bidi w:val="0"/>
                    <w:rPr>
                      <w:rFonts w:hint="default"/>
                      <w:color w:val="auto"/>
                    </w:rPr>
                  </w:pPr>
                  <w:r>
                    <w:rPr>
                      <w:rFonts w:hint="default"/>
                      <w:color w:val="auto"/>
                    </w:rPr>
                    <w:t>坐标</w:t>
                  </w:r>
                </w:p>
              </w:tc>
              <w:tc>
                <w:tcPr>
                  <w:tcW w:w="498" w:type="pct"/>
                  <w:vMerge w:val="restart"/>
                  <w:vAlign w:val="center"/>
                </w:tcPr>
                <w:p w14:paraId="454F559B">
                  <w:pPr>
                    <w:pStyle w:val="29"/>
                    <w:bidi w:val="0"/>
                    <w:rPr>
                      <w:rFonts w:hint="default"/>
                      <w:color w:val="auto"/>
                    </w:rPr>
                  </w:pPr>
                  <w:r>
                    <w:rPr>
                      <w:rFonts w:hint="default"/>
                      <w:color w:val="auto"/>
                    </w:rPr>
                    <w:t>规模</w:t>
                  </w:r>
                  <w:r>
                    <w:rPr>
                      <w:color w:val="auto"/>
                    </w:rPr>
                    <w:t>（人）</w:t>
                  </w:r>
                </w:p>
              </w:tc>
              <w:tc>
                <w:tcPr>
                  <w:tcW w:w="309" w:type="pct"/>
                  <w:vMerge w:val="restart"/>
                  <w:vAlign w:val="center"/>
                </w:tcPr>
                <w:p w14:paraId="5DC21B77">
                  <w:pPr>
                    <w:pStyle w:val="29"/>
                    <w:bidi w:val="0"/>
                    <w:rPr>
                      <w:rFonts w:hint="default"/>
                      <w:color w:val="auto"/>
                    </w:rPr>
                  </w:pPr>
                  <w:r>
                    <w:rPr>
                      <w:rFonts w:hint="default"/>
                      <w:color w:val="auto"/>
                    </w:rPr>
                    <w:t>方位</w:t>
                  </w:r>
                </w:p>
              </w:tc>
              <w:tc>
                <w:tcPr>
                  <w:tcW w:w="502" w:type="pct"/>
                  <w:vMerge w:val="restart"/>
                  <w:vAlign w:val="center"/>
                </w:tcPr>
                <w:p w14:paraId="3C50BB81">
                  <w:pPr>
                    <w:pStyle w:val="29"/>
                    <w:bidi w:val="0"/>
                    <w:rPr>
                      <w:rFonts w:hint="default"/>
                      <w:color w:val="auto"/>
                    </w:rPr>
                  </w:pPr>
                  <w:r>
                    <w:rPr>
                      <w:rFonts w:hint="default"/>
                      <w:color w:val="auto"/>
                    </w:rPr>
                    <w:t>距离</w:t>
                  </w:r>
                </w:p>
                <w:p w14:paraId="054C1E87">
                  <w:pPr>
                    <w:pStyle w:val="29"/>
                    <w:bidi w:val="0"/>
                    <w:rPr>
                      <w:rFonts w:hint="eastAsia" w:eastAsia="宋体"/>
                      <w:color w:val="auto"/>
                      <w:lang w:eastAsia="zh-CN"/>
                    </w:rPr>
                  </w:pPr>
                  <w:r>
                    <w:rPr>
                      <w:rFonts w:hint="eastAsia"/>
                      <w:color w:val="auto"/>
                      <w:lang w:eastAsia="zh-CN"/>
                    </w:rPr>
                    <w:t>（</w:t>
                  </w:r>
                  <w:r>
                    <w:rPr>
                      <w:rFonts w:hint="default"/>
                      <w:color w:val="auto"/>
                    </w:rPr>
                    <w:t>m</w:t>
                  </w:r>
                  <w:r>
                    <w:rPr>
                      <w:rFonts w:hint="eastAsia"/>
                      <w:color w:val="auto"/>
                      <w:lang w:eastAsia="zh-CN"/>
                    </w:rPr>
                    <w:t>）</w:t>
                  </w:r>
                </w:p>
              </w:tc>
              <w:tc>
                <w:tcPr>
                  <w:tcW w:w="1208" w:type="pct"/>
                  <w:vMerge w:val="restart"/>
                  <w:vAlign w:val="center"/>
                </w:tcPr>
                <w:p w14:paraId="64967043">
                  <w:pPr>
                    <w:pStyle w:val="29"/>
                    <w:bidi w:val="0"/>
                    <w:rPr>
                      <w:rFonts w:hint="default"/>
                      <w:color w:val="auto"/>
                    </w:rPr>
                  </w:pPr>
                  <w:r>
                    <w:rPr>
                      <w:rFonts w:hint="default"/>
                      <w:color w:val="auto"/>
                    </w:rPr>
                    <w:t>执行标准</w:t>
                  </w:r>
                </w:p>
              </w:tc>
            </w:tr>
            <w:tr w14:paraId="7E0E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Merge w:val="continue"/>
                  <w:vAlign w:val="center"/>
                </w:tcPr>
                <w:p w14:paraId="32587E94">
                  <w:pPr>
                    <w:pStyle w:val="29"/>
                    <w:bidi w:val="0"/>
                    <w:rPr>
                      <w:rFonts w:hint="default"/>
                      <w:color w:val="auto"/>
                    </w:rPr>
                  </w:pPr>
                </w:p>
              </w:tc>
              <w:tc>
                <w:tcPr>
                  <w:tcW w:w="763" w:type="pct"/>
                  <w:vMerge w:val="continue"/>
                  <w:vAlign w:val="center"/>
                </w:tcPr>
                <w:p w14:paraId="270E0734">
                  <w:pPr>
                    <w:pStyle w:val="29"/>
                    <w:bidi w:val="0"/>
                    <w:rPr>
                      <w:rFonts w:hint="default"/>
                      <w:color w:val="auto"/>
                    </w:rPr>
                  </w:pPr>
                </w:p>
              </w:tc>
              <w:tc>
                <w:tcPr>
                  <w:tcW w:w="1219" w:type="pct"/>
                  <w:vAlign w:val="center"/>
                </w:tcPr>
                <w:p w14:paraId="38E5F508">
                  <w:pPr>
                    <w:pStyle w:val="29"/>
                    <w:bidi w:val="0"/>
                    <w:rPr>
                      <w:rFonts w:hint="default"/>
                      <w:color w:val="auto"/>
                    </w:rPr>
                  </w:pPr>
                  <w:r>
                    <w:rPr>
                      <w:rFonts w:hint="default"/>
                      <w:color w:val="auto"/>
                    </w:rPr>
                    <w:t>经纬度</w:t>
                  </w:r>
                </w:p>
              </w:tc>
              <w:tc>
                <w:tcPr>
                  <w:tcW w:w="498" w:type="pct"/>
                  <w:vMerge w:val="continue"/>
                  <w:vAlign w:val="center"/>
                </w:tcPr>
                <w:p w14:paraId="5516A00F">
                  <w:pPr>
                    <w:pStyle w:val="29"/>
                    <w:bidi w:val="0"/>
                    <w:rPr>
                      <w:rFonts w:hint="default"/>
                      <w:color w:val="auto"/>
                    </w:rPr>
                  </w:pPr>
                </w:p>
              </w:tc>
              <w:tc>
                <w:tcPr>
                  <w:tcW w:w="309" w:type="pct"/>
                  <w:vMerge w:val="continue"/>
                  <w:vAlign w:val="center"/>
                </w:tcPr>
                <w:p w14:paraId="3C2FD76B">
                  <w:pPr>
                    <w:pStyle w:val="29"/>
                    <w:bidi w:val="0"/>
                    <w:rPr>
                      <w:rFonts w:hint="default"/>
                      <w:color w:val="auto"/>
                    </w:rPr>
                  </w:pPr>
                </w:p>
              </w:tc>
              <w:tc>
                <w:tcPr>
                  <w:tcW w:w="502" w:type="pct"/>
                  <w:vMerge w:val="continue"/>
                  <w:vAlign w:val="center"/>
                </w:tcPr>
                <w:p w14:paraId="7DDEDF89">
                  <w:pPr>
                    <w:pStyle w:val="29"/>
                    <w:bidi w:val="0"/>
                    <w:rPr>
                      <w:rFonts w:hint="default"/>
                      <w:color w:val="auto"/>
                    </w:rPr>
                  </w:pPr>
                </w:p>
              </w:tc>
              <w:tc>
                <w:tcPr>
                  <w:tcW w:w="1208" w:type="pct"/>
                  <w:vMerge w:val="continue"/>
                  <w:vAlign w:val="center"/>
                </w:tcPr>
                <w:p w14:paraId="0BB33767">
                  <w:pPr>
                    <w:pStyle w:val="29"/>
                    <w:bidi w:val="0"/>
                    <w:rPr>
                      <w:rFonts w:hint="default"/>
                      <w:color w:val="auto"/>
                    </w:rPr>
                  </w:pPr>
                </w:p>
              </w:tc>
            </w:tr>
            <w:tr w14:paraId="3F98B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Merge w:val="restart"/>
                  <w:vAlign w:val="center"/>
                </w:tcPr>
                <w:p w14:paraId="7B7E9FE0">
                  <w:pPr>
                    <w:pStyle w:val="29"/>
                    <w:bidi w:val="0"/>
                    <w:rPr>
                      <w:rFonts w:hint="default"/>
                      <w:color w:val="auto"/>
                    </w:rPr>
                  </w:pPr>
                  <w:r>
                    <w:rPr>
                      <w:color w:val="auto"/>
                    </w:rPr>
                    <w:t>环境空气</w:t>
                  </w:r>
                </w:p>
              </w:tc>
              <w:tc>
                <w:tcPr>
                  <w:tcW w:w="763" w:type="pct"/>
                  <w:vAlign w:val="center"/>
                </w:tcPr>
                <w:p w14:paraId="32B202D5">
                  <w:pPr>
                    <w:pStyle w:val="29"/>
                    <w:bidi w:val="0"/>
                    <w:rPr>
                      <w:rFonts w:hint="default"/>
                      <w:color w:val="auto"/>
                      <w:lang w:val="en-US" w:eastAsia="zh-CN"/>
                    </w:rPr>
                  </w:pPr>
                  <w:r>
                    <w:rPr>
                      <w:rFonts w:hint="eastAsia"/>
                      <w:color w:val="auto"/>
                      <w:lang w:val="en-US" w:eastAsia="zh-CN"/>
                    </w:rPr>
                    <w:t>龙池村</w:t>
                  </w:r>
                </w:p>
              </w:tc>
              <w:tc>
                <w:tcPr>
                  <w:tcW w:w="1219" w:type="pct"/>
                  <w:vAlign w:val="center"/>
                </w:tcPr>
                <w:p w14:paraId="4383CCD0">
                  <w:pPr>
                    <w:pStyle w:val="29"/>
                    <w:bidi w:val="0"/>
                    <w:rPr>
                      <w:rFonts w:hint="default"/>
                      <w:color w:val="auto"/>
                      <w:lang w:val="en-US" w:eastAsia="zh-CN"/>
                    </w:rPr>
                  </w:pPr>
                  <w:r>
                    <w:rPr>
                      <w:rFonts w:hint="default"/>
                      <w:color w:val="auto"/>
                      <w:lang w:val="en-US" w:eastAsia="zh-CN"/>
                    </w:rPr>
                    <w:t>102°31′26.877″</w:t>
                  </w:r>
                </w:p>
                <w:p w14:paraId="7A0B5513">
                  <w:pPr>
                    <w:pStyle w:val="29"/>
                    <w:bidi w:val="0"/>
                    <w:rPr>
                      <w:rFonts w:hint="default"/>
                      <w:color w:val="auto"/>
                      <w:lang w:val="en-US" w:eastAsia="zh-CN"/>
                    </w:rPr>
                  </w:pPr>
                  <w:r>
                    <w:rPr>
                      <w:rFonts w:hint="default"/>
                      <w:color w:val="auto"/>
                      <w:lang w:val="en-US" w:eastAsia="zh-CN"/>
                    </w:rPr>
                    <w:t>24°25′12.03</w:t>
                  </w:r>
                  <w:r>
                    <w:rPr>
                      <w:rFonts w:hint="eastAsia"/>
                      <w:color w:val="auto"/>
                      <w:lang w:val="en-US" w:eastAsia="zh-CN"/>
                    </w:rPr>
                    <w:t>1</w:t>
                  </w:r>
                  <w:r>
                    <w:rPr>
                      <w:rFonts w:hint="default"/>
                      <w:color w:val="auto"/>
                      <w:lang w:val="en-US" w:eastAsia="zh-CN"/>
                    </w:rPr>
                    <w:t>″</w:t>
                  </w:r>
                </w:p>
              </w:tc>
              <w:tc>
                <w:tcPr>
                  <w:tcW w:w="498" w:type="pct"/>
                  <w:shd w:val="clear" w:color="auto" w:fill="auto"/>
                  <w:vAlign w:val="center"/>
                </w:tcPr>
                <w:p w14:paraId="46A8B8E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760</w:t>
                  </w:r>
                </w:p>
              </w:tc>
              <w:tc>
                <w:tcPr>
                  <w:tcW w:w="309" w:type="pct"/>
                  <w:vAlign w:val="center"/>
                </w:tcPr>
                <w:p w14:paraId="174885AB">
                  <w:pPr>
                    <w:pStyle w:val="29"/>
                    <w:bidi w:val="0"/>
                    <w:rPr>
                      <w:rFonts w:hint="default"/>
                      <w:color w:val="auto"/>
                      <w:lang w:val="en-US" w:eastAsia="zh-CN"/>
                    </w:rPr>
                  </w:pPr>
                  <w:r>
                    <w:rPr>
                      <w:rFonts w:hint="eastAsia"/>
                      <w:color w:val="auto"/>
                      <w:lang w:val="en-US" w:eastAsia="zh-CN"/>
                    </w:rPr>
                    <w:t>西面</w:t>
                  </w:r>
                </w:p>
              </w:tc>
              <w:tc>
                <w:tcPr>
                  <w:tcW w:w="502" w:type="pct"/>
                  <w:vAlign w:val="center"/>
                </w:tcPr>
                <w:p w14:paraId="51BAEF59">
                  <w:pPr>
                    <w:pStyle w:val="29"/>
                    <w:bidi w:val="0"/>
                    <w:rPr>
                      <w:rFonts w:hint="default"/>
                      <w:color w:val="auto"/>
                      <w:lang w:val="en-US" w:eastAsia="zh-CN"/>
                    </w:rPr>
                  </w:pPr>
                  <w:r>
                    <w:rPr>
                      <w:rFonts w:hint="eastAsia"/>
                      <w:color w:val="auto"/>
                      <w:lang w:val="en-US" w:eastAsia="zh-CN"/>
                    </w:rPr>
                    <w:t>470</w:t>
                  </w:r>
                </w:p>
              </w:tc>
              <w:tc>
                <w:tcPr>
                  <w:tcW w:w="1208" w:type="pct"/>
                  <w:vMerge w:val="restart"/>
                  <w:vAlign w:val="center"/>
                </w:tcPr>
                <w:p w14:paraId="1BCDEDD9">
                  <w:pPr>
                    <w:pStyle w:val="29"/>
                    <w:bidi w:val="0"/>
                    <w:rPr>
                      <w:rFonts w:hint="default"/>
                      <w:color w:val="auto"/>
                    </w:rPr>
                  </w:pPr>
                  <w:r>
                    <w:rPr>
                      <w:rFonts w:hint="default"/>
                      <w:color w:val="auto"/>
                    </w:rPr>
                    <w:t>《环境空气质量标准》（GB3095-2026）二级标准（过渡阶段</w:t>
                  </w:r>
                </w:p>
              </w:tc>
            </w:tr>
            <w:tr w14:paraId="6147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Merge w:val="continue"/>
                  <w:vAlign w:val="center"/>
                </w:tcPr>
                <w:p w14:paraId="70EB8FFE">
                  <w:pPr>
                    <w:pStyle w:val="29"/>
                    <w:bidi w:val="0"/>
                    <w:rPr>
                      <w:color w:val="auto"/>
                    </w:rPr>
                  </w:pPr>
                </w:p>
              </w:tc>
              <w:tc>
                <w:tcPr>
                  <w:tcW w:w="763" w:type="pct"/>
                  <w:vAlign w:val="center"/>
                </w:tcPr>
                <w:p w14:paraId="48C535FD">
                  <w:pPr>
                    <w:pStyle w:val="29"/>
                    <w:bidi w:val="0"/>
                    <w:rPr>
                      <w:rFonts w:hint="default"/>
                      <w:color w:val="auto"/>
                      <w:lang w:val="en-US" w:eastAsia="zh-CN"/>
                    </w:rPr>
                  </w:pPr>
                  <w:r>
                    <w:rPr>
                      <w:rFonts w:hint="eastAsia"/>
                      <w:color w:val="auto"/>
                      <w:lang w:val="en-US" w:eastAsia="zh-CN"/>
                    </w:rPr>
                    <w:t>杜家边村</w:t>
                  </w:r>
                </w:p>
              </w:tc>
              <w:tc>
                <w:tcPr>
                  <w:tcW w:w="1219" w:type="pct"/>
                  <w:vAlign w:val="center"/>
                </w:tcPr>
                <w:p w14:paraId="137F0357">
                  <w:pPr>
                    <w:pStyle w:val="29"/>
                    <w:bidi w:val="0"/>
                    <w:rPr>
                      <w:rFonts w:hint="default"/>
                      <w:color w:val="auto"/>
                      <w:lang w:val="en-US" w:eastAsia="zh-CN"/>
                    </w:rPr>
                  </w:pPr>
                  <w:r>
                    <w:rPr>
                      <w:rFonts w:hint="default"/>
                      <w:color w:val="auto"/>
                      <w:lang w:val="en-US" w:eastAsia="zh-CN"/>
                    </w:rPr>
                    <w:t>102°31′52.79</w:t>
                  </w:r>
                  <w:r>
                    <w:rPr>
                      <w:rFonts w:hint="eastAsia"/>
                      <w:color w:val="auto"/>
                      <w:lang w:val="en-US" w:eastAsia="zh-CN"/>
                    </w:rPr>
                    <w:t>4</w:t>
                  </w:r>
                  <w:r>
                    <w:rPr>
                      <w:rFonts w:hint="default"/>
                      <w:color w:val="auto"/>
                      <w:lang w:val="en-US" w:eastAsia="zh-CN"/>
                    </w:rPr>
                    <w:t>″</w:t>
                  </w:r>
                </w:p>
                <w:p w14:paraId="39A9A58B">
                  <w:pPr>
                    <w:pStyle w:val="29"/>
                    <w:bidi w:val="0"/>
                    <w:rPr>
                      <w:rFonts w:hint="default"/>
                      <w:color w:val="auto"/>
                      <w:lang w:val="en-US" w:eastAsia="zh-CN"/>
                    </w:rPr>
                  </w:pPr>
                  <w:r>
                    <w:rPr>
                      <w:rFonts w:hint="default"/>
                      <w:color w:val="auto"/>
                      <w:lang w:val="en-US" w:eastAsia="zh-CN"/>
                    </w:rPr>
                    <w:t>24°24′55.81</w:t>
                  </w:r>
                  <w:r>
                    <w:rPr>
                      <w:rFonts w:hint="eastAsia"/>
                      <w:color w:val="auto"/>
                      <w:lang w:val="en-US" w:eastAsia="zh-CN"/>
                    </w:rPr>
                    <w:t>8</w:t>
                  </w:r>
                  <w:r>
                    <w:rPr>
                      <w:rFonts w:hint="default"/>
                      <w:color w:val="auto"/>
                      <w:lang w:val="en-US" w:eastAsia="zh-CN"/>
                    </w:rPr>
                    <w:t>″</w:t>
                  </w:r>
                </w:p>
              </w:tc>
              <w:tc>
                <w:tcPr>
                  <w:tcW w:w="498" w:type="pct"/>
                  <w:shd w:val="clear" w:color="auto" w:fill="auto"/>
                  <w:vAlign w:val="center"/>
                </w:tcPr>
                <w:p w14:paraId="6C34CE0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360</w:t>
                  </w:r>
                </w:p>
              </w:tc>
              <w:tc>
                <w:tcPr>
                  <w:tcW w:w="309" w:type="pct"/>
                  <w:vAlign w:val="center"/>
                </w:tcPr>
                <w:p w14:paraId="4B7CE644">
                  <w:pPr>
                    <w:pStyle w:val="29"/>
                    <w:bidi w:val="0"/>
                    <w:rPr>
                      <w:rFonts w:hint="default"/>
                      <w:color w:val="auto"/>
                      <w:lang w:val="en-US" w:eastAsia="zh-CN"/>
                    </w:rPr>
                  </w:pPr>
                  <w:r>
                    <w:rPr>
                      <w:rFonts w:hint="default"/>
                      <w:color w:val="auto"/>
                      <w:lang w:val="en-US" w:eastAsia="zh-CN"/>
                    </w:rPr>
                    <w:t>东南面</w:t>
                  </w:r>
                </w:p>
              </w:tc>
              <w:tc>
                <w:tcPr>
                  <w:tcW w:w="502" w:type="pct"/>
                  <w:vAlign w:val="center"/>
                </w:tcPr>
                <w:p w14:paraId="41994F15">
                  <w:pPr>
                    <w:pStyle w:val="29"/>
                    <w:bidi w:val="0"/>
                    <w:rPr>
                      <w:rFonts w:hint="default"/>
                      <w:color w:val="auto"/>
                      <w:lang w:val="en-US" w:eastAsia="zh-CN"/>
                    </w:rPr>
                  </w:pPr>
                  <w:r>
                    <w:rPr>
                      <w:rFonts w:hint="eastAsia"/>
                      <w:color w:val="auto"/>
                      <w:lang w:val="en-US" w:eastAsia="zh-CN"/>
                    </w:rPr>
                    <w:t>200</w:t>
                  </w:r>
                </w:p>
              </w:tc>
              <w:tc>
                <w:tcPr>
                  <w:tcW w:w="1208" w:type="pct"/>
                  <w:vMerge w:val="continue"/>
                  <w:vAlign w:val="center"/>
                </w:tcPr>
                <w:p w14:paraId="73B54927">
                  <w:pPr>
                    <w:pStyle w:val="29"/>
                    <w:bidi w:val="0"/>
                    <w:rPr>
                      <w:rFonts w:hint="default"/>
                      <w:color w:val="auto"/>
                    </w:rPr>
                  </w:pPr>
                </w:p>
              </w:tc>
            </w:tr>
            <w:tr w14:paraId="1108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8" w:type="pct"/>
                  <w:vMerge w:val="continue"/>
                  <w:vAlign w:val="center"/>
                </w:tcPr>
                <w:p w14:paraId="1BB9D2E1">
                  <w:pPr>
                    <w:pStyle w:val="29"/>
                    <w:bidi w:val="0"/>
                    <w:rPr>
                      <w:color w:val="auto"/>
                    </w:rPr>
                  </w:pPr>
                </w:p>
              </w:tc>
              <w:tc>
                <w:tcPr>
                  <w:tcW w:w="763" w:type="pct"/>
                  <w:vAlign w:val="center"/>
                </w:tcPr>
                <w:p w14:paraId="6A30B066">
                  <w:pPr>
                    <w:pStyle w:val="29"/>
                    <w:bidi w:val="0"/>
                    <w:rPr>
                      <w:rFonts w:hint="default"/>
                      <w:color w:val="auto"/>
                      <w:lang w:val="en-US" w:eastAsia="zh-CN"/>
                    </w:rPr>
                  </w:pPr>
                  <w:r>
                    <w:rPr>
                      <w:rFonts w:hint="eastAsia"/>
                      <w:color w:val="auto"/>
                      <w:lang w:val="en-US" w:eastAsia="zh-CN"/>
                    </w:rPr>
                    <w:t>中所村</w:t>
                  </w:r>
                </w:p>
              </w:tc>
              <w:tc>
                <w:tcPr>
                  <w:tcW w:w="1219" w:type="pct"/>
                  <w:vAlign w:val="center"/>
                </w:tcPr>
                <w:p w14:paraId="1E81F96B">
                  <w:pPr>
                    <w:pStyle w:val="29"/>
                    <w:bidi w:val="0"/>
                    <w:rPr>
                      <w:rFonts w:hint="default"/>
                      <w:color w:val="auto"/>
                      <w:lang w:val="en-US" w:eastAsia="zh-CN"/>
                    </w:rPr>
                  </w:pPr>
                  <w:r>
                    <w:rPr>
                      <w:rFonts w:hint="default"/>
                      <w:color w:val="auto"/>
                      <w:lang w:val="en-US" w:eastAsia="zh-CN"/>
                    </w:rPr>
                    <w:t>102°32′2.720″</w:t>
                  </w:r>
                </w:p>
                <w:p w14:paraId="41F18548">
                  <w:pPr>
                    <w:pStyle w:val="29"/>
                    <w:bidi w:val="0"/>
                    <w:rPr>
                      <w:rFonts w:hint="default"/>
                      <w:color w:val="auto"/>
                      <w:lang w:val="en-US" w:eastAsia="zh-CN"/>
                    </w:rPr>
                  </w:pPr>
                  <w:r>
                    <w:rPr>
                      <w:rFonts w:hint="default"/>
                      <w:color w:val="auto"/>
                      <w:lang w:val="en-US" w:eastAsia="zh-CN"/>
                    </w:rPr>
                    <w:t>24°24′57.11</w:t>
                  </w:r>
                  <w:r>
                    <w:rPr>
                      <w:rFonts w:hint="eastAsia"/>
                      <w:color w:val="auto"/>
                      <w:lang w:val="en-US" w:eastAsia="zh-CN"/>
                    </w:rPr>
                    <w:t>9</w:t>
                  </w:r>
                  <w:r>
                    <w:rPr>
                      <w:rFonts w:hint="default"/>
                      <w:color w:val="auto"/>
                      <w:lang w:val="en-US" w:eastAsia="zh-CN"/>
                    </w:rPr>
                    <w:t>″</w:t>
                  </w:r>
                </w:p>
              </w:tc>
              <w:tc>
                <w:tcPr>
                  <w:tcW w:w="498" w:type="pct"/>
                  <w:shd w:val="clear" w:color="auto" w:fill="auto"/>
                  <w:vAlign w:val="center"/>
                </w:tcPr>
                <w:p w14:paraId="7511B1D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410</w:t>
                  </w:r>
                </w:p>
              </w:tc>
              <w:tc>
                <w:tcPr>
                  <w:tcW w:w="309" w:type="pct"/>
                  <w:vAlign w:val="center"/>
                </w:tcPr>
                <w:p w14:paraId="63C9B2F2">
                  <w:pPr>
                    <w:pStyle w:val="29"/>
                    <w:bidi w:val="0"/>
                    <w:rPr>
                      <w:rFonts w:hint="eastAsia"/>
                      <w:color w:val="auto"/>
                      <w:lang w:val="en-US" w:eastAsia="zh-CN"/>
                    </w:rPr>
                  </w:pPr>
                  <w:r>
                    <w:rPr>
                      <w:rFonts w:hint="eastAsia"/>
                      <w:color w:val="auto"/>
                      <w:lang w:val="en-US" w:eastAsia="zh-CN"/>
                    </w:rPr>
                    <w:t>东南面</w:t>
                  </w:r>
                </w:p>
              </w:tc>
              <w:tc>
                <w:tcPr>
                  <w:tcW w:w="502" w:type="pct"/>
                  <w:vAlign w:val="center"/>
                </w:tcPr>
                <w:p w14:paraId="15740B49">
                  <w:pPr>
                    <w:pStyle w:val="29"/>
                    <w:bidi w:val="0"/>
                    <w:rPr>
                      <w:rFonts w:hint="default"/>
                      <w:color w:val="auto"/>
                      <w:lang w:val="en-US" w:eastAsia="zh-CN"/>
                    </w:rPr>
                  </w:pPr>
                  <w:r>
                    <w:rPr>
                      <w:rFonts w:hint="eastAsia"/>
                      <w:color w:val="auto"/>
                      <w:lang w:val="en-US" w:eastAsia="zh-CN"/>
                    </w:rPr>
                    <w:t>315</w:t>
                  </w:r>
                </w:p>
              </w:tc>
              <w:tc>
                <w:tcPr>
                  <w:tcW w:w="1208" w:type="pct"/>
                  <w:vMerge w:val="continue"/>
                  <w:vAlign w:val="center"/>
                </w:tcPr>
                <w:p w14:paraId="2F7C605D">
                  <w:pPr>
                    <w:pStyle w:val="29"/>
                    <w:bidi w:val="0"/>
                    <w:rPr>
                      <w:rFonts w:hint="default"/>
                      <w:color w:val="auto"/>
                    </w:rPr>
                  </w:pPr>
                </w:p>
              </w:tc>
            </w:tr>
            <w:tr w14:paraId="023C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Align w:val="center"/>
                </w:tcPr>
                <w:p w14:paraId="1C47E77B">
                  <w:pPr>
                    <w:pStyle w:val="29"/>
                    <w:bidi w:val="0"/>
                    <w:rPr>
                      <w:rFonts w:hint="default"/>
                      <w:color w:val="auto"/>
                    </w:rPr>
                  </w:pPr>
                  <w:r>
                    <w:rPr>
                      <w:rFonts w:hint="default"/>
                      <w:color w:val="auto"/>
                    </w:rPr>
                    <w:t>声环境</w:t>
                  </w:r>
                </w:p>
              </w:tc>
              <w:tc>
                <w:tcPr>
                  <w:tcW w:w="3292" w:type="pct"/>
                  <w:gridSpan w:val="5"/>
                  <w:vAlign w:val="center"/>
                </w:tcPr>
                <w:p w14:paraId="4D56FAE1">
                  <w:pPr>
                    <w:pStyle w:val="29"/>
                    <w:bidi w:val="0"/>
                    <w:rPr>
                      <w:rFonts w:hint="default"/>
                      <w:color w:val="auto"/>
                      <w:lang w:val="en-US" w:eastAsia="zh-CN"/>
                    </w:rPr>
                  </w:pPr>
                  <w:r>
                    <w:rPr>
                      <w:rFonts w:hint="default"/>
                      <w:color w:val="auto"/>
                      <w:lang w:val="en-US" w:eastAsia="zh-CN"/>
                    </w:rPr>
                    <w:t>厂界外50米范围内无声环境敏感目标</w:t>
                  </w:r>
                </w:p>
              </w:tc>
              <w:tc>
                <w:tcPr>
                  <w:tcW w:w="1208" w:type="pct"/>
                  <w:vAlign w:val="center"/>
                </w:tcPr>
                <w:p w14:paraId="626AC2B4">
                  <w:pPr>
                    <w:pStyle w:val="29"/>
                    <w:bidi w:val="0"/>
                    <w:rPr>
                      <w:rFonts w:hint="eastAsia" w:eastAsia="宋体"/>
                      <w:color w:val="auto"/>
                      <w:lang w:eastAsia="zh-CN"/>
                    </w:rPr>
                  </w:pPr>
                  <w:r>
                    <w:rPr>
                      <w:rFonts w:hint="eastAsia"/>
                      <w:color w:val="auto"/>
                      <w:lang w:eastAsia="zh-CN"/>
                    </w:rPr>
                    <w:t>《声环境质量标准》（GB3096-2008）</w:t>
                  </w:r>
                  <w:r>
                    <w:rPr>
                      <w:rFonts w:hint="eastAsia"/>
                      <w:color w:val="auto"/>
                      <w:lang w:val="en-US" w:eastAsia="zh-CN"/>
                    </w:rPr>
                    <w:t>2</w:t>
                  </w:r>
                  <w:r>
                    <w:rPr>
                      <w:rFonts w:hint="eastAsia"/>
                      <w:color w:val="auto"/>
                      <w:lang w:eastAsia="zh-CN"/>
                    </w:rPr>
                    <w:t>类区标准</w:t>
                  </w:r>
                </w:p>
              </w:tc>
            </w:tr>
            <w:tr w14:paraId="6213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Merge w:val="restart"/>
                  <w:vAlign w:val="center"/>
                </w:tcPr>
                <w:p w14:paraId="45596F48">
                  <w:pPr>
                    <w:pStyle w:val="29"/>
                    <w:bidi w:val="0"/>
                    <w:rPr>
                      <w:rFonts w:hint="default"/>
                      <w:color w:val="auto"/>
                    </w:rPr>
                  </w:pPr>
                  <w:r>
                    <w:rPr>
                      <w:rFonts w:hint="default"/>
                      <w:color w:val="auto"/>
                    </w:rPr>
                    <w:t>地表水</w:t>
                  </w:r>
                </w:p>
              </w:tc>
              <w:tc>
                <w:tcPr>
                  <w:tcW w:w="763" w:type="pct"/>
                  <w:vAlign w:val="center"/>
                </w:tcPr>
                <w:p w14:paraId="2DD38240">
                  <w:pPr>
                    <w:pStyle w:val="29"/>
                    <w:bidi w:val="0"/>
                    <w:rPr>
                      <w:rFonts w:hint="default"/>
                      <w:color w:val="auto"/>
                      <w:lang w:val="en-US" w:eastAsia="zh-CN"/>
                    </w:rPr>
                  </w:pPr>
                  <w:r>
                    <w:rPr>
                      <w:rFonts w:hint="eastAsia"/>
                      <w:color w:val="auto"/>
                      <w:lang w:val="en-US" w:eastAsia="zh-CN"/>
                    </w:rPr>
                    <w:t>老西河</w:t>
                  </w:r>
                </w:p>
              </w:tc>
              <w:tc>
                <w:tcPr>
                  <w:tcW w:w="1717" w:type="pct"/>
                  <w:gridSpan w:val="2"/>
                  <w:vAlign w:val="center"/>
                </w:tcPr>
                <w:p w14:paraId="6FB2968B">
                  <w:pPr>
                    <w:pStyle w:val="29"/>
                    <w:bidi w:val="0"/>
                    <w:rPr>
                      <w:rFonts w:hint="eastAsia"/>
                      <w:color w:val="auto"/>
                      <w:lang w:val="en-US" w:eastAsia="zh-CN"/>
                    </w:rPr>
                  </w:pPr>
                  <w:r>
                    <w:rPr>
                      <w:rFonts w:hint="eastAsia"/>
                      <w:color w:val="auto"/>
                      <w:lang w:val="en-US" w:eastAsia="zh-CN"/>
                    </w:rPr>
                    <w:t>/</w:t>
                  </w:r>
                </w:p>
              </w:tc>
              <w:tc>
                <w:tcPr>
                  <w:tcW w:w="309" w:type="pct"/>
                  <w:vAlign w:val="center"/>
                </w:tcPr>
                <w:p w14:paraId="5DBDF65E">
                  <w:pPr>
                    <w:pStyle w:val="29"/>
                    <w:bidi w:val="0"/>
                    <w:rPr>
                      <w:rFonts w:hint="eastAsia"/>
                      <w:color w:val="auto"/>
                      <w:lang w:eastAsia="zh-CN"/>
                    </w:rPr>
                  </w:pPr>
                  <w:r>
                    <w:rPr>
                      <w:rFonts w:hint="eastAsia"/>
                      <w:color w:val="auto"/>
                      <w:lang w:eastAsia="zh-CN"/>
                    </w:rPr>
                    <w:t>西面</w:t>
                  </w:r>
                </w:p>
              </w:tc>
              <w:tc>
                <w:tcPr>
                  <w:tcW w:w="502" w:type="pct"/>
                  <w:vAlign w:val="center"/>
                </w:tcPr>
                <w:p w14:paraId="0D58416C">
                  <w:pPr>
                    <w:pStyle w:val="29"/>
                    <w:bidi w:val="0"/>
                    <w:rPr>
                      <w:rFonts w:hint="default"/>
                      <w:color w:val="auto"/>
                      <w:lang w:val="en-US" w:eastAsia="zh-CN"/>
                    </w:rPr>
                  </w:pPr>
                  <w:r>
                    <w:rPr>
                      <w:rFonts w:hint="eastAsia"/>
                      <w:color w:val="auto"/>
                      <w:lang w:val="en-US" w:eastAsia="zh-CN"/>
                    </w:rPr>
                    <w:t>360</w:t>
                  </w:r>
                </w:p>
              </w:tc>
              <w:tc>
                <w:tcPr>
                  <w:tcW w:w="1208" w:type="pct"/>
                  <w:vMerge w:val="restart"/>
                  <w:vAlign w:val="center"/>
                </w:tcPr>
                <w:p w14:paraId="60420BA8">
                  <w:pPr>
                    <w:pStyle w:val="29"/>
                    <w:bidi w:val="0"/>
                    <w:rPr>
                      <w:rFonts w:hint="default"/>
                      <w:color w:val="auto"/>
                    </w:rPr>
                  </w:pPr>
                  <w:r>
                    <w:rPr>
                      <w:rFonts w:hint="default"/>
                      <w:color w:val="auto"/>
                    </w:rPr>
                    <w:t>《地表水环境质量标准》（GB3838-2002）</w:t>
                  </w:r>
                  <w:r>
                    <w:rPr>
                      <w:rFonts w:hint="eastAsia"/>
                      <w:color w:val="auto"/>
                      <w:lang w:val="en-US" w:eastAsia="zh-CN"/>
                    </w:rPr>
                    <w:t>V</w:t>
                  </w:r>
                  <w:r>
                    <w:rPr>
                      <w:rFonts w:hint="default"/>
                      <w:color w:val="auto"/>
                    </w:rPr>
                    <w:t>类标准</w:t>
                  </w:r>
                </w:p>
              </w:tc>
            </w:tr>
            <w:tr w14:paraId="00DFA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Merge w:val="continue"/>
                  <w:vAlign w:val="center"/>
                </w:tcPr>
                <w:p w14:paraId="33767ADF">
                  <w:pPr>
                    <w:pStyle w:val="29"/>
                    <w:bidi w:val="0"/>
                    <w:rPr>
                      <w:rFonts w:hint="default"/>
                      <w:color w:val="auto"/>
                    </w:rPr>
                  </w:pPr>
                </w:p>
              </w:tc>
              <w:tc>
                <w:tcPr>
                  <w:tcW w:w="763" w:type="pct"/>
                  <w:shd w:val="clear" w:color="auto" w:fill="auto"/>
                  <w:vAlign w:val="center"/>
                </w:tcPr>
                <w:p w14:paraId="5F9E08CD">
                  <w:pPr>
                    <w:pStyle w:val="29"/>
                    <w:bidi w:val="0"/>
                    <w:rPr>
                      <w:rFonts w:hint="default"/>
                      <w:color w:val="auto"/>
                      <w:lang w:val="en-US" w:eastAsia="zh-CN"/>
                    </w:rPr>
                  </w:pPr>
                  <w:r>
                    <w:rPr>
                      <w:rFonts w:hint="eastAsia"/>
                      <w:color w:val="auto"/>
                      <w:lang w:val="en-US" w:eastAsia="zh-CN"/>
                    </w:rPr>
                    <w:t>新西河</w:t>
                  </w:r>
                </w:p>
              </w:tc>
              <w:tc>
                <w:tcPr>
                  <w:tcW w:w="1717" w:type="pct"/>
                  <w:gridSpan w:val="2"/>
                  <w:shd w:val="clear" w:color="auto" w:fill="auto"/>
                  <w:vAlign w:val="center"/>
                </w:tcPr>
                <w:p w14:paraId="7B93AA87">
                  <w:pPr>
                    <w:pStyle w:val="29"/>
                    <w:bidi w:val="0"/>
                    <w:rPr>
                      <w:rFonts w:hint="default"/>
                      <w:color w:val="auto"/>
                      <w:lang w:val="en-US" w:eastAsia="zh-CN"/>
                    </w:rPr>
                  </w:pPr>
                  <w:r>
                    <w:rPr>
                      <w:color w:val="auto"/>
                    </w:rPr>
                    <w:t>/</w:t>
                  </w:r>
                </w:p>
              </w:tc>
              <w:tc>
                <w:tcPr>
                  <w:tcW w:w="309" w:type="pct"/>
                  <w:shd w:val="clear" w:color="auto" w:fill="auto"/>
                  <w:vAlign w:val="center"/>
                </w:tcPr>
                <w:p w14:paraId="66C88DAA">
                  <w:pPr>
                    <w:pStyle w:val="29"/>
                    <w:bidi w:val="0"/>
                    <w:rPr>
                      <w:rFonts w:hint="default"/>
                      <w:color w:val="auto"/>
                      <w:lang w:val="en-US" w:eastAsia="zh-CN"/>
                    </w:rPr>
                  </w:pPr>
                  <w:r>
                    <w:rPr>
                      <w:rFonts w:hint="eastAsia"/>
                      <w:color w:val="auto"/>
                      <w:lang w:eastAsia="zh-CN"/>
                    </w:rPr>
                    <w:t>东面</w:t>
                  </w:r>
                </w:p>
              </w:tc>
              <w:tc>
                <w:tcPr>
                  <w:tcW w:w="502" w:type="pct"/>
                  <w:shd w:val="clear" w:color="auto" w:fill="auto"/>
                  <w:vAlign w:val="center"/>
                </w:tcPr>
                <w:p w14:paraId="210245DE">
                  <w:pPr>
                    <w:pStyle w:val="29"/>
                    <w:bidi w:val="0"/>
                    <w:rPr>
                      <w:rFonts w:hint="default" w:eastAsia="宋体"/>
                      <w:color w:val="auto"/>
                      <w:lang w:val="en-US" w:eastAsia="zh-CN"/>
                    </w:rPr>
                  </w:pPr>
                  <w:r>
                    <w:rPr>
                      <w:rFonts w:hint="eastAsia"/>
                      <w:color w:val="auto"/>
                      <w:lang w:val="en-US" w:eastAsia="zh-CN"/>
                    </w:rPr>
                    <w:t>610</w:t>
                  </w:r>
                </w:p>
              </w:tc>
              <w:tc>
                <w:tcPr>
                  <w:tcW w:w="1208" w:type="pct"/>
                  <w:vMerge w:val="continue"/>
                  <w:vAlign w:val="center"/>
                </w:tcPr>
                <w:p w14:paraId="105C5365">
                  <w:pPr>
                    <w:pStyle w:val="29"/>
                    <w:bidi w:val="0"/>
                    <w:rPr>
                      <w:rFonts w:hint="default"/>
                      <w:color w:val="auto"/>
                    </w:rPr>
                  </w:pPr>
                </w:p>
              </w:tc>
            </w:tr>
            <w:tr w14:paraId="65470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98" w:type="pct"/>
                  <w:vMerge w:val="continue"/>
                  <w:vAlign w:val="center"/>
                </w:tcPr>
                <w:p w14:paraId="4E4F69BF">
                  <w:pPr>
                    <w:pStyle w:val="29"/>
                    <w:bidi w:val="0"/>
                    <w:rPr>
                      <w:rFonts w:hint="default"/>
                      <w:color w:val="auto"/>
                    </w:rPr>
                  </w:pPr>
                </w:p>
              </w:tc>
              <w:tc>
                <w:tcPr>
                  <w:tcW w:w="763" w:type="pct"/>
                  <w:vAlign w:val="center"/>
                </w:tcPr>
                <w:p w14:paraId="11B39492">
                  <w:pPr>
                    <w:pStyle w:val="29"/>
                    <w:bidi w:val="0"/>
                    <w:rPr>
                      <w:rFonts w:hint="default"/>
                      <w:color w:val="auto"/>
                      <w:lang w:val="en-US" w:eastAsia="zh-CN"/>
                    </w:rPr>
                  </w:pPr>
                  <w:r>
                    <w:rPr>
                      <w:rFonts w:hint="eastAsia"/>
                      <w:color w:val="auto"/>
                      <w:lang w:val="en-US" w:eastAsia="zh-CN"/>
                    </w:rPr>
                    <w:t>玉溪大河</w:t>
                  </w:r>
                </w:p>
              </w:tc>
              <w:tc>
                <w:tcPr>
                  <w:tcW w:w="1717" w:type="pct"/>
                  <w:gridSpan w:val="2"/>
                  <w:vAlign w:val="center"/>
                </w:tcPr>
                <w:p w14:paraId="7A6B0363">
                  <w:pPr>
                    <w:pStyle w:val="29"/>
                    <w:bidi w:val="0"/>
                    <w:rPr>
                      <w:rFonts w:hint="eastAsia"/>
                      <w:color w:val="auto"/>
                      <w:lang w:val="en-US" w:eastAsia="zh-CN"/>
                    </w:rPr>
                  </w:pPr>
                  <w:r>
                    <w:rPr>
                      <w:rFonts w:hint="eastAsia"/>
                      <w:color w:val="auto"/>
                      <w:lang w:val="en-US" w:eastAsia="zh-CN"/>
                    </w:rPr>
                    <w:t>/</w:t>
                  </w:r>
                </w:p>
              </w:tc>
              <w:tc>
                <w:tcPr>
                  <w:tcW w:w="309" w:type="pct"/>
                  <w:vAlign w:val="center"/>
                </w:tcPr>
                <w:p w14:paraId="643BF105">
                  <w:pPr>
                    <w:pStyle w:val="29"/>
                    <w:bidi w:val="0"/>
                    <w:rPr>
                      <w:rFonts w:hint="eastAsia"/>
                      <w:color w:val="auto"/>
                      <w:lang w:val="en-US" w:eastAsia="zh-CN"/>
                    </w:rPr>
                  </w:pPr>
                  <w:r>
                    <w:rPr>
                      <w:rFonts w:hint="eastAsia"/>
                      <w:color w:val="auto"/>
                      <w:lang w:val="en-US" w:eastAsia="zh-CN"/>
                    </w:rPr>
                    <w:t>南</w:t>
                  </w:r>
                </w:p>
              </w:tc>
              <w:tc>
                <w:tcPr>
                  <w:tcW w:w="502" w:type="pct"/>
                  <w:vAlign w:val="center"/>
                </w:tcPr>
                <w:p w14:paraId="78EC61C9">
                  <w:pPr>
                    <w:pStyle w:val="29"/>
                    <w:bidi w:val="0"/>
                    <w:rPr>
                      <w:rFonts w:hint="default"/>
                      <w:color w:val="auto"/>
                      <w:lang w:val="en-US" w:eastAsia="zh-CN"/>
                    </w:rPr>
                  </w:pPr>
                  <w:r>
                    <w:rPr>
                      <w:rFonts w:hint="eastAsia"/>
                      <w:color w:val="auto"/>
                      <w:lang w:val="en-US" w:eastAsia="zh-CN"/>
                    </w:rPr>
                    <w:t>5400</w:t>
                  </w:r>
                </w:p>
              </w:tc>
              <w:tc>
                <w:tcPr>
                  <w:tcW w:w="1208" w:type="pct"/>
                  <w:vAlign w:val="center"/>
                </w:tcPr>
                <w:p w14:paraId="59C96CAD">
                  <w:pPr>
                    <w:pStyle w:val="29"/>
                    <w:bidi w:val="0"/>
                    <w:rPr>
                      <w:rFonts w:hint="default"/>
                      <w:color w:val="auto"/>
                    </w:rPr>
                  </w:pPr>
                  <w:r>
                    <w:rPr>
                      <w:rFonts w:hint="default"/>
                      <w:color w:val="auto"/>
                    </w:rPr>
                    <w:t>《地表水环境质量标准》（GB3838-2002）</w:t>
                  </w:r>
                  <w:r>
                    <w:rPr>
                      <w:rFonts w:hint="eastAsia"/>
                      <w:color w:val="auto"/>
                      <w:lang w:val="en-US" w:eastAsia="zh-CN"/>
                    </w:rPr>
                    <w:t>III</w:t>
                  </w:r>
                  <w:r>
                    <w:rPr>
                      <w:rFonts w:hint="default"/>
                      <w:color w:val="auto"/>
                    </w:rPr>
                    <w:t>类标准</w:t>
                  </w:r>
                </w:p>
              </w:tc>
            </w:tr>
            <w:tr w14:paraId="0F674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8" w:type="pct"/>
                  <w:vAlign w:val="center"/>
                </w:tcPr>
                <w:p w14:paraId="4193B1F3">
                  <w:pPr>
                    <w:pStyle w:val="29"/>
                    <w:bidi w:val="0"/>
                    <w:rPr>
                      <w:rFonts w:hint="default"/>
                      <w:color w:val="auto"/>
                    </w:rPr>
                  </w:pPr>
                  <w:r>
                    <w:rPr>
                      <w:color w:val="auto"/>
                    </w:rPr>
                    <w:t>地下水</w:t>
                  </w:r>
                </w:p>
              </w:tc>
              <w:tc>
                <w:tcPr>
                  <w:tcW w:w="4501" w:type="pct"/>
                  <w:gridSpan w:val="6"/>
                  <w:vAlign w:val="center"/>
                </w:tcPr>
                <w:p w14:paraId="056DB71F">
                  <w:pPr>
                    <w:pStyle w:val="29"/>
                    <w:bidi w:val="0"/>
                    <w:rPr>
                      <w:rFonts w:hint="default"/>
                      <w:color w:val="auto"/>
                    </w:rPr>
                  </w:pPr>
                  <w:r>
                    <w:rPr>
                      <w:rFonts w:hint="eastAsia"/>
                      <w:color w:val="auto"/>
                      <w:lang w:eastAsia="zh-CN"/>
                    </w:rPr>
                    <w:t>500m范围内无地下水集中式饮用水水源和热水、矿泉水、温泉等特殊地下水资源</w:t>
                  </w:r>
                </w:p>
              </w:tc>
            </w:tr>
            <w:tr w14:paraId="3CB2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8" w:type="pct"/>
                  <w:vAlign w:val="center"/>
                </w:tcPr>
                <w:p w14:paraId="570FD851">
                  <w:pPr>
                    <w:pStyle w:val="29"/>
                    <w:bidi w:val="0"/>
                    <w:rPr>
                      <w:rFonts w:hint="default"/>
                      <w:color w:val="auto"/>
                    </w:rPr>
                  </w:pPr>
                  <w:r>
                    <w:rPr>
                      <w:rFonts w:hint="default"/>
                      <w:color w:val="auto"/>
                    </w:rPr>
                    <w:t>生态</w:t>
                  </w:r>
                </w:p>
              </w:tc>
              <w:tc>
                <w:tcPr>
                  <w:tcW w:w="4501" w:type="pct"/>
                  <w:gridSpan w:val="6"/>
                  <w:vAlign w:val="center"/>
                </w:tcPr>
                <w:p w14:paraId="74168A38">
                  <w:pPr>
                    <w:pStyle w:val="29"/>
                    <w:bidi w:val="0"/>
                    <w:rPr>
                      <w:rFonts w:hint="default"/>
                      <w:color w:val="auto"/>
                    </w:rPr>
                  </w:pPr>
                  <w:r>
                    <w:rPr>
                      <w:color w:val="auto"/>
                    </w:rPr>
                    <w:t>本项目无生态环境保护目标。</w:t>
                  </w:r>
                </w:p>
              </w:tc>
            </w:tr>
          </w:tbl>
          <w:p w14:paraId="77CE1746">
            <w:pPr>
              <w:ind w:firstLine="480"/>
              <w:rPr>
                <w:rFonts w:hint="eastAsia"/>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）项目四邻关系</w:t>
            </w:r>
          </w:p>
          <w:p w14:paraId="31F5002A">
            <w:pPr>
              <w:ind w:firstLine="480"/>
              <w:rPr>
                <w:rFonts w:hint="eastAsia"/>
                <w:color w:val="auto"/>
                <w:lang w:eastAsia="zh-CN"/>
              </w:rPr>
            </w:pPr>
            <w:r>
              <w:rPr>
                <w:rFonts w:hint="eastAsia"/>
                <w:color w:val="auto"/>
                <w:lang w:eastAsia="zh-CN"/>
              </w:rPr>
              <w:t>本啤酒项目位于</w:t>
            </w:r>
            <w:r>
              <w:rPr>
                <w:rFonts w:hint="eastAsia"/>
                <w:color w:val="auto"/>
                <w:lang w:val="en-US" w:eastAsia="zh-CN"/>
              </w:rPr>
              <w:t>玉溪市高新区九龙池片区工业园区内D4栋第一层</w:t>
            </w:r>
            <w:r>
              <w:rPr>
                <w:rFonts w:hint="eastAsia"/>
                <w:color w:val="auto"/>
                <w:lang w:eastAsia="zh-CN"/>
              </w:rPr>
              <w:t>，红色框为本项目地块，项目四邻关系具体如下：</w:t>
            </w:r>
          </w:p>
          <w:p w14:paraId="3AC197FB">
            <w:pPr>
              <w:ind w:firstLine="480"/>
              <w:rPr>
                <w:rFonts w:hint="eastAsia"/>
                <w:color w:val="auto"/>
                <w:lang w:eastAsia="zh-CN"/>
              </w:rPr>
            </w:pPr>
            <w:r>
              <w:rPr>
                <w:rFonts w:hint="eastAsia"/>
                <w:color w:val="auto"/>
                <w:lang w:eastAsia="zh-CN"/>
              </w:rPr>
              <w:t>‌东侧‌：项目东侧隔园区内部道路为闲置仓库，目前无生产活动及常住人员；‌南侧‌：项目南侧隔园区道路为玉溪融建信息技术有限公司厂房；‌西侧‌：项目西侧隔园区道路为云南伊然轩食品有限公司厂房（本项目与伊然轩为相邻地块）；‌西北侧‌：项目西北侧为噢伴食品（云南）有限公司厂房、信华科技有限公司厂房；‌西南侧‌：项目西南侧隔园区道路为江太餐饮，南侧紧邻园区道路春和路；‌北侧‌：项目北侧为园区生活区，属于园区员工居住及配套区域，项目边界最近距离约</w:t>
            </w:r>
            <w:r>
              <w:rPr>
                <w:rFonts w:hint="eastAsia"/>
                <w:color w:val="auto"/>
                <w:lang w:val="en-US" w:eastAsia="zh-CN"/>
              </w:rPr>
              <w:t>25</w:t>
            </w:r>
            <w:r>
              <w:rPr>
                <w:rFonts w:hint="eastAsia"/>
                <w:color w:val="auto"/>
                <w:lang w:eastAsia="zh-CN"/>
              </w:rPr>
              <w:t>m。</w:t>
            </w:r>
          </w:p>
          <w:p w14:paraId="445D8309">
            <w:pPr>
              <w:ind w:left="0" w:leftChars="0" w:firstLine="0" w:firstLineChars="0"/>
              <w:rPr>
                <w:rFonts w:hint="eastAsia"/>
                <w:color w:val="auto"/>
                <w:lang w:eastAsia="zh-CN"/>
              </w:rPr>
            </w:pPr>
            <w:r>
              <w:rPr>
                <w:rFonts w:hint="eastAsia" w:eastAsia="宋体"/>
                <w:b/>
                <w:bCs/>
                <w:color w:val="auto"/>
                <w:lang w:eastAsia="zh-CN"/>
              </w:rPr>
              <w:drawing>
                <wp:anchor distT="0" distB="0" distL="114300" distR="114300" simplePos="0" relativeHeight="251674624" behindDoc="0" locked="0" layoutInCell="1" allowOverlap="1">
                  <wp:simplePos x="0" y="0"/>
                  <wp:positionH relativeFrom="column">
                    <wp:posOffset>4241165</wp:posOffset>
                  </wp:positionH>
                  <wp:positionV relativeFrom="paragraph">
                    <wp:posOffset>41910</wp:posOffset>
                  </wp:positionV>
                  <wp:extent cx="655320" cy="826770"/>
                  <wp:effectExtent l="9525" t="9525" r="20955" b="20955"/>
                  <wp:wrapNone/>
                  <wp:docPr id="36" name="图片 36" descr="玉溪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玉溪风玫瑰"/>
                          <pic:cNvPicPr>
                            <a:picLocks noChangeAspect="1"/>
                          </pic:cNvPicPr>
                        </pic:nvPicPr>
                        <pic:blipFill>
                          <a:blip r:embed="rId20"/>
                          <a:stretch>
                            <a:fillRect/>
                          </a:stretch>
                        </pic:blipFill>
                        <pic:spPr>
                          <a:xfrm>
                            <a:off x="0" y="0"/>
                            <a:ext cx="655320" cy="826770"/>
                          </a:xfrm>
                          <a:prstGeom prst="rect">
                            <a:avLst/>
                          </a:prstGeom>
                          <a:ln>
                            <a:solidFill>
                              <a:schemeClr val="tx1"/>
                            </a:solidFill>
                          </a:ln>
                        </pic:spPr>
                      </pic:pic>
                    </a:graphicData>
                  </a:graphic>
                </wp:anchor>
              </w:drawing>
            </w:r>
            <w:r>
              <w:rPr>
                <w:rFonts w:hint="eastAsia"/>
                <w:color w:val="auto"/>
                <w:lang w:eastAsia="zh-CN"/>
              </w:rPr>
              <w:drawing>
                <wp:inline distT="0" distB="0" distL="114300" distR="114300">
                  <wp:extent cx="4912995" cy="3696335"/>
                  <wp:effectExtent l="0" t="0" r="1905" b="18415"/>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26"/>
                          <a:stretch>
                            <a:fillRect/>
                          </a:stretch>
                        </pic:blipFill>
                        <pic:spPr>
                          <a:xfrm>
                            <a:off x="0" y="0"/>
                            <a:ext cx="4912995" cy="3696335"/>
                          </a:xfrm>
                          <a:prstGeom prst="rect">
                            <a:avLst/>
                          </a:prstGeom>
                          <a:noFill/>
                          <a:ln>
                            <a:noFill/>
                          </a:ln>
                        </pic:spPr>
                      </pic:pic>
                    </a:graphicData>
                  </a:graphic>
                </wp:inline>
              </w:drawing>
            </w:r>
          </w:p>
          <w:p w14:paraId="1F233741">
            <w:pPr>
              <w:pStyle w:val="30"/>
              <w:bidi w:val="0"/>
              <w:rPr>
                <w:rFonts w:hint="eastAsia"/>
                <w:color w:val="auto"/>
                <w:lang w:val="en-US" w:eastAsia="zh-CN"/>
              </w:rPr>
            </w:pPr>
            <w:r>
              <w:rPr>
                <w:rFonts w:hint="eastAsia"/>
                <w:color w:val="auto"/>
                <w:lang w:val="en-US" w:eastAsia="zh-CN"/>
              </w:rPr>
              <w:t>图3-5 项目与周边四邻关系示意图</w:t>
            </w:r>
          </w:p>
          <w:p w14:paraId="59A0C1F5">
            <w:pPr>
              <w:ind w:firstLine="480"/>
              <w:rPr>
                <w:rFonts w:hint="eastAsia"/>
                <w:color w:val="auto"/>
                <w:lang w:eastAsia="zh-CN"/>
              </w:rPr>
            </w:pPr>
            <w:r>
              <w:rPr>
                <w:rFonts w:hint="eastAsia"/>
                <w:color w:val="auto"/>
                <w:lang w:eastAsia="zh-CN"/>
              </w:rPr>
              <w:t>（</w:t>
            </w:r>
            <w:r>
              <w:rPr>
                <w:rFonts w:hint="eastAsia"/>
                <w:color w:val="auto"/>
                <w:lang w:val="en-US" w:eastAsia="zh-CN"/>
              </w:rPr>
              <w:t>3</w:t>
            </w:r>
            <w:r>
              <w:rPr>
                <w:rFonts w:hint="eastAsia"/>
                <w:color w:val="auto"/>
                <w:lang w:eastAsia="zh-CN"/>
              </w:rPr>
              <w:t>）上部楼层建筑设计功能及使用情况</w:t>
            </w:r>
          </w:p>
          <w:p w14:paraId="330347E3">
            <w:pPr>
              <w:ind w:firstLine="480"/>
              <w:rPr>
                <w:rFonts w:hint="eastAsia"/>
                <w:color w:val="auto"/>
                <w:lang w:eastAsia="zh-CN"/>
              </w:rPr>
            </w:pPr>
            <w:r>
              <w:rPr>
                <w:rFonts w:hint="eastAsia"/>
                <w:color w:val="auto"/>
                <w:lang w:eastAsia="zh-CN"/>
              </w:rPr>
              <w:t>本项目所在建筑为多层食品加工厂房，本项目占用该建筑底层，建筑上部楼层为糕点生产加工区，设计功能即为食品生产车间，目前已正常投入使用，日常约有</w:t>
            </w:r>
            <w:r>
              <w:rPr>
                <w:rFonts w:hint="eastAsia"/>
                <w:color w:val="auto"/>
                <w:lang w:val="en-US" w:eastAsia="zh-CN"/>
              </w:rPr>
              <w:t>1</w:t>
            </w:r>
            <w:r>
              <w:rPr>
                <w:rFonts w:hint="eastAsia"/>
                <w:color w:val="auto"/>
                <w:lang w:eastAsia="zh-CN"/>
              </w:rPr>
              <w:t>0~</w:t>
            </w:r>
            <w:r>
              <w:rPr>
                <w:rFonts w:hint="eastAsia"/>
                <w:color w:val="auto"/>
                <w:lang w:val="en-US" w:eastAsia="zh-CN"/>
              </w:rPr>
              <w:t>2</w:t>
            </w:r>
            <w:r>
              <w:rPr>
                <w:rFonts w:hint="eastAsia"/>
                <w:color w:val="auto"/>
                <w:lang w:eastAsia="zh-CN"/>
              </w:rPr>
              <w:t>0名员工在楼层内从事糕点生产、包装作业，属于长期有人停留的生产作业区域。</w:t>
            </w:r>
          </w:p>
          <w:p w14:paraId="2099EEB3">
            <w:pPr>
              <w:ind w:firstLine="480"/>
              <w:rPr>
                <w:rFonts w:hint="default" w:eastAsia="宋体"/>
                <w:color w:val="auto"/>
                <w:lang w:val="en-US" w:eastAsia="zh-CN"/>
              </w:rPr>
            </w:pPr>
            <w:r>
              <w:rPr>
                <w:rFonts w:hint="eastAsia"/>
                <w:color w:val="auto"/>
                <w:lang w:eastAsia="zh-CN"/>
              </w:rPr>
              <w:t>啤酒生产与糕点生产同属食品加工行业，本项目生产过程严格遵守食品生产卫生规范，所有设备、容器、车间地面定期按照食品级要求开展清洁消毒，采用CIP在位清洗系统对管道、罐体进行清洗灭菌，定期对车间空气进行消毒，</w:t>
            </w:r>
            <w:r>
              <w:rPr>
                <w:rFonts w:hint="eastAsia"/>
                <w:color w:val="auto"/>
                <w:lang w:val="en-US" w:eastAsia="zh-CN"/>
              </w:rPr>
              <w:t>废气、噪声和废水均能达标排放，本项目通过落实各项污染防治与卫生管控措施，污染物排放均能满足相关标准要求，对上部糕点生产区域的环境影响可接受，不会干扰糕点生产的正常开展。</w:t>
            </w:r>
          </w:p>
        </w:tc>
      </w:tr>
      <w:tr w14:paraId="200A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558" w:type="dxa"/>
            <w:vAlign w:val="center"/>
          </w:tcPr>
          <w:p w14:paraId="758D72FC">
            <w:pPr>
              <w:ind w:firstLine="0" w:firstLineChars="0"/>
              <w:jc w:val="center"/>
              <w:rPr>
                <w:color w:val="auto"/>
              </w:rPr>
            </w:pPr>
            <w:r>
              <w:rPr>
                <w:rFonts w:hint="eastAsia"/>
                <w:color w:val="auto"/>
              </w:rPr>
              <w:t>污染物排放控制标准</w:t>
            </w:r>
          </w:p>
        </w:tc>
        <w:tc>
          <w:tcPr>
            <w:tcW w:w="7964" w:type="dxa"/>
          </w:tcPr>
          <w:p w14:paraId="14CF82F1">
            <w:pPr>
              <w:ind w:left="0" w:leftChars="0" w:firstLine="0" w:firstLineChars="0"/>
              <w:rPr>
                <w:rFonts w:hint="eastAsia" w:eastAsia="宋体"/>
                <w:b/>
                <w:bCs/>
                <w:color w:val="auto"/>
                <w:lang w:eastAsia="zh-CN"/>
              </w:rPr>
            </w:pPr>
            <w:r>
              <w:rPr>
                <w:rFonts w:hint="eastAsia"/>
                <w:b/>
                <w:bCs/>
                <w:color w:val="auto"/>
                <w:lang w:val="en-US" w:eastAsia="zh-CN"/>
              </w:rPr>
              <w:t>7</w:t>
            </w:r>
            <w:r>
              <w:rPr>
                <w:rFonts w:hint="eastAsia"/>
                <w:b/>
                <w:bCs/>
                <w:color w:val="auto"/>
              </w:rPr>
              <w:t>、</w:t>
            </w:r>
            <w:r>
              <w:rPr>
                <w:rFonts w:hint="eastAsia"/>
                <w:b/>
                <w:bCs/>
                <w:color w:val="auto"/>
                <w:lang w:eastAsia="zh-CN"/>
              </w:rPr>
              <w:t>污染物排放标准</w:t>
            </w:r>
          </w:p>
          <w:p w14:paraId="76E02B01">
            <w:pPr>
              <w:bidi w:val="0"/>
              <w:rPr>
                <w:rFonts w:hint="eastAsia" w:eastAsia="宋体"/>
                <w:b/>
                <w:bCs/>
                <w:color w:val="auto"/>
                <w:lang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）废气</w:t>
            </w:r>
          </w:p>
          <w:p w14:paraId="40082D42">
            <w:pPr>
              <w:ind w:firstLine="480"/>
              <w:rPr>
                <w:rFonts w:hint="eastAsia" w:eastAsia="宋体"/>
                <w:b/>
                <w:bCs/>
                <w:color w:val="auto"/>
                <w:lang w:val="en-US" w:eastAsia="zh-CN"/>
              </w:rPr>
            </w:pPr>
            <w:r>
              <w:rPr>
                <w:rFonts w:hint="eastAsia"/>
                <w:b/>
                <w:bCs/>
                <w:color w:val="auto"/>
                <w:lang w:val="en-US" w:eastAsia="zh-CN"/>
              </w:rPr>
              <w:t>1）施工期</w:t>
            </w:r>
          </w:p>
          <w:p w14:paraId="686586D7">
            <w:pPr>
              <w:ind w:firstLine="480"/>
              <w:rPr>
                <w:color w:val="auto"/>
              </w:rPr>
            </w:pPr>
            <w:r>
              <w:rPr>
                <w:rFonts w:hint="eastAsia"/>
                <w:color w:val="auto"/>
                <w:lang w:eastAsia="zh-CN"/>
              </w:rPr>
              <w:t>施工期扬尘</w:t>
            </w:r>
            <w:r>
              <w:rPr>
                <w:rFonts w:hint="eastAsia"/>
                <w:color w:val="auto"/>
              </w:rPr>
              <w:t>执行《大气污染物综合排放标准》（GB16297-1996）表2中的二级排放标准中无组织排放监控浓度限值要求详见表3-</w:t>
            </w:r>
            <w:r>
              <w:rPr>
                <w:rFonts w:hint="eastAsia"/>
                <w:color w:val="auto"/>
                <w:lang w:val="en-US" w:eastAsia="zh-CN"/>
              </w:rPr>
              <w:t>12</w:t>
            </w:r>
            <w:r>
              <w:rPr>
                <w:rFonts w:hint="eastAsia"/>
                <w:color w:val="auto"/>
              </w:rPr>
              <w:t>。</w:t>
            </w:r>
          </w:p>
          <w:p w14:paraId="65D434F3">
            <w:pPr>
              <w:pStyle w:val="30"/>
              <w:rPr>
                <w:rFonts w:hint="default"/>
                <w:color w:val="auto"/>
              </w:rPr>
            </w:pPr>
            <w:r>
              <w:rPr>
                <w:color w:val="auto"/>
              </w:rPr>
              <w:t>表3-</w:t>
            </w:r>
            <w:r>
              <w:rPr>
                <w:rFonts w:hint="eastAsia"/>
                <w:color w:val="auto"/>
                <w:lang w:val="en-US" w:eastAsia="zh-CN"/>
              </w:rPr>
              <w:t>12</w:t>
            </w:r>
            <w:r>
              <w:rPr>
                <w:color w:val="auto"/>
              </w:rPr>
              <w:t xml:space="preserve"> 大气污染物综合排放标准 单位mg/m</w:t>
            </w:r>
            <w:r>
              <w:rPr>
                <w:color w:val="auto"/>
                <w:vertAlign w:val="superscript"/>
              </w:rPr>
              <w:t>3</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5"/>
              <w:gridCol w:w="2585"/>
              <w:gridCol w:w="2587"/>
            </w:tblGrid>
            <w:tr w14:paraId="650C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114BB676">
                  <w:pPr>
                    <w:pStyle w:val="29"/>
                    <w:rPr>
                      <w:rFonts w:hint="default"/>
                      <w:color w:val="auto"/>
                    </w:rPr>
                  </w:pPr>
                  <w:r>
                    <w:rPr>
                      <w:color w:val="auto"/>
                    </w:rPr>
                    <w:t>污染物</w:t>
                  </w:r>
                </w:p>
              </w:tc>
              <w:tc>
                <w:tcPr>
                  <w:tcW w:w="1666" w:type="pct"/>
                </w:tcPr>
                <w:p w14:paraId="5A584E0C">
                  <w:pPr>
                    <w:pStyle w:val="29"/>
                    <w:rPr>
                      <w:rFonts w:hint="default"/>
                      <w:color w:val="auto"/>
                    </w:rPr>
                  </w:pPr>
                  <w:r>
                    <w:rPr>
                      <w:color w:val="auto"/>
                    </w:rPr>
                    <w:t>监控点</w:t>
                  </w:r>
                </w:p>
              </w:tc>
              <w:tc>
                <w:tcPr>
                  <w:tcW w:w="1667" w:type="pct"/>
                </w:tcPr>
                <w:p w14:paraId="4CACE2BB">
                  <w:pPr>
                    <w:pStyle w:val="29"/>
                    <w:rPr>
                      <w:rFonts w:hint="default"/>
                      <w:color w:val="auto"/>
                    </w:rPr>
                  </w:pPr>
                  <w:r>
                    <w:rPr>
                      <w:color w:val="auto"/>
                    </w:rPr>
                    <w:t>浓度</w:t>
                  </w:r>
                </w:p>
              </w:tc>
            </w:tr>
            <w:tr w14:paraId="61C3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14:paraId="7D29D35D">
                  <w:pPr>
                    <w:pStyle w:val="29"/>
                    <w:rPr>
                      <w:rFonts w:hint="default"/>
                      <w:color w:val="auto"/>
                    </w:rPr>
                  </w:pPr>
                  <w:r>
                    <w:rPr>
                      <w:color w:val="auto"/>
                    </w:rPr>
                    <w:t>颗粒物</w:t>
                  </w:r>
                </w:p>
              </w:tc>
              <w:tc>
                <w:tcPr>
                  <w:tcW w:w="1666" w:type="pct"/>
                </w:tcPr>
                <w:p w14:paraId="2D4ED940">
                  <w:pPr>
                    <w:pStyle w:val="29"/>
                    <w:rPr>
                      <w:rFonts w:hint="default"/>
                      <w:color w:val="auto"/>
                    </w:rPr>
                  </w:pPr>
                  <w:r>
                    <w:rPr>
                      <w:color w:val="auto"/>
                    </w:rPr>
                    <w:t>周界外浓度最高点</w:t>
                  </w:r>
                </w:p>
              </w:tc>
              <w:tc>
                <w:tcPr>
                  <w:tcW w:w="1667" w:type="pct"/>
                </w:tcPr>
                <w:p w14:paraId="235AE469">
                  <w:pPr>
                    <w:pStyle w:val="29"/>
                    <w:rPr>
                      <w:rFonts w:hint="default"/>
                      <w:color w:val="auto"/>
                    </w:rPr>
                  </w:pPr>
                  <w:r>
                    <w:rPr>
                      <w:color w:val="auto"/>
                    </w:rPr>
                    <w:t>1.0</w:t>
                  </w:r>
                </w:p>
              </w:tc>
            </w:tr>
          </w:tbl>
          <w:p w14:paraId="2F7EDA15">
            <w:pPr>
              <w:ind w:firstLine="480"/>
              <w:rPr>
                <w:rFonts w:hint="eastAsia" w:eastAsia="宋体"/>
                <w:b/>
                <w:bCs/>
                <w:color w:val="auto"/>
                <w:lang w:val="en-US" w:eastAsia="zh-CN"/>
              </w:rPr>
            </w:pPr>
            <w:r>
              <w:rPr>
                <w:rFonts w:hint="eastAsia"/>
                <w:b/>
                <w:bCs/>
                <w:color w:val="auto"/>
                <w:lang w:val="en-US" w:eastAsia="zh-CN"/>
              </w:rPr>
              <w:t>2）运营期</w:t>
            </w:r>
          </w:p>
          <w:p w14:paraId="054F4DA7">
            <w:pPr>
              <w:ind w:firstLine="482"/>
              <w:rPr>
                <w:b/>
                <w:bCs/>
                <w:color w:val="auto"/>
              </w:rPr>
            </w:pPr>
            <w:r>
              <w:rPr>
                <w:rFonts w:hint="eastAsia"/>
                <w:color w:val="auto"/>
              </w:rPr>
              <w:t>项目营运期产生的废气主要有麦芽破碎时产生的少量颗粒物；</w:t>
            </w:r>
            <w:r>
              <w:rPr>
                <w:rFonts w:hint="eastAsia"/>
                <w:color w:val="auto"/>
                <w:lang w:val="en-US" w:eastAsia="zh-CN"/>
              </w:rPr>
              <w:t>锅炉</w:t>
            </w:r>
            <w:r>
              <w:rPr>
                <w:rFonts w:hint="eastAsia"/>
                <w:color w:val="auto"/>
              </w:rPr>
              <w:t>燃烧时产生的SO</w:t>
            </w:r>
            <w:r>
              <w:rPr>
                <w:rFonts w:hint="eastAsia"/>
                <w:color w:val="auto"/>
                <w:vertAlign w:val="subscript"/>
              </w:rPr>
              <w:t>2</w:t>
            </w:r>
            <w:r>
              <w:rPr>
                <w:rFonts w:hint="eastAsia"/>
                <w:color w:val="auto"/>
              </w:rPr>
              <w:t>、NO</w:t>
            </w:r>
            <w:r>
              <w:rPr>
                <w:rFonts w:hint="eastAsia"/>
                <w:color w:val="auto"/>
                <w:vertAlign w:val="subscript"/>
              </w:rPr>
              <w:t>x</w:t>
            </w:r>
            <w:r>
              <w:rPr>
                <w:rFonts w:hint="eastAsia"/>
                <w:color w:val="auto"/>
              </w:rPr>
              <w:t>及颗粒物；麦糟和废酵母等暂存转运时和</w:t>
            </w:r>
            <w:r>
              <w:rPr>
                <w:rFonts w:hint="eastAsia"/>
                <w:color w:val="auto"/>
                <w:lang w:val="en-US" w:eastAsia="zh-CN"/>
              </w:rPr>
              <w:t>一体化污水处理设施</w:t>
            </w:r>
            <w:r>
              <w:rPr>
                <w:rFonts w:hint="eastAsia"/>
                <w:color w:val="auto"/>
              </w:rPr>
              <w:t>运行时产生的NH</w:t>
            </w:r>
            <w:r>
              <w:rPr>
                <w:rFonts w:hint="eastAsia"/>
                <w:color w:val="auto"/>
                <w:vertAlign w:val="subscript"/>
              </w:rPr>
              <w:t>3</w:t>
            </w:r>
            <w:r>
              <w:rPr>
                <w:rFonts w:hint="eastAsia"/>
                <w:color w:val="auto"/>
              </w:rPr>
              <w:t>、H</w:t>
            </w:r>
            <w:r>
              <w:rPr>
                <w:rFonts w:hint="eastAsia"/>
                <w:color w:val="auto"/>
                <w:vertAlign w:val="subscript"/>
              </w:rPr>
              <w:t>2</w:t>
            </w:r>
            <w:r>
              <w:rPr>
                <w:rFonts w:hint="eastAsia"/>
                <w:color w:val="auto"/>
              </w:rPr>
              <w:t>S和臭气浓度；发酵及灌装等异味，主要成分为少量CO</w:t>
            </w:r>
            <w:r>
              <w:rPr>
                <w:rFonts w:hint="eastAsia"/>
                <w:color w:val="auto"/>
                <w:vertAlign w:val="subscript"/>
              </w:rPr>
              <w:t>2</w:t>
            </w:r>
            <w:r>
              <w:rPr>
                <w:rFonts w:hint="eastAsia"/>
                <w:color w:val="auto"/>
              </w:rPr>
              <w:t>及乙醇、甘油、杂醇油、琥珀酸及醋酸（以非甲烷总烃计）。</w:t>
            </w:r>
            <w:r>
              <w:rPr>
                <w:rFonts w:hint="eastAsia"/>
                <w:color w:val="auto"/>
                <w:lang w:val="en-US" w:eastAsia="zh-CN"/>
              </w:rPr>
              <w:t xml:space="preserve">     </w:t>
            </w:r>
          </w:p>
          <w:p w14:paraId="4B68A10A">
            <w:pPr>
              <w:ind w:firstLine="480"/>
              <w:rPr>
                <w:rFonts w:hint="eastAsia"/>
                <w:color w:val="auto"/>
              </w:rPr>
            </w:pPr>
            <w:r>
              <w:rPr>
                <w:rFonts w:hint="eastAsia"/>
                <w:color w:val="auto"/>
              </w:rPr>
              <w:fldChar w:fldCharType="begin"/>
            </w:r>
            <w:r>
              <w:rPr>
                <w:rFonts w:hint="eastAsia"/>
                <w:color w:val="auto"/>
              </w:rPr>
              <w:instrText xml:space="preserve"> = 1 \* GB3 \* MERGEFORMAT </w:instrText>
            </w:r>
            <w:r>
              <w:rPr>
                <w:rFonts w:hint="eastAsia"/>
                <w:color w:val="auto"/>
              </w:rPr>
              <w:fldChar w:fldCharType="separate"/>
            </w:r>
            <w:r>
              <w:rPr>
                <w:rFonts w:hint="eastAsia"/>
                <w:color w:val="auto"/>
              </w:rPr>
              <w:t>①</w:t>
            </w:r>
            <w:r>
              <w:rPr>
                <w:rFonts w:hint="eastAsia"/>
                <w:color w:val="auto"/>
              </w:rPr>
              <w:fldChar w:fldCharType="end"/>
            </w:r>
            <w:r>
              <w:rPr>
                <w:rFonts w:hint="eastAsia"/>
                <w:color w:val="auto"/>
              </w:rPr>
              <w:t>有组织废气</w:t>
            </w:r>
          </w:p>
          <w:p w14:paraId="4CA691D0">
            <w:pPr>
              <w:ind w:firstLine="480"/>
              <w:rPr>
                <w:color w:val="auto"/>
              </w:rPr>
            </w:pPr>
            <w:r>
              <w:rPr>
                <w:rFonts w:hint="eastAsia"/>
                <w:color w:val="auto"/>
              </w:rPr>
              <w:t>本项目有组织排放废气主要为</w:t>
            </w:r>
            <w:r>
              <w:rPr>
                <w:rFonts w:hint="eastAsia"/>
                <w:color w:val="auto"/>
                <w:lang w:val="en-US" w:eastAsia="zh-CN"/>
              </w:rPr>
              <w:t>锅炉</w:t>
            </w:r>
            <w:r>
              <w:rPr>
                <w:rFonts w:hint="eastAsia"/>
                <w:color w:val="auto"/>
              </w:rPr>
              <w:t>产生的废气</w:t>
            </w:r>
            <w:r>
              <w:rPr>
                <w:rFonts w:hint="eastAsia"/>
                <w:color w:val="auto"/>
                <w:lang w:val="en-US" w:eastAsia="zh-CN"/>
              </w:rPr>
              <w:t>和麦芽破碎粉尘</w:t>
            </w:r>
            <w:r>
              <w:rPr>
                <w:rFonts w:hint="eastAsia"/>
                <w:color w:val="auto"/>
              </w:rPr>
              <w:t>，</w:t>
            </w:r>
            <w:r>
              <w:rPr>
                <w:rFonts w:hint="eastAsia"/>
                <w:color w:val="auto"/>
                <w:lang w:val="en-US" w:eastAsia="zh-CN"/>
              </w:rPr>
              <w:t>锅炉</w:t>
            </w:r>
            <w:r>
              <w:rPr>
                <w:rFonts w:hint="eastAsia"/>
                <w:color w:val="auto"/>
              </w:rPr>
              <w:t>废气中</w:t>
            </w:r>
            <w:r>
              <w:rPr>
                <w:rFonts w:hint="eastAsia"/>
                <w:color w:val="auto"/>
                <w:lang w:val="en-US" w:eastAsia="zh-CN"/>
              </w:rPr>
              <w:t>颗粒物、</w:t>
            </w:r>
            <w:r>
              <w:rPr>
                <w:rFonts w:hint="eastAsia"/>
                <w:color w:val="auto"/>
              </w:rPr>
              <w:t>SO</w:t>
            </w:r>
            <w:r>
              <w:rPr>
                <w:rFonts w:hint="eastAsia"/>
                <w:color w:val="auto"/>
                <w:vertAlign w:val="subscript"/>
              </w:rPr>
              <w:t>2</w:t>
            </w:r>
            <w:r>
              <w:rPr>
                <w:rFonts w:hint="eastAsia"/>
                <w:color w:val="auto"/>
              </w:rPr>
              <w:t>、NO</w:t>
            </w:r>
            <w:r>
              <w:rPr>
                <w:rFonts w:hint="eastAsia"/>
                <w:color w:val="auto"/>
                <w:vertAlign w:val="subscript"/>
                <w:lang w:val="en-US" w:eastAsia="zh-CN"/>
              </w:rPr>
              <w:t>x</w:t>
            </w:r>
            <w:r>
              <w:rPr>
                <w:rFonts w:hint="eastAsia"/>
                <w:color w:val="auto"/>
              </w:rPr>
              <w:t>排放执行《锅炉大气污染物排放标准》（GB13271-2014）</w:t>
            </w:r>
            <w:r>
              <w:rPr>
                <w:rFonts w:hint="eastAsia"/>
                <w:color w:val="auto"/>
                <w:lang w:val="en-US" w:eastAsia="zh-CN"/>
              </w:rPr>
              <w:t>表2新建锅炉大气污染物排放标准中燃气锅炉浓度限值；麦芽破碎粉尘排放执行《大气污染物综合排放标准》（GB16297-1996）表2中二级标准限值</w:t>
            </w:r>
            <w:r>
              <w:rPr>
                <w:rFonts w:hint="eastAsia"/>
                <w:color w:val="auto"/>
              </w:rPr>
              <w:t>。</w:t>
            </w:r>
          </w:p>
          <w:p w14:paraId="25490BC8">
            <w:pPr>
              <w:pStyle w:val="30"/>
              <w:rPr>
                <w:rFonts w:hint="default"/>
                <w:color w:val="auto"/>
                <w:vertAlign w:val="superscript"/>
              </w:rPr>
            </w:pPr>
            <w:r>
              <w:rPr>
                <w:color w:val="auto"/>
              </w:rPr>
              <w:t>表3-</w:t>
            </w:r>
            <w:r>
              <w:rPr>
                <w:rFonts w:hint="eastAsia"/>
                <w:color w:val="auto"/>
                <w:lang w:val="en-US" w:eastAsia="zh-CN"/>
              </w:rPr>
              <w:t>13</w:t>
            </w:r>
            <w:r>
              <w:rPr>
                <w:color w:val="auto"/>
              </w:rPr>
              <w:t xml:space="preserve"> </w:t>
            </w:r>
            <w:r>
              <w:rPr>
                <w:rFonts w:hint="eastAsia"/>
                <w:color w:val="auto"/>
              </w:rPr>
              <w:t>锅炉大气污染物排放标准</w:t>
            </w:r>
            <w:r>
              <w:rPr>
                <w:color w:val="auto"/>
              </w:rPr>
              <w:t xml:space="preserve"> 单位：mg/m</w:t>
            </w:r>
            <w:r>
              <w:rPr>
                <w:color w:val="auto"/>
                <w:vertAlign w:val="superscript"/>
              </w:rPr>
              <w:t>3</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2567"/>
              <w:gridCol w:w="2409"/>
            </w:tblGrid>
            <w:tr w14:paraId="397E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792" w:type="pct"/>
                  <w:vMerge w:val="restart"/>
                  <w:vAlign w:val="center"/>
                </w:tcPr>
                <w:p w14:paraId="0ECEACEA">
                  <w:pPr>
                    <w:pStyle w:val="29"/>
                    <w:rPr>
                      <w:rFonts w:hint="default" w:eastAsia="宋体"/>
                      <w:color w:val="auto"/>
                      <w:lang w:val="en-US" w:eastAsia="zh-CN"/>
                    </w:rPr>
                  </w:pPr>
                  <w:r>
                    <w:rPr>
                      <w:rFonts w:hint="eastAsia"/>
                      <w:color w:val="auto"/>
                      <w:lang w:val="en-US" w:eastAsia="zh-CN"/>
                    </w:rPr>
                    <w:t>污染物项目</w:t>
                  </w:r>
                </w:p>
              </w:tc>
              <w:tc>
                <w:tcPr>
                  <w:tcW w:w="1654" w:type="pct"/>
                  <w:vAlign w:val="center"/>
                </w:tcPr>
                <w:p w14:paraId="31767A51">
                  <w:pPr>
                    <w:pStyle w:val="29"/>
                    <w:rPr>
                      <w:rFonts w:hint="default" w:eastAsia="宋体"/>
                      <w:color w:val="auto"/>
                      <w:lang w:val="en-US" w:eastAsia="zh-CN"/>
                    </w:rPr>
                  </w:pPr>
                  <w:r>
                    <w:rPr>
                      <w:rFonts w:hint="eastAsia"/>
                      <w:color w:val="auto"/>
                      <w:lang w:val="en-US" w:eastAsia="zh-CN"/>
                    </w:rPr>
                    <w:t>限值</w:t>
                  </w:r>
                </w:p>
              </w:tc>
              <w:tc>
                <w:tcPr>
                  <w:tcW w:w="1552" w:type="pct"/>
                  <w:vMerge w:val="restart"/>
                  <w:vAlign w:val="center"/>
                </w:tcPr>
                <w:p w14:paraId="6BC75C99">
                  <w:pPr>
                    <w:pStyle w:val="29"/>
                    <w:rPr>
                      <w:rFonts w:hint="default" w:eastAsia="宋体"/>
                      <w:color w:val="auto"/>
                      <w:lang w:val="en-US" w:eastAsia="zh-CN"/>
                    </w:rPr>
                  </w:pPr>
                  <w:r>
                    <w:rPr>
                      <w:rFonts w:hint="eastAsia"/>
                      <w:color w:val="auto"/>
                      <w:lang w:val="en-US" w:eastAsia="zh-CN"/>
                    </w:rPr>
                    <w:t>污染物排放监控位置</w:t>
                  </w:r>
                </w:p>
              </w:tc>
            </w:tr>
            <w:tr w14:paraId="3BE0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792" w:type="pct"/>
                  <w:vMerge w:val="continue"/>
                  <w:vAlign w:val="center"/>
                </w:tcPr>
                <w:p w14:paraId="69F0C814">
                  <w:pPr>
                    <w:pStyle w:val="29"/>
                    <w:rPr>
                      <w:color w:val="auto"/>
                    </w:rPr>
                  </w:pPr>
                </w:p>
              </w:tc>
              <w:tc>
                <w:tcPr>
                  <w:tcW w:w="1654" w:type="pct"/>
                  <w:vAlign w:val="center"/>
                </w:tcPr>
                <w:p w14:paraId="40844AD8">
                  <w:pPr>
                    <w:pStyle w:val="29"/>
                    <w:rPr>
                      <w:rFonts w:hint="default"/>
                      <w:color w:val="auto"/>
                      <w:lang w:val="en-US" w:eastAsia="zh-CN"/>
                    </w:rPr>
                  </w:pPr>
                  <w:r>
                    <w:rPr>
                      <w:rFonts w:hint="eastAsia"/>
                      <w:color w:val="auto"/>
                      <w:lang w:val="en-US" w:eastAsia="zh-CN"/>
                    </w:rPr>
                    <w:t>燃气锅炉</w:t>
                  </w:r>
                </w:p>
              </w:tc>
              <w:tc>
                <w:tcPr>
                  <w:tcW w:w="1552" w:type="pct"/>
                  <w:vMerge w:val="continue"/>
                  <w:vAlign w:val="center"/>
                </w:tcPr>
                <w:p w14:paraId="4724A193">
                  <w:pPr>
                    <w:pStyle w:val="29"/>
                    <w:rPr>
                      <w:rFonts w:hint="eastAsia"/>
                      <w:color w:val="auto"/>
                      <w:lang w:val="en-US" w:eastAsia="zh-CN"/>
                    </w:rPr>
                  </w:pPr>
                </w:p>
              </w:tc>
            </w:tr>
            <w:tr w14:paraId="61D8C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92" w:type="pct"/>
                  <w:vAlign w:val="center"/>
                </w:tcPr>
                <w:p w14:paraId="3D739EA2">
                  <w:pPr>
                    <w:pStyle w:val="29"/>
                    <w:rPr>
                      <w:rFonts w:hint="eastAsia" w:eastAsia="宋体"/>
                      <w:color w:val="auto"/>
                      <w:lang w:val="en-US" w:eastAsia="zh-CN"/>
                    </w:rPr>
                  </w:pPr>
                  <w:r>
                    <w:rPr>
                      <w:rFonts w:hint="eastAsia"/>
                      <w:color w:val="auto"/>
                      <w:lang w:val="en-US" w:eastAsia="zh-CN"/>
                    </w:rPr>
                    <w:t>颗粒物</w:t>
                  </w:r>
                </w:p>
              </w:tc>
              <w:tc>
                <w:tcPr>
                  <w:tcW w:w="1654" w:type="pct"/>
                  <w:vAlign w:val="center"/>
                </w:tcPr>
                <w:p w14:paraId="787E4C4B">
                  <w:pPr>
                    <w:pStyle w:val="29"/>
                    <w:rPr>
                      <w:rFonts w:hint="default"/>
                      <w:color w:val="auto"/>
                      <w:lang w:val="en-US" w:eastAsia="zh-CN"/>
                    </w:rPr>
                  </w:pPr>
                  <w:r>
                    <w:rPr>
                      <w:rFonts w:hint="eastAsia"/>
                      <w:color w:val="auto"/>
                      <w:lang w:val="en-US" w:eastAsia="zh-CN"/>
                    </w:rPr>
                    <w:t>30</w:t>
                  </w:r>
                </w:p>
              </w:tc>
              <w:tc>
                <w:tcPr>
                  <w:tcW w:w="1552" w:type="pct"/>
                  <w:vMerge w:val="continue"/>
                  <w:vAlign w:val="center"/>
                </w:tcPr>
                <w:p w14:paraId="2C4D52DC">
                  <w:pPr>
                    <w:pStyle w:val="29"/>
                    <w:bidi w:val="0"/>
                    <w:rPr>
                      <w:rFonts w:hint="eastAsia"/>
                      <w:color w:val="auto"/>
                      <w:lang w:val="en-US" w:eastAsia="zh-CN"/>
                    </w:rPr>
                  </w:pPr>
                </w:p>
              </w:tc>
            </w:tr>
            <w:tr w14:paraId="1664A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92" w:type="pct"/>
                  <w:vAlign w:val="center"/>
                </w:tcPr>
                <w:p w14:paraId="478119AB">
                  <w:pPr>
                    <w:pStyle w:val="29"/>
                    <w:rPr>
                      <w:rFonts w:hint="default"/>
                      <w:color w:val="auto"/>
                    </w:rPr>
                  </w:pPr>
                  <w:r>
                    <w:rPr>
                      <w:rFonts w:hint="default"/>
                      <w:color w:val="auto"/>
                    </w:rPr>
                    <w:t>SO</w:t>
                  </w:r>
                  <w:r>
                    <w:rPr>
                      <w:rFonts w:hint="default"/>
                      <w:color w:val="auto"/>
                      <w:vertAlign w:val="subscript"/>
                    </w:rPr>
                    <w:t>2</w:t>
                  </w:r>
                </w:p>
              </w:tc>
              <w:tc>
                <w:tcPr>
                  <w:tcW w:w="1654" w:type="pct"/>
                  <w:vAlign w:val="center"/>
                </w:tcPr>
                <w:p w14:paraId="09DCF920">
                  <w:pPr>
                    <w:pStyle w:val="29"/>
                    <w:rPr>
                      <w:rFonts w:hint="default" w:eastAsia="宋体"/>
                      <w:color w:val="auto"/>
                      <w:lang w:val="en-US" w:eastAsia="zh-CN"/>
                    </w:rPr>
                  </w:pPr>
                  <w:r>
                    <w:rPr>
                      <w:rFonts w:hint="eastAsia"/>
                      <w:color w:val="auto"/>
                      <w:lang w:val="en-US" w:eastAsia="zh-CN"/>
                    </w:rPr>
                    <w:t>50</w:t>
                  </w:r>
                </w:p>
              </w:tc>
              <w:tc>
                <w:tcPr>
                  <w:tcW w:w="1552" w:type="pct"/>
                  <w:vMerge w:val="continue"/>
                  <w:vAlign w:val="center"/>
                </w:tcPr>
                <w:p w14:paraId="1F80CBB2">
                  <w:pPr>
                    <w:pStyle w:val="29"/>
                    <w:bidi w:val="0"/>
                    <w:rPr>
                      <w:rFonts w:hint="eastAsia"/>
                      <w:color w:val="auto"/>
                      <w:lang w:val="en-US" w:eastAsia="zh-CN"/>
                    </w:rPr>
                  </w:pPr>
                </w:p>
              </w:tc>
            </w:tr>
            <w:tr w14:paraId="48E6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92" w:type="pct"/>
                  <w:vAlign w:val="center"/>
                </w:tcPr>
                <w:p w14:paraId="0C36A0DB">
                  <w:pPr>
                    <w:pStyle w:val="29"/>
                    <w:rPr>
                      <w:rFonts w:hint="default"/>
                      <w:color w:val="auto"/>
                    </w:rPr>
                  </w:pPr>
                  <w:r>
                    <w:rPr>
                      <w:rFonts w:hint="default"/>
                      <w:color w:val="auto"/>
                    </w:rPr>
                    <w:t>NO</w:t>
                  </w:r>
                  <w:r>
                    <w:rPr>
                      <w:rFonts w:hint="default"/>
                      <w:color w:val="auto"/>
                      <w:vertAlign w:val="subscript"/>
                      <w:lang w:val="en-US" w:eastAsia="zh-CN"/>
                    </w:rPr>
                    <w:t>x</w:t>
                  </w:r>
                </w:p>
              </w:tc>
              <w:tc>
                <w:tcPr>
                  <w:tcW w:w="1654" w:type="pct"/>
                  <w:vAlign w:val="center"/>
                </w:tcPr>
                <w:p w14:paraId="2ED2A8C3">
                  <w:pPr>
                    <w:pStyle w:val="29"/>
                    <w:rPr>
                      <w:rFonts w:hint="default" w:eastAsia="宋体"/>
                      <w:color w:val="auto"/>
                      <w:lang w:val="en-US" w:eastAsia="zh-CN"/>
                    </w:rPr>
                  </w:pPr>
                  <w:r>
                    <w:rPr>
                      <w:rFonts w:hint="eastAsia"/>
                      <w:color w:val="auto"/>
                      <w:lang w:val="en-US" w:eastAsia="zh-CN"/>
                    </w:rPr>
                    <w:t>200</w:t>
                  </w:r>
                </w:p>
              </w:tc>
              <w:tc>
                <w:tcPr>
                  <w:tcW w:w="1552" w:type="pct"/>
                  <w:vMerge w:val="continue"/>
                  <w:vAlign w:val="center"/>
                </w:tcPr>
                <w:p w14:paraId="40A95CC0">
                  <w:pPr>
                    <w:pStyle w:val="29"/>
                    <w:bidi w:val="0"/>
                    <w:rPr>
                      <w:rFonts w:hint="eastAsia"/>
                      <w:color w:val="auto"/>
                      <w:lang w:val="en-US" w:eastAsia="zh-CN"/>
                    </w:rPr>
                  </w:pPr>
                </w:p>
              </w:tc>
            </w:tr>
            <w:tr w14:paraId="10D3A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792" w:type="pct"/>
                  <w:vAlign w:val="center"/>
                </w:tcPr>
                <w:p w14:paraId="54B4FBC4">
                  <w:pPr>
                    <w:pStyle w:val="29"/>
                    <w:rPr>
                      <w:rFonts w:hint="default" w:eastAsia="宋体"/>
                      <w:color w:val="auto"/>
                      <w:lang w:val="en-US" w:eastAsia="zh-CN"/>
                    </w:rPr>
                  </w:pPr>
                  <w:r>
                    <w:rPr>
                      <w:rFonts w:hint="eastAsia"/>
                      <w:color w:val="auto"/>
                      <w:lang w:val="en-US" w:eastAsia="zh-CN"/>
                    </w:rPr>
                    <w:t>烟气黑度（格林曼黑度，级）</w:t>
                  </w:r>
                </w:p>
              </w:tc>
              <w:tc>
                <w:tcPr>
                  <w:tcW w:w="1654" w:type="pct"/>
                  <w:vAlign w:val="center"/>
                </w:tcPr>
                <w:p w14:paraId="3334C39F">
                  <w:pPr>
                    <w:pStyle w:val="29"/>
                    <w:rPr>
                      <w:rFonts w:hint="default" w:eastAsia="宋体"/>
                      <w:color w:val="auto"/>
                      <w:lang w:val="en-US" w:eastAsia="zh-CN"/>
                    </w:rPr>
                  </w:pPr>
                  <w:r>
                    <w:rPr>
                      <w:rFonts w:hint="eastAsia"/>
                      <w:color w:val="auto"/>
                      <w:lang w:val="en-US" w:eastAsia="zh-CN"/>
                    </w:rPr>
                    <w:t>≤1</w:t>
                  </w:r>
                </w:p>
              </w:tc>
              <w:tc>
                <w:tcPr>
                  <w:tcW w:w="1552" w:type="pct"/>
                  <w:vAlign w:val="center"/>
                </w:tcPr>
                <w:p w14:paraId="109D6353">
                  <w:pPr>
                    <w:pStyle w:val="29"/>
                    <w:bidi w:val="0"/>
                    <w:rPr>
                      <w:rFonts w:hint="default"/>
                      <w:color w:val="auto"/>
                      <w:lang w:val="en-US" w:eastAsia="zh-CN"/>
                    </w:rPr>
                  </w:pPr>
                  <w:r>
                    <w:rPr>
                      <w:rFonts w:hint="eastAsia"/>
                      <w:color w:val="auto"/>
                      <w:lang w:val="en-US" w:eastAsia="zh-CN"/>
                    </w:rPr>
                    <w:t>烟囱排放口</w:t>
                  </w:r>
                </w:p>
              </w:tc>
            </w:tr>
          </w:tbl>
          <w:p w14:paraId="4C72DA47">
            <w:pPr>
              <w:pStyle w:val="30"/>
              <w:bidi w:val="0"/>
              <w:rPr>
                <w:rFonts w:hint="eastAsia"/>
                <w:color w:val="auto"/>
              </w:rPr>
            </w:pPr>
            <w:r>
              <w:rPr>
                <w:rFonts w:hint="eastAsia"/>
                <w:color w:val="auto"/>
              </w:rPr>
              <w:t>表3-</w:t>
            </w:r>
            <w:r>
              <w:rPr>
                <w:rFonts w:hint="eastAsia"/>
                <w:color w:val="auto"/>
                <w:lang w:val="en-US" w:eastAsia="zh-CN"/>
              </w:rPr>
              <w:t xml:space="preserve">14 </w:t>
            </w:r>
            <w:r>
              <w:rPr>
                <w:color w:val="auto"/>
              </w:rPr>
              <w:t>《大气污染物综合排放标准》</w:t>
            </w:r>
            <w:r>
              <w:rPr>
                <w:rFonts w:hint="eastAsia"/>
                <w:color w:val="auto"/>
                <w:lang w:val="en-US" w:eastAsia="zh-CN"/>
              </w:rPr>
              <w:t xml:space="preserve"> </w:t>
            </w:r>
            <w:r>
              <w:rPr>
                <w:color w:val="auto"/>
              </w:rPr>
              <w:t>单位：mg/m</w:t>
            </w:r>
            <w:r>
              <w:rPr>
                <w:color w:val="auto"/>
                <w:vertAlign w:val="superscript"/>
              </w:rPr>
              <w:t>3</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6"/>
              <w:gridCol w:w="2469"/>
              <w:gridCol w:w="2460"/>
              <w:gridCol w:w="1423"/>
            </w:tblGrid>
            <w:tr w14:paraId="17D2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06" w:type="pct"/>
                  <w:vMerge w:val="restart"/>
                  <w:noWrap w:val="0"/>
                  <w:vAlign w:val="center"/>
                </w:tcPr>
                <w:p w14:paraId="6E5C67A9">
                  <w:pPr>
                    <w:pStyle w:val="29"/>
                    <w:bidi w:val="0"/>
                    <w:rPr>
                      <w:color w:val="auto"/>
                    </w:rPr>
                  </w:pPr>
                  <w:r>
                    <w:rPr>
                      <w:color w:val="auto"/>
                    </w:rPr>
                    <w:t>污染物</w:t>
                  </w:r>
                </w:p>
              </w:tc>
              <w:tc>
                <w:tcPr>
                  <w:tcW w:w="1591" w:type="pct"/>
                  <w:vMerge w:val="restart"/>
                  <w:noWrap w:val="0"/>
                  <w:vAlign w:val="center"/>
                </w:tcPr>
                <w:p w14:paraId="059EB564">
                  <w:pPr>
                    <w:pStyle w:val="29"/>
                    <w:bidi w:val="0"/>
                    <w:rPr>
                      <w:color w:val="auto"/>
                    </w:rPr>
                  </w:pPr>
                  <w:r>
                    <w:rPr>
                      <w:color w:val="auto"/>
                    </w:rPr>
                    <w:t>最高允许排放浓度</w:t>
                  </w:r>
                </w:p>
              </w:tc>
              <w:tc>
                <w:tcPr>
                  <w:tcW w:w="2502" w:type="pct"/>
                  <w:gridSpan w:val="2"/>
                  <w:tcBorders>
                    <w:bottom w:val="single" w:color="auto" w:sz="4" w:space="0"/>
                  </w:tcBorders>
                  <w:noWrap w:val="0"/>
                  <w:vAlign w:val="center"/>
                </w:tcPr>
                <w:p w14:paraId="4B9B6DFE">
                  <w:pPr>
                    <w:pStyle w:val="29"/>
                    <w:bidi w:val="0"/>
                    <w:rPr>
                      <w:color w:val="auto"/>
                    </w:rPr>
                  </w:pPr>
                  <w:r>
                    <w:rPr>
                      <w:rFonts w:hint="eastAsia"/>
                      <w:color w:val="auto"/>
                    </w:rPr>
                    <w:t>最高允许排放速率（kg/h）</w:t>
                  </w:r>
                </w:p>
              </w:tc>
            </w:tr>
            <w:tr w14:paraId="5F15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06" w:type="pct"/>
                  <w:vMerge w:val="continue"/>
                  <w:noWrap w:val="0"/>
                  <w:vAlign w:val="center"/>
                </w:tcPr>
                <w:p w14:paraId="536B368C">
                  <w:pPr>
                    <w:pStyle w:val="29"/>
                    <w:bidi w:val="0"/>
                    <w:rPr>
                      <w:color w:val="auto"/>
                    </w:rPr>
                  </w:pPr>
                </w:p>
              </w:tc>
              <w:tc>
                <w:tcPr>
                  <w:tcW w:w="1591" w:type="pct"/>
                  <w:vMerge w:val="continue"/>
                  <w:noWrap w:val="0"/>
                  <w:vAlign w:val="center"/>
                </w:tcPr>
                <w:p w14:paraId="32BA301D">
                  <w:pPr>
                    <w:pStyle w:val="29"/>
                    <w:bidi w:val="0"/>
                    <w:rPr>
                      <w:color w:val="auto"/>
                    </w:rPr>
                  </w:pPr>
                </w:p>
              </w:tc>
              <w:tc>
                <w:tcPr>
                  <w:tcW w:w="1585" w:type="pct"/>
                  <w:tcBorders>
                    <w:top w:val="single" w:color="auto" w:sz="4" w:space="0"/>
                    <w:right w:val="single" w:color="auto" w:sz="4" w:space="0"/>
                  </w:tcBorders>
                  <w:noWrap w:val="0"/>
                  <w:vAlign w:val="center"/>
                </w:tcPr>
                <w:p w14:paraId="03952382">
                  <w:pPr>
                    <w:pStyle w:val="29"/>
                    <w:bidi w:val="0"/>
                    <w:rPr>
                      <w:color w:val="auto"/>
                    </w:rPr>
                  </w:pPr>
                  <w:r>
                    <w:rPr>
                      <w:rFonts w:hint="eastAsia"/>
                      <w:color w:val="auto"/>
                    </w:rPr>
                    <w:t>排气筒高度（m）</w:t>
                  </w:r>
                </w:p>
              </w:tc>
              <w:tc>
                <w:tcPr>
                  <w:tcW w:w="917" w:type="pct"/>
                  <w:tcBorders>
                    <w:top w:val="single" w:color="auto" w:sz="4" w:space="0"/>
                    <w:left w:val="single" w:color="auto" w:sz="4" w:space="0"/>
                  </w:tcBorders>
                  <w:noWrap w:val="0"/>
                  <w:vAlign w:val="center"/>
                </w:tcPr>
                <w:p w14:paraId="74BE43B5">
                  <w:pPr>
                    <w:pStyle w:val="29"/>
                    <w:bidi w:val="0"/>
                    <w:rPr>
                      <w:color w:val="auto"/>
                    </w:rPr>
                  </w:pPr>
                  <w:r>
                    <w:rPr>
                      <w:rFonts w:hint="eastAsia"/>
                      <w:color w:val="auto"/>
                    </w:rPr>
                    <w:t>二级</w:t>
                  </w:r>
                </w:p>
              </w:tc>
            </w:tr>
            <w:tr w14:paraId="35DF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906" w:type="pct"/>
                  <w:noWrap w:val="0"/>
                  <w:vAlign w:val="center"/>
                </w:tcPr>
                <w:p w14:paraId="61778255">
                  <w:pPr>
                    <w:pStyle w:val="29"/>
                    <w:bidi w:val="0"/>
                    <w:rPr>
                      <w:color w:val="auto"/>
                    </w:rPr>
                  </w:pPr>
                  <w:r>
                    <w:rPr>
                      <w:color w:val="auto"/>
                    </w:rPr>
                    <w:t>颗粒物</w:t>
                  </w:r>
                </w:p>
              </w:tc>
              <w:tc>
                <w:tcPr>
                  <w:tcW w:w="1591" w:type="pct"/>
                  <w:noWrap w:val="0"/>
                  <w:vAlign w:val="center"/>
                </w:tcPr>
                <w:p w14:paraId="0612F051">
                  <w:pPr>
                    <w:pStyle w:val="29"/>
                    <w:bidi w:val="0"/>
                    <w:rPr>
                      <w:color w:val="auto"/>
                    </w:rPr>
                  </w:pPr>
                  <w:r>
                    <w:rPr>
                      <w:rFonts w:hint="eastAsia"/>
                      <w:color w:val="auto"/>
                    </w:rPr>
                    <w:t>1</w:t>
                  </w:r>
                  <w:r>
                    <w:rPr>
                      <w:color w:val="auto"/>
                    </w:rPr>
                    <w:t>20</w:t>
                  </w:r>
                </w:p>
              </w:tc>
              <w:tc>
                <w:tcPr>
                  <w:tcW w:w="1585" w:type="pct"/>
                  <w:tcBorders>
                    <w:right w:val="single" w:color="auto" w:sz="4" w:space="0"/>
                  </w:tcBorders>
                  <w:noWrap w:val="0"/>
                  <w:vAlign w:val="center"/>
                </w:tcPr>
                <w:p w14:paraId="3EBE5AF9">
                  <w:pPr>
                    <w:pStyle w:val="29"/>
                    <w:bidi w:val="0"/>
                    <w:rPr>
                      <w:rFonts w:hint="default" w:eastAsia="宋体"/>
                      <w:color w:val="auto"/>
                      <w:lang w:val="en-US" w:eastAsia="zh-CN"/>
                    </w:rPr>
                  </w:pPr>
                  <w:r>
                    <w:rPr>
                      <w:rFonts w:hint="eastAsia"/>
                      <w:color w:val="auto"/>
                      <w:lang w:val="en-US" w:eastAsia="zh-CN"/>
                    </w:rPr>
                    <w:t>20</w:t>
                  </w:r>
                </w:p>
              </w:tc>
              <w:tc>
                <w:tcPr>
                  <w:tcW w:w="917" w:type="pct"/>
                  <w:tcBorders>
                    <w:left w:val="single" w:color="auto" w:sz="4" w:space="0"/>
                  </w:tcBorders>
                  <w:noWrap w:val="0"/>
                  <w:vAlign w:val="center"/>
                </w:tcPr>
                <w:p w14:paraId="0FB4C82A">
                  <w:pPr>
                    <w:pStyle w:val="29"/>
                    <w:bidi w:val="0"/>
                    <w:rPr>
                      <w:rFonts w:hint="default"/>
                      <w:color w:val="auto"/>
                      <w:lang w:val="en-US" w:eastAsia="zh-CN"/>
                    </w:rPr>
                  </w:pPr>
                  <w:r>
                    <w:rPr>
                      <w:rFonts w:hint="eastAsia"/>
                      <w:color w:val="auto"/>
                      <w:lang w:val="en-US" w:eastAsia="zh-CN"/>
                    </w:rPr>
                    <w:t>5.9</w:t>
                  </w:r>
                </w:p>
              </w:tc>
            </w:tr>
          </w:tbl>
          <w:p w14:paraId="13EFECDD">
            <w:pPr>
              <w:keepNext w:val="0"/>
              <w:keepLines w:val="0"/>
              <w:widowControl/>
              <w:suppressLineNumbers w:val="0"/>
              <w:jc w:val="left"/>
              <w:rPr>
                <w:rFonts w:hint="eastAsia"/>
                <w:b/>
                <w:bCs/>
                <w:color w:val="auto"/>
                <w:lang w:eastAsia="zh-CN"/>
              </w:rPr>
            </w:pPr>
            <w:r>
              <w:rPr>
                <w:b/>
                <w:bCs/>
                <w:color w:val="auto"/>
              </w:rPr>
              <w:fldChar w:fldCharType="begin"/>
            </w:r>
            <w:r>
              <w:rPr>
                <w:b/>
                <w:bCs/>
                <w:color w:val="auto"/>
              </w:rPr>
              <w:instrText xml:space="preserve"> = 2 \* GB3 \* MERGEFORMAT </w:instrText>
            </w:r>
            <w:r>
              <w:rPr>
                <w:b/>
                <w:bCs/>
                <w:color w:val="auto"/>
              </w:rPr>
              <w:fldChar w:fldCharType="separate"/>
            </w:r>
            <w:r>
              <w:rPr>
                <w:b/>
                <w:bCs/>
                <w:color w:val="auto"/>
              </w:rPr>
              <w:t>②</w:t>
            </w:r>
            <w:r>
              <w:rPr>
                <w:b/>
                <w:bCs/>
                <w:color w:val="auto"/>
              </w:rPr>
              <w:fldChar w:fldCharType="end"/>
            </w:r>
            <w:r>
              <w:rPr>
                <w:rFonts w:hint="eastAsia"/>
                <w:b/>
                <w:bCs/>
                <w:color w:val="auto"/>
                <w:lang w:eastAsia="zh-CN"/>
              </w:rPr>
              <w:t>无组织废气</w:t>
            </w:r>
          </w:p>
          <w:p w14:paraId="0A74F088">
            <w:pPr>
              <w:pStyle w:val="43"/>
              <w:rPr>
                <w:rFonts w:hint="eastAsia"/>
                <w:color w:val="auto"/>
                <w:lang w:eastAsia="zh-CN"/>
              </w:rPr>
            </w:pPr>
            <w:r>
              <w:rPr>
                <w:rFonts w:hint="eastAsia"/>
                <w:color w:val="auto"/>
                <w:lang w:eastAsia="zh-CN"/>
              </w:rPr>
              <w:t>厂界无组织颗粒物、</w:t>
            </w:r>
            <w:r>
              <w:rPr>
                <w:rFonts w:hint="eastAsia"/>
                <w:color w:val="auto"/>
                <w:lang w:val="en-US" w:eastAsia="zh-CN"/>
              </w:rPr>
              <w:t>非甲烷总烃</w:t>
            </w:r>
            <w:r>
              <w:rPr>
                <w:rFonts w:hint="eastAsia"/>
                <w:color w:val="auto"/>
                <w:lang w:eastAsia="zh-CN"/>
              </w:rPr>
              <w:t>执行</w:t>
            </w:r>
            <w:r>
              <w:rPr>
                <w:rFonts w:hint="eastAsia"/>
                <w:color w:val="auto"/>
                <w:lang w:val="en-US" w:eastAsia="zh-CN"/>
              </w:rPr>
              <w:t>《大气污染物综合排放标准》（GB16297-1996）</w:t>
            </w:r>
            <w:r>
              <w:rPr>
                <w:rFonts w:hint="eastAsia"/>
                <w:color w:val="auto"/>
                <w:lang w:eastAsia="zh-CN"/>
              </w:rPr>
              <w:t>表</w:t>
            </w:r>
            <w:r>
              <w:rPr>
                <w:rFonts w:hint="eastAsia"/>
                <w:color w:val="auto"/>
                <w:lang w:val="en-US" w:eastAsia="zh-CN"/>
              </w:rPr>
              <w:t>2无组织排放监控浓度限值要求；厂区内无组织非甲烷总烃排放浓度执行《挥发性有机物无组织排放控制标准》（GB37822-2019）附录A中表A.1厂区内VOC</w:t>
            </w:r>
            <w:r>
              <w:rPr>
                <w:rFonts w:hint="eastAsia"/>
                <w:color w:val="auto"/>
                <w:vertAlign w:val="subscript"/>
                <w:lang w:val="en-US" w:eastAsia="zh-CN"/>
              </w:rPr>
              <w:t>S</w:t>
            </w:r>
            <w:r>
              <w:rPr>
                <w:rFonts w:hint="eastAsia"/>
                <w:color w:val="auto"/>
                <w:lang w:val="en-US" w:eastAsia="zh-CN"/>
              </w:rPr>
              <w:t>无组织排放限值；</w:t>
            </w:r>
            <w:r>
              <w:rPr>
                <w:rFonts w:hint="eastAsia"/>
                <w:color w:val="auto"/>
                <w:lang w:eastAsia="zh-CN"/>
              </w:rPr>
              <w:t>NH</w:t>
            </w:r>
            <w:r>
              <w:rPr>
                <w:rFonts w:hint="eastAsia"/>
                <w:color w:val="auto"/>
                <w:vertAlign w:val="subscript"/>
                <w:lang w:eastAsia="zh-CN"/>
              </w:rPr>
              <w:t>3</w:t>
            </w:r>
            <w:r>
              <w:rPr>
                <w:rFonts w:hint="eastAsia"/>
                <w:color w:val="auto"/>
                <w:lang w:eastAsia="zh-CN"/>
              </w:rPr>
              <w:t>、H</w:t>
            </w:r>
            <w:r>
              <w:rPr>
                <w:rFonts w:hint="eastAsia"/>
                <w:color w:val="auto"/>
                <w:vertAlign w:val="subscript"/>
                <w:lang w:eastAsia="zh-CN"/>
              </w:rPr>
              <w:t>2</w:t>
            </w:r>
            <w:r>
              <w:rPr>
                <w:rFonts w:hint="eastAsia"/>
                <w:color w:val="auto"/>
                <w:lang w:eastAsia="zh-CN"/>
              </w:rPr>
              <w:t>S和臭气浓度执行《恶臭污染物排放标准》（</w:t>
            </w:r>
            <w:r>
              <w:rPr>
                <w:rFonts w:hint="eastAsia"/>
                <w:color w:val="auto"/>
                <w:lang w:val="en-US" w:eastAsia="zh-CN"/>
              </w:rPr>
              <w:t>G</w:t>
            </w:r>
            <w:r>
              <w:rPr>
                <w:rFonts w:hint="eastAsia"/>
                <w:color w:val="auto"/>
                <w:lang w:eastAsia="zh-CN"/>
              </w:rPr>
              <w:t>B</w:t>
            </w:r>
            <w:r>
              <w:rPr>
                <w:rFonts w:hint="eastAsia"/>
                <w:color w:val="auto"/>
                <w:lang w:val="en-US" w:eastAsia="zh-CN"/>
              </w:rPr>
              <w:t>14554</w:t>
            </w:r>
            <w:r>
              <w:rPr>
                <w:rFonts w:hint="eastAsia"/>
                <w:color w:val="auto"/>
                <w:lang w:eastAsia="zh-CN"/>
              </w:rPr>
              <w:t>-</w:t>
            </w:r>
            <w:r>
              <w:rPr>
                <w:rFonts w:hint="eastAsia"/>
                <w:color w:val="auto"/>
                <w:lang w:val="en-US" w:eastAsia="zh-CN"/>
              </w:rPr>
              <w:t>93</w:t>
            </w:r>
            <w:r>
              <w:rPr>
                <w:rFonts w:hint="eastAsia"/>
                <w:color w:val="auto"/>
                <w:lang w:eastAsia="zh-CN"/>
              </w:rPr>
              <w:t>）表1</w:t>
            </w:r>
            <w:r>
              <w:rPr>
                <w:rFonts w:hint="eastAsia"/>
                <w:color w:val="auto"/>
                <w:lang w:val="en-US" w:eastAsia="zh-CN"/>
              </w:rPr>
              <w:t>二级新改扩建厂界</w:t>
            </w:r>
            <w:r>
              <w:rPr>
                <w:rFonts w:hint="eastAsia"/>
                <w:color w:val="auto"/>
                <w:lang w:eastAsia="zh-CN"/>
              </w:rPr>
              <w:t>限值要求，</w:t>
            </w:r>
            <w:r>
              <w:rPr>
                <w:rFonts w:hint="eastAsia"/>
                <w:color w:val="auto"/>
                <w:lang w:val="en-US" w:eastAsia="zh-CN"/>
              </w:rPr>
              <w:t>具体详见下表。</w:t>
            </w:r>
          </w:p>
          <w:p w14:paraId="70FB5FC6">
            <w:pPr>
              <w:pStyle w:val="30"/>
              <w:rPr>
                <w:rFonts w:hint="default"/>
                <w:color w:val="auto"/>
                <w:vertAlign w:val="superscript"/>
              </w:rPr>
            </w:pPr>
            <w:r>
              <w:rPr>
                <w:color w:val="auto"/>
              </w:rPr>
              <w:t>表3-</w:t>
            </w:r>
            <w:r>
              <w:rPr>
                <w:rFonts w:hint="eastAsia"/>
                <w:color w:val="auto"/>
                <w:lang w:val="en-US" w:eastAsia="zh-CN"/>
              </w:rPr>
              <w:t>15</w:t>
            </w:r>
            <w:r>
              <w:rPr>
                <w:color w:val="auto"/>
              </w:rPr>
              <w:t xml:space="preserve"> </w:t>
            </w:r>
            <w:r>
              <w:rPr>
                <w:rFonts w:hint="eastAsia"/>
                <w:color w:val="auto"/>
                <w:lang w:val="en-US" w:eastAsia="zh-CN"/>
              </w:rPr>
              <w:t>本项目无组织废气</w:t>
            </w:r>
            <w:r>
              <w:rPr>
                <w:color w:val="auto"/>
              </w:rPr>
              <w:t>污染物排放标准 单位：mg/m</w:t>
            </w:r>
            <w:r>
              <w:rPr>
                <w:color w:val="auto"/>
                <w:vertAlign w:val="superscript"/>
              </w:rPr>
              <w:t>3</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4"/>
              <w:gridCol w:w="1094"/>
              <w:gridCol w:w="1993"/>
              <w:gridCol w:w="1054"/>
              <w:gridCol w:w="2292"/>
            </w:tblGrid>
            <w:tr w14:paraId="582B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9" w:hRule="atLeast"/>
              </w:trPr>
              <w:tc>
                <w:tcPr>
                  <w:tcW w:w="853" w:type="pct"/>
                  <w:vAlign w:val="center"/>
                </w:tcPr>
                <w:p w14:paraId="77DE4302">
                  <w:pPr>
                    <w:pStyle w:val="29"/>
                    <w:rPr>
                      <w:rFonts w:hint="default" w:eastAsia="宋体"/>
                      <w:color w:val="auto"/>
                      <w:lang w:val="en-US" w:eastAsia="zh-CN"/>
                    </w:rPr>
                  </w:pPr>
                  <w:r>
                    <w:rPr>
                      <w:rFonts w:hint="eastAsia"/>
                      <w:color w:val="auto"/>
                      <w:lang w:val="en-US" w:eastAsia="zh-CN"/>
                    </w:rPr>
                    <w:t>污染物项目</w:t>
                  </w:r>
                </w:p>
              </w:tc>
              <w:tc>
                <w:tcPr>
                  <w:tcW w:w="705" w:type="pct"/>
                  <w:vAlign w:val="center"/>
                </w:tcPr>
                <w:p w14:paraId="4604F992">
                  <w:pPr>
                    <w:pStyle w:val="29"/>
                    <w:rPr>
                      <w:rFonts w:hint="default" w:eastAsia="宋体"/>
                      <w:color w:val="auto"/>
                      <w:lang w:val="en-US" w:eastAsia="zh-CN"/>
                    </w:rPr>
                  </w:pPr>
                  <w:r>
                    <w:rPr>
                      <w:rFonts w:hint="eastAsia"/>
                      <w:color w:val="auto"/>
                      <w:lang w:val="en-US" w:eastAsia="zh-CN"/>
                    </w:rPr>
                    <w:t>无组织排放监控浓度限值</w:t>
                  </w:r>
                </w:p>
              </w:tc>
              <w:tc>
                <w:tcPr>
                  <w:tcW w:w="1284" w:type="pct"/>
                  <w:vAlign w:val="center"/>
                </w:tcPr>
                <w:p w14:paraId="39749BCA">
                  <w:pPr>
                    <w:pStyle w:val="29"/>
                    <w:rPr>
                      <w:rFonts w:hint="eastAsia"/>
                      <w:color w:val="auto"/>
                      <w:lang w:val="en-US" w:eastAsia="zh-CN"/>
                    </w:rPr>
                  </w:pPr>
                  <w:r>
                    <w:rPr>
                      <w:rFonts w:hint="eastAsia"/>
                      <w:color w:val="auto"/>
                      <w:lang w:val="en-US" w:eastAsia="zh-CN"/>
                    </w:rPr>
                    <w:t>限值含义</w:t>
                  </w:r>
                </w:p>
              </w:tc>
              <w:tc>
                <w:tcPr>
                  <w:tcW w:w="679" w:type="pct"/>
                  <w:vAlign w:val="center"/>
                </w:tcPr>
                <w:p w14:paraId="331BA84A">
                  <w:pPr>
                    <w:pStyle w:val="29"/>
                    <w:rPr>
                      <w:rFonts w:hint="default" w:eastAsia="宋体"/>
                      <w:color w:val="auto"/>
                      <w:lang w:val="en-US" w:eastAsia="zh-CN"/>
                    </w:rPr>
                  </w:pPr>
                  <w:r>
                    <w:rPr>
                      <w:rFonts w:hint="eastAsia" w:eastAsia="宋体"/>
                      <w:color w:val="auto"/>
                      <w:lang w:val="en-US" w:eastAsia="zh-CN"/>
                    </w:rPr>
                    <w:t>无组织排放监控</w:t>
                  </w:r>
                  <w:r>
                    <w:rPr>
                      <w:rFonts w:hint="eastAsia"/>
                      <w:color w:val="auto"/>
                      <w:lang w:val="en-US" w:eastAsia="zh-CN"/>
                    </w:rPr>
                    <w:t>点</w:t>
                  </w:r>
                </w:p>
              </w:tc>
              <w:tc>
                <w:tcPr>
                  <w:tcW w:w="1477" w:type="pct"/>
                  <w:vAlign w:val="center"/>
                </w:tcPr>
                <w:p w14:paraId="479F93BE">
                  <w:pPr>
                    <w:pStyle w:val="29"/>
                    <w:rPr>
                      <w:rFonts w:hint="default" w:eastAsia="宋体"/>
                      <w:color w:val="auto"/>
                      <w:lang w:val="en-US" w:eastAsia="zh-CN"/>
                    </w:rPr>
                  </w:pPr>
                  <w:r>
                    <w:rPr>
                      <w:rFonts w:hint="eastAsia"/>
                      <w:color w:val="auto"/>
                      <w:lang w:val="en-US" w:eastAsia="zh-CN"/>
                    </w:rPr>
                    <w:t>标准来源</w:t>
                  </w:r>
                </w:p>
              </w:tc>
            </w:tr>
            <w:tr w14:paraId="5B73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Align w:val="center"/>
                </w:tcPr>
                <w:p w14:paraId="2696827C">
                  <w:pPr>
                    <w:pStyle w:val="29"/>
                    <w:rPr>
                      <w:rFonts w:hint="default" w:eastAsia="宋体"/>
                      <w:color w:val="auto"/>
                      <w:lang w:val="en-US" w:eastAsia="zh-CN"/>
                    </w:rPr>
                  </w:pPr>
                  <w:r>
                    <w:rPr>
                      <w:rFonts w:hint="eastAsia"/>
                      <w:color w:val="auto"/>
                      <w:lang w:val="en-US" w:eastAsia="zh-CN"/>
                    </w:rPr>
                    <w:t>颗粒物</w:t>
                  </w:r>
                </w:p>
              </w:tc>
              <w:tc>
                <w:tcPr>
                  <w:tcW w:w="705" w:type="pct"/>
                  <w:vAlign w:val="center"/>
                </w:tcPr>
                <w:p w14:paraId="5878F37F">
                  <w:pPr>
                    <w:pStyle w:val="29"/>
                    <w:rPr>
                      <w:rFonts w:hint="default" w:eastAsia="宋体"/>
                      <w:color w:val="auto"/>
                      <w:lang w:val="en-US" w:eastAsia="zh-CN"/>
                    </w:rPr>
                  </w:pPr>
                  <w:r>
                    <w:rPr>
                      <w:rFonts w:hint="eastAsia"/>
                      <w:color w:val="auto"/>
                      <w:lang w:val="en-US" w:eastAsia="zh-CN"/>
                    </w:rPr>
                    <w:t>1.0</w:t>
                  </w:r>
                </w:p>
              </w:tc>
              <w:tc>
                <w:tcPr>
                  <w:tcW w:w="1284" w:type="pct"/>
                  <w:vAlign w:val="center"/>
                </w:tcPr>
                <w:p w14:paraId="4B43C9D4">
                  <w:pPr>
                    <w:pStyle w:val="29"/>
                    <w:rPr>
                      <w:rFonts w:hint="default"/>
                      <w:color w:val="auto"/>
                      <w:lang w:val="en-US" w:eastAsia="zh-CN"/>
                    </w:rPr>
                  </w:pPr>
                  <w:r>
                    <w:rPr>
                      <w:rFonts w:hint="eastAsia"/>
                      <w:color w:val="auto"/>
                      <w:lang w:val="en-US" w:eastAsia="zh-CN"/>
                    </w:rPr>
                    <w:t>/</w:t>
                  </w:r>
                </w:p>
              </w:tc>
              <w:tc>
                <w:tcPr>
                  <w:tcW w:w="679" w:type="pct"/>
                  <w:vMerge w:val="restart"/>
                  <w:vAlign w:val="center"/>
                </w:tcPr>
                <w:p w14:paraId="31E5BFFB">
                  <w:pPr>
                    <w:pStyle w:val="29"/>
                    <w:bidi w:val="0"/>
                    <w:rPr>
                      <w:rFonts w:hint="default"/>
                      <w:color w:val="auto"/>
                      <w:lang w:val="en-US" w:eastAsia="zh-CN"/>
                    </w:rPr>
                  </w:pPr>
                  <w:r>
                    <w:rPr>
                      <w:rFonts w:hint="eastAsia"/>
                      <w:color w:val="auto"/>
                      <w:lang w:val="en-US" w:eastAsia="zh-CN"/>
                    </w:rPr>
                    <w:t>周界外浓度最高点</w:t>
                  </w:r>
                </w:p>
              </w:tc>
              <w:tc>
                <w:tcPr>
                  <w:tcW w:w="1477" w:type="pct"/>
                  <w:vMerge w:val="restart"/>
                  <w:vAlign w:val="center"/>
                </w:tcPr>
                <w:p w14:paraId="143256E9">
                  <w:pPr>
                    <w:pStyle w:val="29"/>
                    <w:bidi w:val="0"/>
                    <w:rPr>
                      <w:rFonts w:hint="default"/>
                      <w:color w:val="auto"/>
                      <w:lang w:val="en-US" w:eastAsia="zh-CN"/>
                    </w:rPr>
                  </w:pPr>
                  <w:r>
                    <w:rPr>
                      <w:rFonts w:hint="default"/>
                      <w:color w:val="auto"/>
                      <w:lang w:val="en-US" w:eastAsia="zh-CN"/>
                    </w:rPr>
                    <w:t>《大气污染物综合排放标准》（GB16297-1996）</w:t>
                  </w:r>
                </w:p>
              </w:tc>
            </w:tr>
            <w:tr w14:paraId="3629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Align w:val="center"/>
                </w:tcPr>
                <w:p w14:paraId="5B97A919">
                  <w:pPr>
                    <w:pStyle w:val="29"/>
                    <w:rPr>
                      <w:rFonts w:hint="default"/>
                      <w:color w:val="auto"/>
                      <w:lang w:val="en-US" w:eastAsia="zh-CN"/>
                    </w:rPr>
                  </w:pPr>
                  <w:r>
                    <w:rPr>
                      <w:rFonts w:hint="eastAsia"/>
                      <w:color w:val="auto"/>
                      <w:lang w:val="en-US" w:eastAsia="zh-CN"/>
                    </w:rPr>
                    <w:t>非甲烷总烃（NMHC）</w:t>
                  </w:r>
                </w:p>
              </w:tc>
              <w:tc>
                <w:tcPr>
                  <w:tcW w:w="705" w:type="pct"/>
                  <w:vAlign w:val="center"/>
                </w:tcPr>
                <w:p w14:paraId="50011FF7">
                  <w:pPr>
                    <w:pStyle w:val="29"/>
                    <w:rPr>
                      <w:rFonts w:hint="default" w:eastAsia="宋体"/>
                      <w:color w:val="auto"/>
                      <w:lang w:val="en-US" w:eastAsia="zh-CN"/>
                    </w:rPr>
                  </w:pPr>
                  <w:r>
                    <w:rPr>
                      <w:rFonts w:hint="eastAsia"/>
                      <w:color w:val="auto"/>
                      <w:lang w:val="en-US" w:eastAsia="zh-CN"/>
                    </w:rPr>
                    <w:t>4.0</w:t>
                  </w:r>
                </w:p>
              </w:tc>
              <w:tc>
                <w:tcPr>
                  <w:tcW w:w="1284" w:type="pct"/>
                  <w:vAlign w:val="center"/>
                </w:tcPr>
                <w:p w14:paraId="55CC9995">
                  <w:pPr>
                    <w:pStyle w:val="29"/>
                    <w:rPr>
                      <w:rFonts w:hint="default"/>
                      <w:color w:val="auto"/>
                      <w:lang w:val="en-US" w:eastAsia="zh-CN"/>
                    </w:rPr>
                  </w:pPr>
                  <w:r>
                    <w:rPr>
                      <w:rFonts w:hint="eastAsia"/>
                      <w:color w:val="auto"/>
                      <w:lang w:val="en-US" w:eastAsia="zh-CN"/>
                    </w:rPr>
                    <w:t>/</w:t>
                  </w:r>
                </w:p>
              </w:tc>
              <w:tc>
                <w:tcPr>
                  <w:tcW w:w="679" w:type="pct"/>
                  <w:vMerge w:val="continue"/>
                  <w:vAlign w:val="center"/>
                </w:tcPr>
                <w:p w14:paraId="2F5421C7">
                  <w:pPr>
                    <w:pStyle w:val="29"/>
                    <w:bidi w:val="0"/>
                    <w:rPr>
                      <w:rFonts w:hint="default"/>
                      <w:color w:val="auto"/>
                      <w:lang w:val="en-US" w:eastAsia="zh-CN"/>
                    </w:rPr>
                  </w:pPr>
                </w:p>
              </w:tc>
              <w:tc>
                <w:tcPr>
                  <w:tcW w:w="1477" w:type="pct"/>
                  <w:vMerge w:val="continue"/>
                  <w:vAlign w:val="center"/>
                </w:tcPr>
                <w:p w14:paraId="0CC0C8FB">
                  <w:pPr>
                    <w:pStyle w:val="29"/>
                    <w:bidi w:val="0"/>
                    <w:rPr>
                      <w:rFonts w:hint="default"/>
                      <w:color w:val="auto"/>
                      <w:lang w:val="en-US" w:eastAsia="zh-CN"/>
                    </w:rPr>
                  </w:pPr>
                </w:p>
              </w:tc>
            </w:tr>
            <w:tr w14:paraId="7C6DF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Align w:val="center"/>
                </w:tcPr>
                <w:p w14:paraId="7A393CD8">
                  <w:pPr>
                    <w:pStyle w:val="29"/>
                    <w:rPr>
                      <w:rFonts w:hint="eastAsia"/>
                      <w:color w:val="auto"/>
                      <w:lang w:val="en-US" w:eastAsia="zh-CN"/>
                    </w:rPr>
                  </w:pPr>
                  <w:r>
                    <w:rPr>
                      <w:rFonts w:hint="eastAsia"/>
                      <w:color w:val="auto"/>
                      <w:lang w:val="en-US" w:eastAsia="zh-CN"/>
                    </w:rPr>
                    <w:t>NH</w:t>
                  </w:r>
                  <w:r>
                    <w:rPr>
                      <w:rFonts w:hint="eastAsia"/>
                      <w:color w:val="auto"/>
                      <w:vertAlign w:val="subscript"/>
                      <w:lang w:val="en-US" w:eastAsia="zh-CN"/>
                    </w:rPr>
                    <w:t>3</w:t>
                  </w:r>
                </w:p>
              </w:tc>
              <w:tc>
                <w:tcPr>
                  <w:tcW w:w="705" w:type="pct"/>
                  <w:vAlign w:val="center"/>
                </w:tcPr>
                <w:p w14:paraId="2F5DC767">
                  <w:pPr>
                    <w:pStyle w:val="29"/>
                    <w:rPr>
                      <w:rFonts w:hint="default" w:eastAsia="宋体"/>
                      <w:color w:val="auto"/>
                      <w:lang w:val="en-US" w:eastAsia="zh-CN"/>
                    </w:rPr>
                  </w:pPr>
                  <w:r>
                    <w:rPr>
                      <w:rFonts w:hint="eastAsia"/>
                      <w:color w:val="auto"/>
                      <w:lang w:val="en-US" w:eastAsia="zh-CN"/>
                    </w:rPr>
                    <w:t>1.5</w:t>
                  </w:r>
                </w:p>
              </w:tc>
              <w:tc>
                <w:tcPr>
                  <w:tcW w:w="1284" w:type="pct"/>
                  <w:vAlign w:val="center"/>
                </w:tcPr>
                <w:p w14:paraId="6E9B3D01">
                  <w:pPr>
                    <w:pStyle w:val="29"/>
                    <w:rPr>
                      <w:rFonts w:hint="default"/>
                      <w:color w:val="auto"/>
                      <w:lang w:val="en-US" w:eastAsia="zh-CN"/>
                    </w:rPr>
                  </w:pPr>
                  <w:r>
                    <w:rPr>
                      <w:rFonts w:hint="eastAsia"/>
                      <w:color w:val="auto"/>
                      <w:lang w:val="en-US" w:eastAsia="zh-CN"/>
                    </w:rPr>
                    <w:t>/</w:t>
                  </w:r>
                </w:p>
              </w:tc>
              <w:tc>
                <w:tcPr>
                  <w:tcW w:w="679" w:type="pct"/>
                  <w:shd w:val="clear" w:color="auto" w:fill="auto"/>
                  <w:vAlign w:val="center"/>
                </w:tcPr>
                <w:p w14:paraId="6717B3B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w:t>
                  </w:r>
                </w:p>
              </w:tc>
              <w:tc>
                <w:tcPr>
                  <w:tcW w:w="1477" w:type="pct"/>
                  <w:vMerge w:val="restart"/>
                  <w:vAlign w:val="center"/>
                </w:tcPr>
                <w:p w14:paraId="295B96A0">
                  <w:pPr>
                    <w:pStyle w:val="29"/>
                    <w:bidi w:val="0"/>
                    <w:rPr>
                      <w:rFonts w:hint="default"/>
                      <w:color w:val="auto"/>
                      <w:lang w:val="en-US" w:eastAsia="zh-CN"/>
                    </w:rPr>
                  </w:pPr>
                  <w:r>
                    <w:rPr>
                      <w:rFonts w:hint="default"/>
                      <w:color w:val="auto"/>
                      <w:lang w:val="en-US" w:eastAsia="zh-CN"/>
                    </w:rPr>
                    <w:t>《恶臭污染物排放标准》（GB14554-93）</w:t>
                  </w:r>
                </w:p>
              </w:tc>
            </w:tr>
            <w:tr w14:paraId="5D9D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Align w:val="center"/>
                </w:tcPr>
                <w:p w14:paraId="11D3B6EC">
                  <w:pPr>
                    <w:pStyle w:val="29"/>
                    <w:rPr>
                      <w:rFonts w:hint="eastAsia"/>
                      <w:color w:val="auto"/>
                      <w:lang w:val="en-US" w:eastAsia="zh-CN"/>
                    </w:rPr>
                  </w:pPr>
                  <w:r>
                    <w:rPr>
                      <w:rFonts w:hint="eastAsia"/>
                      <w:color w:val="auto"/>
                      <w:lang w:val="en-US" w:eastAsia="zh-CN"/>
                    </w:rPr>
                    <w:t>H</w:t>
                  </w:r>
                  <w:r>
                    <w:rPr>
                      <w:rFonts w:hint="eastAsia"/>
                      <w:color w:val="auto"/>
                      <w:vertAlign w:val="subscript"/>
                      <w:lang w:val="en-US" w:eastAsia="zh-CN"/>
                    </w:rPr>
                    <w:t>2</w:t>
                  </w:r>
                  <w:r>
                    <w:rPr>
                      <w:rFonts w:hint="eastAsia"/>
                      <w:color w:val="auto"/>
                      <w:lang w:val="en-US" w:eastAsia="zh-CN"/>
                    </w:rPr>
                    <w:t>S</w:t>
                  </w:r>
                </w:p>
              </w:tc>
              <w:tc>
                <w:tcPr>
                  <w:tcW w:w="705" w:type="pct"/>
                  <w:vAlign w:val="center"/>
                </w:tcPr>
                <w:p w14:paraId="015C3D98">
                  <w:pPr>
                    <w:pStyle w:val="29"/>
                    <w:rPr>
                      <w:rFonts w:hint="default" w:eastAsia="宋体"/>
                      <w:color w:val="auto"/>
                      <w:lang w:val="en-US" w:eastAsia="zh-CN"/>
                    </w:rPr>
                  </w:pPr>
                  <w:r>
                    <w:rPr>
                      <w:rFonts w:hint="eastAsia"/>
                      <w:color w:val="auto"/>
                      <w:lang w:val="en-US" w:eastAsia="zh-CN"/>
                    </w:rPr>
                    <w:t>0.06</w:t>
                  </w:r>
                </w:p>
              </w:tc>
              <w:tc>
                <w:tcPr>
                  <w:tcW w:w="1284" w:type="pct"/>
                  <w:vAlign w:val="center"/>
                </w:tcPr>
                <w:p w14:paraId="5F728422">
                  <w:pPr>
                    <w:pStyle w:val="29"/>
                    <w:rPr>
                      <w:rFonts w:hint="default"/>
                      <w:color w:val="auto"/>
                      <w:lang w:val="en-US" w:eastAsia="zh-CN"/>
                    </w:rPr>
                  </w:pPr>
                  <w:r>
                    <w:rPr>
                      <w:rFonts w:hint="eastAsia"/>
                      <w:color w:val="auto"/>
                      <w:lang w:val="en-US" w:eastAsia="zh-CN"/>
                    </w:rPr>
                    <w:t>/</w:t>
                  </w:r>
                </w:p>
              </w:tc>
              <w:tc>
                <w:tcPr>
                  <w:tcW w:w="679" w:type="pct"/>
                  <w:shd w:val="clear" w:color="auto" w:fill="auto"/>
                  <w:vAlign w:val="center"/>
                </w:tcPr>
                <w:p w14:paraId="6C440BB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w:t>
                  </w:r>
                </w:p>
              </w:tc>
              <w:tc>
                <w:tcPr>
                  <w:tcW w:w="1477" w:type="pct"/>
                  <w:vMerge w:val="continue"/>
                  <w:vAlign w:val="center"/>
                </w:tcPr>
                <w:p w14:paraId="092401EE">
                  <w:pPr>
                    <w:pStyle w:val="29"/>
                    <w:bidi w:val="0"/>
                    <w:rPr>
                      <w:rFonts w:hint="default"/>
                      <w:color w:val="auto"/>
                      <w:lang w:val="en-US" w:eastAsia="zh-CN"/>
                    </w:rPr>
                  </w:pPr>
                </w:p>
              </w:tc>
            </w:tr>
            <w:tr w14:paraId="3655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Align w:val="center"/>
                </w:tcPr>
                <w:p w14:paraId="3E43E9B5">
                  <w:pPr>
                    <w:pStyle w:val="29"/>
                    <w:rPr>
                      <w:rFonts w:hint="default"/>
                      <w:color w:val="auto"/>
                      <w:lang w:val="en-US" w:eastAsia="zh-CN"/>
                    </w:rPr>
                  </w:pPr>
                  <w:r>
                    <w:rPr>
                      <w:rFonts w:hint="eastAsia"/>
                      <w:color w:val="auto"/>
                      <w:lang w:val="en-US" w:eastAsia="zh-CN"/>
                    </w:rPr>
                    <w:t>臭气浓度</w:t>
                  </w:r>
                </w:p>
              </w:tc>
              <w:tc>
                <w:tcPr>
                  <w:tcW w:w="705" w:type="pct"/>
                  <w:vAlign w:val="center"/>
                </w:tcPr>
                <w:p w14:paraId="53F137A8">
                  <w:pPr>
                    <w:pStyle w:val="29"/>
                    <w:rPr>
                      <w:rFonts w:hint="default" w:eastAsia="宋体"/>
                      <w:color w:val="auto"/>
                      <w:lang w:val="en-US" w:eastAsia="zh-CN"/>
                    </w:rPr>
                  </w:pPr>
                  <w:r>
                    <w:rPr>
                      <w:rFonts w:hint="eastAsia"/>
                      <w:color w:val="auto"/>
                      <w:lang w:val="en-US" w:eastAsia="zh-CN"/>
                    </w:rPr>
                    <w:t>20（无量纲）</w:t>
                  </w:r>
                </w:p>
              </w:tc>
              <w:tc>
                <w:tcPr>
                  <w:tcW w:w="1284" w:type="pct"/>
                  <w:vAlign w:val="center"/>
                </w:tcPr>
                <w:p w14:paraId="5D2FD46A">
                  <w:pPr>
                    <w:pStyle w:val="29"/>
                    <w:rPr>
                      <w:rFonts w:hint="default"/>
                      <w:color w:val="auto"/>
                      <w:lang w:val="en-US" w:eastAsia="zh-CN"/>
                    </w:rPr>
                  </w:pPr>
                  <w:r>
                    <w:rPr>
                      <w:rFonts w:hint="eastAsia"/>
                      <w:color w:val="auto"/>
                      <w:lang w:val="en-US" w:eastAsia="zh-CN"/>
                    </w:rPr>
                    <w:t>/</w:t>
                  </w:r>
                </w:p>
              </w:tc>
              <w:tc>
                <w:tcPr>
                  <w:tcW w:w="679" w:type="pct"/>
                  <w:shd w:val="clear" w:color="auto" w:fill="auto"/>
                  <w:vAlign w:val="center"/>
                </w:tcPr>
                <w:p w14:paraId="43044017">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厂界</w:t>
                  </w:r>
                </w:p>
              </w:tc>
              <w:tc>
                <w:tcPr>
                  <w:tcW w:w="1477" w:type="pct"/>
                  <w:vMerge w:val="continue"/>
                  <w:vAlign w:val="center"/>
                </w:tcPr>
                <w:p w14:paraId="0CD99713">
                  <w:pPr>
                    <w:pStyle w:val="29"/>
                    <w:bidi w:val="0"/>
                    <w:rPr>
                      <w:rFonts w:hint="default"/>
                      <w:color w:val="auto"/>
                      <w:lang w:val="en-US" w:eastAsia="zh-CN"/>
                    </w:rPr>
                  </w:pPr>
                </w:p>
              </w:tc>
            </w:tr>
            <w:tr w14:paraId="233B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Merge w:val="restart"/>
                  <w:shd w:val="clear" w:color="auto" w:fill="auto"/>
                  <w:vAlign w:val="center"/>
                </w:tcPr>
                <w:p w14:paraId="37CE66E2">
                  <w:pPr>
                    <w:pStyle w:val="29"/>
                    <w:rPr>
                      <w:rFonts w:hint="eastAsia"/>
                      <w:color w:val="auto"/>
                      <w:lang w:val="en-US" w:eastAsia="zh-CN"/>
                    </w:rPr>
                  </w:pPr>
                  <w:r>
                    <w:rPr>
                      <w:rFonts w:hint="eastAsia"/>
                      <w:color w:val="auto"/>
                      <w:lang w:val="en-US" w:eastAsia="zh-CN"/>
                    </w:rPr>
                    <w:t>非甲烷总烃（NMHC）</w:t>
                  </w:r>
                </w:p>
              </w:tc>
              <w:tc>
                <w:tcPr>
                  <w:tcW w:w="705" w:type="pct"/>
                  <w:shd w:val="clear" w:color="auto" w:fill="auto"/>
                  <w:vAlign w:val="center"/>
                </w:tcPr>
                <w:p w14:paraId="000C6EE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1284" w:type="pct"/>
                  <w:shd w:val="clear" w:color="auto" w:fill="auto"/>
                  <w:vAlign w:val="center"/>
                </w:tcPr>
                <w:p w14:paraId="113A3FEB">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监控点处1h平均浓度值</w:t>
                  </w:r>
                </w:p>
              </w:tc>
              <w:tc>
                <w:tcPr>
                  <w:tcW w:w="679" w:type="pct"/>
                  <w:vMerge w:val="restart"/>
                  <w:vAlign w:val="center"/>
                </w:tcPr>
                <w:p w14:paraId="4A987C6C">
                  <w:pPr>
                    <w:pStyle w:val="29"/>
                    <w:bidi w:val="0"/>
                    <w:rPr>
                      <w:rFonts w:hint="eastAsia"/>
                      <w:color w:val="auto"/>
                      <w:lang w:val="en-US" w:eastAsia="zh-CN"/>
                    </w:rPr>
                  </w:pPr>
                  <w:r>
                    <w:rPr>
                      <w:rFonts w:hint="eastAsia"/>
                      <w:color w:val="auto"/>
                      <w:lang w:val="en-US" w:eastAsia="zh-CN"/>
                    </w:rPr>
                    <w:t>在厂房外设置监控点</w:t>
                  </w:r>
                </w:p>
              </w:tc>
              <w:tc>
                <w:tcPr>
                  <w:tcW w:w="1477" w:type="pct"/>
                  <w:vMerge w:val="restart"/>
                  <w:vAlign w:val="center"/>
                </w:tcPr>
                <w:p w14:paraId="4EE7F93A">
                  <w:pPr>
                    <w:pStyle w:val="29"/>
                    <w:bidi w:val="0"/>
                    <w:rPr>
                      <w:rFonts w:hint="default"/>
                      <w:color w:val="auto"/>
                      <w:lang w:val="en-US" w:eastAsia="zh-CN"/>
                    </w:rPr>
                  </w:pPr>
                  <w:r>
                    <w:rPr>
                      <w:rFonts w:hint="default"/>
                      <w:color w:val="auto"/>
                      <w:lang w:val="en-US" w:eastAsia="zh-CN"/>
                    </w:rPr>
                    <w:t>《挥发性有机物无组织排放控制标准》（GB37822-2019）</w:t>
                  </w:r>
                </w:p>
              </w:tc>
            </w:tr>
            <w:tr w14:paraId="2FF8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53" w:type="pct"/>
                  <w:vMerge w:val="continue"/>
                  <w:vAlign w:val="center"/>
                </w:tcPr>
                <w:p w14:paraId="6448EE0C">
                  <w:pPr>
                    <w:pStyle w:val="29"/>
                    <w:rPr>
                      <w:rFonts w:hint="eastAsia"/>
                      <w:color w:val="auto"/>
                      <w:lang w:val="en-US" w:eastAsia="zh-CN"/>
                    </w:rPr>
                  </w:pPr>
                </w:p>
              </w:tc>
              <w:tc>
                <w:tcPr>
                  <w:tcW w:w="705" w:type="pct"/>
                  <w:shd w:val="clear" w:color="auto" w:fill="auto"/>
                  <w:vAlign w:val="center"/>
                </w:tcPr>
                <w:p w14:paraId="055DDA57">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30</w:t>
                  </w:r>
                </w:p>
              </w:tc>
              <w:tc>
                <w:tcPr>
                  <w:tcW w:w="1284" w:type="pct"/>
                  <w:shd w:val="clear" w:color="auto" w:fill="auto"/>
                  <w:vAlign w:val="center"/>
                </w:tcPr>
                <w:p w14:paraId="109ECBCA">
                  <w:pPr>
                    <w:keepNext w:val="0"/>
                    <w:keepLines w:val="0"/>
                    <w:pageBreakBefore w:val="0"/>
                    <w:widowControl/>
                    <w:kinsoku/>
                    <w:wordWrap/>
                    <w:overflowPunct/>
                    <w:topLinePunct w:val="0"/>
                    <w:autoSpaceDE/>
                    <w:autoSpaceDN/>
                    <w:bidi w:val="0"/>
                    <w:adjustRightInd/>
                    <w:snapToGrid/>
                    <w:ind w:left="0" w:leftChars="0" w:firstLine="0" w:firstLineChars="0"/>
                    <w:jc w:val="both"/>
                    <w:textAlignment w:val="auto"/>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监控点处任意一次浓度值</w:t>
                  </w:r>
                </w:p>
              </w:tc>
              <w:tc>
                <w:tcPr>
                  <w:tcW w:w="679" w:type="pct"/>
                  <w:vMerge w:val="continue"/>
                  <w:vAlign w:val="center"/>
                </w:tcPr>
                <w:p w14:paraId="2D4482DE">
                  <w:pPr>
                    <w:pStyle w:val="29"/>
                    <w:bidi w:val="0"/>
                    <w:rPr>
                      <w:rFonts w:hint="eastAsia"/>
                      <w:color w:val="auto"/>
                      <w:lang w:val="en-US" w:eastAsia="zh-CN"/>
                    </w:rPr>
                  </w:pPr>
                </w:p>
              </w:tc>
              <w:tc>
                <w:tcPr>
                  <w:tcW w:w="1477" w:type="pct"/>
                  <w:vMerge w:val="continue"/>
                  <w:vAlign w:val="center"/>
                </w:tcPr>
                <w:p w14:paraId="5883F24B">
                  <w:pPr>
                    <w:pStyle w:val="29"/>
                    <w:bidi w:val="0"/>
                    <w:rPr>
                      <w:rFonts w:hint="default"/>
                      <w:color w:val="auto"/>
                      <w:lang w:val="en-US" w:eastAsia="zh-CN"/>
                    </w:rPr>
                  </w:pPr>
                </w:p>
              </w:tc>
            </w:tr>
          </w:tbl>
          <w:p w14:paraId="30253744">
            <w:pPr>
              <w:ind w:firstLine="482"/>
              <w:rPr>
                <w:b/>
                <w:bCs/>
                <w:color w:val="auto"/>
              </w:rPr>
            </w:pPr>
            <w:r>
              <w:rPr>
                <w:rFonts w:hint="eastAsia"/>
                <w:b/>
                <w:bCs/>
                <w:color w:val="auto"/>
                <w:lang w:eastAsia="zh-CN"/>
              </w:rPr>
              <w:t>（</w:t>
            </w:r>
            <w:r>
              <w:rPr>
                <w:rFonts w:hint="eastAsia"/>
                <w:b/>
                <w:bCs/>
                <w:color w:val="auto"/>
                <w:lang w:val="en-US" w:eastAsia="zh-CN"/>
              </w:rPr>
              <w:t>2</w:t>
            </w:r>
            <w:r>
              <w:rPr>
                <w:rFonts w:hint="eastAsia"/>
                <w:b/>
                <w:bCs/>
                <w:color w:val="auto"/>
                <w:lang w:eastAsia="zh-CN"/>
              </w:rPr>
              <w:t>）</w:t>
            </w:r>
            <w:r>
              <w:rPr>
                <w:rFonts w:hint="eastAsia"/>
                <w:b/>
                <w:bCs/>
                <w:color w:val="auto"/>
              </w:rPr>
              <w:t>废水</w:t>
            </w:r>
          </w:p>
          <w:p w14:paraId="2415CD61">
            <w:pPr>
              <w:ind w:firstLine="480"/>
              <w:rPr>
                <w:rFonts w:hint="default"/>
                <w:color w:val="auto"/>
                <w:lang w:val="en-US" w:eastAsia="zh-CN"/>
              </w:rPr>
            </w:pPr>
            <w:r>
              <w:rPr>
                <w:rFonts w:hint="eastAsia"/>
                <w:color w:val="auto"/>
                <w:lang w:val="en-US" w:eastAsia="zh-CN"/>
              </w:rPr>
              <w:t>项目施工期无施工废水产生，施工人员生活污水依托租用的九龙池片区工业园区内已建化粪池处理后排入园区污水管网最终进入玉溪市第一和第三污水处理厂处理处理。</w:t>
            </w:r>
          </w:p>
          <w:p w14:paraId="4D2F18DD">
            <w:pPr>
              <w:ind w:firstLine="480"/>
              <w:rPr>
                <w:rFonts w:hint="eastAsia"/>
                <w:color w:val="auto"/>
                <w:lang w:val="en-US" w:eastAsia="zh-CN"/>
              </w:rPr>
            </w:pPr>
            <w:r>
              <w:rPr>
                <w:rFonts w:hint="eastAsia"/>
                <w:color w:val="auto"/>
                <w:lang w:val="en-US" w:eastAsia="zh-CN"/>
              </w:rPr>
              <w:t>运营期本项目废水主要是生活污水和生产废水，生活污水主要为职工如厕废水及洗手废水，产生的生活污水依托租赁厂房内已建化粪池处理达到《污水综合排放标准》（GB8978-1996）表4三级标准及《污水排入城镇下水道水质标准》（GB/T31962-2015）表1 A等级标准从严值后排入园区污水管网，最终经市政污水管网进入玉溪市第一和第三污水处理厂处理。</w:t>
            </w:r>
          </w:p>
          <w:p w14:paraId="7786A50B">
            <w:pPr>
              <w:ind w:firstLine="480"/>
              <w:rPr>
                <w:rFonts w:hint="eastAsia"/>
                <w:color w:val="auto"/>
                <w:lang w:val="en-US" w:eastAsia="zh-CN"/>
              </w:rPr>
            </w:pPr>
            <w:r>
              <w:rPr>
                <w:rFonts w:hint="eastAsia"/>
                <w:color w:val="auto"/>
                <w:lang w:eastAsia="zh-CN"/>
              </w:rPr>
              <w:t>项目生产废水经自建</w:t>
            </w:r>
            <w:r>
              <w:rPr>
                <w:rFonts w:hint="eastAsia"/>
                <w:color w:val="auto"/>
                <w:lang w:val="en-US" w:eastAsia="zh-CN"/>
              </w:rPr>
              <w:t>三级沉淀池沉淀处理后再经一体化污水处理设施</w:t>
            </w:r>
            <w:r>
              <w:rPr>
                <w:rFonts w:hint="eastAsia"/>
                <w:color w:val="auto"/>
                <w:lang w:eastAsia="zh-CN"/>
              </w:rPr>
              <w:t>处理达到《酒类制造业水污染物排放标准》（GB 19821—2025）</w:t>
            </w:r>
            <w:r>
              <w:rPr>
                <w:rFonts w:hint="eastAsia"/>
                <w:color w:val="auto"/>
                <w:lang w:val="en-US" w:eastAsia="zh-CN"/>
              </w:rPr>
              <w:t>表1规定的间接排放限值标准以及《污水综合排放标准》（GB8978-1996）表4三级标准和《污水排入城镇下水道水质标准》（GB/T31962-2015）中表1A级标准较严限值后排入园区污水管网，最终经市政污水管网进入玉溪市第一和第三污水处理厂处理。</w:t>
            </w:r>
          </w:p>
          <w:p w14:paraId="10F2DBBB">
            <w:pPr>
              <w:ind w:firstLine="480"/>
              <w:rPr>
                <w:rFonts w:hint="default"/>
                <w:color w:val="auto"/>
                <w:lang w:val="en-US" w:eastAsia="zh-CN"/>
              </w:rPr>
            </w:pPr>
            <w:r>
              <w:rPr>
                <w:rFonts w:hint="eastAsia"/>
                <w:color w:val="auto"/>
                <w:lang w:val="en-US" w:eastAsia="zh-CN"/>
              </w:rPr>
              <w:t>本项目执行《酒类制造业水污染物排放标准》（GB 19821—2025）表2规定的单位产品基准排水量，见下表。</w:t>
            </w:r>
          </w:p>
          <w:p w14:paraId="648B8569">
            <w:pPr>
              <w:pStyle w:val="30"/>
              <w:spacing w:beforeLines="0" w:afterLines="0"/>
              <w:rPr>
                <w:rFonts w:hint="eastAsia" w:eastAsia="宋体"/>
                <w:color w:val="auto"/>
                <w:sz w:val="21"/>
                <w:szCs w:val="24"/>
                <w:vertAlign w:val="superscript"/>
                <w:lang w:eastAsia="zh-CN"/>
              </w:rPr>
            </w:pPr>
            <w:r>
              <w:rPr>
                <w:rFonts w:hint="eastAsia"/>
                <w:color w:val="auto"/>
                <w:sz w:val="21"/>
                <w:szCs w:val="24"/>
              </w:rPr>
              <w:t>表3-1</w:t>
            </w:r>
            <w:r>
              <w:rPr>
                <w:rFonts w:hint="eastAsia"/>
                <w:color w:val="auto"/>
                <w:sz w:val="21"/>
                <w:szCs w:val="24"/>
                <w:lang w:val="en-US" w:eastAsia="zh-CN"/>
              </w:rPr>
              <w:t>6</w:t>
            </w:r>
            <w:r>
              <w:rPr>
                <w:rFonts w:hint="eastAsia"/>
                <w:color w:val="auto"/>
                <w:sz w:val="21"/>
                <w:szCs w:val="24"/>
              </w:rPr>
              <w:t xml:space="preserve"> 项目</w:t>
            </w:r>
            <w:r>
              <w:rPr>
                <w:rFonts w:hint="eastAsia"/>
                <w:color w:val="auto"/>
                <w:sz w:val="21"/>
                <w:szCs w:val="24"/>
                <w:lang w:val="en-US" w:eastAsia="zh-CN"/>
              </w:rPr>
              <w:t>生活污水</w:t>
            </w:r>
            <w:r>
              <w:rPr>
                <w:rFonts w:hint="eastAsia"/>
                <w:color w:val="auto"/>
                <w:sz w:val="21"/>
                <w:szCs w:val="24"/>
              </w:rPr>
              <w:t>排放标准 单位：mg/</w:t>
            </w:r>
            <w:r>
              <w:rPr>
                <w:rFonts w:hint="eastAsia"/>
                <w:color w:val="auto"/>
                <w:sz w:val="21"/>
                <w:szCs w:val="24"/>
                <w:lang w:val="en-US" w:eastAsia="zh-CN"/>
              </w:rPr>
              <w:t>L</w:t>
            </w:r>
          </w:p>
          <w:tbl>
            <w:tblPr>
              <w:tblStyle w:val="24"/>
              <w:tblW w:w="7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1937"/>
              <w:gridCol w:w="1937"/>
              <w:gridCol w:w="1937"/>
            </w:tblGrid>
            <w:tr w14:paraId="1BC4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1CDF5E3B">
                  <w:pPr>
                    <w:pStyle w:val="29"/>
                    <w:bidi w:val="0"/>
                    <w:rPr>
                      <w:rFonts w:hint="default"/>
                      <w:color w:val="auto"/>
                      <w:lang w:val="en-US" w:eastAsia="zh-CN"/>
                    </w:rPr>
                  </w:pPr>
                  <w:r>
                    <w:rPr>
                      <w:rFonts w:hint="eastAsia"/>
                      <w:color w:val="auto"/>
                      <w:lang w:val="en-US" w:eastAsia="zh-CN"/>
                    </w:rPr>
                    <w:t>项目</w:t>
                  </w:r>
                </w:p>
              </w:tc>
              <w:tc>
                <w:tcPr>
                  <w:tcW w:w="1937" w:type="dxa"/>
                  <w:vAlign w:val="center"/>
                </w:tcPr>
                <w:p w14:paraId="7F0955C5">
                  <w:pPr>
                    <w:pStyle w:val="29"/>
                    <w:bidi w:val="0"/>
                    <w:rPr>
                      <w:rFonts w:hint="eastAsia"/>
                      <w:color w:val="auto"/>
                      <w:lang w:eastAsia="zh-CN"/>
                    </w:rPr>
                  </w:pPr>
                  <w:r>
                    <w:rPr>
                      <w:rFonts w:hint="eastAsia"/>
                      <w:color w:val="auto"/>
                      <w:lang w:val="en-US" w:eastAsia="zh-CN"/>
                    </w:rPr>
                    <w:t>污水综合排放标准表4三级标准</w:t>
                  </w:r>
                </w:p>
              </w:tc>
              <w:tc>
                <w:tcPr>
                  <w:tcW w:w="1937" w:type="dxa"/>
                  <w:vAlign w:val="center"/>
                </w:tcPr>
                <w:p w14:paraId="4437D73C">
                  <w:pPr>
                    <w:pStyle w:val="29"/>
                    <w:bidi w:val="0"/>
                    <w:rPr>
                      <w:rFonts w:hint="eastAsia"/>
                      <w:color w:val="auto"/>
                      <w:lang w:val="en-US" w:eastAsia="zh-CN"/>
                    </w:rPr>
                  </w:pPr>
                  <w:r>
                    <w:rPr>
                      <w:rFonts w:hint="eastAsia"/>
                      <w:color w:val="auto"/>
                      <w:lang w:val="en-US" w:eastAsia="zh-CN"/>
                    </w:rPr>
                    <w:t>污水排入城镇下水道水质标准</w:t>
                  </w:r>
                </w:p>
                <w:p w14:paraId="29E0E673">
                  <w:pPr>
                    <w:pStyle w:val="29"/>
                    <w:bidi w:val="0"/>
                    <w:rPr>
                      <w:rFonts w:hint="eastAsia"/>
                      <w:color w:val="auto"/>
                      <w:lang w:eastAsia="zh-CN"/>
                    </w:rPr>
                  </w:pPr>
                  <w:r>
                    <w:rPr>
                      <w:rFonts w:hint="eastAsia"/>
                      <w:color w:val="auto"/>
                      <w:lang w:val="en-US" w:eastAsia="zh-CN"/>
                    </w:rPr>
                    <w:t>表1 A等级标准</w:t>
                  </w:r>
                </w:p>
              </w:tc>
              <w:tc>
                <w:tcPr>
                  <w:tcW w:w="1937" w:type="dxa"/>
                  <w:vAlign w:val="center"/>
                </w:tcPr>
                <w:p w14:paraId="15477985">
                  <w:pPr>
                    <w:pStyle w:val="29"/>
                    <w:bidi w:val="0"/>
                    <w:rPr>
                      <w:rFonts w:hint="default"/>
                      <w:color w:val="auto"/>
                      <w:lang w:val="en-US" w:eastAsia="zh-CN"/>
                    </w:rPr>
                  </w:pPr>
                  <w:r>
                    <w:rPr>
                      <w:rFonts w:hint="eastAsia"/>
                      <w:color w:val="auto"/>
                      <w:lang w:val="en-US" w:eastAsia="zh-CN"/>
                    </w:rPr>
                    <w:t>最终执行</w:t>
                  </w:r>
                </w:p>
              </w:tc>
            </w:tr>
            <w:tr w14:paraId="4EB8A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786C69DC">
                  <w:pPr>
                    <w:pStyle w:val="29"/>
                    <w:bidi w:val="0"/>
                    <w:rPr>
                      <w:rFonts w:hint="eastAsia"/>
                      <w:color w:val="auto"/>
                      <w:lang w:eastAsia="zh-CN"/>
                    </w:rPr>
                  </w:pPr>
                  <w:r>
                    <w:rPr>
                      <w:rFonts w:hint="eastAsia"/>
                      <w:color w:val="auto"/>
                      <w:lang w:eastAsia="zh-CN"/>
                    </w:rPr>
                    <w:t>pH（无量纲）</w:t>
                  </w:r>
                </w:p>
              </w:tc>
              <w:tc>
                <w:tcPr>
                  <w:tcW w:w="1937" w:type="dxa"/>
                  <w:vAlign w:val="center"/>
                </w:tcPr>
                <w:p w14:paraId="075AAD5F">
                  <w:pPr>
                    <w:pStyle w:val="29"/>
                    <w:bidi w:val="0"/>
                    <w:rPr>
                      <w:rFonts w:hint="default"/>
                      <w:color w:val="auto"/>
                      <w:lang w:val="en-US" w:eastAsia="zh-CN"/>
                    </w:rPr>
                  </w:pPr>
                  <w:r>
                    <w:rPr>
                      <w:rFonts w:hint="eastAsia"/>
                      <w:color w:val="auto"/>
                      <w:lang w:val="en-US" w:eastAsia="zh-CN"/>
                    </w:rPr>
                    <w:t>6~9</w:t>
                  </w:r>
                </w:p>
              </w:tc>
              <w:tc>
                <w:tcPr>
                  <w:tcW w:w="1937" w:type="dxa"/>
                  <w:vAlign w:val="center"/>
                </w:tcPr>
                <w:p w14:paraId="0A849E9E">
                  <w:pPr>
                    <w:pStyle w:val="29"/>
                    <w:bidi w:val="0"/>
                    <w:rPr>
                      <w:rFonts w:hint="eastAsia"/>
                      <w:color w:val="auto"/>
                      <w:lang w:eastAsia="zh-CN"/>
                    </w:rPr>
                  </w:pPr>
                  <w:r>
                    <w:rPr>
                      <w:rFonts w:hint="eastAsia"/>
                      <w:color w:val="auto"/>
                      <w:lang w:eastAsia="zh-CN"/>
                    </w:rPr>
                    <w:t>6.5～9.5</w:t>
                  </w:r>
                </w:p>
              </w:tc>
              <w:tc>
                <w:tcPr>
                  <w:tcW w:w="1937" w:type="dxa"/>
                  <w:vAlign w:val="center"/>
                </w:tcPr>
                <w:p w14:paraId="7B8790C6">
                  <w:pPr>
                    <w:pStyle w:val="29"/>
                    <w:bidi w:val="0"/>
                    <w:rPr>
                      <w:rFonts w:hint="eastAsia"/>
                      <w:color w:val="auto"/>
                      <w:lang w:eastAsia="zh-CN"/>
                    </w:rPr>
                  </w:pPr>
                  <w:r>
                    <w:rPr>
                      <w:rFonts w:hint="eastAsia"/>
                      <w:color w:val="auto"/>
                      <w:lang w:val="en-US" w:eastAsia="zh-CN"/>
                    </w:rPr>
                    <w:t>6~9</w:t>
                  </w:r>
                </w:p>
              </w:tc>
            </w:tr>
            <w:tr w14:paraId="12F4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43D94135">
                  <w:pPr>
                    <w:pStyle w:val="29"/>
                    <w:bidi w:val="0"/>
                    <w:rPr>
                      <w:rFonts w:hint="eastAsia"/>
                      <w:color w:val="auto"/>
                      <w:lang w:eastAsia="zh-CN"/>
                    </w:rPr>
                  </w:pPr>
                  <w:r>
                    <w:rPr>
                      <w:rFonts w:hint="eastAsia"/>
                      <w:color w:val="auto"/>
                      <w:lang w:eastAsia="zh-CN"/>
                    </w:rPr>
                    <w:t>色度（倍）</w:t>
                  </w:r>
                </w:p>
              </w:tc>
              <w:tc>
                <w:tcPr>
                  <w:tcW w:w="1937" w:type="dxa"/>
                  <w:vAlign w:val="center"/>
                </w:tcPr>
                <w:p w14:paraId="205F6D61">
                  <w:pPr>
                    <w:pStyle w:val="29"/>
                    <w:bidi w:val="0"/>
                    <w:rPr>
                      <w:rFonts w:hint="eastAsia"/>
                      <w:color w:val="auto"/>
                      <w:lang w:eastAsia="zh-CN"/>
                    </w:rPr>
                  </w:pPr>
                  <w:r>
                    <w:rPr>
                      <w:rFonts w:hint="eastAsia"/>
                      <w:color w:val="auto"/>
                      <w:lang w:eastAsia="zh-CN"/>
                    </w:rPr>
                    <w:t>——</w:t>
                  </w:r>
                </w:p>
              </w:tc>
              <w:tc>
                <w:tcPr>
                  <w:tcW w:w="1937" w:type="dxa"/>
                  <w:vAlign w:val="center"/>
                </w:tcPr>
                <w:p w14:paraId="7A455E69">
                  <w:pPr>
                    <w:pStyle w:val="29"/>
                    <w:bidi w:val="0"/>
                    <w:rPr>
                      <w:rFonts w:hint="default"/>
                      <w:color w:val="auto"/>
                      <w:lang w:val="en-US" w:eastAsia="zh-CN"/>
                    </w:rPr>
                  </w:pPr>
                  <w:r>
                    <w:rPr>
                      <w:rFonts w:hint="eastAsia"/>
                      <w:color w:val="auto"/>
                      <w:lang w:val="en-US" w:eastAsia="zh-CN"/>
                    </w:rPr>
                    <w:t>64</w:t>
                  </w:r>
                </w:p>
              </w:tc>
              <w:tc>
                <w:tcPr>
                  <w:tcW w:w="1937" w:type="dxa"/>
                  <w:shd w:val="clear" w:color="auto" w:fill="auto"/>
                  <w:vAlign w:val="center"/>
                </w:tcPr>
                <w:p w14:paraId="1F778FF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64</w:t>
                  </w:r>
                </w:p>
              </w:tc>
            </w:tr>
            <w:tr w14:paraId="4F7D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2BD456AA">
                  <w:pPr>
                    <w:pStyle w:val="29"/>
                    <w:bidi w:val="0"/>
                    <w:rPr>
                      <w:rFonts w:hint="default"/>
                      <w:color w:val="auto"/>
                      <w:lang w:val="en-US" w:eastAsia="zh-CN"/>
                    </w:rPr>
                  </w:pPr>
                  <w:r>
                    <w:rPr>
                      <w:rFonts w:hint="eastAsia"/>
                      <w:color w:val="auto"/>
                      <w:lang w:val="en-US" w:eastAsia="zh-CN"/>
                    </w:rPr>
                    <w:t>悬浮物SS</w:t>
                  </w:r>
                </w:p>
              </w:tc>
              <w:tc>
                <w:tcPr>
                  <w:tcW w:w="1937" w:type="dxa"/>
                  <w:vAlign w:val="center"/>
                </w:tcPr>
                <w:p w14:paraId="5D1D23C8">
                  <w:pPr>
                    <w:pStyle w:val="29"/>
                    <w:bidi w:val="0"/>
                    <w:rPr>
                      <w:rFonts w:hint="eastAsia"/>
                      <w:color w:val="auto"/>
                      <w:lang w:eastAsia="zh-CN"/>
                    </w:rPr>
                  </w:pPr>
                  <w:r>
                    <w:rPr>
                      <w:rFonts w:hint="eastAsia"/>
                      <w:color w:val="auto"/>
                      <w:lang w:eastAsia="zh-CN"/>
                    </w:rPr>
                    <w:t>——</w:t>
                  </w:r>
                </w:p>
              </w:tc>
              <w:tc>
                <w:tcPr>
                  <w:tcW w:w="1937" w:type="dxa"/>
                  <w:vAlign w:val="center"/>
                </w:tcPr>
                <w:p w14:paraId="6C1B17C8">
                  <w:pPr>
                    <w:pStyle w:val="29"/>
                    <w:bidi w:val="0"/>
                    <w:rPr>
                      <w:rFonts w:hint="default"/>
                      <w:color w:val="auto"/>
                      <w:lang w:val="en-US" w:eastAsia="zh-CN"/>
                    </w:rPr>
                  </w:pPr>
                  <w:r>
                    <w:rPr>
                      <w:rFonts w:hint="eastAsia"/>
                      <w:color w:val="auto"/>
                      <w:lang w:val="en-US" w:eastAsia="zh-CN"/>
                    </w:rPr>
                    <w:t>400</w:t>
                  </w:r>
                </w:p>
              </w:tc>
              <w:tc>
                <w:tcPr>
                  <w:tcW w:w="1937" w:type="dxa"/>
                  <w:shd w:val="clear" w:color="auto" w:fill="auto"/>
                  <w:vAlign w:val="center"/>
                </w:tcPr>
                <w:p w14:paraId="251ED1E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400</w:t>
                  </w:r>
                </w:p>
              </w:tc>
            </w:tr>
            <w:tr w14:paraId="0CDB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0029C0C9">
                  <w:pPr>
                    <w:pStyle w:val="29"/>
                    <w:bidi w:val="0"/>
                    <w:rPr>
                      <w:rFonts w:hint="default"/>
                      <w:color w:val="auto"/>
                      <w:lang w:val="en-US" w:eastAsia="zh-CN"/>
                    </w:rPr>
                  </w:pPr>
                  <w:r>
                    <w:rPr>
                      <w:rFonts w:hint="eastAsia"/>
                      <w:color w:val="auto"/>
                      <w:lang w:val="en-US" w:eastAsia="zh-CN"/>
                    </w:rPr>
                    <w:t>BOD</w:t>
                  </w:r>
                  <w:r>
                    <w:rPr>
                      <w:rFonts w:hint="eastAsia"/>
                      <w:color w:val="auto"/>
                      <w:vertAlign w:val="subscript"/>
                      <w:lang w:val="en-US" w:eastAsia="zh-CN"/>
                    </w:rPr>
                    <w:t>5</w:t>
                  </w:r>
                </w:p>
              </w:tc>
              <w:tc>
                <w:tcPr>
                  <w:tcW w:w="1937" w:type="dxa"/>
                  <w:vAlign w:val="center"/>
                </w:tcPr>
                <w:p w14:paraId="08E54080">
                  <w:pPr>
                    <w:pStyle w:val="29"/>
                    <w:bidi w:val="0"/>
                    <w:rPr>
                      <w:rFonts w:hint="default"/>
                      <w:color w:val="auto"/>
                      <w:lang w:val="en-US" w:eastAsia="zh-CN"/>
                    </w:rPr>
                  </w:pPr>
                  <w:r>
                    <w:rPr>
                      <w:rFonts w:hint="eastAsia"/>
                      <w:color w:val="auto"/>
                      <w:lang w:val="en-US" w:eastAsia="zh-CN"/>
                    </w:rPr>
                    <w:t>300</w:t>
                  </w:r>
                </w:p>
              </w:tc>
              <w:tc>
                <w:tcPr>
                  <w:tcW w:w="1937" w:type="dxa"/>
                  <w:vAlign w:val="center"/>
                </w:tcPr>
                <w:p w14:paraId="1697A7E8">
                  <w:pPr>
                    <w:pStyle w:val="29"/>
                    <w:bidi w:val="0"/>
                    <w:rPr>
                      <w:rFonts w:hint="default"/>
                      <w:color w:val="auto"/>
                      <w:lang w:val="en-US" w:eastAsia="zh-CN"/>
                    </w:rPr>
                  </w:pPr>
                  <w:r>
                    <w:rPr>
                      <w:rFonts w:hint="eastAsia"/>
                      <w:color w:val="auto"/>
                      <w:lang w:val="en-US" w:eastAsia="zh-CN"/>
                    </w:rPr>
                    <w:t>350</w:t>
                  </w:r>
                </w:p>
              </w:tc>
              <w:tc>
                <w:tcPr>
                  <w:tcW w:w="1937" w:type="dxa"/>
                  <w:shd w:val="clear" w:color="auto" w:fill="auto"/>
                  <w:vAlign w:val="center"/>
                </w:tcPr>
                <w:p w14:paraId="43DADB3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300</w:t>
                  </w:r>
                </w:p>
              </w:tc>
            </w:tr>
            <w:tr w14:paraId="1818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1CED44B2">
                  <w:pPr>
                    <w:pStyle w:val="29"/>
                    <w:bidi w:val="0"/>
                    <w:rPr>
                      <w:rFonts w:hint="default"/>
                      <w:color w:val="auto"/>
                      <w:lang w:val="en-US" w:eastAsia="zh-CN"/>
                    </w:rPr>
                  </w:pPr>
                  <w:r>
                    <w:rPr>
                      <w:rFonts w:hint="eastAsia"/>
                      <w:color w:val="auto"/>
                      <w:lang w:val="en-US" w:eastAsia="zh-CN"/>
                    </w:rPr>
                    <w:t>CODcr</w:t>
                  </w:r>
                </w:p>
              </w:tc>
              <w:tc>
                <w:tcPr>
                  <w:tcW w:w="1937" w:type="dxa"/>
                  <w:vAlign w:val="center"/>
                </w:tcPr>
                <w:p w14:paraId="6F3E1B62">
                  <w:pPr>
                    <w:pStyle w:val="29"/>
                    <w:bidi w:val="0"/>
                    <w:rPr>
                      <w:rFonts w:hint="default"/>
                      <w:color w:val="auto"/>
                      <w:lang w:val="en-US" w:eastAsia="zh-CN"/>
                    </w:rPr>
                  </w:pPr>
                  <w:r>
                    <w:rPr>
                      <w:rFonts w:hint="eastAsia"/>
                      <w:color w:val="auto"/>
                      <w:lang w:val="en-US" w:eastAsia="zh-CN"/>
                    </w:rPr>
                    <w:t>500</w:t>
                  </w:r>
                </w:p>
              </w:tc>
              <w:tc>
                <w:tcPr>
                  <w:tcW w:w="1937" w:type="dxa"/>
                  <w:vAlign w:val="center"/>
                </w:tcPr>
                <w:p w14:paraId="35174929">
                  <w:pPr>
                    <w:pStyle w:val="29"/>
                    <w:bidi w:val="0"/>
                    <w:rPr>
                      <w:rFonts w:hint="default"/>
                      <w:color w:val="auto"/>
                      <w:lang w:val="en-US" w:eastAsia="zh-CN"/>
                    </w:rPr>
                  </w:pPr>
                  <w:r>
                    <w:rPr>
                      <w:rFonts w:hint="eastAsia"/>
                      <w:color w:val="auto"/>
                      <w:lang w:val="en-US" w:eastAsia="zh-CN"/>
                    </w:rPr>
                    <w:t>500</w:t>
                  </w:r>
                </w:p>
              </w:tc>
              <w:tc>
                <w:tcPr>
                  <w:tcW w:w="1937" w:type="dxa"/>
                  <w:shd w:val="clear" w:color="auto" w:fill="auto"/>
                  <w:vAlign w:val="center"/>
                </w:tcPr>
                <w:p w14:paraId="49C0179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500</w:t>
                  </w:r>
                </w:p>
              </w:tc>
            </w:tr>
            <w:tr w14:paraId="4D53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29244DFB">
                  <w:pPr>
                    <w:pStyle w:val="29"/>
                    <w:bidi w:val="0"/>
                    <w:rPr>
                      <w:rFonts w:hint="default"/>
                      <w:color w:val="auto"/>
                      <w:lang w:val="en-US" w:eastAsia="zh-CN"/>
                    </w:rPr>
                  </w:pPr>
                  <w:r>
                    <w:rPr>
                      <w:rFonts w:hint="eastAsia"/>
                      <w:color w:val="auto"/>
                      <w:lang w:val="en-US" w:eastAsia="zh-CN"/>
                    </w:rPr>
                    <w:t>氨氮</w:t>
                  </w:r>
                </w:p>
              </w:tc>
              <w:tc>
                <w:tcPr>
                  <w:tcW w:w="1937" w:type="dxa"/>
                  <w:vAlign w:val="center"/>
                </w:tcPr>
                <w:p w14:paraId="2F2BC328">
                  <w:pPr>
                    <w:pStyle w:val="29"/>
                    <w:bidi w:val="0"/>
                    <w:rPr>
                      <w:rFonts w:hint="eastAsia"/>
                      <w:color w:val="auto"/>
                      <w:lang w:eastAsia="zh-CN"/>
                    </w:rPr>
                  </w:pPr>
                  <w:r>
                    <w:rPr>
                      <w:rFonts w:hint="eastAsia"/>
                      <w:color w:val="auto"/>
                      <w:lang w:eastAsia="zh-CN"/>
                    </w:rPr>
                    <w:t>——</w:t>
                  </w:r>
                </w:p>
              </w:tc>
              <w:tc>
                <w:tcPr>
                  <w:tcW w:w="1937" w:type="dxa"/>
                  <w:vAlign w:val="center"/>
                </w:tcPr>
                <w:p w14:paraId="19B11D9E">
                  <w:pPr>
                    <w:pStyle w:val="29"/>
                    <w:bidi w:val="0"/>
                    <w:rPr>
                      <w:rFonts w:hint="default"/>
                      <w:color w:val="auto"/>
                      <w:lang w:val="en-US" w:eastAsia="zh-CN"/>
                    </w:rPr>
                  </w:pPr>
                  <w:r>
                    <w:rPr>
                      <w:rFonts w:hint="eastAsia"/>
                      <w:color w:val="auto"/>
                      <w:lang w:val="en-US" w:eastAsia="zh-CN"/>
                    </w:rPr>
                    <w:t>45</w:t>
                  </w:r>
                </w:p>
              </w:tc>
              <w:tc>
                <w:tcPr>
                  <w:tcW w:w="1937" w:type="dxa"/>
                  <w:shd w:val="clear" w:color="auto" w:fill="auto"/>
                  <w:vAlign w:val="center"/>
                </w:tcPr>
                <w:p w14:paraId="163CC72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45</w:t>
                  </w:r>
                </w:p>
              </w:tc>
            </w:tr>
            <w:tr w14:paraId="53D6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0BE2D042">
                  <w:pPr>
                    <w:pStyle w:val="29"/>
                    <w:bidi w:val="0"/>
                    <w:rPr>
                      <w:rFonts w:hint="default"/>
                      <w:color w:val="auto"/>
                      <w:lang w:val="en-US" w:eastAsia="zh-CN"/>
                    </w:rPr>
                  </w:pPr>
                  <w:r>
                    <w:rPr>
                      <w:rFonts w:hint="eastAsia"/>
                      <w:color w:val="auto"/>
                      <w:lang w:val="en-US" w:eastAsia="zh-CN"/>
                    </w:rPr>
                    <w:t>总磷</w:t>
                  </w:r>
                </w:p>
              </w:tc>
              <w:tc>
                <w:tcPr>
                  <w:tcW w:w="1937" w:type="dxa"/>
                  <w:vAlign w:val="center"/>
                </w:tcPr>
                <w:p w14:paraId="53936BD1">
                  <w:pPr>
                    <w:pStyle w:val="29"/>
                    <w:bidi w:val="0"/>
                    <w:rPr>
                      <w:rFonts w:hint="eastAsia"/>
                      <w:color w:val="auto"/>
                      <w:lang w:eastAsia="zh-CN"/>
                    </w:rPr>
                  </w:pPr>
                  <w:r>
                    <w:rPr>
                      <w:rFonts w:hint="eastAsia"/>
                      <w:color w:val="auto"/>
                      <w:lang w:eastAsia="zh-CN"/>
                    </w:rPr>
                    <w:t>——</w:t>
                  </w:r>
                </w:p>
              </w:tc>
              <w:tc>
                <w:tcPr>
                  <w:tcW w:w="1937" w:type="dxa"/>
                  <w:vAlign w:val="center"/>
                </w:tcPr>
                <w:p w14:paraId="6E22CD2D">
                  <w:pPr>
                    <w:pStyle w:val="29"/>
                    <w:bidi w:val="0"/>
                    <w:rPr>
                      <w:rFonts w:hint="default"/>
                      <w:color w:val="auto"/>
                      <w:lang w:val="en-US" w:eastAsia="zh-CN"/>
                    </w:rPr>
                  </w:pPr>
                  <w:r>
                    <w:rPr>
                      <w:rFonts w:hint="eastAsia"/>
                      <w:color w:val="auto"/>
                      <w:lang w:val="en-US" w:eastAsia="zh-CN"/>
                    </w:rPr>
                    <w:t>8</w:t>
                  </w:r>
                </w:p>
              </w:tc>
              <w:tc>
                <w:tcPr>
                  <w:tcW w:w="1937" w:type="dxa"/>
                  <w:shd w:val="clear" w:color="auto" w:fill="auto"/>
                  <w:vAlign w:val="center"/>
                </w:tcPr>
                <w:p w14:paraId="5814E5A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w:t>
                  </w:r>
                </w:p>
              </w:tc>
            </w:tr>
            <w:tr w14:paraId="29FD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7" w:type="dxa"/>
                  <w:vAlign w:val="center"/>
                </w:tcPr>
                <w:p w14:paraId="1BE5CE19">
                  <w:pPr>
                    <w:pStyle w:val="29"/>
                    <w:bidi w:val="0"/>
                    <w:rPr>
                      <w:rFonts w:hint="default"/>
                      <w:color w:val="auto"/>
                      <w:lang w:val="en-US" w:eastAsia="zh-CN"/>
                    </w:rPr>
                  </w:pPr>
                  <w:r>
                    <w:rPr>
                      <w:rFonts w:hint="eastAsia"/>
                      <w:color w:val="auto"/>
                      <w:lang w:val="en-US" w:eastAsia="zh-CN"/>
                    </w:rPr>
                    <w:t>总氮</w:t>
                  </w:r>
                </w:p>
              </w:tc>
              <w:tc>
                <w:tcPr>
                  <w:tcW w:w="1937" w:type="dxa"/>
                  <w:vAlign w:val="center"/>
                </w:tcPr>
                <w:p w14:paraId="2505167D">
                  <w:pPr>
                    <w:pStyle w:val="29"/>
                    <w:bidi w:val="0"/>
                    <w:rPr>
                      <w:rFonts w:hint="eastAsia"/>
                      <w:color w:val="auto"/>
                      <w:lang w:eastAsia="zh-CN"/>
                    </w:rPr>
                  </w:pPr>
                  <w:r>
                    <w:rPr>
                      <w:rFonts w:hint="eastAsia"/>
                      <w:color w:val="auto"/>
                      <w:lang w:eastAsia="zh-CN"/>
                    </w:rPr>
                    <w:t>——</w:t>
                  </w:r>
                </w:p>
              </w:tc>
              <w:tc>
                <w:tcPr>
                  <w:tcW w:w="1937" w:type="dxa"/>
                  <w:vAlign w:val="center"/>
                </w:tcPr>
                <w:p w14:paraId="055AADD7">
                  <w:pPr>
                    <w:pStyle w:val="29"/>
                    <w:bidi w:val="0"/>
                    <w:rPr>
                      <w:rFonts w:hint="default"/>
                      <w:color w:val="auto"/>
                      <w:lang w:val="en-US" w:eastAsia="zh-CN"/>
                    </w:rPr>
                  </w:pPr>
                  <w:r>
                    <w:rPr>
                      <w:rFonts w:hint="eastAsia"/>
                      <w:color w:val="auto"/>
                      <w:lang w:val="en-US" w:eastAsia="zh-CN"/>
                    </w:rPr>
                    <w:t>70</w:t>
                  </w:r>
                </w:p>
              </w:tc>
              <w:tc>
                <w:tcPr>
                  <w:tcW w:w="1937" w:type="dxa"/>
                  <w:shd w:val="clear" w:color="auto" w:fill="auto"/>
                  <w:vAlign w:val="center"/>
                </w:tcPr>
                <w:p w14:paraId="07088A7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70</w:t>
                  </w:r>
                </w:p>
              </w:tc>
            </w:tr>
          </w:tbl>
          <w:p w14:paraId="04943B4D">
            <w:pPr>
              <w:pStyle w:val="30"/>
              <w:rPr>
                <w:rFonts w:hint="eastAsia"/>
                <w:color w:val="auto"/>
                <w:sz w:val="21"/>
                <w:szCs w:val="24"/>
                <w:vertAlign w:val="superscript"/>
              </w:rPr>
            </w:pPr>
            <w:r>
              <w:rPr>
                <w:rFonts w:hint="eastAsia"/>
                <w:color w:val="auto"/>
                <w:sz w:val="21"/>
                <w:szCs w:val="24"/>
              </w:rPr>
              <w:t>表3-1</w:t>
            </w:r>
            <w:r>
              <w:rPr>
                <w:rFonts w:hint="eastAsia"/>
                <w:color w:val="auto"/>
                <w:sz w:val="21"/>
                <w:szCs w:val="24"/>
                <w:lang w:val="en-US" w:eastAsia="zh-CN"/>
              </w:rPr>
              <w:t>7</w:t>
            </w:r>
            <w:r>
              <w:rPr>
                <w:rFonts w:hint="eastAsia"/>
                <w:color w:val="auto"/>
                <w:sz w:val="21"/>
                <w:szCs w:val="24"/>
              </w:rPr>
              <w:t xml:space="preserve"> 项目</w:t>
            </w:r>
            <w:r>
              <w:rPr>
                <w:rFonts w:hint="eastAsia"/>
                <w:color w:val="auto"/>
                <w:sz w:val="21"/>
                <w:szCs w:val="24"/>
                <w:lang w:val="en-US" w:eastAsia="zh-CN"/>
              </w:rPr>
              <w:t>生产废水</w:t>
            </w:r>
            <w:r>
              <w:rPr>
                <w:rFonts w:hint="eastAsia"/>
                <w:color w:val="auto"/>
                <w:sz w:val="21"/>
                <w:szCs w:val="24"/>
              </w:rPr>
              <w:t>排放标准 单位：mg/L</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1088"/>
              <w:gridCol w:w="1362"/>
              <w:gridCol w:w="1362"/>
              <w:gridCol w:w="1770"/>
              <w:gridCol w:w="1090"/>
            </w:tblGrid>
            <w:tr w14:paraId="0873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53223ABE">
                  <w:pPr>
                    <w:pStyle w:val="29"/>
                    <w:bidi w:val="0"/>
                    <w:rPr>
                      <w:rFonts w:hint="default"/>
                      <w:color w:val="auto"/>
                      <w:lang w:val="en-US" w:eastAsia="zh-CN"/>
                    </w:rPr>
                  </w:pPr>
                  <w:r>
                    <w:rPr>
                      <w:rFonts w:hint="eastAsia"/>
                      <w:color w:val="auto"/>
                      <w:lang w:val="en-US" w:eastAsia="zh-CN"/>
                    </w:rPr>
                    <w:t>项目</w:t>
                  </w:r>
                </w:p>
              </w:tc>
              <w:tc>
                <w:tcPr>
                  <w:tcW w:w="701" w:type="pct"/>
                  <w:vAlign w:val="center"/>
                </w:tcPr>
                <w:p w14:paraId="2E741560">
                  <w:pPr>
                    <w:pStyle w:val="29"/>
                    <w:bidi w:val="0"/>
                    <w:rPr>
                      <w:rFonts w:hint="eastAsia"/>
                      <w:color w:val="auto"/>
                      <w:lang w:val="en-US" w:eastAsia="zh-CN"/>
                    </w:rPr>
                  </w:pPr>
                  <w:r>
                    <w:rPr>
                      <w:rFonts w:hint="eastAsia"/>
                      <w:color w:val="auto"/>
                      <w:lang w:val="en-US" w:eastAsia="zh-CN"/>
                    </w:rPr>
                    <w:t>排放限值</w:t>
                  </w:r>
                </w:p>
                <w:p w14:paraId="5BD421F2">
                  <w:pPr>
                    <w:pStyle w:val="29"/>
                    <w:bidi w:val="0"/>
                    <w:rPr>
                      <w:rFonts w:hint="default"/>
                      <w:color w:val="auto"/>
                      <w:lang w:val="en-US" w:eastAsia="zh-CN"/>
                    </w:rPr>
                  </w:pPr>
                  <w:r>
                    <w:rPr>
                      <w:rFonts w:hint="eastAsia"/>
                      <w:color w:val="auto"/>
                      <w:lang w:val="en-US" w:eastAsia="zh-CN"/>
                    </w:rPr>
                    <w:t>（间接排放）</w:t>
                  </w:r>
                </w:p>
              </w:tc>
              <w:tc>
                <w:tcPr>
                  <w:tcW w:w="877" w:type="pct"/>
                  <w:shd w:val="clear" w:color="auto" w:fill="auto"/>
                  <w:vAlign w:val="center"/>
                </w:tcPr>
                <w:p w14:paraId="4BEF3D0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污水综合排放标准表4三级标准</w:t>
                  </w:r>
                </w:p>
              </w:tc>
              <w:tc>
                <w:tcPr>
                  <w:tcW w:w="877" w:type="pct"/>
                  <w:shd w:val="clear" w:color="auto" w:fill="auto"/>
                  <w:vAlign w:val="center"/>
                </w:tcPr>
                <w:p w14:paraId="28BEF15B">
                  <w:pPr>
                    <w:pStyle w:val="29"/>
                    <w:bidi w:val="0"/>
                    <w:rPr>
                      <w:rFonts w:hint="eastAsia"/>
                      <w:color w:val="auto"/>
                      <w:lang w:val="en-US" w:eastAsia="zh-CN"/>
                    </w:rPr>
                  </w:pPr>
                  <w:r>
                    <w:rPr>
                      <w:rFonts w:hint="eastAsia"/>
                      <w:color w:val="auto"/>
                      <w:lang w:val="en-US" w:eastAsia="zh-CN"/>
                    </w:rPr>
                    <w:t>污水排入城镇下水道水质标准</w:t>
                  </w:r>
                </w:p>
                <w:p w14:paraId="4697E29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表1 A等级标准</w:t>
                  </w:r>
                </w:p>
              </w:tc>
              <w:tc>
                <w:tcPr>
                  <w:tcW w:w="1140" w:type="pct"/>
                  <w:shd w:val="clear" w:color="auto" w:fill="auto"/>
                  <w:vAlign w:val="center"/>
                </w:tcPr>
                <w:p w14:paraId="6730E5C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最终执行</w:t>
                  </w:r>
                </w:p>
              </w:tc>
              <w:tc>
                <w:tcPr>
                  <w:tcW w:w="702" w:type="pct"/>
                  <w:vAlign w:val="center"/>
                </w:tcPr>
                <w:p w14:paraId="1E20E608">
                  <w:pPr>
                    <w:pStyle w:val="29"/>
                    <w:bidi w:val="0"/>
                    <w:rPr>
                      <w:rFonts w:hint="default"/>
                      <w:color w:val="auto"/>
                      <w:lang w:val="en-US" w:eastAsia="zh-CN"/>
                    </w:rPr>
                  </w:pPr>
                  <w:r>
                    <w:rPr>
                      <w:rFonts w:hint="eastAsia"/>
                      <w:color w:val="auto"/>
                      <w:lang w:val="en-US" w:eastAsia="zh-CN"/>
                    </w:rPr>
                    <w:t>污染物排放监控位置</w:t>
                  </w:r>
                </w:p>
              </w:tc>
            </w:tr>
            <w:tr w14:paraId="59D48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046911E1">
                  <w:pPr>
                    <w:pStyle w:val="29"/>
                    <w:bidi w:val="0"/>
                    <w:rPr>
                      <w:rFonts w:hint="eastAsia"/>
                      <w:color w:val="auto"/>
                      <w:lang w:eastAsia="zh-CN"/>
                    </w:rPr>
                  </w:pPr>
                  <w:r>
                    <w:rPr>
                      <w:rFonts w:hint="eastAsia"/>
                      <w:color w:val="auto"/>
                      <w:lang w:eastAsia="zh-CN"/>
                    </w:rPr>
                    <w:t>pH（无量纲）</w:t>
                  </w:r>
                </w:p>
              </w:tc>
              <w:tc>
                <w:tcPr>
                  <w:tcW w:w="701" w:type="pct"/>
                  <w:vAlign w:val="center"/>
                </w:tcPr>
                <w:p w14:paraId="1EEA97F8">
                  <w:pPr>
                    <w:pStyle w:val="29"/>
                    <w:bidi w:val="0"/>
                    <w:rPr>
                      <w:rFonts w:hint="default"/>
                      <w:color w:val="auto"/>
                      <w:lang w:val="en-US" w:eastAsia="zh-CN"/>
                    </w:rPr>
                  </w:pPr>
                  <w:r>
                    <w:rPr>
                      <w:rFonts w:hint="eastAsia"/>
                      <w:color w:val="auto"/>
                      <w:lang w:val="en-US" w:eastAsia="zh-CN"/>
                    </w:rPr>
                    <w:t>6~9</w:t>
                  </w:r>
                </w:p>
              </w:tc>
              <w:tc>
                <w:tcPr>
                  <w:tcW w:w="877" w:type="pct"/>
                  <w:shd w:val="clear" w:color="auto" w:fill="auto"/>
                  <w:vAlign w:val="center"/>
                </w:tcPr>
                <w:p w14:paraId="07DB77F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6~9</w:t>
                  </w:r>
                </w:p>
              </w:tc>
              <w:tc>
                <w:tcPr>
                  <w:tcW w:w="877" w:type="pct"/>
                  <w:shd w:val="clear" w:color="auto" w:fill="auto"/>
                  <w:vAlign w:val="center"/>
                </w:tcPr>
                <w:p w14:paraId="0ABAB00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6.5～9.5</w:t>
                  </w:r>
                </w:p>
              </w:tc>
              <w:tc>
                <w:tcPr>
                  <w:tcW w:w="1140" w:type="pct"/>
                  <w:shd w:val="clear" w:color="auto" w:fill="auto"/>
                  <w:vAlign w:val="center"/>
                </w:tcPr>
                <w:p w14:paraId="3EADD78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6~9</w:t>
                  </w:r>
                </w:p>
              </w:tc>
              <w:tc>
                <w:tcPr>
                  <w:tcW w:w="702" w:type="pct"/>
                  <w:vMerge w:val="restart"/>
                  <w:vAlign w:val="center"/>
                </w:tcPr>
                <w:p w14:paraId="101BF4D7">
                  <w:pPr>
                    <w:pStyle w:val="29"/>
                    <w:bidi w:val="0"/>
                    <w:rPr>
                      <w:rFonts w:hint="default"/>
                      <w:color w:val="auto"/>
                      <w:lang w:val="en-US" w:eastAsia="zh-CN"/>
                    </w:rPr>
                  </w:pPr>
                  <w:r>
                    <w:rPr>
                      <w:rFonts w:hint="eastAsia"/>
                      <w:color w:val="auto"/>
                      <w:lang w:val="en-US" w:eastAsia="zh-CN"/>
                    </w:rPr>
                    <w:t>排污单位污水总排放口</w:t>
                  </w:r>
                </w:p>
              </w:tc>
            </w:tr>
            <w:tr w14:paraId="4DCB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0A2D39C6">
                  <w:pPr>
                    <w:pStyle w:val="29"/>
                    <w:bidi w:val="0"/>
                    <w:rPr>
                      <w:rFonts w:hint="eastAsia"/>
                      <w:color w:val="auto"/>
                      <w:lang w:eastAsia="zh-CN"/>
                    </w:rPr>
                  </w:pPr>
                  <w:r>
                    <w:rPr>
                      <w:rFonts w:hint="eastAsia"/>
                      <w:color w:val="auto"/>
                      <w:lang w:eastAsia="zh-CN"/>
                    </w:rPr>
                    <w:t>色度（倍）</w:t>
                  </w:r>
                </w:p>
              </w:tc>
              <w:tc>
                <w:tcPr>
                  <w:tcW w:w="701" w:type="pct"/>
                  <w:vAlign w:val="center"/>
                </w:tcPr>
                <w:p w14:paraId="574671BA">
                  <w:pPr>
                    <w:pStyle w:val="29"/>
                    <w:bidi w:val="0"/>
                    <w:rPr>
                      <w:rFonts w:hint="default"/>
                      <w:color w:val="auto"/>
                      <w:lang w:val="en-US" w:eastAsia="zh-CN"/>
                    </w:rPr>
                  </w:pPr>
                  <w:r>
                    <w:rPr>
                      <w:rFonts w:hint="eastAsia"/>
                      <w:color w:val="auto"/>
                      <w:lang w:val="en-US" w:eastAsia="zh-CN"/>
                    </w:rPr>
                    <w:t>100</w:t>
                  </w:r>
                </w:p>
              </w:tc>
              <w:tc>
                <w:tcPr>
                  <w:tcW w:w="877" w:type="pct"/>
                  <w:shd w:val="clear" w:color="auto" w:fill="auto"/>
                  <w:vAlign w:val="center"/>
                </w:tcPr>
                <w:p w14:paraId="0400D9F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w:t>
                  </w:r>
                </w:p>
              </w:tc>
              <w:tc>
                <w:tcPr>
                  <w:tcW w:w="877" w:type="pct"/>
                  <w:shd w:val="clear" w:color="auto" w:fill="auto"/>
                  <w:vAlign w:val="center"/>
                </w:tcPr>
                <w:p w14:paraId="4DE28FA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64</w:t>
                  </w:r>
                </w:p>
              </w:tc>
              <w:tc>
                <w:tcPr>
                  <w:tcW w:w="1140" w:type="pct"/>
                  <w:shd w:val="clear" w:color="auto" w:fill="auto"/>
                  <w:vAlign w:val="center"/>
                </w:tcPr>
                <w:p w14:paraId="725AEF4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64</w:t>
                  </w:r>
                </w:p>
              </w:tc>
              <w:tc>
                <w:tcPr>
                  <w:tcW w:w="702" w:type="pct"/>
                  <w:vMerge w:val="continue"/>
                  <w:vAlign w:val="center"/>
                </w:tcPr>
                <w:p w14:paraId="5336D743">
                  <w:pPr>
                    <w:pStyle w:val="29"/>
                    <w:bidi w:val="0"/>
                    <w:rPr>
                      <w:rFonts w:hint="default"/>
                      <w:color w:val="auto"/>
                      <w:lang w:val="en-US" w:eastAsia="zh-CN"/>
                    </w:rPr>
                  </w:pPr>
                </w:p>
              </w:tc>
            </w:tr>
            <w:tr w14:paraId="48B5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42C0261F">
                  <w:pPr>
                    <w:pStyle w:val="29"/>
                    <w:bidi w:val="0"/>
                    <w:rPr>
                      <w:rFonts w:hint="default"/>
                      <w:color w:val="auto"/>
                      <w:lang w:val="en-US" w:eastAsia="zh-CN"/>
                    </w:rPr>
                  </w:pPr>
                  <w:r>
                    <w:rPr>
                      <w:rFonts w:hint="eastAsia"/>
                      <w:color w:val="auto"/>
                      <w:lang w:val="en-US" w:eastAsia="zh-CN"/>
                    </w:rPr>
                    <w:t>悬浮物SS</w:t>
                  </w:r>
                </w:p>
              </w:tc>
              <w:tc>
                <w:tcPr>
                  <w:tcW w:w="701" w:type="pct"/>
                  <w:vAlign w:val="center"/>
                </w:tcPr>
                <w:p w14:paraId="7D3680EF">
                  <w:pPr>
                    <w:pStyle w:val="29"/>
                    <w:bidi w:val="0"/>
                    <w:rPr>
                      <w:rFonts w:hint="default"/>
                      <w:color w:val="auto"/>
                      <w:lang w:val="en-US" w:eastAsia="zh-CN"/>
                    </w:rPr>
                  </w:pPr>
                  <w:r>
                    <w:rPr>
                      <w:rFonts w:hint="eastAsia"/>
                      <w:color w:val="auto"/>
                      <w:lang w:val="en-US" w:eastAsia="zh-CN"/>
                    </w:rPr>
                    <w:t>400</w:t>
                  </w:r>
                </w:p>
              </w:tc>
              <w:tc>
                <w:tcPr>
                  <w:tcW w:w="877" w:type="pct"/>
                  <w:shd w:val="clear" w:color="auto" w:fill="auto"/>
                  <w:vAlign w:val="center"/>
                </w:tcPr>
                <w:p w14:paraId="1345974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w:t>
                  </w:r>
                </w:p>
              </w:tc>
              <w:tc>
                <w:tcPr>
                  <w:tcW w:w="877" w:type="pct"/>
                  <w:shd w:val="clear" w:color="auto" w:fill="auto"/>
                  <w:vAlign w:val="center"/>
                </w:tcPr>
                <w:p w14:paraId="29C5F5E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400</w:t>
                  </w:r>
                </w:p>
              </w:tc>
              <w:tc>
                <w:tcPr>
                  <w:tcW w:w="1140" w:type="pct"/>
                  <w:shd w:val="clear" w:color="auto" w:fill="auto"/>
                  <w:vAlign w:val="center"/>
                </w:tcPr>
                <w:p w14:paraId="0DF5C5A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400</w:t>
                  </w:r>
                </w:p>
              </w:tc>
              <w:tc>
                <w:tcPr>
                  <w:tcW w:w="702" w:type="pct"/>
                  <w:vMerge w:val="continue"/>
                  <w:vAlign w:val="center"/>
                </w:tcPr>
                <w:p w14:paraId="58FFD76D">
                  <w:pPr>
                    <w:pStyle w:val="29"/>
                    <w:bidi w:val="0"/>
                    <w:rPr>
                      <w:rFonts w:hint="default"/>
                      <w:color w:val="auto"/>
                      <w:lang w:val="en-US" w:eastAsia="zh-CN"/>
                    </w:rPr>
                  </w:pPr>
                </w:p>
              </w:tc>
            </w:tr>
            <w:tr w14:paraId="10D9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359AD0A3">
                  <w:pPr>
                    <w:pStyle w:val="29"/>
                    <w:bidi w:val="0"/>
                    <w:rPr>
                      <w:rFonts w:hint="default"/>
                      <w:color w:val="auto"/>
                      <w:lang w:val="en-US" w:eastAsia="zh-CN"/>
                    </w:rPr>
                  </w:pPr>
                  <w:r>
                    <w:rPr>
                      <w:rFonts w:hint="eastAsia"/>
                      <w:color w:val="auto"/>
                      <w:lang w:val="en-US" w:eastAsia="zh-CN"/>
                    </w:rPr>
                    <w:t>BOD</w:t>
                  </w:r>
                  <w:r>
                    <w:rPr>
                      <w:rFonts w:hint="eastAsia"/>
                      <w:color w:val="auto"/>
                      <w:vertAlign w:val="subscript"/>
                      <w:lang w:val="en-US" w:eastAsia="zh-CN"/>
                    </w:rPr>
                    <w:t>5</w:t>
                  </w:r>
                </w:p>
              </w:tc>
              <w:tc>
                <w:tcPr>
                  <w:tcW w:w="701" w:type="pct"/>
                  <w:vAlign w:val="center"/>
                </w:tcPr>
                <w:p w14:paraId="178E652A">
                  <w:pPr>
                    <w:pStyle w:val="29"/>
                    <w:bidi w:val="0"/>
                    <w:rPr>
                      <w:rFonts w:hint="default"/>
                      <w:color w:val="auto"/>
                      <w:lang w:val="en-US" w:eastAsia="zh-CN"/>
                    </w:rPr>
                  </w:pPr>
                  <w:r>
                    <w:rPr>
                      <w:rFonts w:hint="eastAsia"/>
                      <w:color w:val="auto"/>
                      <w:lang w:val="en-US" w:eastAsia="zh-CN"/>
                    </w:rPr>
                    <w:t>350</w:t>
                  </w:r>
                </w:p>
              </w:tc>
              <w:tc>
                <w:tcPr>
                  <w:tcW w:w="877" w:type="pct"/>
                  <w:shd w:val="clear" w:color="auto" w:fill="auto"/>
                  <w:vAlign w:val="center"/>
                </w:tcPr>
                <w:p w14:paraId="15DA663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300</w:t>
                  </w:r>
                </w:p>
              </w:tc>
              <w:tc>
                <w:tcPr>
                  <w:tcW w:w="877" w:type="pct"/>
                  <w:shd w:val="clear" w:color="auto" w:fill="auto"/>
                  <w:vAlign w:val="center"/>
                </w:tcPr>
                <w:p w14:paraId="7B002AA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350</w:t>
                  </w:r>
                </w:p>
              </w:tc>
              <w:tc>
                <w:tcPr>
                  <w:tcW w:w="1140" w:type="pct"/>
                  <w:shd w:val="clear" w:color="auto" w:fill="auto"/>
                  <w:vAlign w:val="center"/>
                </w:tcPr>
                <w:p w14:paraId="0EB98EF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300</w:t>
                  </w:r>
                </w:p>
              </w:tc>
              <w:tc>
                <w:tcPr>
                  <w:tcW w:w="702" w:type="pct"/>
                  <w:vMerge w:val="continue"/>
                  <w:vAlign w:val="center"/>
                </w:tcPr>
                <w:p w14:paraId="32D99469">
                  <w:pPr>
                    <w:pStyle w:val="29"/>
                    <w:bidi w:val="0"/>
                    <w:rPr>
                      <w:rFonts w:hint="default"/>
                      <w:color w:val="auto"/>
                      <w:lang w:val="en-US" w:eastAsia="zh-CN"/>
                    </w:rPr>
                  </w:pPr>
                </w:p>
              </w:tc>
            </w:tr>
            <w:tr w14:paraId="6B79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14338241">
                  <w:pPr>
                    <w:pStyle w:val="29"/>
                    <w:bidi w:val="0"/>
                    <w:rPr>
                      <w:rFonts w:hint="default"/>
                      <w:color w:val="auto"/>
                      <w:lang w:val="en-US" w:eastAsia="zh-CN"/>
                    </w:rPr>
                  </w:pPr>
                  <w:r>
                    <w:rPr>
                      <w:rFonts w:hint="eastAsia"/>
                      <w:color w:val="auto"/>
                      <w:lang w:val="en-US" w:eastAsia="zh-CN"/>
                    </w:rPr>
                    <w:t>COD</w:t>
                  </w:r>
                  <w:r>
                    <w:rPr>
                      <w:rFonts w:hint="eastAsia"/>
                      <w:color w:val="auto"/>
                      <w:vertAlign w:val="subscript"/>
                      <w:lang w:val="en-US" w:eastAsia="zh-CN"/>
                    </w:rPr>
                    <w:t>cr</w:t>
                  </w:r>
                </w:p>
              </w:tc>
              <w:tc>
                <w:tcPr>
                  <w:tcW w:w="701" w:type="pct"/>
                  <w:vAlign w:val="center"/>
                </w:tcPr>
                <w:p w14:paraId="29D5E9F6">
                  <w:pPr>
                    <w:pStyle w:val="29"/>
                    <w:bidi w:val="0"/>
                    <w:rPr>
                      <w:rFonts w:hint="default"/>
                      <w:color w:val="auto"/>
                      <w:lang w:val="en-US" w:eastAsia="zh-CN"/>
                    </w:rPr>
                  </w:pPr>
                  <w:r>
                    <w:rPr>
                      <w:rFonts w:hint="eastAsia"/>
                      <w:color w:val="auto"/>
                      <w:lang w:val="en-US" w:eastAsia="zh-CN"/>
                    </w:rPr>
                    <w:t>500</w:t>
                  </w:r>
                </w:p>
              </w:tc>
              <w:tc>
                <w:tcPr>
                  <w:tcW w:w="877" w:type="pct"/>
                  <w:shd w:val="clear" w:color="auto" w:fill="auto"/>
                  <w:vAlign w:val="center"/>
                </w:tcPr>
                <w:p w14:paraId="707BDA3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500</w:t>
                  </w:r>
                </w:p>
              </w:tc>
              <w:tc>
                <w:tcPr>
                  <w:tcW w:w="877" w:type="pct"/>
                  <w:shd w:val="clear" w:color="auto" w:fill="auto"/>
                  <w:vAlign w:val="center"/>
                </w:tcPr>
                <w:p w14:paraId="7D7EED9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500</w:t>
                  </w:r>
                </w:p>
              </w:tc>
              <w:tc>
                <w:tcPr>
                  <w:tcW w:w="1140" w:type="pct"/>
                  <w:shd w:val="clear" w:color="auto" w:fill="auto"/>
                  <w:vAlign w:val="center"/>
                </w:tcPr>
                <w:p w14:paraId="6E3C50B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500</w:t>
                  </w:r>
                </w:p>
              </w:tc>
              <w:tc>
                <w:tcPr>
                  <w:tcW w:w="702" w:type="pct"/>
                  <w:vMerge w:val="continue"/>
                  <w:vAlign w:val="center"/>
                </w:tcPr>
                <w:p w14:paraId="7E4F8C8B">
                  <w:pPr>
                    <w:pStyle w:val="29"/>
                    <w:bidi w:val="0"/>
                    <w:rPr>
                      <w:rFonts w:hint="default"/>
                      <w:color w:val="auto"/>
                      <w:lang w:val="en-US" w:eastAsia="zh-CN"/>
                    </w:rPr>
                  </w:pPr>
                </w:p>
              </w:tc>
            </w:tr>
            <w:tr w14:paraId="17CB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2F497854">
                  <w:pPr>
                    <w:pStyle w:val="29"/>
                    <w:bidi w:val="0"/>
                    <w:rPr>
                      <w:rFonts w:hint="default"/>
                      <w:color w:val="auto"/>
                      <w:lang w:val="en-US" w:eastAsia="zh-CN"/>
                    </w:rPr>
                  </w:pPr>
                  <w:r>
                    <w:rPr>
                      <w:rFonts w:hint="eastAsia"/>
                      <w:color w:val="auto"/>
                      <w:lang w:val="en-US" w:eastAsia="zh-CN"/>
                    </w:rPr>
                    <w:t>氨氮</w:t>
                  </w:r>
                </w:p>
              </w:tc>
              <w:tc>
                <w:tcPr>
                  <w:tcW w:w="701" w:type="pct"/>
                  <w:vAlign w:val="center"/>
                </w:tcPr>
                <w:p w14:paraId="40E96248">
                  <w:pPr>
                    <w:pStyle w:val="29"/>
                    <w:bidi w:val="0"/>
                    <w:rPr>
                      <w:rFonts w:hint="default"/>
                      <w:color w:val="auto"/>
                      <w:lang w:val="en-US" w:eastAsia="zh-CN"/>
                    </w:rPr>
                  </w:pPr>
                  <w:r>
                    <w:rPr>
                      <w:rFonts w:hint="eastAsia"/>
                      <w:color w:val="auto"/>
                      <w:lang w:val="en-US" w:eastAsia="zh-CN"/>
                    </w:rPr>
                    <w:t>45</w:t>
                  </w:r>
                </w:p>
              </w:tc>
              <w:tc>
                <w:tcPr>
                  <w:tcW w:w="877" w:type="pct"/>
                  <w:shd w:val="clear" w:color="auto" w:fill="auto"/>
                  <w:vAlign w:val="center"/>
                </w:tcPr>
                <w:p w14:paraId="379DDE5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w:t>
                  </w:r>
                </w:p>
              </w:tc>
              <w:tc>
                <w:tcPr>
                  <w:tcW w:w="877" w:type="pct"/>
                  <w:shd w:val="clear" w:color="auto" w:fill="auto"/>
                  <w:vAlign w:val="center"/>
                </w:tcPr>
                <w:p w14:paraId="655D22F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45</w:t>
                  </w:r>
                </w:p>
              </w:tc>
              <w:tc>
                <w:tcPr>
                  <w:tcW w:w="1140" w:type="pct"/>
                  <w:shd w:val="clear" w:color="auto" w:fill="auto"/>
                  <w:vAlign w:val="center"/>
                </w:tcPr>
                <w:p w14:paraId="7925053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45</w:t>
                  </w:r>
                </w:p>
              </w:tc>
              <w:tc>
                <w:tcPr>
                  <w:tcW w:w="702" w:type="pct"/>
                  <w:vMerge w:val="continue"/>
                  <w:vAlign w:val="center"/>
                </w:tcPr>
                <w:p w14:paraId="468FE512">
                  <w:pPr>
                    <w:pStyle w:val="29"/>
                    <w:bidi w:val="0"/>
                    <w:rPr>
                      <w:rFonts w:hint="default"/>
                      <w:color w:val="auto"/>
                      <w:lang w:val="en-US" w:eastAsia="zh-CN"/>
                    </w:rPr>
                  </w:pPr>
                </w:p>
              </w:tc>
            </w:tr>
            <w:tr w14:paraId="1644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5BFB8DBD">
                  <w:pPr>
                    <w:pStyle w:val="29"/>
                    <w:bidi w:val="0"/>
                    <w:rPr>
                      <w:rFonts w:hint="default"/>
                      <w:color w:val="auto"/>
                      <w:lang w:val="en-US" w:eastAsia="zh-CN"/>
                    </w:rPr>
                  </w:pPr>
                  <w:r>
                    <w:rPr>
                      <w:rFonts w:hint="eastAsia"/>
                      <w:color w:val="auto"/>
                      <w:lang w:val="en-US" w:eastAsia="zh-CN"/>
                    </w:rPr>
                    <w:t>总磷</w:t>
                  </w:r>
                </w:p>
              </w:tc>
              <w:tc>
                <w:tcPr>
                  <w:tcW w:w="701" w:type="pct"/>
                  <w:vAlign w:val="center"/>
                </w:tcPr>
                <w:p w14:paraId="3D468798">
                  <w:pPr>
                    <w:pStyle w:val="29"/>
                    <w:bidi w:val="0"/>
                    <w:rPr>
                      <w:rFonts w:hint="default"/>
                      <w:color w:val="auto"/>
                      <w:lang w:val="en-US" w:eastAsia="zh-CN"/>
                    </w:rPr>
                  </w:pPr>
                  <w:r>
                    <w:rPr>
                      <w:rFonts w:hint="eastAsia"/>
                      <w:color w:val="auto"/>
                      <w:lang w:val="en-US" w:eastAsia="zh-CN"/>
                    </w:rPr>
                    <w:t>8.0</w:t>
                  </w:r>
                </w:p>
              </w:tc>
              <w:tc>
                <w:tcPr>
                  <w:tcW w:w="877" w:type="pct"/>
                  <w:shd w:val="clear" w:color="auto" w:fill="auto"/>
                  <w:vAlign w:val="center"/>
                </w:tcPr>
                <w:p w14:paraId="5108C3C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w:t>
                  </w:r>
                </w:p>
              </w:tc>
              <w:tc>
                <w:tcPr>
                  <w:tcW w:w="877" w:type="pct"/>
                  <w:shd w:val="clear" w:color="auto" w:fill="auto"/>
                  <w:vAlign w:val="center"/>
                </w:tcPr>
                <w:p w14:paraId="3F25BC5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w:t>
                  </w:r>
                </w:p>
              </w:tc>
              <w:tc>
                <w:tcPr>
                  <w:tcW w:w="1140" w:type="pct"/>
                  <w:shd w:val="clear" w:color="auto" w:fill="auto"/>
                  <w:vAlign w:val="center"/>
                </w:tcPr>
                <w:p w14:paraId="6BC721A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w:t>
                  </w:r>
                </w:p>
              </w:tc>
              <w:tc>
                <w:tcPr>
                  <w:tcW w:w="702" w:type="pct"/>
                  <w:vMerge w:val="continue"/>
                  <w:vAlign w:val="center"/>
                </w:tcPr>
                <w:p w14:paraId="1CB970E6">
                  <w:pPr>
                    <w:pStyle w:val="29"/>
                    <w:bidi w:val="0"/>
                    <w:rPr>
                      <w:rFonts w:hint="default"/>
                      <w:color w:val="auto"/>
                      <w:lang w:val="en-US" w:eastAsia="zh-CN"/>
                    </w:rPr>
                  </w:pPr>
                </w:p>
              </w:tc>
            </w:tr>
            <w:tr w14:paraId="3F44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 w:type="pct"/>
                  <w:vAlign w:val="center"/>
                </w:tcPr>
                <w:p w14:paraId="295B5769">
                  <w:pPr>
                    <w:pStyle w:val="29"/>
                    <w:bidi w:val="0"/>
                    <w:rPr>
                      <w:rFonts w:hint="default"/>
                      <w:color w:val="auto"/>
                      <w:lang w:val="en-US" w:eastAsia="zh-CN"/>
                    </w:rPr>
                  </w:pPr>
                  <w:r>
                    <w:rPr>
                      <w:rFonts w:hint="eastAsia"/>
                      <w:color w:val="auto"/>
                      <w:lang w:val="en-US" w:eastAsia="zh-CN"/>
                    </w:rPr>
                    <w:t>总氮</w:t>
                  </w:r>
                </w:p>
              </w:tc>
              <w:tc>
                <w:tcPr>
                  <w:tcW w:w="701" w:type="pct"/>
                  <w:vAlign w:val="center"/>
                </w:tcPr>
                <w:p w14:paraId="225A6BD0">
                  <w:pPr>
                    <w:pStyle w:val="29"/>
                    <w:bidi w:val="0"/>
                    <w:rPr>
                      <w:rFonts w:hint="default"/>
                      <w:color w:val="auto"/>
                      <w:lang w:val="en-US" w:eastAsia="zh-CN"/>
                    </w:rPr>
                  </w:pPr>
                  <w:r>
                    <w:rPr>
                      <w:rFonts w:hint="eastAsia"/>
                      <w:color w:val="auto"/>
                      <w:lang w:val="en-US" w:eastAsia="zh-CN"/>
                    </w:rPr>
                    <w:t>70</w:t>
                  </w:r>
                </w:p>
              </w:tc>
              <w:tc>
                <w:tcPr>
                  <w:tcW w:w="877" w:type="pct"/>
                  <w:shd w:val="clear" w:color="auto" w:fill="auto"/>
                  <w:vAlign w:val="center"/>
                </w:tcPr>
                <w:p w14:paraId="09BDD2C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w:t>
                  </w:r>
                </w:p>
              </w:tc>
              <w:tc>
                <w:tcPr>
                  <w:tcW w:w="877" w:type="pct"/>
                  <w:shd w:val="clear" w:color="auto" w:fill="auto"/>
                  <w:vAlign w:val="center"/>
                </w:tcPr>
                <w:p w14:paraId="2E739FE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70</w:t>
                  </w:r>
                </w:p>
              </w:tc>
              <w:tc>
                <w:tcPr>
                  <w:tcW w:w="1140" w:type="pct"/>
                  <w:shd w:val="clear" w:color="auto" w:fill="auto"/>
                  <w:vAlign w:val="center"/>
                </w:tcPr>
                <w:p w14:paraId="0B5004B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70</w:t>
                  </w:r>
                </w:p>
              </w:tc>
              <w:tc>
                <w:tcPr>
                  <w:tcW w:w="702" w:type="pct"/>
                  <w:vMerge w:val="continue"/>
                  <w:vAlign w:val="center"/>
                </w:tcPr>
                <w:p w14:paraId="7983F8E8">
                  <w:pPr>
                    <w:pStyle w:val="29"/>
                    <w:bidi w:val="0"/>
                    <w:rPr>
                      <w:rFonts w:hint="default"/>
                      <w:color w:val="auto"/>
                      <w:lang w:val="en-US" w:eastAsia="zh-CN"/>
                    </w:rPr>
                  </w:pPr>
                </w:p>
              </w:tc>
            </w:tr>
          </w:tbl>
          <w:p w14:paraId="2399E639">
            <w:pPr>
              <w:pStyle w:val="30"/>
              <w:bidi w:val="0"/>
              <w:rPr>
                <w:rFonts w:hint="eastAsia"/>
                <w:color w:val="auto"/>
                <w:lang w:eastAsia="zh-CN"/>
              </w:rPr>
            </w:pPr>
            <w:r>
              <w:rPr>
                <w:rFonts w:hint="eastAsia"/>
                <w:color w:val="auto"/>
                <w:lang w:eastAsia="zh-CN"/>
              </w:rPr>
              <w:t>表3-1</w:t>
            </w:r>
            <w:r>
              <w:rPr>
                <w:rFonts w:hint="eastAsia"/>
                <w:color w:val="auto"/>
                <w:lang w:val="en-US" w:eastAsia="zh-CN"/>
              </w:rPr>
              <w:t>8</w:t>
            </w:r>
            <w:r>
              <w:rPr>
                <w:rFonts w:hint="eastAsia"/>
                <w:color w:val="auto"/>
                <w:lang w:eastAsia="zh-CN"/>
              </w:rPr>
              <w:t xml:space="preserve"> </w:t>
            </w:r>
            <w:r>
              <w:rPr>
                <w:rFonts w:hint="eastAsia"/>
                <w:color w:val="auto"/>
                <w:lang w:val="en-US" w:eastAsia="zh-CN"/>
              </w:rPr>
              <w:t>单位产品基准排水量</w:t>
            </w:r>
            <w:r>
              <w:rPr>
                <w:rFonts w:hint="eastAsia"/>
                <w:color w:val="auto"/>
                <w:lang w:eastAsia="zh-CN"/>
              </w:rPr>
              <w:t xml:space="preserve"> 单位：m</w:t>
            </w:r>
            <w:r>
              <w:rPr>
                <w:rFonts w:hint="eastAsia"/>
                <w:color w:val="auto"/>
                <w:vertAlign w:val="superscript"/>
                <w:lang w:val="en-US" w:eastAsia="zh-CN"/>
              </w:rPr>
              <w:t>3</w:t>
            </w:r>
            <w:r>
              <w:rPr>
                <w:rFonts w:hint="eastAsia"/>
                <w:color w:val="auto"/>
                <w:lang w:eastAsia="zh-CN"/>
              </w:rPr>
              <w:t>/</w:t>
            </w:r>
            <w:r>
              <w:rPr>
                <w:rFonts w:hint="eastAsia"/>
                <w:color w:val="auto"/>
                <w:lang w:val="en-US" w:eastAsia="zh-CN"/>
              </w:rPr>
              <w:t>K</w:t>
            </w:r>
            <w:r>
              <w:rPr>
                <w:rFonts w:hint="eastAsia"/>
                <w:color w:val="auto"/>
                <w:lang w:eastAsia="zh-CN"/>
              </w:rPr>
              <w:t>L</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0"/>
              <w:gridCol w:w="1939"/>
              <w:gridCol w:w="1940"/>
              <w:gridCol w:w="1941"/>
            </w:tblGrid>
            <w:tr w14:paraId="3FA0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879" w:type="dxa"/>
                  <w:gridSpan w:val="2"/>
                  <w:vAlign w:val="center"/>
                </w:tcPr>
                <w:p w14:paraId="1066B21E">
                  <w:pPr>
                    <w:pStyle w:val="29"/>
                    <w:bidi w:val="0"/>
                    <w:rPr>
                      <w:rFonts w:hint="eastAsia"/>
                      <w:color w:val="auto"/>
                      <w:lang w:eastAsia="zh-CN"/>
                    </w:rPr>
                  </w:pPr>
                  <w:r>
                    <w:rPr>
                      <w:rFonts w:hint="eastAsia"/>
                      <w:color w:val="auto"/>
                      <w:lang w:val="en-US" w:eastAsia="zh-CN"/>
                    </w:rPr>
                    <w:t>产品</w:t>
                  </w:r>
                </w:p>
              </w:tc>
              <w:tc>
                <w:tcPr>
                  <w:tcW w:w="1940" w:type="dxa"/>
                  <w:vAlign w:val="center"/>
                </w:tcPr>
                <w:p w14:paraId="09B92F7C">
                  <w:pPr>
                    <w:pStyle w:val="29"/>
                    <w:bidi w:val="0"/>
                    <w:rPr>
                      <w:rFonts w:hint="default"/>
                      <w:color w:val="auto"/>
                      <w:lang w:val="en-US" w:eastAsia="zh-CN"/>
                    </w:rPr>
                  </w:pPr>
                  <w:r>
                    <w:rPr>
                      <w:rFonts w:hint="eastAsia"/>
                      <w:color w:val="auto"/>
                      <w:lang w:val="en-US" w:eastAsia="zh-CN"/>
                    </w:rPr>
                    <w:t>单位产品基准排水量</w:t>
                  </w:r>
                  <w:r>
                    <w:rPr>
                      <w:rFonts w:hint="eastAsia"/>
                      <w:color w:val="auto"/>
                      <w:vertAlign w:val="superscript"/>
                      <w:lang w:val="en-US" w:eastAsia="zh-CN"/>
                    </w:rPr>
                    <w:t>a</w:t>
                  </w:r>
                </w:p>
              </w:tc>
              <w:tc>
                <w:tcPr>
                  <w:tcW w:w="1941" w:type="dxa"/>
                  <w:vAlign w:val="center"/>
                </w:tcPr>
                <w:p w14:paraId="3E5A263F">
                  <w:pPr>
                    <w:pStyle w:val="29"/>
                    <w:bidi w:val="0"/>
                    <w:rPr>
                      <w:rFonts w:hint="default"/>
                      <w:color w:val="auto"/>
                      <w:lang w:val="en-US" w:eastAsia="zh-CN"/>
                    </w:rPr>
                  </w:pPr>
                  <w:r>
                    <w:rPr>
                      <w:rFonts w:hint="eastAsia"/>
                      <w:color w:val="auto"/>
                      <w:lang w:val="en-US" w:eastAsia="zh-CN"/>
                    </w:rPr>
                    <w:t>排水量计量位置</w:t>
                  </w:r>
                </w:p>
              </w:tc>
            </w:tr>
            <w:tr w14:paraId="0552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0" w:type="dxa"/>
                  <w:vAlign w:val="center"/>
                </w:tcPr>
                <w:p w14:paraId="3E801DCD">
                  <w:pPr>
                    <w:pStyle w:val="29"/>
                    <w:bidi w:val="0"/>
                    <w:rPr>
                      <w:rFonts w:hint="default"/>
                      <w:color w:val="auto"/>
                      <w:lang w:val="en-US" w:eastAsia="zh-CN"/>
                    </w:rPr>
                  </w:pPr>
                  <w:r>
                    <w:rPr>
                      <w:rFonts w:hint="eastAsia"/>
                      <w:color w:val="auto"/>
                      <w:lang w:val="en-US" w:eastAsia="zh-CN"/>
                    </w:rPr>
                    <w:t>啤酒制造</w:t>
                  </w:r>
                </w:p>
              </w:tc>
              <w:tc>
                <w:tcPr>
                  <w:tcW w:w="1939" w:type="dxa"/>
                  <w:vAlign w:val="center"/>
                </w:tcPr>
                <w:p w14:paraId="4757BA7E">
                  <w:pPr>
                    <w:pStyle w:val="29"/>
                    <w:bidi w:val="0"/>
                    <w:rPr>
                      <w:rFonts w:hint="default"/>
                      <w:color w:val="auto"/>
                      <w:lang w:val="en-US" w:eastAsia="zh-CN"/>
                    </w:rPr>
                  </w:pPr>
                  <w:r>
                    <w:rPr>
                      <w:rFonts w:hint="eastAsia"/>
                      <w:color w:val="auto"/>
                      <w:lang w:val="en-US" w:eastAsia="zh-CN"/>
                    </w:rPr>
                    <w:t>啤酒生产</w:t>
                  </w:r>
                </w:p>
              </w:tc>
              <w:tc>
                <w:tcPr>
                  <w:tcW w:w="1940" w:type="dxa"/>
                  <w:vAlign w:val="center"/>
                </w:tcPr>
                <w:p w14:paraId="64D0866C">
                  <w:pPr>
                    <w:pStyle w:val="29"/>
                    <w:bidi w:val="0"/>
                    <w:rPr>
                      <w:rFonts w:hint="default"/>
                      <w:color w:val="auto"/>
                      <w:lang w:val="en-US" w:eastAsia="zh-CN"/>
                    </w:rPr>
                  </w:pPr>
                  <w:r>
                    <w:rPr>
                      <w:rFonts w:hint="eastAsia"/>
                      <w:color w:val="auto"/>
                      <w:lang w:val="en-US" w:eastAsia="zh-CN"/>
                    </w:rPr>
                    <w:t>4.0</w:t>
                  </w:r>
                </w:p>
              </w:tc>
              <w:tc>
                <w:tcPr>
                  <w:tcW w:w="1941" w:type="dxa"/>
                  <w:vMerge w:val="restart"/>
                  <w:vAlign w:val="center"/>
                </w:tcPr>
                <w:p w14:paraId="5481C80D">
                  <w:pPr>
                    <w:pStyle w:val="29"/>
                    <w:bidi w:val="0"/>
                    <w:rPr>
                      <w:rFonts w:hint="default"/>
                      <w:color w:val="auto"/>
                      <w:lang w:val="en-US" w:eastAsia="zh-CN"/>
                    </w:rPr>
                  </w:pPr>
                  <w:r>
                    <w:rPr>
                      <w:rFonts w:hint="eastAsia"/>
                      <w:color w:val="auto"/>
                      <w:lang w:val="en-US" w:eastAsia="zh-CN"/>
                    </w:rPr>
                    <w:t>与污染物排放监控位置一致</w:t>
                  </w:r>
                </w:p>
              </w:tc>
            </w:tr>
            <w:tr w14:paraId="010F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40" w:type="dxa"/>
                  <w:vAlign w:val="center"/>
                </w:tcPr>
                <w:p w14:paraId="3F7069A6">
                  <w:pPr>
                    <w:pStyle w:val="29"/>
                    <w:bidi w:val="0"/>
                    <w:rPr>
                      <w:rFonts w:hint="default"/>
                      <w:color w:val="auto"/>
                      <w:lang w:val="en-US" w:eastAsia="zh-CN"/>
                    </w:rPr>
                  </w:pPr>
                  <w:r>
                    <w:rPr>
                      <w:rFonts w:hint="eastAsia"/>
                      <w:color w:val="auto"/>
                      <w:lang w:val="en-US" w:eastAsia="zh-CN"/>
                    </w:rPr>
                    <w:t>其他酒制造</w:t>
                  </w:r>
                </w:p>
              </w:tc>
              <w:tc>
                <w:tcPr>
                  <w:tcW w:w="1939" w:type="dxa"/>
                  <w:vAlign w:val="center"/>
                </w:tcPr>
                <w:p w14:paraId="2AB09DD4">
                  <w:pPr>
                    <w:pStyle w:val="29"/>
                    <w:bidi w:val="0"/>
                    <w:rPr>
                      <w:rFonts w:hint="default"/>
                      <w:color w:val="auto"/>
                      <w:lang w:val="en-US" w:eastAsia="zh-CN"/>
                    </w:rPr>
                  </w:pPr>
                  <w:r>
                    <w:rPr>
                      <w:rFonts w:hint="eastAsia"/>
                      <w:color w:val="auto"/>
                      <w:lang w:val="en-US" w:eastAsia="zh-CN"/>
                    </w:rPr>
                    <w:t>加工灌装</w:t>
                  </w:r>
                </w:p>
              </w:tc>
              <w:tc>
                <w:tcPr>
                  <w:tcW w:w="1940" w:type="dxa"/>
                  <w:vAlign w:val="center"/>
                </w:tcPr>
                <w:p w14:paraId="6B0773F5">
                  <w:pPr>
                    <w:pStyle w:val="29"/>
                    <w:bidi w:val="0"/>
                    <w:rPr>
                      <w:rFonts w:hint="default"/>
                      <w:color w:val="auto"/>
                      <w:lang w:val="en-US" w:eastAsia="zh-CN"/>
                    </w:rPr>
                  </w:pPr>
                  <w:r>
                    <w:rPr>
                      <w:rFonts w:hint="eastAsia"/>
                      <w:color w:val="auto"/>
                      <w:lang w:val="en-US" w:eastAsia="zh-CN"/>
                    </w:rPr>
                    <w:t>6.0</w:t>
                  </w:r>
                </w:p>
              </w:tc>
              <w:tc>
                <w:tcPr>
                  <w:tcW w:w="1941" w:type="dxa"/>
                  <w:vMerge w:val="continue"/>
                  <w:vAlign w:val="center"/>
                </w:tcPr>
                <w:p w14:paraId="47123E4E">
                  <w:pPr>
                    <w:pStyle w:val="29"/>
                    <w:bidi w:val="0"/>
                    <w:rPr>
                      <w:rFonts w:hint="eastAsia"/>
                      <w:color w:val="auto"/>
                      <w:lang w:eastAsia="zh-CN"/>
                    </w:rPr>
                  </w:pPr>
                </w:p>
              </w:tc>
            </w:tr>
            <w:tr w14:paraId="35AA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60" w:type="dxa"/>
                  <w:gridSpan w:val="4"/>
                  <w:vAlign w:val="center"/>
                </w:tcPr>
                <w:p w14:paraId="13A56808">
                  <w:pPr>
                    <w:pStyle w:val="29"/>
                    <w:bidi w:val="0"/>
                    <w:jc w:val="both"/>
                    <w:rPr>
                      <w:rFonts w:hint="default"/>
                      <w:color w:val="auto"/>
                      <w:lang w:val="en-US" w:eastAsia="zh-CN"/>
                    </w:rPr>
                  </w:pPr>
                  <w:r>
                    <w:rPr>
                      <w:rFonts w:hint="eastAsia"/>
                      <w:color w:val="auto"/>
                      <w:lang w:val="en-US" w:eastAsia="zh-CN"/>
                    </w:rPr>
                    <w:t>a含有多个生产工序的，将各工序的基准排水量加和核定总基准排水量；涉及多个产品生产的，按各产品基准排水量与其实际产量比例的乘积之和计算总基准排水量</w:t>
                  </w:r>
                </w:p>
              </w:tc>
            </w:tr>
          </w:tbl>
          <w:p w14:paraId="3D5A005C">
            <w:pPr>
              <w:bidi w:val="0"/>
              <w:rPr>
                <w:rFonts w:hint="default"/>
                <w:b/>
                <w:bCs/>
                <w:color w:val="auto"/>
              </w:rPr>
            </w:pPr>
            <w:r>
              <w:rPr>
                <w:rFonts w:hint="eastAsia"/>
                <w:b/>
                <w:bCs/>
                <w:color w:val="auto"/>
                <w:lang w:eastAsia="zh-CN"/>
              </w:rPr>
              <w:t>（</w:t>
            </w:r>
            <w:r>
              <w:rPr>
                <w:rFonts w:hint="eastAsia"/>
                <w:b/>
                <w:bCs/>
                <w:color w:val="auto"/>
                <w:lang w:val="en-US" w:eastAsia="zh-CN"/>
              </w:rPr>
              <w:t>3</w:t>
            </w:r>
            <w:r>
              <w:rPr>
                <w:rFonts w:hint="eastAsia"/>
                <w:b/>
                <w:bCs/>
                <w:color w:val="auto"/>
                <w:lang w:eastAsia="zh-CN"/>
              </w:rPr>
              <w:t>）</w:t>
            </w:r>
            <w:r>
              <w:rPr>
                <w:b/>
                <w:bCs/>
                <w:color w:val="auto"/>
              </w:rPr>
              <w:t>噪声</w:t>
            </w:r>
          </w:p>
          <w:p w14:paraId="37DC345A">
            <w:pPr>
              <w:bidi w:val="0"/>
              <w:rPr>
                <w:rFonts w:hint="eastAsia"/>
                <w:color w:val="auto"/>
              </w:rPr>
            </w:pPr>
            <w:r>
              <w:rPr>
                <w:rFonts w:hint="eastAsia"/>
                <w:color w:val="auto"/>
              </w:rPr>
              <w:t>项目施工期噪声执行《建筑施工噪声排放标准》（GB12523-2025），标准限值见下表。</w:t>
            </w:r>
          </w:p>
          <w:p w14:paraId="1CA63CE2">
            <w:pPr>
              <w:pStyle w:val="30"/>
              <w:bidi w:val="0"/>
              <w:rPr>
                <w:rFonts w:hint="eastAsia" w:asciiTheme="minorEastAsia" w:hAnsiTheme="minorEastAsia" w:eastAsiaTheme="minorEastAsia" w:cstheme="minorEastAsia"/>
                <w:b/>
                <w:bCs/>
                <w:color w:val="auto"/>
              </w:rPr>
            </w:pPr>
            <w:r>
              <w:rPr>
                <w:rFonts w:hint="eastAsia"/>
                <w:color w:val="auto"/>
              </w:rPr>
              <w:t>表3-</w:t>
            </w:r>
            <w:r>
              <w:rPr>
                <w:rFonts w:hint="eastAsia"/>
                <w:color w:val="auto"/>
                <w:lang w:val="en-US" w:eastAsia="zh-CN"/>
              </w:rPr>
              <w:t>19</w:t>
            </w:r>
            <w:r>
              <w:rPr>
                <w:rFonts w:hint="eastAsia"/>
                <w:color w:val="auto"/>
              </w:rPr>
              <w:t xml:space="preserve"> 建筑施工噪声排放标准 </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80"/>
              <w:gridCol w:w="3880"/>
            </w:tblGrid>
            <w:tr w14:paraId="7BE9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 w:hRule="atLeast"/>
                <w:jc w:val="center"/>
              </w:trPr>
              <w:tc>
                <w:tcPr>
                  <w:tcW w:w="2500" w:type="pct"/>
                  <w:tcBorders>
                    <w:top w:val="single" w:color="auto" w:sz="4" w:space="0"/>
                    <w:left w:val="single" w:color="auto" w:sz="4" w:space="0"/>
                    <w:bottom w:val="single" w:color="auto" w:sz="4" w:space="0"/>
                    <w:right w:val="single" w:color="auto" w:sz="4" w:space="0"/>
                  </w:tcBorders>
                  <w:vAlign w:val="center"/>
                </w:tcPr>
                <w:p w14:paraId="78F0E0FD">
                  <w:pPr>
                    <w:pStyle w:val="29"/>
                    <w:bidi w:val="0"/>
                    <w:rPr>
                      <w:rFonts w:hint="eastAsia"/>
                      <w:color w:val="auto"/>
                    </w:rPr>
                  </w:pPr>
                  <w:r>
                    <w:rPr>
                      <w:rFonts w:hint="eastAsia"/>
                      <w:color w:val="auto"/>
                    </w:rPr>
                    <w:t>昼间[dB</w:t>
                  </w:r>
                  <w:r>
                    <w:rPr>
                      <w:rFonts w:hint="eastAsia"/>
                      <w:color w:val="auto"/>
                      <w:lang w:eastAsia="zh-CN"/>
                    </w:rPr>
                    <w:t>（</w:t>
                  </w:r>
                  <w:r>
                    <w:rPr>
                      <w:rFonts w:hint="eastAsia"/>
                      <w:color w:val="auto"/>
                    </w:rPr>
                    <w:t>A</w:t>
                  </w:r>
                  <w:r>
                    <w:rPr>
                      <w:rFonts w:hint="eastAsia"/>
                      <w:color w:val="auto"/>
                      <w:lang w:eastAsia="zh-CN"/>
                    </w:rPr>
                    <w:t>）</w:t>
                  </w:r>
                  <w:r>
                    <w:rPr>
                      <w:rFonts w:hint="eastAsia"/>
                      <w:color w:val="auto"/>
                    </w:rPr>
                    <w:t>]</w:t>
                  </w:r>
                </w:p>
              </w:tc>
              <w:tc>
                <w:tcPr>
                  <w:tcW w:w="2500" w:type="pct"/>
                  <w:tcBorders>
                    <w:top w:val="single" w:color="auto" w:sz="4" w:space="0"/>
                    <w:left w:val="single" w:color="auto" w:sz="4" w:space="0"/>
                    <w:bottom w:val="single" w:color="auto" w:sz="4" w:space="0"/>
                    <w:right w:val="single" w:color="auto" w:sz="4" w:space="0"/>
                  </w:tcBorders>
                  <w:vAlign w:val="center"/>
                </w:tcPr>
                <w:p w14:paraId="0F127FE5">
                  <w:pPr>
                    <w:pStyle w:val="29"/>
                    <w:bidi w:val="0"/>
                    <w:rPr>
                      <w:rFonts w:hint="eastAsia"/>
                      <w:color w:val="auto"/>
                    </w:rPr>
                  </w:pPr>
                  <w:r>
                    <w:rPr>
                      <w:rFonts w:hint="eastAsia"/>
                      <w:color w:val="auto"/>
                    </w:rPr>
                    <w:t>夜间[dB</w:t>
                  </w:r>
                  <w:r>
                    <w:rPr>
                      <w:rFonts w:hint="eastAsia"/>
                      <w:color w:val="auto"/>
                      <w:lang w:eastAsia="zh-CN"/>
                    </w:rPr>
                    <w:t>（</w:t>
                  </w:r>
                  <w:r>
                    <w:rPr>
                      <w:rFonts w:hint="eastAsia"/>
                      <w:color w:val="auto"/>
                    </w:rPr>
                    <w:t>A</w:t>
                  </w:r>
                  <w:r>
                    <w:rPr>
                      <w:rFonts w:hint="eastAsia"/>
                      <w:color w:val="auto"/>
                      <w:lang w:eastAsia="zh-CN"/>
                    </w:rPr>
                    <w:t>）</w:t>
                  </w:r>
                  <w:r>
                    <w:rPr>
                      <w:rFonts w:hint="eastAsia"/>
                      <w:color w:val="auto"/>
                    </w:rPr>
                    <w:t>]</w:t>
                  </w:r>
                </w:p>
              </w:tc>
            </w:tr>
            <w:tr w14:paraId="758E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2500" w:type="pct"/>
                  <w:tcBorders>
                    <w:top w:val="single" w:color="auto" w:sz="4" w:space="0"/>
                    <w:left w:val="single" w:color="auto" w:sz="4" w:space="0"/>
                    <w:bottom w:val="single" w:color="auto" w:sz="4" w:space="0"/>
                    <w:right w:val="single" w:color="auto" w:sz="4" w:space="0"/>
                  </w:tcBorders>
                  <w:vAlign w:val="center"/>
                </w:tcPr>
                <w:p w14:paraId="5A876B83">
                  <w:pPr>
                    <w:pStyle w:val="29"/>
                    <w:bidi w:val="0"/>
                    <w:rPr>
                      <w:rFonts w:hint="eastAsia"/>
                      <w:color w:val="auto"/>
                    </w:rPr>
                  </w:pPr>
                  <w:r>
                    <w:rPr>
                      <w:rFonts w:hint="eastAsia"/>
                      <w:color w:val="auto"/>
                    </w:rPr>
                    <w:t>70</w:t>
                  </w:r>
                </w:p>
              </w:tc>
              <w:tc>
                <w:tcPr>
                  <w:tcW w:w="2500" w:type="pct"/>
                  <w:tcBorders>
                    <w:top w:val="single" w:color="auto" w:sz="4" w:space="0"/>
                    <w:left w:val="single" w:color="auto" w:sz="4" w:space="0"/>
                    <w:bottom w:val="single" w:color="auto" w:sz="4" w:space="0"/>
                    <w:right w:val="single" w:color="auto" w:sz="4" w:space="0"/>
                  </w:tcBorders>
                  <w:vAlign w:val="center"/>
                </w:tcPr>
                <w:p w14:paraId="0F811E5F">
                  <w:pPr>
                    <w:pStyle w:val="29"/>
                    <w:bidi w:val="0"/>
                    <w:rPr>
                      <w:rFonts w:hint="eastAsia"/>
                      <w:color w:val="auto"/>
                    </w:rPr>
                  </w:pPr>
                  <w:r>
                    <w:rPr>
                      <w:rFonts w:hint="eastAsia"/>
                      <w:color w:val="auto"/>
                    </w:rPr>
                    <w:t>55</w:t>
                  </w:r>
                </w:p>
              </w:tc>
            </w:tr>
          </w:tbl>
          <w:p w14:paraId="4D25B566">
            <w:pPr>
              <w:ind w:firstLine="480"/>
              <w:rPr>
                <w:rFonts w:cs="Times New Roman"/>
                <w:color w:val="auto"/>
              </w:rPr>
            </w:pPr>
            <w:r>
              <w:rPr>
                <w:rFonts w:hint="eastAsia"/>
                <w:color w:val="auto"/>
                <w:lang w:eastAsia="zh-CN"/>
              </w:rPr>
              <w:t>运营期</w:t>
            </w:r>
            <w:r>
              <w:rPr>
                <w:rFonts w:hint="eastAsia"/>
                <w:color w:val="auto"/>
              </w:rPr>
              <w:t>厂界噪声执</w:t>
            </w:r>
            <w:r>
              <w:rPr>
                <w:rFonts w:hint="eastAsia" w:cs="Times New Roman"/>
                <w:color w:val="auto"/>
              </w:rPr>
              <w:t>行《工业企业厂界环境噪声排放标准》（</w:t>
            </w:r>
            <w:r>
              <w:rPr>
                <w:rFonts w:cs="Times New Roman"/>
                <w:color w:val="auto"/>
              </w:rPr>
              <w:t>GB12348-2008</w:t>
            </w:r>
            <w:r>
              <w:rPr>
                <w:rFonts w:hint="eastAsia" w:cs="Times New Roman"/>
                <w:color w:val="auto"/>
              </w:rPr>
              <w:t>）</w:t>
            </w:r>
            <w:r>
              <w:rPr>
                <w:rFonts w:hint="eastAsia" w:cs="Times New Roman"/>
                <w:color w:val="auto"/>
                <w:lang w:val="en-US" w:eastAsia="zh-CN"/>
              </w:rPr>
              <w:t>3</w:t>
            </w:r>
            <w:r>
              <w:rPr>
                <w:rFonts w:hint="eastAsia" w:cs="Times New Roman"/>
                <w:color w:val="auto"/>
              </w:rPr>
              <w:t>类标准。</w:t>
            </w:r>
          </w:p>
          <w:p w14:paraId="5BB223B6">
            <w:pPr>
              <w:pStyle w:val="30"/>
              <w:rPr>
                <w:rFonts w:hint="default"/>
                <w:color w:val="auto"/>
              </w:rPr>
            </w:pPr>
            <w:r>
              <w:rPr>
                <w:color w:val="auto"/>
              </w:rPr>
              <w:t>表3-</w:t>
            </w:r>
            <w:r>
              <w:rPr>
                <w:rFonts w:hint="eastAsia"/>
                <w:color w:val="auto"/>
                <w:lang w:val="en-US" w:eastAsia="zh-CN"/>
              </w:rPr>
              <w:t>20</w:t>
            </w:r>
            <w:r>
              <w:rPr>
                <w:color w:val="auto"/>
              </w:rPr>
              <w:t xml:space="preserve">  工业企业厂界环境噪声排放标准</w:t>
            </w:r>
            <w:r>
              <w:rPr>
                <w:rFonts w:hint="eastAsia"/>
                <w:color w:val="auto"/>
                <w:lang w:val="en-US" w:eastAsia="zh-CN"/>
              </w:rPr>
              <w:t xml:space="preserve">   </w:t>
            </w:r>
            <w:r>
              <w:rPr>
                <w:color w:val="auto"/>
              </w:rPr>
              <w:t>单位：dB(A)</w:t>
            </w:r>
          </w:p>
          <w:tbl>
            <w:tblPr>
              <w:tblStyle w:val="23"/>
              <w:tblW w:w="4999"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586"/>
              <w:gridCol w:w="2586"/>
              <w:gridCol w:w="2586"/>
            </w:tblGrid>
            <w:tr w14:paraId="25FB0B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7" w:hRule="atLeast"/>
                <w:jc w:val="center"/>
              </w:trPr>
              <w:tc>
                <w:tcPr>
                  <w:tcW w:w="1666" w:type="pct"/>
                  <w:vAlign w:val="center"/>
                </w:tcPr>
                <w:p w14:paraId="59EEC8B2">
                  <w:pPr>
                    <w:pStyle w:val="29"/>
                    <w:rPr>
                      <w:rFonts w:hint="default"/>
                      <w:color w:val="auto"/>
                    </w:rPr>
                  </w:pPr>
                  <w:r>
                    <w:rPr>
                      <w:color w:val="auto"/>
                    </w:rPr>
                    <w:t>类别</w:t>
                  </w:r>
                </w:p>
              </w:tc>
              <w:tc>
                <w:tcPr>
                  <w:tcW w:w="1666" w:type="pct"/>
                  <w:vAlign w:val="center"/>
                </w:tcPr>
                <w:p w14:paraId="1E0EF08F">
                  <w:pPr>
                    <w:pStyle w:val="29"/>
                    <w:rPr>
                      <w:rFonts w:hint="default"/>
                      <w:color w:val="auto"/>
                    </w:rPr>
                  </w:pPr>
                  <w:r>
                    <w:rPr>
                      <w:color w:val="auto"/>
                    </w:rPr>
                    <w:t>昼间</w:t>
                  </w:r>
                </w:p>
              </w:tc>
              <w:tc>
                <w:tcPr>
                  <w:tcW w:w="1666" w:type="pct"/>
                  <w:vAlign w:val="center"/>
                </w:tcPr>
                <w:p w14:paraId="5EB2B879">
                  <w:pPr>
                    <w:pStyle w:val="29"/>
                    <w:rPr>
                      <w:rFonts w:hint="default"/>
                      <w:color w:val="auto"/>
                    </w:rPr>
                  </w:pPr>
                  <w:r>
                    <w:rPr>
                      <w:color w:val="auto"/>
                    </w:rPr>
                    <w:t>夜间</w:t>
                  </w:r>
                </w:p>
              </w:tc>
            </w:tr>
            <w:tr w14:paraId="7AED53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666" w:type="pct"/>
                  <w:vAlign w:val="center"/>
                </w:tcPr>
                <w:p w14:paraId="4903AED8">
                  <w:pPr>
                    <w:pStyle w:val="29"/>
                    <w:rPr>
                      <w:rFonts w:hint="default"/>
                      <w:color w:val="auto"/>
                    </w:rPr>
                  </w:pPr>
                  <w:r>
                    <w:rPr>
                      <w:rFonts w:hint="eastAsia"/>
                      <w:color w:val="auto"/>
                      <w:lang w:val="en-US" w:eastAsia="zh-CN"/>
                    </w:rPr>
                    <w:t>3</w:t>
                  </w:r>
                  <w:r>
                    <w:rPr>
                      <w:color w:val="auto"/>
                    </w:rPr>
                    <w:t>类</w:t>
                  </w:r>
                </w:p>
              </w:tc>
              <w:tc>
                <w:tcPr>
                  <w:tcW w:w="1666" w:type="pct"/>
                  <w:vAlign w:val="center"/>
                </w:tcPr>
                <w:p w14:paraId="702ED2E7">
                  <w:pPr>
                    <w:pStyle w:val="29"/>
                    <w:rPr>
                      <w:rFonts w:hint="default" w:eastAsia="宋体"/>
                      <w:color w:val="auto"/>
                      <w:lang w:val="en-US" w:eastAsia="zh-CN"/>
                    </w:rPr>
                  </w:pPr>
                  <w:r>
                    <w:rPr>
                      <w:rFonts w:hint="default" w:ascii="Times New Roman" w:hAnsi="Times New Roman" w:cs="Times New Roman"/>
                      <w:color w:val="auto"/>
                    </w:rPr>
                    <w:t>≤</w:t>
                  </w:r>
                  <w:r>
                    <w:rPr>
                      <w:rFonts w:hint="eastAsia"/>
                      <w:color w:val="auto"/>
                      <w:lang w:val="en-US" w:eastAsia="zh-CN"/>
                    </w:rPr>
                    <w:t>65</w:t>
                  </w:r>
                </w:p>
              </w:tc>
              <w:tc>
                <w:tcPr>
                  <w:tcW w:w="1666" w:type="pct"/>
                  <w:vAlign w:val="center"/>
                </w:tcPr>
                <w:p w14:paraId="4CAAE39C">
                  <w:pPr>
                    <w:pStyle w:val="29"/>
                    <w:rPr>
                      <w:rFonts w:hint="default" w:eastAsia="宋体"/>
                      <w:color w:val="auto"/>
                      <w:lang w:val="en-US" w:eastAsia="zh-CN"/>
                    </w:rPr>
                  </w:pPr>
                  <w:r>
                    <w:rPr>
                      <w:rFonts w:hint="default" w:ascii="Times New Roman" w:hAnsi="Times New Roman" w:cs="Times New Roman"/>
                      <w:color w:val="auto"/>
                    </w:rPr>
                    <w:t>≤</w:t>
                  </w:r>
                  <w:r>
                    <w:rPr>
                      <w:rFonts w:hint="eastAsia"/>
                      <w:color w:val="auto"/>
                      <w:lang w:val="en-US" w:eastAsia="zh-CN"/>
                    </w:rPr>
                    <w:t>55</w:t>
                  </w:r>
                </w:p>
              </w:tc>
            </w:tr>
          </w:tbl>
          <w:p w14:paraId="45F890E4">
            <w:pPr>
              <w:bidi w:val="0"/>
              <w:rPr>
                <w:rFonts w:hint="default"/>
                <w:b/>
                <w:bCs/>
                <w:color w:val="auto"/>
              </w:rPr>
            </w:pPr>
            <w:r>
              <w:rPr>
                <w:rFonts w:hint="eastAsia"/>
                <w:b/>
                <w:bCs/>
                <w:color w:val="auto"/>
                <w:lang w:eastAsia="zh-CN"/>
              </w:rPr>
              <w:t>（</w:t>
            </w:r>
            <w:r>
              <w:rPr>
                <w:rFonts w:hint="eastAsia"/>
                <w:b/>
                <w:bCs/>
                <w:color w:val="auto"/>
                <w:lang w:val="en-US" w:eastAsia="zh-CN"/>
              </w:rPr>
              <w:t>4</w:t>
            </w:r>
            <w:r>
              <w:rPr>
                <w:rFonts w:hint="eastAsia"/>
                <w:b/>
                <w:bCs/>
                <w:color w:val="auto"/>
                <w:lang w:eastAsia="zh-CN"/>
              </w:rPr>
              <w:t>）</w:t>
            </w:r>
            <w:r>
              <w:rPr>
                <w:b/>
                <w:bCs/>
                <w:color w:val="auto"/>
              </w:rPr>
              <w:t>固体废物</w:t>
            </w:r>
          </w:p>
          <w:p w14:paraId="0C448115">
            <w:pPr>
              <w:ind w:firstLine="482"/>
              <w:rPr>
                <w:rFonts w:hint="eastAsia"/>
                <w:b/>
                <w:bCs/>
                <w:color w:val="auto"/>
                <w:lang w:eastAsia="zh-CN"/>
              </w:rPr>
            </w:pPr>
            <w:r>
              <w:rPr>
                <w:rFonts w:hint="eastAsia"/>
                <w:b/>
                <w:bCs/>
                <w:color w:val="auto"/>
                <w:lang w:val="en-US" w:eastAsia="zh-CN"/>
              </w:rPr>
              <w:t>1</w:t>
            </w:r>
            <w:r>
              <w:rPr>
                <w:rFonts w:hint="eastAsia"/>
                <w:b/>
                <w:bCs/>
                <w:color w:val="auto"/>
              </w:rPr>
              <w:t>）</w:t>
            </w:r>
            <w:r>
              <w:rPr>
                <w:rFonts w:hint="eastAsia"/>
                <w:b/>
                <w:bCs/>
                <w:color w:val="auto"/>
                <w:lang w:eastAsia="zh-CN"/>
              </w:rPr>
              <w:t>一般工业固体废物暂存</w:t>
            </w:r>
          </w:p>
          <w:p w14:paraId="084CC248">
            <w:pPr>
              <w:pStyle w:val="43"/>
              <w:rPr>
                <w:rFonts w:hint="eastAsia"/>
                <w:color w:val="auto"/>
                <w:lang w:eastAsia="zh-CN"/>
              </w:rPr>
            </w:pPr>
            <w:r>
              <w:rPr>
                <w:rFonts w:hint="eastAsia"/>
                <w:color w:val="auto"/>
                <w:lang w:eastAsia="zh-CN"/>
              </w:rPr>
              <w:t>本项目产生的一般固体废物执行《一般工业固体废物贮存和填埋污染控制标准》（GB 18599-2020）要求。</w:t>
            </w:r>
          </w:p>
          <w:p w14:paraId="16E951F1">
            <w:pPr>
              <w:ind w:firstLine="482"/>
              <w:rPr>
                <w:b/>
                <w:bCs/>
                <w:color w:val="auto"/>
              </w:rPr>
            </w:pPr>
            <w:r>
              <w:rPr>
                <w:rFonts w:hint="eastAsia"/>
                <w:b/>
                <w:bCs/>
                <w:color w:val="auto"/>
                <w:lang w:val="en-US" w:eastAsia="zh-CN"/>
              </w:rPr>
              <w:t>2）</w:t>
            </w:r>
            <w:r>
              <w:rPr>
                <w:rFonts w:hint="eastAsia"/>
                <w:b/>
                <w:bCs/>
                <w:color w:val="auto"/>
              </w:rPr>
              <w:t>危险废物收集、暂存、转移及处置</w:t>
            </w:r>
          </w:p>
          <w:p w14:paraId="3D3160D2">
            <w:pPr>
              <w:ind w:firstLine="480"/>
              <w:rPr>
                <w:color w:val="auto"/>
              </w:rPr>
            </w:pPr>
            <w:r>
              <w:rPr>
                <w:rFonts w:hint="eastAsia"/>
                <w:color w:val="auto"/>
              </w:rPr>
              <w:t>危险固废贮存、管理执行《危险废物贮存污染控制标准》（GB18597-20</w:t>
            </w:r>
            <w:r>
              <w:rPr>
                <w:rFonts w:hint="eastAsia"/>
                <w:color w:val="auto"/>
                <w:lang w:val="en-US" w:eastAsia="zh-CN"/>
              </w:rPr>
              <w:t>23</w:t>
            </w:r>
            <w:r>
              <w:rPr>
                <w:rFonts w:hint="eastAsia"/>
                <w:color w:val="auto"/>
              </w:rPr>
              <w:t>）</w:t>
            </w:r>
            <w:r>
              <w:rPr>
                <w:rFonts w:hint="eastAsia"/>
                <w:bCs/>
                <w:color w:val="auto"/>
              </w:rPr>
              <w:t>和《危险废物收集贮存运输技术规范》（HJ2025-2012）进行储存、转运和处置。</w:t>
            </w:r>
          </w:p>
        </w:tc>
      </w:tr>
      <w:tr w14:paraId="5C7C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8" w:type="dxa"/>
            <w:vAlign w:val="center"/>
          </w:tcPr>
          <w:p w14:paraId="0213E9AC">
            <w:pPr>
              <w:ind w:firstLine="0" w:firstLineChars="0"/>
              <w:jc w:val="center"/>
              <w:rPr>
                <w:color w:val="auto"/>
              </w:rPr>
            </w:pPr>
            <w:r>
              <w:rPr>
                <w:rFonts w:hint="eastAsia"/>
                <w:color w:val="auto"/>
              </w:rPr>
              <w:t>总量控制指标</w:t>
            </w:r>
          </w:p>
        </w:tc>
        <w:tc>
          <w:tcPr>
            <w:tcW w:w="7964" w:type="dxa"/>
          </w:tcPr>
          <w:p w14:paraId="443CC3EF">
            <w:pPr>
              <w:ind w:firstLine="482"/>
              <w:rPr>
                <w:rFonts w:cs="Times New Roman"/>
                <w:b/>
                <w:bCs/>
                <w:color w:val="auto"/>
              </w:rPr>
            </w:pPr>
            <w:r>
              <w:rPr>
                <w:rFonts w:cs="Times New Roman"/>
                <w:b/>
                <w:bCs/>
                <w:color w:val="auto"/>
              </w:rPr>
              <w:t>一、排污许可核发的总量</w:t>
            </w:r>
          </w:p>
          <w:p w14:paraId="241CBD84">
            <w:pPr>
              <w:ind w:firstLine="480"/>
              <w:rPr>
                <w:rFonts w:cs="Times New Roman"/>
                <w:color w:val="auto"/>
              </w:rPr>
            </w:pPr>
            <w:r>
              <w:rPr>
                <w:rFonts w:hint="eastAsia" w:cs="Times New Roman"/>
                <w:color w:val="auto"/>
              </w:rPr>
              <w:t>本项目为新建项目，还未取得排污许可证，项目排污前将按照《固定污染物排污许可分类管理名录》（2019）及排污许可证申请与核发技术规范进行申报。</w:t>
            </w:r>
          </w:p>
          <w:p w14:paraId="538C2874">
            <w:pPr>
              <w:ind w:firstLine="482"/>
              <w:rPr>
                <w:rFonts w:cs="Times New Roman"/>
                <w:b/>
                <w:bCs/>
                <w:color w:val="auto"/>
              </w:rPr>
            </w:pPr>
            <w:r>
              <w:rPr>
                <w:rFonts w:cs="Times New Roman"/>
                <w:b/>
                <w:bCs/>
                <w:color w:val="auto"/>
              </w:rPr>
              <w:t>二、本项目</w:t>
            </w:r>
            <w:r>
              <w:rPr>
                <w:rFonts w:hint="eastAsia" w:cs="Times New Roman"/>
                <w:b/>
                <w:bCs/>
                <w:color w:val="auto"/>
              </w:rPr>
              <w:t>建议总量控制指标</w:t>
            </w:r>
          </w:p>
          <w:p w14:paraId="2CD242D9">
            <w:pPr>
              <w:keepNext w:val="0"/>
              <w:keepLines w:val="0"/>
              <w:widowControl/>
              <w:suppressLineNumbers w:val="0"/>
              <w:jc w:val="left"/>
              <w:rPr>
                <w:color w:val="auto"/>
              </w:rPr>
            </w:pPr>
            <w:r>
              <w:rPr>
                <w:rFonts w:hint="eastAsia"/>
                <w:b/>
                <w:bCs/>
                <w:color w:val="auto"/>
              </w:rPr>
              <w:t>废气：</w:t>
            </w:r>
            <w:r>
              <w:rPr>
                <w:rFonts w:hint="eastAsia"/>
                <w:color w:val="auto"/>
                <w:highlight w:val="none"/>
              </w:rPr>
              <w:t>本项目废气量为</w:t>
            </w:r>
            <w:r>
              <w:rPr>
                <w:rFonts w:hint="eastAsia"/>
                <w:color w:val="auto"/>
                <w:highlight w:val="none"/>
                <w:lang w:val="en-US" w:eastAsia="zh-CN"/>
              </w:rPr>
              <w:t>103.443</w:t>
            </w:r>
            <w:r>
              <w:rPr>
                <w:rFonts w:hint="eastAsia"/>
                <w:color w:val="auto"/>
                <w:highlight w:val="none"/>
              </w:rPr>
              <w:t>万m</w:t>
            </w:r>
            <w:r>
              <w:rPr>
                <w:rFonts w:hint="eastAsia"/>
                <w:color w:val="auto"/>
                <w:highlight w:val="none"/>
                <w:vertAlign w:val="superscript"/>
              </w:rPr>
              <w:t>3</w:t>
            </w:r>
            <w:r>
              <w:rPr>
                <w:rFonts w:hint="eastAsia"/>
                <w:color w:val="auto"/>
                <w:highlight w:val="none"/>
              </w:rPr>
              <w:t>/a；项目运营期大气污染物主要为颗粒物、SO</w:t>
            </w:r>
            <w:r>
              <w:rPr>
                <w:rFonts w:hint="eastAsia"/>
                <w:color w:val="auto"/>
                <w:highlight w:val="none"/>
                <w:vertAlign w:val="subscript"/>
              </w:rPr>
              <w:t>2</w:t>
            </w:r>
            <w:r>
              <w:rPr>
                <w:rFonts w:hint="eastAsia"/>
                <w:color w:val="auto"/>
                <w:highlight w:val="none"/>
              </w:rPr>
              <w:t>、NO</w:t>
            </w:r>
            <w:r>
              <w:rPr>
                <w:rFonts w:hint="eastAsia"/>
                <w:color w:val="auto"/>
                <w:highlight w:val="none"/>
                <w:vertAlign w:val="subscript"/>
              </w:rPr>
              <w:t>X</w:t>
            </w:r>
            <w:r>
              <w:rPr>
                <w:rFonts w:hint="eastAsia"/>
                <w:color w:val="auto"/>
                <w:highlight w:val="none"/>
              </w:rPr>
              <w:t>、非甲烷总烃、NH</w:t>
            </w:r>
            <w:r>
              <w:rPr>
                <w:rFonts w:hint="eastAsia"/>
                <w:color w:val="auto"/>
                <w:highlight w:val="none"/>
                <w:vertAlign w:val="subscript"/>
              </w:rPr>
              <w:t>3</w:t>
            </w:r>
            <w:r>
              <w:rPr>
                <w:rFonts w:hint="eastAsia"/>
                <w:color w:val="auto"/>
                <w:highlight w:val="none"/>
              </w:rPr>
              <w:t>、H</w:t>
            </w:r>
            <w:r>
              <w:rPr>
                <w:rFonts w:hint="eastAsia"/>
                <w:color w:val="auto"/>
                <w:highlight w:val="none"/>
                <w:vertAlign w:val="subscript"/>
              </w:rPr>
              <w:t>2</w:t>
            </w:r>
            <w:r>
              <w:rPr>
                <w:rFonts w:hint="eastAsia"/>
                <w:color w:val="auto"/>
                <w:highlight w:val="none"/>
              </w:rPr>
              <w:t>S等，其中颗粒物为</w:t>
            </w:r>
            <w:r>
              <w:rPr>
                <w:rFonts w:hint="eastAsia"/>
                <w:color w:val="auto"/>
                <w:highlight w:val="none"/>
                <w:lang w:val="en-US" w:eastAsia="zh-CN"/>
              </w:rPr>
              <w:t>0.0116</w:t>
            </w:r>
            <w:r>
              <w:rPr>
                <w:rFonts w:hint="eastAsia"/>
                <w:color w:val="auto"/>
                <w:highlight w:val="none"/>
              </w:rPr>
              <w:t>t/a、SO</w:t>
            </w:r>
            <w:r>
              <w:rPr>
                <w:rFonts w:hint="eastAsia"/>
                <w:color w:val="auto"/>
                <w:highlight w:val="none"/>
                <w:vertAlign w:val="subscript"/>
              </w:rPr>
              <w:t>2</w:t>
            </w:r>
            <w:r>
              <w:rPr>
                <w:rFonts w:hint="eastAsia"/>
                <w:color w:val="auto"/>
                <w:highlight w:val="none"/>
              </w:rPr>
              <w:t>为</w:t>
            </w:r>
            <w:r>
              <w:rPr>
                <w:rFonts w:hint="eastAsia"/>
                <w:color w:val="auto"/>
                <w:highlight w:val="none"/>
                <w:lang w:val="en-US" w:eastAsia="zh-CN"/>
              </w:rPr>
              <w:t>0.001</w:t>
            </w:r>
            <w:r>
              <w:rPr>
                <w:rFonts w:hint="eastAsia"/>
                <w:color w:val="auto"/>
                <w:highlight w:val="none"/>
              </w:rPr>
              <w:t>t/a、NO</w:t>
            </w:r>
            <w:r>
              <w:rPr>
                <w:rFonts w:hint="eastAsia"/>
                <w:color w:val="auto"/>
                <w:highlight w:val="none"/>
                <w:vertAlign w:val="subscript"/>
              </w:rPr>
              <w:t>X</w:t>
            </w:r>
            <w:r>
              <w:rPr>
                <w:rFonts w:hint="eastAsia"/>
                <w:color w:val="auto"/>
                <w:highlight w:val="none"/>
              </w:rPr>
              <w:t>为</w:t>
            </w:r>
            <w:r>
              <w:rPr>
                <w:rFonts w:hint="eastAsia"/>
                <w:color w:val="auto"/>
                <w:highlight w:val="none"/>
                <w:lang w:val="en-US" w:eastAsia="zh-CN"/>
              </w:rPr>
              <w:t>0.867</w:t>
            </w:r>
            <w:r>
              <w:rPr>
                <w:rFonts w:hint="eastAsia"/>
                <w:color w:val="auto"/>
                <w:highlight w:val="none"/>
              </w:rPr>
              <w:t>t/a、非甲烷总烃为</w:t>
            </w:r>
            <w:r>
              <w:rPr>
                <w:rFonts w:hint="eastAsia"/>
                <w:color w:val="auto"/>
                <w:highlight w:val="none"/>
                <w:lang w:val="en-US" w:eastAsia="zh-CN"/>
              </w:rPr>
              <w:t>0.028</w:t>
            </w:r>
            <w:r>
              <w:rPr>
                <w:rFonts w:hint="eastAsia"/>
                <w:color w:val="auto"/>
                <w:highlight w:val="none"/>
              </w:rPr>
              <w:t>t/a、NH</w:t>
            </w:r>
            <w:r>
              <w:rPr>
                <w:rFonts w:hint="eastAsia"/>
                <w:color w:val="auto"/>
                <w:highlight w:val="none"/>
                <w:vertAlign w:val="subscript"/>
              </w:rPr>
              <w:t>3</w:t>
            </w:r>
            <w:r>
              <w:rPr>
                <w:rFonts w:hint="eastAsia"/>
                <w:color w:val="auto"/>
                <w:highlight w:val="none"/>
              </w:rPr>
              <w:t>为</w:t>
            </w:r>
            <w:r>
              <w:rPr>
                <w:rFonts w:hint="eastAsia"/>
                <w:color w:val="auto"/>
                <w:highlight w:val="none"/>
                <w:lang w:val="en-US" w:eastAsia="zh-CN"/>
              </w:rPr>
              <w:t>0.016</w:t>
            </w:r>
            <w:r>
              <w:rPr>
                <w:rFonts w:hint="eastAsia"/>
                <w:color w:val="auto"/>
                <w:highlight w:val="none"/>
              </w:rPr>
              <w:t>t/a、H</w:t>
            </w:r>
            <w:r>
              <w:rPr>
                <w:rFonts w:hint="eastAsia"/>
                <w:color w:val="auto"/>
                <w:highlight w:val="none"/>
                <w:vertAlign w:val="subscript"/>
              </w:rPr>
              <w:t>2</w:t>
            </w:r>
            <w:r>
              <w:rPr>
                <w:rFonts w:hint="eastAsia"/>
                <w:color w:val="auto"/>
                <w:highlight w:val="none"/>
              </w:rPr>
              <w:t>S为0.000</w:t>
            </w:r>
            <w:r>
              <w:rPr>
                <w:rFonts w:hint="eastAsia"/>
                <w:color w:val="auto"/>
                <w:highlight w:val="none"/>
                <w:lang w:val="en-US" w:eastAsia="zh-CN"/>
              </w:rPr>
              <w:t>6</w:t>
            </w:r>
            <w:r>
              <w:rPr>
                <w:rFonts w:hint="eastAsia"/>
                <w:color w:val="auto"/>
                <w:highlight w:val="none"/>
              </w:rPr>
              <w:t>t/a</w:t>
            </w:r>
            <w:r>
              <w:rPr>
                <w:rFonts w:hint="eastAsia" w:ascii="宋体" w:hAnsi="宋体" w:eastAsia="宋体" w:cs="宋体"/>
                <w:color w:val="auto"/>
                <w:kern w:val="0"/>
                <w:sz w:val="24"/>
                <w:szCs w:val="24"/>
                <w:lang w:val="en-US" w:eastAsia="zh-CN" w:bidi="ar"/>
              </w:rPr>
              <w:t>。以上废气主要污染物总量指标，将严格按照云南省现行排污权有偿使用和交易管理相关要求，通过云南省公共资源交易平台完成排污权指标申购，落实区域总量替代平衡要求，确保项目新增污染物排放符合区域环境管控目标。</w:t>
            </w:r>
          </w:p>
          <w:p w14:paraId="02304541">
            <w:pPr>
              <w:ind w:firstLine="482"/>
              <w:rPr>
                <w:rFonts w:hint="eastAsia"/>
                <w:color w:val="auto"/>
                <w:lang w:val="en-US" w:eastAsia="zh-CN"/>
              </w:rPr>
            </w:pPr>
            <w:r>
              <w:rPr>
                <w:rFonts w:hint="eastAsia"/>
                <w:b/>
                <w:bCs/>
                <w:color w:val="auto"/>
              </w:rPr>
              <w:t>废水：</w:t>
            </w:r>
            <w:r>
              <w:rPr>
                <w:rFonts w:hint="eastAsia"/>
                <w:color w:val="auto"/>
                <w:lang w:val="en-US" w:eastAsia="zh-CN"/>
              </w:rPr>
              <w:t>本项目生活污水经园区已建化粪池预处理，生产废水经自建三级沉淀池沉淀后接入配套一体化污水处理设施处理，两股废水汇合后经厂区总排口接入园区污水管网，最终通过市政污水管网进入玉溪市第一、第三污水处理厂集中处理。</w:t>
            </w:r>
          </w:p>
          <w:p w14:paraId="42CB7B5C">
            <w:pPr>
              <w:ind w:firstLine="482"/>
              <w:rPr>
                <w:rFonts w:hint="eastAsia"/>
                <w:color w:val="auto"/>
                <w:lang w:val="en-US" w:eastAsia="zh-CN"/>
              </w:rPr>
            </w:pPr>
            <w:r>
              <w:rPr>
                <w:rFonts w:hint="eastAsia"/>
                <w:color w:val="auto"/>
                <w:lang w:val="en-US" w:eastAsia="zh-CN"/>
              </w:rPr>
              <w:t>结合云南省排污权管理要求，本项目需纳入排污权交易的水污染物为化学需氧量、总磷，两类污染物总量核算如下：</w:t>
            </w:r>
          </w:p>
          <w:p w14:paraId="57A09A7F">
            <w:pPr>
              <w:ind w:firstLine="482"/>
              <w:rPr>
                <w:rFonts w:hint="eastAsia"/>
                <w:color w:val="auto"/>
                <w:lang w:val="en-US" w:eastAsia="zh-CN"/>
              </w:rPr>
            </w:pPr>
            <w:r>
              <w:rPr>
                <w:rFonts w:hint="eastAsia"/>
                <w:color w:val="auto"/>
                <w:lang w:val="en-US" w:eastAsia="zh-CN"/>
              </w:rPr>
              <w:t>厂内预处理排口核算：按项目废水预处理出水水质、年总废水量核算，化学需氧量排放量为0.660t/a，总磷排放量为0.003t/a，该部分为项目排污权申购的核算基准量。</w:t>
            </w:r>
          </w:p>
          <w:p w14:paraId="2B9EA8CD">
            <w:pPr>
              <w:ind w:firstLine="482"/>
              <w:rPr>
                <w:rFonts w:hint="eastAsia"/>
                <w:color w:val="auto"/>
                <w:lang w:val="en-US" w:eastAsia="zh-CN"/>
              </w:rPr>
            </w:pPr>
            <w:r>
              <w:rPr>
                <w:rFonts w:hint="eastAsia"/>
                <w:color w:val="auto"/>
                <w:lang w:val="en-US" w:eastAsia="zh-CN"/>
              </w:rPr>
              <w:t>最终环境排放量：项目废水进入市政污水处理厂后，污水处理厂会将本项目汇入的废水统一进行深度处理，最终排入外环境的化学需氧量、总磷总量，由末端污水处理厂在其自身排污许可总量指标内统一统筹、统一核算，本项目无需重复分配该部分外排环境的总量指标，也无需二次申购该环节的排污权。</w:t>
            </w:r>
          </w:p>
          <w:p w14:paraId="044CC213">
            <w:pPr>
              <w:ind w:firstLine="482"/>
              <w:rPr>
                <w:rFonts w:hint="eastAsia" w:eastAsia="宋体"/>
                <w:color w:val="auto"/>
                <w:lang w:val="en-US" w:eastAsia="zh-CN"/>
              </w:rPr>
            </w:pPr>
            <w:r>
              <w:rPr>
                <w:rFonts w:hint="eastAsia"/>
                <w:color w:val="auto"/>
                <w:lang w:val="en-US" w:eastAsia="zh-CN"/>
              </w:rPr>
              <w:t>项目将在排污许可申报阶段，明确纳管水质要求及与污水处理厂的协议约定，严格管控厂内预处理出水水质，不超出污水处理厂的接纳负荷要求，同时在投产前完成化学需氧量、总磷的排污权有偿使用交易手续，取得对应排污权指标。</w:t>
            </w:r>
          </w:p>
          <w:p w14:paraId="22CC71DF">
            <w:pPr>
              <w:ind w:firstLine="482"/>
              <w:rPr>
                <w:color w:val="auto"/>
              </w:rPr>
            </w:pPr>
            <w:r>
              <w:rPr>
                <w:rFonts w:hint="eastAsia"/>
                <w:b/>
                <w:bCs/>
                <w:color w:val="auto"/>
              </w:rPr>
              <w:t>固废：</w:t>
            </w:r>
            <w:r>
              <w:rPr>
                <w:rFonts w:hint="eastAsia"/>
                <w:color w:val="auto"/>
              </w:rPr>
              <w:t>项目废水进入市政污水处理厂后，污水处理厂会将本项目汇入的废水统一进行深度处理，最终排入外环境的化学需氧量、总磷总量，由末端污水处理厂在其自身排污许可总量指标内统一统筹、统一核算，本项目无需重复分配该部分外排环境的总量指标，也无需二次申购该环节的排污权。</w:t>
            </w:r>
          </w:p>
        </w:tc>
      </w:tr>
    </w:tbl>
    <w:p w14:paraId="3B66655B">
      <w:pPr>
        <w:pStyle w:val="2"/>
        <w:numPr>
          <w:ilvl w:val="0"/>
          <w:numId w:val="2"/>
        </w:numPr>
        <w:rPr>
          <w:color w:val="auto"/>
        </w:rPr>
      </w:pPr>
      <w:bookmarkStart w:id="12" w:name="_Toc31841"/>
      <w:r>
        <w:rPr>
          <w:rFonts w:hint="eastAsia"/>
          <w:color w:val="auto"/>
        </w:rPr>
        <w:t>主要</w:t>
      </w:r>
      <w:r>
        <w:rPr>
          <w:rFonts w:hint="eastAsia"/>
          <w:color w:val="auto"/>
          <w:lang w:val="en-US" w:eastAsia="zh-CN"/>
        </w:rPr>
        <w:t>生态</w:t>
      </w:r>
      <w:r>
        <w:rPr>
          <w:rFonts w:hint="eastAsia"/>
          <w:color w:val="auto"/>
        </w:rPr>
        <w:t>环境影响和保护措施</w:t>
      </w:r>
      <w:bookmarkEnd w:id="12"/>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8110"/>
      </w:tblGrid>
      <w:tr w14:paraId="46A5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dxa"/>
            <w:vAlign w:val="center"/>
          </w:tcPr>
          <w:p w14:paraId="0E798743">
            <w:pPr>
              <w:ind w:firstLine="0" w:firstLineChars="0"/>
              <w:jc w:val="center"/>
              <w:rPr>
                <w:color w:val="auto"/>
              </w:rPr>
            </w:pPr>
            <w:r>
              <w:rPr>
                <w:rFonts w:hint="eastAsia"/>
                <w:color w:val="auto"/>
              </w:rPr>
              <w:t>施工期环境保护措施</w:t>
            </w:r>
          </w:p>
        </w:tc>
        <w:tc>
          <w:tcPr>
            <w:tcW w:w="8110" w:type="dxa"/>
          </w:tcPr>
          <w:p w14:paraId="78042A67">
            <w:pPr>
              <w:ind w:left="0" w:leftChars="0" w:firstLine="0" w:firstLineChars="0"/>
              <w:rPr>
                <w:rFonts w:hint="eastAsia" w:eastAsia="宋体"/>
                <w:b/>
                <w:bCs/>
                <w:color w:val="auto"/>
                <w:lang w:val="en-US" w:eastAsia="zh-CN"/>
              </w:rPr>
            </w:pPr>
            <w:r>
              <w:rPr>
                <w:rFonts w:hint="eastAsia"/>
                <w:b/>
                <w:bCs/>
                <w:color w:val="auto"/>
                <w:lang w:val="en-US" w:eastAsia="zh-CN"/>
              </w:rPr>
              <w:t>1、施工期环境保护措施</w:t>
            </w:r>
          </w:p>
          <w:p w14:paraId="188317FD">
            <w:pPr>
              <w:ind w:firstLine="480"/>
              <w:rPr>
                <w:color w:val="auto"/>
              </w:rPr>
            </w:pPr>
            <w:r>
              <w:rPr>
                <w:rFonts w:hint="eastAsia"/>
                <w:color w:val="auto"/>
              </w:rPr>
              <w:t>本项目租用玉溪市高新区九龙池片区园区内D4栋第一层标准化厂房，租用厂房已建成，施工期只需对租用房屋进行基础装修，不存在较大的建筑施工污染。施工期间的污染主要是房屋装修、生产设备安装、环保设施建设安装产生的噪声、粉尘和包装废弃物等。项目工程量小，施工期短、产生的污染物较少。本项目</w:t>
            </w:r>
            <w:r>
              <w:rPr>
                <w:color w:val="auto"/>
              </w:rPr>
              <w:t>施工期环境保护对策措施</w:t>
            </w:r>
            <w:r>
              <w:rPr>
                <w:rFonts w:hint="eastAsia"/>
                <w:color w:val="auto"/>
              </w:rPr>
              <w:t>如下：</w:t>
            </w:r>
          </w:p>
          <w:p w14:paraId="097167B9">
            <w:pPr>
              <w:ind w:firstLine="482"/>
              <w:rPr>
                <w:b/>
                <w:bCs/>
                <w:color w:val="auto"/>
              </w:rPr>
            </w:pPr>
            <w:r>
              <w:rPr>
                <w:b/>
                <w:bCs/>
                <w:color w:val="auto"/>
              </w:rPr>
              <w:t>（1）废水</w:t>
            </w:r>
          </w:p>
          <w:p w14:paraId="6F352345">
            <w:pPr>
              <w:ind w:firstLine="482"/>
              <w:rPr>
                <w:rFonts w:hint="eastAsia"/>
                <w:b w:val="0"/>
                <w:bCs w:val="0"/>
                <w:color w:val="auto"/>
              </w:rPr>
            </w:pPr>
            <w:r>
              <w:rPr>
                <w:rFonts w:hint="eastAsia"/>
                <w:b w:val="0"/>
                <w:bCs w:val="0"/>
                <w:color w:val="auto"/>
              </w:rPr>
              <w:t>施工期</w:t>
            </w:r>
            <w:r>
              <w:rPr>
                <w:rFonts w:hint="eastAsia"/>
                <w:b w:val="0"/>
                <w:bCs w:val="0"/>
                <w:color w:val="auto"/>
                <w:lang w:val="en-US" w:eastAsia="zh-CN"/>
              </w:rPr>
              <w:t>间无施工</w:t>
            </w:r>
            <w:r>
              <w:rPr>
                <w:rFonts w:hint="eastAsia"/>
                <w:b w:val="0"/>
                <w:bCs w:val="0"/>
                <w:color w:val="auto"/>
              </w:rPr>
              <w:t>废水</w:t>
            </w:r>
            <w:r>
              <w:rPr>
                <w:rFonts w:hint="eastAsia"/>
                <w:b w:val="0"/>
                <w:bCs w:val="0"/>
                <w:color w:val="auto"/>
                <w:lang w:val="en-US" w:eastAsia="zh-CN"/>
              </w:rPr>
              <w:t>产生，施工期间施工人员不在项目区食宿，进产生少量的清洗废水</w:t>
            </w:r>
            <w:r>
              <w:rPr>
                <w:rFonts w:hint="eastAsia"/>
                <w:b w:val="0"/>
                <w:bCs w:val="0"/>
                <w:color w:val="auto"/>
              </w:rPr>
              <w:t>。</w:t>
            </w:r>
          </w:p>
          <w:p w14:paraId="16A78489">
            <w:pPr>
              <w:ind w:firstLine="480"/>
              <w:rPr>
                <w:color w:val="auto"/>
              </w:rPr>
            </w:pPr>
            <w:r>
              <w:rPr>
                <w:rFonts w:hint="eastAsia"/>
                <w:b w:val="0"/>
                <w:bCs w:val="0"/>
                <w:color w:val="auto"/>
              </w:rPr>
              <w:t>施工人员均不在建设场地食宿，产生的生活污水</w:t>
            </w:r>
            <w:r>
              <w:rPr>
                <w:rFonts w:hint="eastAsia"/>
                <w:b w:val="0"/>
                <w:bCs w:val="0"/>
                <w:color w:val="auto"/>
                <w:lang w:val="en-US" w:eastAsia="zh-CN"/>
              </w:rPr>
              <w:t>主要是</w:t>
            </w:r>
            <w:r>
              <w:rPr>
                <w:rFonts w:hint="eastAsia"/>
                <w:b w:val="0"/>
                <w:bCs w:val="0"/>
                <w:color w:val="auto"/>
              </w:rPr>
              <w:t>清洁废水，主要污染物为SS、COD、BOD、NH</w:t>
            </w:r>
            <w:r>
              <w:rPr>
                <w:rFonts w:hint="eastAsia"/>
                <w:b w:val="0"/>
                <w:bCs w:val="0"/>
                <w:color w:val="auto"/>
                <w:vertAlign w:val="subscript"/>
              </w:rPr>
              <w:t>3</w:t>
            </w:r>
            <w:r>
              <w:rPr>
                <w:rFonts w:hint="eastAsia"/>
                <w:b w:val="0"/>
                <w:bCs w:val="0"/>
                <w:color w:val="auto"/>
              </w:rPr>
              <w:t>-N。施工人员生活用水量按20L/人·d计，施工人员按20人/d算，施工期的用水量0.4m</w:t>
            </w:r>
            <w:r>
              <w:rPr>
                <w:rFonts w:hint="eastAsia"/>
                <w:b w:val="0"/>
                <w:bCs w:val="0"/>
                <w:color w:val="auto"/>
                <w:vertAlign w:val="superscript"/>
                <w:lang w:val="en-US" w:eastAsia="zh-CN"/>
              </w:rPr>
              <w:t>3</w:t>
            </w:r>
            <w:r>
              <w:rPr>
                <w:rFonts w:hint="eastAsia"/>
                <w:b w:val="0"/>
                <w:bCs w:val="0"/>
                <w:color w:val="auto"/>
              </w:rPr>
              <w:t>/d，生活污水量按用水量的80%计，污水量为0.32m</w:t>
            </w:r>
            <w:r>
              <w:rPr>
                <w:rFonts w:hint="eastAsia"/>
                <w:b w:val="0"/>
                <w:bCs w:val="0"/>
                <w:color w:val="auto"/>
                <w:vertAlign w:val="superscript"/>
                <w:lang w:val="en-US" w:eastAsia="zh-CN"/>
              </w:rPr>
              <w:t>3</w:t>
            </w:r>
            <w:r>
              <w:rPr>
                <w:rFonts w:hint="eastAsia"/>
                <w:b w:val="0"/>
                <w:bCs w:val="0"/>
                <w:color w:val="auto"/>
              </w:rPr>
              <w:t>/d</w:t>
            </w:r>
            <w:r>
              <w:rPr>
                <w:rFonts w:hint="eastAsia"/>
                <w:b w:val="0"/>
                <w:bCs w:val="0"/>
                <w:color w:val="auto"/>
                <w:lang w:eastAsia="zh-CN"/>
              </w:rPr>
              <w:t>，</w:t>
            </w:r>
            <w:r>
              <w:rPr>
                <w:rFonts w:hint="eastAsia"/>
                <w:b w:val="0"/>
                <w:bCs w:val="0"/>
                <w:color w:val="auto"/>
                <w:lang w:val="en-US" w:eastAsia="zh-CN"/>
              </w:rPr>
              <w:t>经园区内已建化粪池处理后排入园区市政污水管网，最终进入玉溪市第一和第三污水处理厂处理处理，对周边环境影响较小</w:t>
            </w:r>
            <w:r>
              <w:rPr>
                <w:color w:val="auto"/>
              </w:rPr>
              <w:t>。</w:t>
            </w:r>
          </w:p>
          <w:p w14:paraId="53932A18">
            <w:pPr>
              <w:ind w:firstLine="482"/>
              <w:rPr>
                <w:b/>
                <w:bCs/>
                <w:color w:val="auto"/>
              </w:rPr>
            </w:pPr>
            <w:r>
              <w:rPr>
                <w:b/>
                <w:bCs/>
                <w:color w:val="auto"/>
              </w:rPr>
              <w:t>（2）废气</w:t>
            </w:r>
          </w:p>
          <w:p w14:paraId="7063BF0C">
            <w:pPr>
              <w:ind w:firstLine="480"/>
              <w:rPr>
                <w:rFonts w:hint="default" w:ascii="宋体" w:hAnsi="宋体" w:eastAsia="宋体" w:cs="宋体"/>
                <w:color w:val="auto"/>
                <w:lang w:val="en-US" w:eastAsia="zh-CN"/>
              </w:rPr>
            </w:pPr>
            <w:r>
              <w:rPr>
                <w:rFonts w:hint="eastAsia" w:ascii="宋体" w:hAnsi="宋体" w:cs="宋体"/>
                <w:color w:val="auto"/>
                <w:lang w:val="en-US" w:eastAsia="zh-CN"/>
              </w:rPr>
              <w:t>项目施工期间产生的废气主要为装修废气，产生量较小，且施工活动均在现有厂房内完成，装修废气通过车间厂房内自然沉降，外溢扩散废气较小，经大气扩散稀释，对距离项目区周边的大气环境敏感目标环境影响较小。</w:t>
            </w:r>
          </w:p>
          <w:p w14:paraId="1B571877">
            <w:pPr>
              <w:ind w:firstLine="482"/>
              <w:rPr>
                <w:b/>
                <w:bCs/>
                <w:color w:val="auto"/>
              </w:rPr>
            </w:pPr>
            <w:r>
              <w:rPr>
                <w:b/>
                <w:bCs/>
                <w:color w:val="auto"/>
              </w:rPr>
              <w:t>（3）噪声</w:t>
            </w:r>
          </w:p>
          <w:p w14:paraId="102F9119">
            <w:pPr>
              <w:ind w:firstLine="480"/>
              <w:rPr>
                <w:rFonts w:hint="eastAsia"/>
                <w:color w:val="auto"/>
              </w:rPr>
            </w:pPr>
            <w:r>
              <w:rPr>
                <w:rFonts w:hint="eastAsia"/>
                <w:color w:val="auto"/>
              </w:rPr>
              <w:t>项目施工期噪声主要为运输车辆噪声及设备安装调试时产生的噪声，噪声具有间歇性且持续时间较短，且施工期较短，随着施工期的结束，施工期噪声的影响也随之消失，对周围环境的影响不大。为减缓施工噪声的影响，本环评提出如下措施：</w:t>
            </w:r>
          </w:p>
          <w:p w14:paraId="218AA3CF">
            <w:pPr>
              <w:keepLines/>
              <w:ind w:firstLine="480"/>
              <w:rPr>
                <w:rFonts w:cs="Times New Roman"/>
                <w:color w:val="auto"/>
              </w:rPr>
            </w:pPr>
            <w:r>
              <w:rPr>
                <w:rFonts w:hint="eastAsia" w:ascii="宋体" w:hAnsi="宋体" w:cs="宋体"/>
                <w:color w:val="auto"/>
              </w:rPr>
              <w:t>①</w:t>
            </w:r>
            <w:r>
              <w:rPr>
                <w:rFonts w:cs="Times New Roman"/>
                <w:color w:val="auto"/>
              </w:rPr>
              <w:t>高噪声施工设备禁止在22：00时至次日</w:t>
            </w:r>
            <w:r>
              <w:rPr>
                <w:rFonts w:hint="eastAsia" w:cs="Times New Roman"/>
                <w:color w:val="auto"/>
                <w:lang w:val="en-US" w:eastAsia="zh-CN"/>
              </w:rPr>
              <w:t>6</w:t>
            </w:r>
            <w:r>
              <w:rPr>
                <w:rFonts w:cs="Times New Roman"/>
                <w:color w:val="auto"/>
              </w:rPr>
              <w:t>：00时进行建筑施工作业，但因混凝土浇灌等生产工艺需要连续作业的除外。</w:t>
            </w:r>
          </w:p>
          <w:p w14:paraId="6119D9B4">
            <w:pPr>
              <w:keepLines/>
              <w:ind w:firstLine="480"/>
              <w:rPr>
                <w:rFonts w:cs="Times New Roman"/>
                <w:color w:val="auto"/>
              </w:rPr>
            </w:pPr>
            <w:r>
              <w:rPr>
                <w:rFonts w:hint="eastAsia" w:ascii="宋体" w:hAnsi="宋体" w:cs="宋体"/>
                <w:color w:val="auto"/>
              </w:rPr>
              <w:t>②</w:t>
            </w:r>
            <w:r>
              <w:rPr>
                <w:rFonts w:cs="Times New Roman"/>
                <w:color w:val="auto"/>
              </w:rPr>
              <w:t>选用低噪声施工机械。</w:t>
            </w:r>
          </w:p>
          <w:p w14:paraId="32951D93">
            <w:pPr>
              <w:keepLines/>
              <w:ind w:firstLine="480"/>
              <w:rPr>
                <w:rFonts w:cs="Times New Roman"/>
                <w:color w:val="auto"/>
              </w:rPr>
            </w:pPr>
            <w:r>
              <w:rPr>
                <w:rFonts w:hint="eastAsia" w:ascii="宋体" w:hAnsi="宋体" w:cs="宋体"/>
                <w:color w:val="auto"/>
              </w:rPr>
              <w:t>③</w:t>
            </w:r>
            <w:r>
              <w:rPr>
                <w:rFonts w:cs="Times New Roman"/>
                <w:color w:val="auto"/>
              </w:rPr>
              <w:t>合理安排施工机械的位置，对产生高噪声的设备如电锯等设备，建议在其外加盖简易棚，将可在固定地点施工的机械设置在临时建筑房内作业。</w:t>
            </w:r>
          </w:p>
          <w:p w14:paraId="00855E0E">
            <w:pPr>
              <w:keepLines/>
              <w:ind w:firstLine="480"/>
              <w:rPr>
                <w:rFonts w:cs="Times New Roman"/>
                <w:color w:val="auto"/>
              </w:rPr>
            </w:pPr>
            <w:r>
              <w:rPr>
                <w:rFonts w:hint="eastAsia" w:ascii="宋体" w:hAnsi="宋体" w:cs="宋体"/>
                <w:color w:val="auto"/>
              </w:rPr>
              <w:t>④</w:t>
            </w:r>
            <w:r>
              <w:rPr>
                <w:rFonts w:cs="Times New Roman"/>
                <w:color w:val="auto"/>
              </w:rPr>
              <w:t>对动力机械设备定期进行维修和养护，避免因松动部件振动或消声器损坏而加大设备工作时的声级。</w:t>
            </w:r>
          </w:p>
          <w:p w14:paraId="57999CC4">
            <w:pPr>
              <w:keepLines/>
              <w:ind w:firstLine="480"/>
              <w:rPr>
                <w:rFonts w:cs="Times New Roman"/>
                <w:color w:val="auto"/>
              </w:rPr>
            </w:pPr>
            <w:r>
              <w:rPr>
                <w:rFonts w:hint="eastAsia" w:ascii="宋体" w:hAnsi="宋体" w:cs="宋体"/>
                <w:color w:val="auto"/>
              </w:rPr>
              <w:t>⑤</w:t>
            </w:r>
            <w:r>
              <w:rPr>
                <w:rFonts w:cs="Times New Roman"/>
                <w:color w:val="auto"/>
              </w:rPr>
              <w:t>合理布置施工现场，应尽量避免在施工现场的同一地点安排大量的高噪声设备，造成局部声级过高。</w:t>
            </w:r>
          </w:p>
          <w:p w14:paraId="136A8654">
            <w:pPr>
              <w:ind w:firstLine="480"/>
              <w:rPr>
                <w:color w:val="auto"/>
              </w:rPr>
            </w:pPr>
            <w:r>
              <w:rPr>
                <w:rFonts w:hint="eastAsia" w:ascii="宋体" w:hAnsi="宋体" w:cs="宋体"/>
                <w:color w:val="auto"/>
              </w:rPr>
              <w:t>⑥</w:t>
            </w:r>
            <w:r>
              <w:rPr>
                <w:rFonts w:cs="Times New Roman"/>
                <w:color w:val="auto"/>
              </w:rPr>
              <w:t>施工期间要加强施工队伍的管理，文明施工</w:t>
            </w:r>
            <w:r>
              <w:rPr>
                <w:rFonts w:hint="eastAsia"/>
                <w:color w:val="auto"/>
              </w:rPr>
              <w:t>。</w:t>
            </w:r>
          </w:p>
          <w:p w14:paraId="0133A028">
            <w:pPr>
              <w:ind w:firstLine="482"/>
              <w:rPr>
                <w:b/>
                <w:bCs/>
                <w:color w:val="auto"/>
              </w:rPr>
            </w:pPr>
            <w:r>
              <w:rPr>
                <w:b/>
                <w:bCs/>
                <w:color w:val="auto"/>
              </w:rPr>
              <w:t>（4）固废</w:t>
            </w:r>
          </w:p>
          <w:p w14:paraId="28D7A6D0">
            <w:pPr>
              <w:ind w:firstLine="480"/>
              <w:rPr>
                <w:color w:val="auto"/>
              </w:rPr>
            </w:pPr>
            <w:r>
              <w:rPr>
                <w:rFonts w:hint="eastAsia"/>
                <w:color w:val="auto"/>
                <w:lang w:val="en-US" w:eastAsia="zh-CN"/>
              </w:rPr>
              <w:t>本项目租用园区标准化厂房，</w:t>
            </w:r>
            <w:r>
              <w:rPr>
                <w:rFonts w:hint="eastAsia"/>
                <w:color w:val="auto"/>
              </w:rPr>
              <w:t>施工期</w:t>
            </w:r>
            <w:r>
              <w:rPr>
                <w:rFonts w:hint="eastAsia"/>
                <w:color w:val="auto"/>
                <w:lang w:val="en-US" w:eastAsia="zh-CN"/>
              </w:rPr>
              <w:t>不涉及土石方开挖，产生的固废主要为废施工材料和施工人员生活垃圾</w:t>
            </w:r>
            <w:r>
              <w:rPr>
                <w:rFonts w:hint="eastAsia"/>
                <w:color w:val="auto"/>
              </w:rPr>
              <w:t>。</w:t>
            </w:r>
          </w:p>
          <w:p w14:paraId="70502C69">
            <w:pPr>
              <w:ind w:firstLine="482"/>
              <w:rPr>
                <w:rFonts w:hint="default" w:eastAsia="宋体"/>
                <w:b/>
                <w:bCs/>
                <w:color w:val="auto"/>
                <w:lang w:val="en-US" w:eastAsia="zh-CN"/>
              </w:rPr>
            </w:pPr>
            <w:r>
              <w:rPr>
                <w:rFonts w:hint="eastAsia"/>
                <w:b/>
                <w:bCs/>
                <w:color w:val="auto"/>
              </w:rPr>
              <w:fldChar w:fldCharType="begin"/>
            </w:r>
            <w:r>
              <w:rPr>
                <w:rFonts w:hint="eastAsia"/>
                <w:b/>
                <w:bCs/>
                <w:color w:val="auto"/>
              </w:rPr>
              <w:instrText xml:space="preserve"> = 1 \* GB3 \* MERGEFORMAT </w:instrText>
            </w:r>
            <w:r>
              <w:rPr>
                <w:rFonts w:hint="eastAsia"/>
                <w:b/>
                <w:bCs/>
                <w:color w:val="auto"/>
              </w:rPr>
              <w:fldChar w:fldCharType="separate"/>
            </w:r>
            <w:r>
              <w:rPr>
                <w:b/>
                <w:bCs/>
                <w:color w:val="auto"/>
              </w:rPr>
              <w:t>①</w:t>
            </w:r>
            <w:r>
              <w:rPr>
                <w:rFonts w:hint="eastAsia"/>
                <w:b/>
                <w:bCs/>
                <w:color w:val="auto"/>
              </w:rPr>
              <w:fldChar w:fldCharType="end"/>
            </w:r>
            <w:r>
              <w:rPr>
                <w:rFonts w:hint="eastAsia"/>
                <w:b/>
                <w:bCs/>
                <w:color w:val="auto"/>
                <w:lang w:val="en-US" w:eastAsia="zh-CN"/>
              </w:rPr>
              <w:t>废施工材料</w:t>
            </w:r>
          </w:p>
          <w:p w14:paraId="3AB8662E">
            <w:pPr>
              <w:ind w:firstLine="480"/>
              <w:rPr>
                <w:color w:val="auto"/>
              </w:rPr>
            </w:pPr>
            <w:r>
              <w:rPr>
                <w:rFonts w:hint="eastAsia"/>
                <w:color w:val="auto"/>
              </w:rPr>
              <w:t>本项目</w:t>
            </w:r>
            <w:r>
              <w:rPr>
                <w:rFonts w:hint="eastAsia"/>
                <w:color w:val="auto"/>
                <w:lang w:val="en-US" w:eastAsia="zh-CN"/>
              </w:rPr>
              <w:t>废施工材料</w:t>
            </w:r>
            <w:r>
              <w:rPr>
                <w:rFonts w:hint="eastAsia"/>
                <w:color w:val="auto"/>
              </w:rPr>
              <w:t>主要产生设备安装过程中。本项目施工期短，施工量小，</w:t>
            </w:r>
            <w:r>
              <w:rPr>
                <w:rFonts w:hint="eastAsia"/>
                <w:color w:val="auto"/>
                <w:lang w:val="en-US" w:eastAsia="zh-CN"/>
              </w:rPr>
              <w:t>废材</w:t>
            </w:r>
            <w:r>
              <w:rPr>
                <w:rFonts w:hint="eastAsia"/>
                <w:color w:val="auto"/>
              </w:rPr>
              <w:t>产生量不大，约为</w:t>
            </w:r>
            <w:r>
              <w:rPr>
                <w:rFonts w:hint="eastAsia"/>
                <w:color w:val="auto"/>
                <w:lang w:val="en-US" w:eastAsia="zh-CN"/>
              </w:rPr>
              <w:t>1</w:t>
            </w:r>
            <w:r>
              <w:rPr>
                <w:rFonts w:hint="eastAsia"/>
                <w:color w:val="auto"/>
              </w:rPr>
              <w:t>t，</w:t>
            </w:r>
            <w:r>
              <w:rPr>
                <w:rFonts w:hint="eastAsia"/>
                <w:color w:val="auto"/>
                <w:lang w:val="en-US" w:eastAsia="zh-CN"/>
              </w:rPr>
              <w:t>能回收</w:t>
            </w:r>
            <w:r>
              <w:rPr>
                <w:rFonts w:hint="eastAsia"/>
                <w:color w:val="auto"/>
              </w:rPr>
              <w:t>尽量回收利用，</w:t>
            </w:r>
            <w:r>
              <w:rPr>
                <w:rFonts w:hint="eastAsia"/>
                <w:color w:val="auto"/>
                <w:lang w:val="en-US" w:eastAsia="zh-CN"/>
              </w:rPr>
              <w:t>由园区统一委托环卫部门清运处置</w:t>
            </w:r>
            <w:r>
              <w:rPr>
                <w:rFonts w:hint="eastAsia"/>
                <w:color w:val="auto"/>
                <w:lang w:eastAsia="zh-CN"/>
              </w:rPr>
              <w:t>。</w:t>
            </w:r>
          </w:p>
          <w:p w14:paraId="2491739A">
            <w:pPr>
              <w:ind w:firstLine="482"/>
              <w:rPr>
                <w:b/>
                <w:bCs/>
                <w:color w:val="auto"/>
              </w:rPr>
            </w:pPr>
            <w:r>
              <w:rPr>
                <w:rFonts w:hint="eastAsia"/>
                <w:b/>
                <w:bCs/>
                <w:color w:val="auto"/>
              </w:rPr>
              <w:fldChar w:fldCharType="begin"/>
            </w:r>
            <w:r>
              <w:rPr>
                <w:rFonts w:hint="eastAsia"/>
                <w:b/>
                <w:bCs/>
                <w:color w:val="auto"/>
              </w:rPr>
              <w:instrText xml:space="preserve"> = 2 \* GB3 \* MERGEFORMAT </w:instrText>
            </w:r>
            <w:r>
              <w:rPr>
                <w:rFonts w:hint="eastAsia"/>
                <w:b/>
                <w:bCs/>
                <w:color w:val="auto"/>
              </w:rPr>
              <w:fldChar w:fldCharType="separate"/>
            </w:r>
            <w:r>
              <w:rPr>
                <w:b/>
                <w:bCs/>
                <w:color w:val="auto"/>
              </w:rPr>
              <w:t>②</w:t>
            </w:r>
            <w:r>
              <w:rPr>
                <w:rFonts w:hint="eastAsia"/>
                <w:b/>
                <w:bCs/>
                <w:color w:val="auto"/>
              </w:rPr>
              <w:fldChar w:fldCharType="end"/>
            </w:r>
            <w:r>
              <w:rPr>
                <w:rFonts w:hint="eastAsia"/>
                <w:b/>
                <w:bCs/>
                <w:color w:val="auto"/>
              </w:rPr>
              <w:t>生活垃圾</w:t>
            </w:r>
          </w:p>
          <w:p w14:paraId="5667EC73">
            <w:pPr>
              <w:ind w:firstLine="480"/>
              <w:rPr>
                <w:rFonts w:hint="eastAsia"/>
                <w:color w:val="auto"/>
              </w:rPr>
            </w:pPr>
            <w:r>
              <w:rPr>
                <w:rFonts w:hint="eastAsia"/>
                <w:color w:val="auto"/>
              </w:rPr>
              <w:t>项目施工人员会产生一定的生活垃圾，由于施工人员不在现场食宿，生活垃圾量按每人每天0.1kg计算，产生量约2kg/d，</w:t>
            </w:r>
            <w:r>
              <w:rPr>
                <w:rFonts w:hint="eastAsia"/>
                <w:color w:val="auto"/>
                <w:lang w:val="en-US" w:eastAsia="zh-CN"/>
              </w:rPr>
              <w:t>生活垃圾经园区垃圾收集桶统一收集后</w:t>
            </w:r>
            <w:r>
              <w:rPr>
                <w:rFonts w:hint="eastAsia"/>
                <w:color w:val="auto"/>
              </w:rPr>
              <w:t>，</w:t>
            </w:r>
            <w:r>
              <w:rPr>
                <w:rFonts w:hint="eastAsia"/>
                <w:color w:val="auto"/>
                <w:lang w:val="en-US" w:eastAsia="zh-CN"/>
              </w:rPr>
              <w:t>由园区统一委托环卫部门清运处置</w:t>
            </w:r>
            <w:r>
              <w:rPr>
                <w:rFonts w:hint="eastAsia"/>
                <w:color w:val="auto"/>
                <w:lang w:eastAsia="zh-CN"/>
              </w:rPr>
              <w:t>。</w:t>
            </w:r>
          </w:p>
          <w:p w14:paraId="5F278E3F">
            <w:pPr>
              <w:pStyle w:val="43"/>
              <w:ind w:firstLine="480"/>
              <w:rPr>
                <w:rFonts w:hint="default"/>
                <w:bCs/>
                <w:color w:val="auto"/>
                <w:lang w:val="en-US" w:eastAsia="zh-CN"/>
              </w:rPr>
            </w:pPr>
            <w:r>
              <w:rPr>
                <w:rFonts w:hint="eastAsia"/>
                <w:color w:val="auto"/>
              </w:rPr>
              <w:t>综上，项目施工期产生的固体废弃物通过回收利用、集中收集处置，固废处置率100%，对周边环境的影响可接受，且随施工结束而终止。</w:t>
            </w:r>
          </w:p>
        </w:tc>
      </w:tr>
    </w:tbl>
    <w:p w14:paraId="71A14767">
      <w:pPr>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3744"/>
      </w:tblGrid>
      <w:tr w14:paraId="3FFC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 w:type="pct"/>
            <w:vAlign w:val="center"/>
          </w:tcPr>
          <w:p w14:paraId="64B29C9C">
            <w:pPr>
              <w:ind w:firstLine="0" w:firstLineChars="0"/>
              <w:jc w:val="center"/>
              <w:rPr>
                <w:rFonts w:hint="eastAsia"/>
                <w:color w:val="auto"/>
              </w:rPr>
            </w:pPr>
            <w:r>
              <w:rPr>
                <w:rFonts w:hint="eastAsia"/>
                <w:color w:val="auto"/>
              </w:rPr>
              <w:t>运营期环境影响和保护措施</w:t>
            </w:r>
          </w:p>
        </w:tc>
        <w:tc>
          <w:tcPr>
            <w:tcW w:w="4851" w:type="pct"/>
          </w:tcPr>
          <w:p w14:paraId="6A61D49D">
            <w:pPr>
              <w:pStyle w:val="45"/>
              <w:rPr>
                <w:rFonts w:hint="default"/>
                <w:color w:val="auto"/>
              </w:rPr>
            </w:pPr>
            <w:r>
              <w:rPr>
                <w:rFonts w:hint="eastAsia"/>
                <w:color w:val="auto"/>
                <w:lang w:val="en-US" w:eastAsia="zh-CN"/>
              </w:rPr>
              <w:t>2</w:t>
            </w:r>
            <w:r>
              <w:rPr>
                <w:color w:val="auto"/>
              </w:rPr>
              <w:t>、运营期环境保护措施</w:t>
            </w:r>
          </w:p>
          <w:p w14:paraId="45D903DE">
            <w:pPr>
              <w:ind w:firstLine="482"/>
              <w:rPr>
                <w:b/>
                <w:bCs/>
                <w:color w:val="auto"/>
              </w:rPr>
            </w:pPr>
            <w:r>
              <w:rPr>
                <w:rFonts w:hint="eastAsia"/>
                <w:b/>
                <w:bCs/>
                <w:color w:val="auto"/>
                <w:lang w:val="en-US" w:eastAsia="zh-CN"/>
              </w:rPr>
              <w:t>一、</w:t>
            </w:r>
            <w:r>
              <w:rPr>
                <w:rFonts w:hint="eastAsia"/>
                <w:b/>
                <w:bCs/>
                <w:color w:val="auto"/>
              </w:rPr>
              <w:t>废气</w:t>
            </w:r>
          </w:p>
          <w:p w14:paraId="1FA5CC69">
            <w:pPr>
              <w:pStyle w:val="43"/>
              <w:ind w:firstLine="480"/>
              <w:rPr>
                <w:rFonts w:hint="eastAsia"/>
                <w:color w:val="auto"/>
              </w:rPr>
            </w:pPr>
            <w:r>
              <w:rPr>
                <w:rFonts w:hint="eastAsia"/>
                <w:color w:val="auto"/>
                <w:lang w:eastAsia="zh-CN"/>
              </w:rPr>
              <w:t>（一</w:t>
            </w:r>
            <w:r>
              <w:rPr>
                <w:rFonts w:hint="eastAsia"/>
                <w:color w:val="auto"/>
              </w:rPr>
              <w:t>）项目废气污染源源强核算结果及相关参数见表4-1。</w:t>
            </w:r>
          </w:p>
          <w:p w14:paraId="5F1DDBFA">
            <w:pPr>
              <w:pStyle w:val="30"/>
              <w:bidi w:val="0"/>
              <w:rPr>
                <w:rFonts w:hint="eastAsia"/>
                <w:color w:val="auto"/>
                <w:lang w:val="en-US" w:eastAsia="zh-CN"/>
              </w:rPr>
            </w:pPr>
            <w:r>
              <w:rPr>
                <w:rFonts w:hint="eastAsia"/>
                <w:color w:val="auto"/>
                <w:lang w:eastAsia="zh-CN"/>
              </w:rPr>
              <w:t>表</w:t>
            </w:r>
            <w:r>
              <w:rPr>
                <w:rFonts w:hint="eastAsia"/>
                <w:color w:val="auto"/>
                <w:lang w:val="en-US" w:eastAsia="zh-CN"/>
              </w:rPr>
              <w:t>4-1 废气污染源源强核算结果一览表</w:t>
            </w:r>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763"/>
              <w:gridCol w:w="919"/>
              <w:gridCol w:w="984"/>
              <w:gridCol w:w="1187"/>
              <w:gridCol w:w="972"/>
              <w:gridCol w:w="412"/>
              <w:gridCol w:w="1288"/>
              <w:gridCol w:w="712"/>
              <w:gridCol w:w="741"/>
              <w:gridCol w:w="909"/>
              <w:gridCol w:w="931"/>
              <w:gridCol w:w="1002"/>
              <w:gridCol w:w="982"/>
              <w:gridCol w:w="1228"/>
            </w:tblGrid>
            <w:tr w14:paraId="2D8B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0" w:type="pct"/>
                  <w:vMerge w:val="restart"/>
                  <w:vAlign w:val="center"/>
                </w:tcPr>
                <w:p w14:paraId="7C2997F1">
                  <w:pPr>
                    <w:pStyle w:val="29"/>
                    <w:rPr>
                      <w:rFonts w:hint="default"/>
                      <w:color w:val="auto"/>
                    </w:rPr>
                  </w:pPr>
                  <w:r>
                    <w:rPr>
                      <w:color w:val="auto"/>
                    </w:rPr>
                    <w:t>序号</w:t>
                  </w:r>
                </w:p>
              </w:tc>
              <w:tc>
                <w:tcPr>
                  <w:tcW w:w="282" w:type="pct"/>
                  <w:vMerge w:val="restart"/>
                  <w:vAlign w:val="center"/>
                </w:tcPr>
                <w:p w14:paraId="31E8E5B4">
                  <w:pPr>
                    <w:pStyle w:val="29"/>
                    <w:rPr>
                      <w:rFonts w:hint="default"/>
                      <w:color w:val="auto"/>
                    </w:rPr>
                  </w:pPr>
                  <w:r>
                    <w:rPr>
                      <w:color w:val="auto"/>
                    </w:rPr>
                    <w:t>产排污环节</w:t>
                  </w:r>
                </w:p>
              </w:tc>
              <w:tc>
                <w:tcPr>
                  <w:tcW w:w="339" w:type="pct"/>
                  <w:vMerge w:val="restart"/>
                  <w:vAlign w:val="center"/>
                </w:tcPr>
                <w:p w14:paraId="6BA1EB87">
                  <w:pPr>
                    <w:pStyle w:val="29"/>
                    <w:rPr>
                      <w:rFonts w:hint="default"/>
                      <w:color w:val="auto"/>
                    </w:rPr>
                  </w:pPr>
                  <w:r>
                    <w:rPr>
                      <w:color w:val="auto"/>
                    </w:rPr>
                    <w:t>污染物</w:t>
                  </w:r>
                </w:p>
              </w:tc>
              <w:tc>
                <w:tcPr>
                  <w:tcW w:w="1162" w:type="pct"/>
                  <w:gridSpan w:val="3"/>
                  <w:vAlign w:val="center"/>
                </w:tcPr>
                <w:p w14:paraId="44247B21">
                  <w:pPr>
                    <w:pStyle w:val="29"/>
                    <w:rPr>
                      <w:color w:val="auto"/>
                    </w:rPr>
                  </w:pPr>
                  <w:r>
                    <w:rPr>
                      <w:color w:val="auto"/>
                    </w:rPr>
                    <w:t>污染物产生</w:t>
                  </w:r>
                </w:p>
              </w:tc>
              <w:tc>
                <w:tcPr>
                  <w:tcW w:w="152" w:type="pct"/>
                  <w:vMerge w:val="restart"/>
                  <w:vAlign w:val="center"/>
                </w:tcPr>
                <w:p w14:paraId="78791EF2">
                  <w:pPr>
                    <w:pStyle w:val="29"/>
                    <w:rPr>
                      <w:rFonts w:hint="default"/>
                      <w:color w:val="auto"/>
                    </w:rPr>
                  </w:pPr>
                  <w:r>
                    <w:rPr>
                      <w:color w:val="auto"/>
                    </w:rPr>
                    <w:t>排放形式</w:t>
                  </w:r>
                </w:p>
              </w:tc>
              <w:tc>
                <w:tcPr>
                  <w:tcW w:w="1350" w:type="pct"/>
                  <w:gridSpan w:val="4"/>
                  <w:vAlign w:val="center"/>
                </w:tcPr>
                <w:p w14:paraId="3717AFE9">
                  <w:pPr>
                    <w:pStyle w:val="29"/>
                    <w:rPr>
                      <w:rFonts w:hint="default"/>
                      <w:color w:val="auto"/>
                    </w:rPr>
                  </w:pPr>
                  <w:r>
                    <w:rPr>
                      <w:color w:val="auto"/>
                    </w:rPr>
                    <w:t>治理设施</w:t>
                  </w:r>
                </w:p>
              </w:tc>
              <w:tc>
                <w:tcPr>
                  <w:tcW w:w="1078" w:type="pct"/>
                  <w:gridSpan w:val="3"/>
                  <w:vAlign w:val="center"/>
                </w:tcPr>
                <w:p w14:paraId="34A7018D">
                  <w:pPr>
                    <w:pStyle w:val="29"/>
                    <w:rPr>
                      <w:rFonts w:hint="default"/>
                      <w:color w:val="auto"/>
                    </w:rPr>
                  </w:pPr>
                  <w:r>
                    <w:rPr>
                      <w:color w:val="auto"/>
                    </w:rPr>
                    <w:t>污染物排放</w:t>
                  </w:r>
                </w:p>
              </w:tc>
              <w:tc>
                <w:tcPr>
                  <w:tcW w:w="454" w:type="pct"/>
                  <w:vMerge w:val="restart"/>
                  <w:vAlign w:val="center"/>
                </w:tcPr>
                <w:p w14:paraId="72D09684">
                  <w:pPr>
                    <w:pStyle w:val="29"/>
                    <w:rPr>
                      <w:rFonts w:hint="default"/>
                      <w:color w:val="auto"/>
                    </w:rPr>
                  </w:pPr>
                  <w:r>
                    <w:rPr>
                      <w:color w:val="auto"/>
                    </w:rPr>
                    <w:t>排放标准</w:t>
                  </w:r>
                </w:p>
              </w:tc>
            </w:tr>
            <w:tr w14:paraId="021C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0" w:type="pct"/>
                  <w:vMerge w:val="continue"/>
                  <w:vAlign w:val="center"/>
                </w:tcPr>
                <w:p w14:paraId="75B8DEC3">
                  <w:pPr>
                    <w:pStyle w:val="29"/>
                    <w:rPr>
                      <w:rFonts w:hint="default"/>
                      <w:color w:val="auto"/>
                    </w:rPr>
                  </w:pPr>
                </w:p>
              </w:tc>
              <w:tc>
                <w:tcPr>
                  <w:tcW w:w="282" w:type="pct"/>
                  <w:vMerge w:val="continue"/>
                  <w:vAlign w:val="center"/>
                </w:tcPr>
                <w:p w14:paraId="2C1F1369">
                  <w:pPr>
                    <w:pStyle w:val="29"/>
                    <w:rPr>
                      <w:rFonts w:hint="default"/>
                      <w:color w:val="auto"/>
                    </w:rPr>
                  </w:pPr>
                </w:p>
              </w:tc>
              <w:tc>
                <w:tcPr>
                  <w:tcW w:w="339" w:type="pct"/>
                  <w:vMerge w:val="continue"/>
                  <w:vAlign w:val="center"/>
                </w:tcPr>
                <w:p w14:paraId="47A21F1D">
                  <w:pPr>
                    <w:pStyle w:val="29"/>
                    <w:rPr>
                      <w:rFonts w:hint="default"/>
                      <w:color w:val="auto"/>
                    </w:rPr>
                  </w:pPr>
                </w:p>
              </w:tc>
              <w:tc>
                <w:tcPr>
                  <w:tcW w:w="363" w:type="pct"/>
                  <w:vAlign w:val="center"/>
                </w:tcPr>
                <w:p w14:paraId="46573D77">
                  <w:pPr>
                    <w:pStyle w:val="29"/>
                    <w:rPr>
                      <w:rFonts w:hint="default"/>
                      <w:color w:val="auto"/>
                    </w:rPr>
                  </w:pPr>
                  <w:r>
                    <w:rPr>
                      <w:color w:val="auto"/>
                    </w:rPr>
                    <w:t>产生量（t/a）</w:t>
                  </w:r>
                </w:p>
              </w:tc>
              <w:tc>
                <w:tcPr>
                  <w:tcW w:w="439" w:type="pct"/>
                  <w:vAlign w:val="center"/>
                </w:tcPr>
                <w:p w14:paraId="5B80FE8C">
                  <w:pPr>
                    <w:pStyle w:val="29"/>
                    <w:rPr>
                      <w:rFonts w:hint="default"/>
                      <w:color w:val="auto"/>
                    </w:rPr>
                  </w:pPr>
                  <w:r>
                    <w:rPr>
                      <w:color w:val="auto"/>
                    </w:rPr>
                    <w:t>产生浓度（mg/m</w:t>
                  </w:r>
                  <w:r>
                    <w:rPr>
                      <w:color w:val="auto"/>
                      <w:vertAlign w:val="superscript"/>
                    </w:rPr>
                    <w:t>3</w:t>
                  </w:r>
                  <w:r>
                    <w:rPr>
                      <w:color w:val="auto"/>
                    </w:rPr>
                    <w:t>）</w:t>
                  </w:r>
                </w:p>
              </w:tc>
              <w:tc>
                <w:tcPr>
                  <w:tcW w:w="359" w:type="pct"/>
                  <w:vAlign w:val="center"/>
                </w:tcPr>
                <w:p w14:paraId="284E32C8">
                  <w:pPr>
                    <w:pStyle w:val="29"/>
                    <w:rPr>
                      <w:color w:val="auto"/>
                    </w:rPr>
                  </w:pPr>
                  <w:r>
                    <w:rPr>
                      <w:rFonts w:hint="eastAsia"/>
                      <w:color w:val="auto"/>
                      <w:lang w:eastAsia="zh-CN"/>
                    </w:rPr>
                    <w:t>产生</w:t>
                  </w:r>
                  <w:r>
                    <w:rPr>
                      <w:rFonts w:hint="eastAsia"/>
                      <w:color w:val="auto"/>
                    </w:rPr>
                    <w:t>速率（kg/h）</w:t>
                  </w:r>
                </w:p>
              </w:tc>
              <w:tc>
                <w:tcPr>
                  <w:tcW w:w="152" w:type="pct"/>
                  <w:vMerge w:val="continue"/>
                  <w:vAlign w:val="center"/>
                </w:tcPr>
                <w:p w14:paraId="10357F1B">
                  <w:pPr>
                    <w:pStyle w:val="29"/>
                    <w:rPr>
                      <w:rFonts w:hint="default"/>
                      <w:color w:val="auto"/>
                    </w:rPr>
                  </w:pPr>
                </w:p>
              </w:tc>
              <w:tc>
                <w:tcPr>
                  <w:tcW w:w="476" w:type="pct"/>
                  <w:vAlign w:val="center"/>
                </w:tcPr>
                <w:p w14:paraId="7EB53730">
                  <w:pPr>
                    <w:pStyle w:val="29"/>
                    <w:rPr>
                      <w:rFonts w:hint="default"/>
                      <w:color w:val="auto"/>
                    </w:rPr>
                  </w:pPr>
                  <w:r>
                    <w:rPr>
                      <w:color w:val="auto"/>
                    </w:rPr>
                    <w:t>工艺</w:t>
                  </w:r>
                </w:p>
              </w:tc>
              <w:tc>
                <w:tcPr>
                  <w:tcW w:w="263" w:type="pct"/>
                  <w:vAlign w:val="center"/>
                </w:tcPr>
                <w:p w14:paraId="4B96DD0D">
                  <w:pPr>
                    <w:pStyle w:val="29"/>
                    <w:rPr>
                      <w:rFonts w:hint="default"/>
                      <w:color w:val="auto"/>
                    </w:rPr>
                  </w:pPr>
                  <w:r>
                    <w:rPr>
                      <w:color w:val="auto"/>
                    </w:rPr>
                    <w:t>收集效率（%）</w:t>
                  </w:r>
                </w:p>
              </w:tc>
              <w:tc>
                <w:tcPr>
                  <w:tcW w:w="274" w:type="pct"/>
                  <w:vAlign w:val="center"/>
                </w:tcPr>
                <w:p w14:paraId="0AB9B5E9">
                  <w:pPr>
                    <w:pStyle w:val="29"/>
                    <w:rPr>
                      <w:rFonts w:hint="default"/>
                      <w:color w:val="auto"/>
                    </w:rPr>
                  </w:pPr>
                  <w:r>
                    <w:rPr>
                      <w:rFonts w:hint="eastAsia"/>
                      <w:color w:val="auto"/>
                      <w:lang w:val="en-US" w:eastAsia="zh-CN"/>
                    </w:rPr>
                    <w:t>去除</w:t>
                  </w:r>
                  <w:r>
                    <w:rPr>
                      <w:color w:val="auto"/>
                    </w:rPr>
                    <w:t>效率（%）</w:t>
                  </w:r>
                </w:p>
              </w:tc>
              <w:tc>
                <w:tcPr>
                  <w:tcW w:w="336" w:type="pct"/>
                  <w:vAlign w:val="center"/>
                </w:tcPr>
                <w:p w14:paraId="6EE89C06">
                  <w:pPr>
                    <w:pStyle w:val="29"/>
                    <w:rPr>
                      <w:rFonts w:hint="default"/>
                      <w:color w:val="auto"/>
                    </w:rPr>
                  </w:pPr>
                  <w:r>
                    <w:rPr>
                      <w:color w:val="auto"/>
                    </w:rPr>
                    <w:t>是否为可行性技术</w:t>
                  </w:r>
                </w:p>
              </w:tc>
              <w:tc>
                <w:tcPr>
                  <w:tcW w:w="344" w:type="pct"/>
                  <w:vAlign w:val="center"/>
                </w:tcPr>
                <w:p w14:paraId="463C2DCC">
                  <w:pPr>
                    <w:pStyle w:val="29"/>
                    <w:rPr>
                      <w:rFonts w:hint="default"/>
                      <w:color w:val="auto"/>
                    </w:rPr>
                  </w:pPr>
                  <w:r>
                    <w:rPr>
                      <w:color w:val="auto"/>
                    </w:rPr>
                    <w:t>排放量（t/a）</w:t>
                  </w:r>
                </w:p>
              </w:tc>
              <w:tc>
                <w:tcPr>
                  <w:tcW w:w="370" w:type="pct"/>
                  <w:vAlign w:val="center"/>
                </w:tcPr>
                <w:p w14:paraId="2C89C4D8">
                  <w:pPr>
                    <w:pStyle w:val="29"/>
                    <w:rPr>
                      <w:rFonts w:hint="default"/>
                      <w:color w:val="auto"/>
                    </w:rPr>
                  </w:pPr>
                  <w:r>
                    <w:rPr>
                      <w:color w:val="auto"/>
                    </w:rPr>
                    <w:t>排放浓度（mg/m</w:t>
                  </w:r>
                  <w:r>
                    <w:rPr>
                      <w:color w:val="auto"/>
                      <w:vertAlign w:val="superscript"/>
                    </w:rPr>
                    <w:t>3</w:t>
                  </w:r>
                  <w:r>
                    <w:rPr>
                      <w:color w:val="auto"/>
                    </w:rPr>
                    <w:t>）</w:t>
                  </w:r>
                </w:p>
              </w:tc>
              <w:tc>
                <w:tcPr>
                  <w:tcW w:w="363" w:type="pct"/>
                  <w:vAlign w:val="center"/>
                </w:tcPr>
                <w:p w14:paraId="7581EF02">
                  <w:pPr>
                    <w:pStyle w:val="29"/>
                    <w:rPr>
                      <w:rFonts w:hint="default"/>
                      <w:color w:val="auto"/>
                    </w:rPr>
                  </w:pPr>
                  <w:r>
                    <w:rPr>
                      <w:color w:val="auto"/>
                    </w:rPr>
                    <w:t>排放速率（kg/h）</w:t>
                  </w:r>
                </w:p>
              </w:tc>
              <w:tc>
                <w:tcPr>
                  <w:tcW w:w="454" w:type="pct"/>
                  <w:vMerge w:val="continue"/>
                  <w:vAlign w:val="center"/>
                </w:tcPr>
                <w:p w14:paraId="6B5DE5D8">
                  <w:pPr>
                    <w:pStyle w:val="29"/>
                    <w:rPr>
                      <w:rFonts w:hint="default"/>
                      <w:color w:val="auto"/>
                    </w:rPr>
                  </w:pPr>
                </w:p>
              </w:tc>
            </w:tr>
            <w:tr w14:paraId="7F7D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vAlign w:val="center"/>
                </w:tcPr>
                <w:p w14:paraId="481B0086">
                  <w:pPr>
                    <w:pStyle w:val="29"/>
                    <w:rPr>
                      <w:rFonts w:hint="default"/>
                      <w:color w:val="auto"/>
                    </w:rPr>
                  </w:pPr>
                  <w:r>
                    <w:rPr>
                      <w:color w:val="auto"/>
                    </w:rPr>
                    <w:t>1</w:t>
                  </w:r>
                </w:p>
              </w:tc>
              <w:tc>
                <w:tcPr>
                  <w:tcW w:w="282" w:type="pct"/>
                  <w:vMerge w:val="restart"/>
                  <w:vAlign w:val="center"/>
                </w:tcPr>
                <w:p w14:paraId="62697534">
                  <w:pPr>
                    <w:pStyle w:val="29"/>
                    <w:rPr>
                      <w:rFonts w:hint="default"/>
                      <w:color w:val="auto"/>
                    </w:rPr>
                  </w:pPr>
                  <w:r>
                    <w:rPr>
                      <w:rFonts w:hint="eastAsia"/>
                      <w:color w:val="auto"/>
                      <w:lang w:val="en-US" w:eastAsia="zh-CN"/>
                    </w:rPr>
                    <w:t>锅炉废气</w:t>
                  </w:r>
                </w:p>
              </w:tc>
              <w:tc>
                <w:tcPr>
                  <w:tcW w:w="339" w:type="pct"/>
                  <w:vAlign w:val="center"/>
                </w:tcPr>
                <w:p w14:paraId="47BEE73B">
                  <w:pPr>
                    <w:pStyle w:val="29"/>
                    <w:rPr>
                      <w:rFonts w:hint="default" w:eastAsia="宋体"/>
                      <w:color w:val="auto"/>
                      <w:lang w:val="en-US" w:eastAsia="zh-CN"/>
                    </w:rPr>
                  </w:pPr>
                  <w:r>
                    <w:rPr>
                      <w:rFonts w:hint="eastAsia"/>
                      <w:color w:val="auto"/>
                      <w:lang w:val="en-US" w:eastAsia="zh-CN"/>
                    </w:rPr>
                    <w:t>废气量</w:t>
                  </w:r>
                </w:p>
              </w:tc>
              <w:tc>
                <w:tcPr>
                  <w:tcW w:w="363" w:type="pct"/>
                  <w:vAlign w:val="center"/>
                </w:tcPr>
                <w:p w14:paraId="26423B01">
                  <w:pPr>
                    <w:pStyle w:val="29"/>
                    <w:rPr>
                      <w:rFonts w:hint="default" w:eastAsia="宋体"/>
                      <w:color w:val="auto"/>
                      <w:lang w:val="en-US" w:eastAsia="zh-CN"/>
                    </w:rPr>
                  </w:pPr>
                  <w:r>
                    <w:rPr>
                      <w:rFonts w:hint="eastAsia"/>
                      <w:color w:val="auto"/>
                      <w:lang w:val="en-US" w:eastAsia="zh-CN"/>
                    </w:rPr>
                    <w:t>1034428.8m</w:t>
                  </w:r>
                  <w:r>
                    <w:rPr>
                      <w:rFonts w:hint="eastAsia"/>
                      <w:color w:val="auto"/>
                      <w:vertAlign w:val="superscript"/>
                      <w:lang w:val="en-US" w:eastAsia="zh-CN"/>
                    </w:rPr>
                    <w:t>3</w:t>
                  </w:r>
                  <w:r>
                    <w:rPr>
                      <w:rFonts w:hint="eastAsia"/>
                      <w:color w:val="auto"/>
                      <w:lang w:val="en-US" w:eastAsia="zh-CN"/>
                    </w:rPr>
                    <w:t>/a</w:t>
                  </w:r>
                </w:p>
              </w:tc>
              <w:tc>
                <w:tcPr>
                  <w:tcW w:w="439" w:type="pct"/>
                  <w:shd w:val="clear" w:color="auto" w:fill="auto"/>
                  <w:vAlign w:val="center"/>
                </w:tcPr>
                <w:p w14:paraId="4DCAEE8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59" w:type="pct"/>
                  <w:vAlign w:val="center"/>
                </w:tcPr>
                <w:p w14:paraId="125E85A8">
                  <w:pPr>
                    <w:pStyle w:val="29"/>
                    <w:rPr>
                      <w:rFonts w:hint="default"/>
                      <w:color w:val="auto"/>
                      <w:lang w:val="en-US" w:eastAsia="zh-CN"/>
                    </w:rPr>
                  </w:pPr>
                  <w:r>
                    <w:rPr>
                      <w:rFonts w:hint="eastAsia"/>
                      <w:color w:val="auto"/>
                      <w:lang w:val="en-US" w:eastAsia="zh-CN"/>
                    </w:rPr>
                    <w:t>/</w:t>
                  </w:r>
                </w:p>
              </w:tc>
              <w:tc>
                <w:tcPr>
                  <w:tcW w:w="152" w:type="pct"/>
                  <w:vAlign w:val="center"/>
                </w:tcPr>
                <w:p w14:paraId="39A06F7B">
                  <w:pPr>
                    <w:pStyle w:val="29"/>
                    <w:rPr>
                      <w:rFonts w:hint="default"/>
                      <w:color w:val="auto"/>
                    </w:rPr>
                  </w:pPr>
                  <w:r>
                    <w:rPr>
                      <w:color w:val="auto"/>
                    </w:rPr>
                    <w:t>有组织</w:t>
                  </w:r>
                </w:p>
              </w:tc>
              <w:tc>
                <w:tcPr>
                  <w:tcW w:w="476" w:type="pct"/>
                  <w:vMerge w:val="restart"/>
                  <w:vAlign w:val="center"/>
                </w:tcPr>
                <w:p w14:paraId="7ABE9A87">
                  <w:pPr>
                    <w:pStyle w:val="29"/>
                    <w:rPr>
                      <w:rFonts w:hint="default"/>
                      <w:color w:val="auto"/>
                    </w:rPr>
                  </w:pPr>
                  <w:r>
                    <w:rPr>
                      <w:rFonts w:hint="eastAsia"/>
                      <w:color w:val="auto"/>
                      <w:lang w:val="en-US" w:eastAsia="zh-CN"/>
                    </w:rPr>
                    <w:t>低氮燃烧</w:t>
                  </w:r>
                  <w:r>
                    <w:rPr>
                      <w:color w:val="auto"/>
                    </w:rPr>
                    <w:t>+</w:t>
                  </w:r>
                  <w:r>
                    <w:rPr>
                      <w:rFonts w:hint="eastAsia"/>
                      <w:color w:val="auto"/>
                      <w:lang w:val="en-US" w:eastAsia="zh-CN"/>
                    </w:rPr>
                    <w:t>18m高排气筒</w:t>
                  </w:r>
                  <w:r>
                    <w:rPr>
                      <w:color w:val="auto"/>
                    </w:rPr>
                    <w:t>（DA001）</w:t>
                  </w:r>
                </w:p>
              </w:tc>
              <w:tc>
                <w:tcPr>
                  <w:tcW w:w="263" w:type="pct"/>
                  <w:vAlign w:val="center"/>
                </w:tcPr>
                <w:p w14:paraId="571D1D7F">
                  <w:pPr>
                    <w:pStyle w:val="29"/>
                    <w:rPr>
                      <w:rFonts w:hint="default" w:eastAsia="宋体"/>
                      <w:color w:val="auto"/>
                      <w:lang w:val="en-US" w:eastAsia="zh-CN"/>
                    </w:rPr>
                  </w:pPr>
                  <w:r>
                    <w:rPr>
                      <w:rFonts w:hint="eastAsia"/>
                      <w:color w:val="auto"/>
                      <w:lang w:val="en-US" w:eastAsia="zh-CN"/>
                    </w:rPr>
                    <w:t>100</w:t>
                  </w:r>
                </w:p>
              </w:tc>
              <w:tc>
                <w:tcPr>
                  <w:tcW w:w="274" w:type="pct"/>
                  <w:vAlign w:val="center"/>
                </w:tcPr>
                <w:p w14:paraId="1423EFCE">
                  <w:pPr>
                    <w:pStyle w:val="29"/>
                    <w:rPr>
                      <w:rFonts w:hint="eastAsia" w:eastAsia="宋体"/>
                      <w:color w:val="auto"/>
                      <w:lang w:val="en-US" w:eastAsia="zh-CN"/>
                    </w:rPr>
                  </w:pPr>
                  <w:r>
                    <w:rPr>
                      <w:rFonts w:hint="eastAsia"/>
                      <w:color w:val="auto"/>
                      <w:lang w:val="en-US" w:eastAsia="zh-CN"/>
                    </w:rPr>
                    <w:t>/</w:t>
                  </w:r>
                </w:p>
              </w:tc>
              <w:tc>
                <w:tcPr>
                  <w:tcW w:w="336" w:type="pct"/>
                  <w:vAlign w:val="center"/>
                </w:tcPr>
                <w:p w14:paraId="4A010B7B">
                  <w:pPr>
                    <w:pStyle w:val="29"/>
                    <w:rPr>
                      <w:rFonts w:hint="default"/>
                      <w:color w:val="auto"/>
                    </w:rPr>
                  </w:pPr>
                  <w:r>
                    <w:rPr>
                      <w:color w:val="auto"/>
                    </w:rPr>
                    <w:t>是</w:t>
                  </w:r>
                </w:p>
              </w:tc>
              <w:tc>
                <w:tcPr>
                  <w:tcW w:w="344" w:type="pct"/>
                  <w:vAlign w:val="center"/>
                </w:tcPr>
                <w:p w14:paraId="7EEF9E6F">
                  <w:pPr>
                    <w:pStyle w:val="29"/>
                    <w:rPr>
                      <w:rFonts w:hint="default"/>
                      <w:color w:val="auto"/>
                      <w:lang w:val="en-US" w:eastAsia="zh-CN"/>
                    </w:rPr>
                  </w:pPr>
                  <w:r>
                    <w:rPr>
                      <w:rFonts w:hint="eastAsia"/>
                      <w:color w:val="auto"/>
                      <w:lang w:val="en-US" w:eastAsia="zh-CN"/>
                    </w:rPr>
                    <w:t>1034428.8m</w:t>
                  </w:r>
                  <w:r>
                    <w:rPr>
                      <w:rFonts w:hint="eastAsia"/>
                      <w:color w:val="auto"/>
                      <w:vertAlign w:val="superscript"/>
                      <w:lang w:val="en-US" w:eastAsia="zh-CN"/>
                    </w:rPr>
                    <w:t>3</w:t>
                  </w:r>
                  <w:r>
                    <w:rPr>
                      <w:rFonts w:hint="eastAsia"/>
                      <w:color w:val="auto"/>
                      <w:lang w:val="en-US" w:eastAsia="zh-CN"/>
                    </w:rPr>
                    <w:t>/a</w:t>
                  </w:r>
                </w:p>
              </w:tc>
              <w:tc>
                <w:tcPr>
                  <w:tcW w:w="370" w:type="pct"/>
                  <w:shd w:val="clear" w:color="auto" w:fill="auto"/>
                  <w:vAlign w:val="center"/>
                </w:tcPr>
                <w:p w14:paraId="2C4603D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63" w:type="pct"/>
                  <w:vAlign w:val="center"/>
                </w:tcPr>
                <w:p w14:paraId="0204FDDB">
                  <w:pPr>
                    <w:pStyle w:val="29"/>
                    <w:rPr>
                      <w:rFonts w:hint="default"/>
                      <w:color w:val="auto"/>
                      <w:lang w:val="en-US" w:eastAsia="zh-CN"/>
                    </w:rPr>
                  </w:pPr>
                  <w:r>
                    <w:rPr>
                      <w:rFonts w:hint="eastAsia"/>
                      <w:color w:val="auto"/>
                      <w:lang w:val="en-US" w:eastAsia="zh-CN"/>
                    </w:rPr>
                    <w:t>/</w:t>
                  </w:r>
                </w:p>
              </w:tc>
              <w:tc>
                <w:tcPr>
                  <w:tcW w:w="454" w:type="pct"/>
                  <w:vMerge w:val="restart"/>
                  <w:vAlign w:val="center"/>
                </w:tcPr>
                <w:p w14:paraId="23B2557E">
                  <w:pPr>
                    <w:pStyle w:val="29"/>
                    <w:rPr>
                      <w:rFonts w:hint="default"/>
                      <w:color w:val="auto"/>
                      <w:lang w:val="en-US" w:eastAsia="zh-CN"/>
                    </w:rPr>
                  </w:pPr>
                  <w:r>
                    <w:rPr>
                      <w:rFonts w:hint="default"/>
                      <w:color w:val="auto"/>
                      <w:lang w:val="en-US" w:eastAsia="zh-CN"/>
                    </w:rPr>
                    <w:t>《锅炉大气污染物排放标准》（GB13271-2014）表2新建锅炉大气污染物排放标准中</w:t>
                  </w:r>
                  <w:r>
                    <w:rPr>
                      <w:rFonts w:hint="eastAsia"/>
                      <w:color w:val="auto"/>
                      <w:lang w:val="en-US" w:eastAsia="zh-CN"/>
                    </w:rPr>
                    <w:t>燃气锅炉</w:t>
                  </w:r>
                  <w:r>
                    <w:rPr>
                      <w:rFonts w:hint="default"/>
                      <w:color w:val="auto"/>
                      <w:lang w:val="en-US" w:eastAsia="zh-CN"/>
                    </w:rPr>
                    <w:t>浓度限值</w:t>
                  </w:r>
                </w:p>
              </w:tc>
            </w:tr>
            <w:tr w14:paraId="76540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72C7467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w:t>
                  </w:r>
                </w:p>
              </w:tc>
              <w:tc>
                <w:tcPr>
                  <w:tcW w:w="282" w:type="pct"/>
                  <w:vMerge w:val="continue"/>
                  <w:vAlign w:val="center"/>
                </w:tcPr>
                <w:p w14:paraId="5B40A1FA">
                  <w:pPr>
                    <w:pStyle w:val="29"/>
                    <w:rPr>
                      <w:rFonts w:hint="eastAsia"/>
                      <w:color w:val="auto"/>
                      <w:lang w:val="en-US" w:eastAsia="zh-CN"/>
                    </w:rPr>
                  </w:pPr>
                </w:p>
              </w:tc>
              <w:tc>
                <w:tcPr>
                  <w:tcW w:w="339" w:type="pct"/>
                  <w:vAlign w:val="center"/>
                </w:tcPr>
                <w:p w14:paraId="5E4C2491">
                  <w:pPr>
                    <w:pStyle w:val="29"/>
                    <w:rPr>
                      <w:rFonts w:hint="default"/>
                      <w:color w:val="auto"/>
                      <w:lang w:val="en-US" w:eastAsia="zh-CN"/>
                    </w:rPr>
                  </w:pPr>
                  <w:r>
                    <w:rPr>
                      <w:rFonts w:hint="eastAsia"/>
                      <w:color w:val="auto"/>
                      <w:lang w:val="en-US" w:eastAsia="zh-CN"/>
                    </w:rPr>
                    <w:t>颗粒物</w:t>
                  </w:r>
                </w:p>
              </w:tc>
              <w:tc>
                <w:tcPr>
                  <w:tcW w:w="363" w:type="pct"/>
                  <w:vAlign w:val="center"/>
                </w:tcPr>
                <w:p w14:paraId="35CD25BF">
                  <w:pPr>
                    <w:pStyle w:val="29"/>
                    <w:rPr>
                      <w:rFonts w:hint="default"/>
                      <w:color w:val="auto"/>
                      <w:lang w:val="en-US" w:eastAsia="zh-CN"/>
                    </w:rPr>
                  </w:pPr>
                  <w:r>
                    <w:rPr>
                      <w:rFonts w:hint="eastAsia"/>
                      <w:color w:val="auto"/>
                      <w:lang w:val="en-US" w:eastAsia="zh-CN"/>
                    </w:rPr>
                    <w:t>0.008</w:t>
                  </w:r>
                </w:p>
              </w:tc>
              <w:tc>
                <w:tcPr>
                  <w:tcW w:w="439" w:type="pct"/>
                  <w:shd w:val="clear" w:color="auto" w:fill="auto"/>
                  <w:vAlign w:val="center"/>
                </w:tcPr>
                <w:p w14:paraId="63F5286C">
                  <w:pPr>
                    <w:pStyle w:val="29"/>
                    <w:ind w:firstLine="0" w:firstLineChars="0"/>
                    <w:rPr>
                      <w:rFonts w:hint="default"/>
                      <w:color w:val="auto"/>
                      <w:lang w:val="en-US" w:eastAsia="zh-CN"/>
                    </w:rPr>
                  </w:pPr>
                  <w:r>
                    <w:rPr>
                      <w:rFonts w:hint="eastAsia"/>
                      <w:color w:val="auto"/>
                      <w:lang w:val="en-US" w:eastAsia="zh-CN"/>
                    </w:rPr>
                    <w:t>0.552</w:t>
                  </w:r>
                </w:p>
              </w:tc>
              <w:tc>
                <w:tcPr>
                  <w:tcW w:w="359" w:type="pct"/>
                  <w:vAlign w:val="center"/>
                </w:tcPr>
                <w:p w14:paraId="027C5174">
                  <w:pPr>
                    <w:pStyle w:val="29"/>
                    <w:rPr>
                      <w:rFonts w:hint="default"/>
                      <w:color w:val="auto"/>
                      <w:lang w:val="en-US" w:eastAsia="zh-CN"/>
                    </w:rPr>
                  </w:pPr>
                  <w:r>
                    <w:rPr>
                      <w:rFonts w:hint="eastAsia"/>
                      <w:color w:val="auto"/>
                      <w:lang w:val="en-US" w:eastAsia="zh-CN"/>
                    </w:rPr>
                    <w:t>0.003</w:t>
                  </w:r>
                </w:p>
              </w:tc>
              <w:tc>
                <w:tcPr>
                  <w:tcW w:w="152" w:type="pct"/>
                  <w:vAlign w:val="center"/>
                </w:tcPr>
                <w:p w14:paraId="72BB8D58">
                  <w:pPr>
                    <w:pStyle w:val="29"/>
                    <w:rPr>
                      <w:color w:val="auto"/>
                    </w:rPr>
                  </w:pPr>
                  <w:r>
                    <w:rPr>
                      <w:color w:val="auto"/>
                    </w:rPr>
                    <w:t>有组织</w:t>
                  </w:r>
                </w:p>
              </w:tc>
              <w:tc>
                <w:tcPr>
                  <w:tcW w:w="476" w:type="pct"/>
                  <w:vMerge w:val="continue"/>
                  <w:vAlign w:val="center"/>
                </w:tcPr>
                <w:p w14:paraId="7368638D">
                  <w:pPr>
                    <w:pStyle w:val="29"/>
                    <w:rPr>
                      <w:rFonts w:hint="eastAsia"/>
                      <w:color w:val="auto"/>
                      <w:lang w:val="en-US" w:eastAsia="zh-CN"/>
                    </w:rPr>
                  </w:pPr>
                </w:p>
              </w:tc>
              <w:tc>
                <w:tcPr>
                  <w:tcW w:w="263" w:type="pct"/>
                  <w:vAlign w:val="center"/>
                </w:tcPr>
                <w:p w14:paraId="47B40333">
                  <w:pPr>
                    <w:pStyle w:val="29"/>
                    <w:rPr>
                      <w:rFonts w:hint="default"/>
                      <w:color w:val="auto"/>
                      <w:lang w:val="en-US" w:eastAsia="zh-CN"/>
                    </w:rPr>
                  </w:pPr>
                  <w:r>
                    <w:rPr>
                      <w:rFonts w:hint="eastAsia"/>
                      <w:color w:val="auto"/>
                      <w:lang w:val="en-US" w:eastAsia="zh-CN"/>
                    </w:rPr>
                    <w:t>100</w:t>
                  </w:r>
                </w:p>
              </w:tc>
              <w:tc>
                <w:tcPr>
                  <w:tcW w:w="274" w:type="pct"/>
                  <w:vAlign w:val="center"/>
                </w:tcPr>
                <w:p w14:paraId="0A6E413E">
                  <w:pPr>
                    <w:pStyle w:val="29"/>
                    <w:rPr>
                      <w:rFonts w:hint="default"/>
                      <w:color w:val="auto"/>
                      <w:lang w:val="en-US" w:eastAsia="zh-CN"/>
                    </w:rPr>
                  </w:pPr>
                  <w:r>
                    <w:rPr>
                      <w:rFonts w:hint="eastAsia"/>
                      <w:color w:val="auto"/>
                      <w:lang w:val="en-US" w:eastAsia="zh-CN"/>
                    </w:rPr>
                    <w:t>/</w:t>
                  </w:r>
                </w:p>
              </w:tc>
              <w:tc>
                <w:tcPr>
                  <w:tcW w:w="336" w:type="pct"/>
                  <w:vAlign w:val="center"/>
                </w:tcPr>
                <w:p w14:paraId="2EC7DABB">
                  <w:pPr>
                    <w:pStyle w:val="29"/>
                    <w:rPr>
                      <w:rFonts w:hint="eastAsia" w:eastAsia="宋体"/>
                      <w:color w:val="auto"/>
                      <w:lang w:val="en-US" w:eastAsia="zh-CN"/>
                    </w:rPr>
                  </w:pPr>
                  <w:r>
                    <w:rPr>
                      <w:rFonts w:hint="eastAsia"/>
                      <w:color w:val="auto"/>
                      <w:lang w:val="en-US" w:eastAsia="zh-CN"/>
                    </w:rPr>
                    <w:t>是</w:t>
                  </w:r>
                </w:p>
              </w:tc>
              <w:tc>
                <w:tcPr>
                  <w:tcW w:w="344" w:type="pct"/>
                  <w:shd w:val="clear" w:color="auto" w:fill="auto"/>
                  <w:vAlign w:val="center"/>
                </w:tcPr>
                <w:p w14:paraId="3D039B1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0.008</w:t>
                  </w:r>
                </w:p>
              </w:tc>
              <w:tc>
                <w:tcPr>
                  <w:tcW w:w="370" w:type="pct"/>
                  <w:shd w:val="clear" w:color="auto" w:fill="auto"/>
                  <w:vAlign w:val="center"/>
                </w:tcPr>
                <w:p w14:paraId="74998F5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0.552</w:t>
                  </w:r>
                </w:p>
              </w:tc>
              <w:tc>
                <w:tcPr>
                  <w:tcW w:w="363" w:type="pct"/>
                  <w:shd w:val="clear" w:color="auto" w:fill="auto"/>
                  <w:vAlign w:val="center"/>
                </w:tcPr>
                <w:p w14:paraId="3BC318D7">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0.003</w:t>
                  </w:r>
                </w:p>
              </w:tc>
              <w:tc>
                <w:tcPr>
                  <w:tcW w:w="454" w:type="pct"/>
                  <w:vMerge w:val="continue"/>
                  <w:vAlign w:val="center"/>
                </w:tcPr>
                <w:p w14:paraId="1498151A">
                  <w:pPr>
                    <w:pStyle w:val="29"/>
                    <w:rPr>
                      <w:rFonts w:hint="default"/>
                      <w:color w:val="auto"/>
                      <w:lang w:val="en-US" w:eastAsia="zh-CN"/>
                    </w:rPr>
                  </w:pPr>
                </w:p>
              </w:tc>
            </w:tr>
            <w:tr w14:paraId="6899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0" w:type="pct"/>
                  <w:shd w:val="clear" w:color="auto" w:fill="auto"/>
                  <w:vAlign w:val="center"/>
                </w:tcPr>
                <w:p w14:paraId="4B08C1B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3</w:t>
                  </w:r>
                </w:p>
              </w:tc>
              <w:tc>
                <w:tcPr>
                  <w:tcW w:w="282" w:type="pct"/>
                  <w:vMerge w:val="continue"/>
                  <w:vAlign w:val="center"/>
                </w:tcPr>
                <w:p w14:paraId="1409FC0C">
                  <w:pPr>
                    <w:pStyle w:val="29"/>
                    <w:rPr>
                      <w:rFonts w:hint="eastAsia" w:eastAsia="宋体"/>
                      <w:color w:val="auto"/>
                      <w:lang w:eastAsia="zh-CN"/>
                    </w:rPr>
                  </w:pPr>
                </w:p>
              </w:tc>
              <w:tc>
                <w:tcPr>
                  <w:tcW w:w="339" w:type="pct"/>
                  <w:shd w:val="clear" w:color="auto" w:fill="auto"/>
                  <w:vAlign w:val="center"/>
                </w:tcPr>
                <w:p w14:paraId="7AE557D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SO</w:t>
                  </w:r>
                  <w:r>
                    <w:rPr>
                      <w:rFonts w:hint="eastAsia"/>
                      <w:color w:val="auto"/>
                      <w:vertAlign w:val="subscript"/>
                      <w:lang w:val="en-US" w:eastAsia="zh-CN"/>
                    </w:rPr>
                    <w:t>2</w:t>
                  </w:r>
                </w:p>
              </w:tc>
              <w:tc>
                <w:tcPr>
                  <w:tcW w:w="363" w:type="pct"/>
                  <w:vAlign w:val="center"/>
                </w:tcPr>
                <w:p w14:paraId="63D93AF5">
                  <w:pPr>
                    <w:pStyle w:val="29"/>
                    <w:rPr>
                      <w:rFonts w:hint="default" w:eastAsia="宋体"/>
                      <w:color w:val="auto"/>
                      <w:lang w:val="en-US" w:eastAsia="zh-CN"/>
                    </w:rPr>
                  </w:pPr>
                  <w:r>
                    <w:rPr>
                      <w:rFonts w:hint="eastAsia"/>
                      <w:color w:val="auto"/>
                      <w:lang w:val="en-US" w:eastAsia="zh-CN"/>
                    </w:rPr>
                    <w:t>0.001</w:t>
                  </w:r>
                </w:p>
              </w:tc>
              <w:tc>
                <w:tcPr>
                  <w:tcW w:w="439" w:type="pct"/>
                  <w:vAlign w:val="center"/>
                </w:tcPr>
                <w:p w14:paraId="06B4CC87">
                  <w:pPr>
                    <w:pStyle w:val="29"/>
                    <w:rPr>
                      <w:rFonts w:hint="default" w:eastAsia="宋体"/>
                      <w:color w:val="auto"/>
                      <w:lang w:val="en-US" w:eastAsia="zh-CN"/>
                    </w:rPr>
                  </w:pPr>
                  <w:r>
                    <w:rPr>
                      <w:rFonts w:hint="eastAsia"/>
                      <w:color w:val="auto"/>
                      <w:lang w:val="en-US" w:eastAsia="zh-CN"/>
                    </w:rPr>
                    <w:t>0.074</w:t>
                  </w:r>
                </w:p>
              </w:tc>
              <w:tc>
                <w:tcPr>
                  <w:tcW w:w="359" w:type="pct"/>
                  <w:vAlign w:val="center"/>
                </w:tcPr>
                <w:p w14:paraId="0358A513">
                  <w:pPr>
                    <w:pStyle w:val="29"/>
                    <w:rPr>
                      <w:rFonts w:hint="default" w:eastAsia="宋体"/>
                      <w:color w:val="auto"/>
                      <w:lang w:val="en-US" w:eastAsia="zh-CN"/>
                    </w:rPr>
                  </w:pPr>
                  <w:r>
                    <w:rPr>
                      <w:rFonts w:hint="eastAsia"/>
                      <w:color w:val="auto"/>
                      <w:lang w:val="en-US" w:eastAsia="zh-CN"/>
                    </w:rPr>
                    <w:t>0.0004</w:t>
                  </w:r>
                </w:p>
              </w:tc>
              <w:tc>
                <w:tcPr>
                  <w:tcW w:w="152" w:type="pct"/>
                  <w:vAlign w:val="center"/>
                </w:tcPr>
                <w:p w14:paraId="06D3FE85">
                  <w:pPr>
                    <w:pStyle w:val="29"/>
                    <w:rPr>
                      <w:rFonts w:hint="eastAsia" w:eastAsia="宋体"/>
                      <w:color w:val="auto"/>
                      <w:lang w:eastAsia="zh-CN"/>
                    </w:rPr>
                  </w:pPr>
                  <w:r>
                    <w:rPr>
                      <w:rFonts w:hint="eastAsia"/>
                      <w:color w:val="auto"/>
                      <w:lang w:eastAsia="zh-CN"/>
                    </w:rPr>
                    <w:t>有组织</w:t>
                  </w:r>
                </w:p>
              </w:tc>
              <w:tc>
                <w:tcPr>
                  <w:tcW w:w="476" w:type="pct"/>
                  <w:vMerge w:val="continue"/>
                  <w:vAlign w:val="center"/>
                </w:tcPr>
                <w:p w14:paraId="432CF647">
                  <w:pPr>
                    <w:pStyle w:val="29"/>
                    <w:rPr>
                      <w:rFonts w:hint="default" w:eastAsia="宋体"/>
                      <w:color w:val="auto"/>
                      <w:lang w:val="en-US" w:eastAsia="zh-CN"/>
                    </w:rPr>
                  </w:pPr>
                </w:p>
              </w:tc>
              <w:tc>
                <w:tcPr>
                  <w:tcW w:w="263" w:type="pct"/>
                  <w:shd w:val="clear" w:color="auto" w:fill="auto"/>
                  <w:vAlign w:val="center"/>
                </w:tcPr>
                <w:p w14:paraId="32D4A77B">
                  <w:pPr>
                    <w:pStyle w:val="29"/>
                    <w:ind w:firstLine="0" w:firstLineChars="0"/>
                    <w:rPr>
                      <w:rFonts w:hint="default" w:eastAsia="宋体"/>
                      <w:color w:val="auto"/>
                      <w:lang w:val="en-US" w:eastAsia="zh-CN"/>
                    </w:rPr>
                  </w:pPr>
                  <w:r>
                    <w:rPr>
                      <w:rFonts w:hint="eastAsia"/>
                      <w:color w:val="auto"/>
                      <w:lang w:val="en-US" w:eastAsia="zh-CN"/>
                    </w:rPr>
                    <w:t>100</w:t>
                  </w:r>
                </w:p>
              </w:tc>
              <w:tc>
                <w:tcPr>
                  <w:tcW w:w="274" w:type="pct"/>
                  <w:shd w:val="clear" w:color="auto" w:fill="auto"/>
                  <w:vAlign w:val="center"/>
                </w:tcPr>
                <w:p w14:paraId="5B05BEA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36" w:type="pct"/>
                  <w:shd w:val="clear" w:color="auto" w:fill="auto"/>
                  <w:vAlign w:val="center"/>
                </w:tcPr>
                <w:p w14:paraId="65FC979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是</w:t>
                  </w:r>
                </w:p>
              </w:tc>
              <w:tc>
                <w:tcPr>
                  <w:tcW w:w="344" w:type="pct"/>
                  <w:shd w:val="clear" w:color="auto" w:fill="auto"/>
                  <w:vAlign w:val="center"/>
                </w:tcPr>
                <w:p w14:paraId="2C5DEA9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0.001</w:t>
                  </w:r>
                </w:p>
              </w:tc>
              <w:tc>
                <w:tcPr>
                  <w:tcW w:w="370" w:type="pct"/>
                  <w:shd w:val="clear" w:color="auto" w:fill="auto"/>
                  <w:vAlign w:val="center"/>
                </w:tcPr>
                <w:p w14:paraId="021AF6E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0.074</w:t>
                  </w:r>
                </w:p>
              </w:tc>
              <w:tc>
                <w:tcPr>
                  <w:tcW w:w="363" w:type="pct"/>
                  <w:shd w:val="clear" w:color="auto" w:fill="auto"/>
                  <w:vAlign w:val="center"/>
                </w:tcPr>
                <w:p w14:paraId="5F4DD78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0.0004</w:t>
                  </w:r>
                </w:p>
              </w:tc>
              <w:tc>
                <w:tcPr>
                  <w:tcW w:w="454" w:type="pct"/>
                  <w:vMerge w:val="continue"/>
                  <w:vAlign w:val="center"/>
                </w:tcPr>
                <w:p w14:paraId="70BC8C48">
                  <w:pPr>
                    <w:pStyle w:val="29"/>
                    <w:rPr>
                      <w:rFonts w:hint="default"/>
                      <w:color w:val="auto"/>
                      <w:lang w:val="en-US" w:eastAsia="zh-CN"/>
                    </w:rPr>
                  </w:pPr>
                </w:p>
              </w:tc>
            </w:tr>
            <w:tr w14:paraId="710B2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0395274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4</w:t>
                  </w:r>
                </w:p>
              </w:tc>
              <w:tc>
                <w:tcPr>
                  <w:tcW w:w="282" w:type="pct"/>
                  <w:vMerge w:val="continue"/>
                  <w:vAlign w:val="center"/>
                </w:tcPr>
                <w:p w14:paraId="1712C03C">
                  <w:pPr>
                    <w:pStyle w:val="29"/>
                    <w:rPr>
                      <w:rFonts w:hint="default"/>
                      <w:color w:val="auto"/>
                    </w:rPr>
                  </w:pPr>
                </w:p>
              </w:tc>
              <w:tc>
                <w:tcPr>
                  <w:tcW w:w="339" w:type="pct"/>
                  <w:shd w:val="clear" w:color="auto" w:fill="auto"/>
                  <w:vAlign w:val="center"/>
                </w:tcPr>
                <w:p w14:paraId="478A76A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NO</w:t>
                  </w:r>
                  <w:r>
                    <w:rPr>
                      <w:rFonts w:hint="eastAsia"/>
                      <w:color w:val="auto"/>
                      <w:vertAlign w:val="subscript"/>
                      <w:lang w:val="en-US" w:eastAsia="zh-CN"/>
                    </w:rPr>
                    <w:t>x</w:t>
                  </w:r>
                </w:p>
              </w:tc>
              <w:tc>
                <w:tcPr>
                  <w:tcW w:w="363" w:type="pct"/>
                  <w:vAlign w:val="center"/>
                </w:tcPr>
                <w:p w14:paraId="69C15638">
                  <w:pPr>
                    <w:pStyle w:val="29"/>
                    <w:rPr>
                      <w:rFonts w:hint="default" w:eastAsia="宋体"/>
                      <w:color w:val="auto"/>
                      <w:lang w:val="en-US" w:eastAsia="zh-CN"/>
                    </w:rPr>
                  </w:pPr>
                  <w:r>
                    <w:rPr>
                      <w:rFonts w:hint="eastAsia"/>
                      <w:color w:val="auto"/>
                      <w:lang w:val="en-US" w:eastAsia="zh-CN"/>
                    </w:rPr>
                    <w:t>1.238</w:t>
                  </w:r>
                </w:p>
              </w:tc>
              <w:tc>
                <w:tcPr>
                  <w:tcW w:w="439" w:type="pct"/>
                  <w:vAlign w:val="center"/>
                </w:tcPr>
                <w:p w14:paraId="45EAD676">
                  <w:pPr>
                    <w:pStyle w:val="29"/>
                    <w:rPr>
                      <w:rFonts w:hint="default" w:eastAsia="宋体"/>
                      <w:color w:val="auto"/>
                      <w:lang w:val="en-US" w:eastAsia="zh-CN"/>
                    </w:rPr>
                  </w:pPr>
                  <w:r>
                    <w:rPr>
                      <w:rFonts w:hint="eastAsia"/>
                      <w:color w:val="auto"/>
                      <w:lang w:val="en-US" w:eastAsia="zh-CN"/>
                    </w:rPr>
                    <w:t>88.927</w:t>
                  </w:r>
                </w:p>
              </w:tc>
              <w:tc>
                <w:tcPr>
                  <w:tcW w:w="359" w:type="pct"/>
                  <w:vAlign w:val="center"/>
                </w:tcPr>
                <w:p w14:paraId="0007B22B">
                  <w:pPr>
                    <w:pStyle w:val="29"/>
                    <w:rPr>
                      <w:rFonts w:hint="default" w:eastAsia="宋体"/>
                      <w:color w:val="auto"/>
                      <w:lang w:val="en-US" w:eastAsia="zh-CN"/>
                    </w:rPr>
                  </w:pPr>
                  <w:r>
                    <w:rPr>
                      <w:rFonts w:hint="eastAsia"/>
                      <w:color w:val="auto"/>
                      <w:lang w:val="en-US" w:eastAsia="zh-CN"/>
                    </w:rPr>
                    <w:t>0.516</w:t>
                  </w:r>
                </w:p>
              </w:tc>
              <w:tc>
                <w:tcPr>
                  <w:tcW w:w="152" w:type="pct"/>
                  <w:vAlign w:val="center"/>
                </w:tcPr>
                <w:p w14:paraId="4556D584">
                  <w:pPr>
                    <w:pStyle w:val="29"/>
                    <w:rPr>
                      <w:rFonts w:hint="eastAsia" w:eastAsia="宋体"/>
                      <w:color w:val="auto"/>
                      <w:lang w:eastAsia="zh-CN"/>
                    </w:rPr>
                  </w:pPr>
                  <w:r>
                    <w:rPr>
                      <w:rFonts w:hint="eastAsia"/>
                      <w:color w:val="auto"/>
                      <w:lang w:eastAsia="zh-CN"/>
                    </w:rPr>
                    <w:t>有组织</w:t>
                  </w:r>
                </w:p>
              </w:tc>
              <w:tc>
                <w:tcPr>
                  <w:tcW w:w="476" w:type="pct"/>
                  <w:vMerge w:val="continue"/>
                  <w:vAlign w:val="center"/>
                </w:tcPr>
                <w:p w14:paraId="7BA39CEB">
                  <w:pPr>
                    <w:pStyle w:val="29"/>
                    <w:rPr>
                      <w:rFonts w:hint="eastAsia" w:eastAsia="宋体"/>
                      <w:color w:val="auto"/>
                      <w:lang w:eastAsia="zh-CN"/>
                    </w:rPr>
                  </w:pPr>
                </w:p>
              </w:tc>
              <w:tc>
                <w:tcPr>
                  <w:tcW w:w="263" w:type="pct"/>
                  <w:vAlign w:val="center"/>
                </w:tcPr>
                <w:p w14:paraId="230390B0">
                  <w:pPr>
                    <w:pStyle w:val="29"/>
                    <w:rPr>
                      <w:rFonts w:hint="default" w:eastAsia="宋体"/>
                      <w:color w:val="auto"/>
                      <w:lang w:val="en-US" w:eastAsia="zh-CN"/>
                    </w:rPr>
                  </w:pPr>
                  <w:r>
                    <w:rPr>
                      <w:rFonts w:hint="eastAsia"/>
                      <w:color w:val="auto"/>
                      <w:lang w:val="en-US" w:eastAsia="zh-CN"/>
                    </w:rPr>
                    <w:t>100</w:t>
                  </w:r>
                </w:p>
              </w:tc>
              <w:tc>
                <w:tcPr>
                  <w:tcW w:w="274" w:type="pct"/>
                  <w:vAlign w:val="center"/>
                </w:tcPr>
                <w:p w14:paraId="08BE02DD">
                  <w:pPr>
                    <w:pStyle w:val="29"/>
                    <w:rPr>
                      <w:rFonts w:hint="default" w:eastAsia="宋体"/>
                      <w:color w:val="auto"/>
                      <w:lang w:val="en-US" w:eastAsia="zh-CN"/>
                    </w:rPr>
                  </w:pPr>
                  <w:r>
                    <w:rPr>
                      <w:rFonts w:hint="eastAsia"/>
                      <w:color w:val="auto"/>
                      <w:lang w:val="en-US" w:eastAsia="zh-CN"/>
                    </w:rPr>
                    <w:t>30</w:t>
                  </w:r>
                </w:p>
              </w:tc>
              <w:tc>
                <w:tcPr>
                  <w:tcW w:w="336" w:type="pct"/>
                  <w:vAlign w:val="center"/>
                </w:tcPr>
                <w:p w14:paraId="4C45EE20">
                  <w:pPr>
                    <w:pStyle w:val="29"/>
                    <w:rPr>
                      <w:rFonts w:hint="eastAsia" w:eastAsia="宋体"/>
                      <w:color w:val="auto"/>
                      <w:lang w:val="en-US" w:eastAsia="zh-CN"/>
                    </w:rPr>
                  </w:pPr>
                  <w:r>
                    <w:rPr>
                      <w:rFonts w:hint="eastAsia"/>
                      <w:color w:val="auto"/>
                      <w:lang w:val="en-US" w:eastAsia="zh-CN"/>
                    </w:rPr>
                    <w:t>是</w:t>
                  </w:r>
                </w:p>
              </w:tc>
              <w:tc>
                <w:tcPr>
                  <w:tcW w:w="344" w:type="pct"/>
                  <w:vAlign w:val="center"/>
                </w:tcPr>
                <w:p w14:paraId="3B4E7582">
                  <w:pPr>
                    <w:pStyle w:val="29"/>
                    <w:rPr>
                      <w:rFonts w:hint="default"/>
                      <w:color w:val="auto"/>
                      <w:lang w:val="en-US" w:eastAsia="zh-CN"/>
                    </w:rPr>
                  </w:pPr>
                  <w:r>
                    <w:rPr>
                      <w:rFonts w:hint="eastAsia"/>
                      <w:color w:val="auto"/>
                      <w:lang w:val="en-US" w:eastAsia="zh-CN"/>
                    </w:rPr>
                    <w:t>0.867</w:t>
                  </w:r>
                </w:p>
              </w:tc>
              <w:tc>
                <w:tcPr>
                  <w:tcW w:w="370" w:type="pct"/>
                  <w:vAlign w:val="center"/>
                </w:tcPr>
                <w:p w14:paraId="23648203">
                  <w:pPr>
                    <w:pStyle w:val="29"/>
                    <w:rPr>
                      <w:rFonts w:hint="default"/>
                      <w:color w:val="auto"/>
                      <w:lang w:val="en-US" w:eastAsia="zh-CN"/>
                    </w:rPr>
                  </w:pPr>
                  <w:r>
                    <w:rPr>
                      <w:rFonts w:hint="eastAsia"/>
                      <w:color w:val="auto"/>
                      <w:lang w:val="en-US" w:eastAsia="zh-CN"/>
                    </w:rPr>
                    <w:t>62.249</w:t>
                  </w:r>
                </w:p>
              </w:tc>
              <w:tc>
                <w:tcPr>
                  <w:tcW w:w="363" w:type="pct"/>
                  <w:vAlign w:val="center"/>
                </w:tcPr>
                <w:p w14:paraId="7A835731">
                  <w:pPr>
                    <w:pStyle w:val="29"/>
                    <w:rPr>
                      <w:rFonts w:hint="default"/>
                      <w:color w:val="auto"/>
                      <w:lang w:val="en-US" w:eastAsia="zh-CN"/>
                    </w:rPr>
                  </w:pPr>
                  <w:r>
                    <w:rPr>
                      <w:rFonts w:hint="eastAsia"/>
                      <w:color w:val="auto"/>
                      <w:lang w:val="en-US" w:eastAsia="zh-CN"/>
                    </w:rPr>
                    <w:t>0.361</w:t>
                  </w:r>
                </w:p>
              </w:tc>
              <w:tc>
                <w:tcPr>
                  <w:tcW w:w="454" w:type="pct"/>
                  <w:vMerge w:val="continue"/>
                  <w:vAlign w:val="center"/>
                </w:tcPr>
                <w:p w14:paraId="1494E3B2">
                  <w:pPr>
                    <w:pStyle w:val="29"/>
                    <w:rPr>
                      <w:rFonts w:hint="default"/>
                      <w:color w:val="auto"/>
                      <w:lang w:val="en-US" w:eastAsia="zh-CN"/>
                    </w:rPr>
                  </w:pPr>
                </w:p>
              </w:tc>
            </w:tr>
            <w:tr w14:paraId="4DE6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7F7F91A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5</w:t>
                  </w:r>
                </w:p>
              </w:tc>
              <w:tc>
                <w:tcPr>
                  <w:tcW w:w="282" w:type="pct"/>
                  <w:shd w:val="clear" w:color="auto" w:fill="auto"/>
                  <w:vAlign w:val="center"/>
                </w:tcPr>
                <w:p w14:paraId="27F401D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破碎粉尘</w:t>
                  </w:r>
                </w:p>
              </w:tc>
              <w:tc>
                <w:tcPr>
                  <w:tcW w:w="339" w:type="pct"/>
                  <w:shd w:val="clear" w:color="auto" w:fill="auto"/>
                  <w:vAlign w:val="center"/>
                </w:tcPr>
                <w:p w14:paraId="4B2F304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颗粒物</w:t>
                  </w:r>
                </w:p>
              </w:tc>
              <w:tc>
                <w:tcPr>
                  <w:tcW w:w="363" w:type="pct"/>
                  <w:shd w:val="clear" w:color="auto" w:fill="auto"/>
                  <w:vAlign w:val="center"/>
                </w:tcPr>
                <w:p w14:paraId="56FAB7F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0.0085</w:t>
                  </w:r>
                </w:p>
              </w:tc>
              <w:tc>
                <w:tcPr>
                  <w:tcW w:w="439" w:type="pct"/>
                  <w:shd w:val="clear" w:color="auto" w:fill="auto"/>
                  <w:vAlign w:val="center"/>
                </w:tcPr>
                <w:p w14:paraId="31D4BC3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1.181</w:t>
                  </w:r>
                </w:p>
              </w:tc>
              <w:tc>
                <w:tcPr>
                  <w:tcW w:w="359" w:type="pct"/>
                  <w:shd w:val="clear" w:color="auto" w:fill="auto"/>
                  <w:vAlign w:val="center"/>
                </w:tcPr>
                <w:p w14:paraId="69A2DB3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0.0035</w:t>
                  </w:r>
                </w:p>
              </w:tc>
              <w:tc>
                <w:tcPr>
                  <w:tcW w:w="152" w:type="pct"/>
                  <w:shd w:val="clear" w:color="auto" w:fill="auto"/>
                  <w:vAlign w:val="center"/>
                </w:tcPr>
                <w:p w14:paraId="38B0170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有</w:t>
                  </w:r>
                  <w:r>
                    <w:rPr>
                      <w:rFonts w:hint="eastAsia"/>
                      <w:color w:val="auto"/>
                      <w:lang w:eastAsia="zh-CN"/>
                    </w:rPr>
                    <w:t>组织</w:t>
                  </w:r>
                </w:p>
              </w:tc>
              <w:tc>
                <w:tcPr>
                  <w:tcW w:w="476" w:type="pct"/>
                  <w:shd w:val="clear" w:color="auto" w:fill="auto"/>
                  <w:vAlign w:val="center"/>
                </w:tcPr>
                <w:p w14:paraId="05CB517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布袋除尘器+20m高排气筒（DA002）</w:t>
                  </w:r>
                </w:p>
              </w:tc>
              <w:tc>
                <w:tcPr>
                  <w:tcW w:w="263" w:type="pct"/>
                  <w:shd w:val="clear" w:color="auto" w:fill="auto"/>
                  <w:vAlign w:val="center"/>
                </w:tcPr>
                <w:p w14:paraId="5CABC23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80</w:t>
                  </w:r>
                </w:p>
              </w:tc>
              <w:tc>
                <w:tcPr>
                  <w:tcW w:w="274" w:type="pct"/>
                  <w:shd w:val="clear" w:color="auto" w:fill="auto"/>
                  <w:vAlign w:val="center"/>
                </w:tcPr>
                <w:p w14:paraId="5FE8922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99</w:t>
                  </w:r>
                </w:p>
              </w:tc>
              <w:tc>
                <w:tcPr>
                  <w:tcW w:w="336" w:type="pct"/>
                  <w:shd w:val="clear" w:color="auto" w:fill="auto"/>
                  <w:vAlign w:val="center"/>
                </w:tcPr>
                <w:p w14:paraId="40FA17F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是</w:t>
                  </w:r>
                </w:p>
              </w:tc>
              <w:tc>
                <w:tcPr>
                  <w:tcW w:w="344" w:type="pct"/>
                  <w:shd w:val="clear" w:color="auto" w:fill="auto"/>
                  <w:vAlign w:val="center"/>
                </w:tcPr>
                <w:p w14:paraId="547C036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0.0001</w:t>
                  </w:r>
                </w:p>
              </w:tc>
              <w:tc>
                <w:tcPr>
                  <w:tcW w:w="370" w:type="pct"/>
                  <w:shd w:val="clear" w:color="auto" w:fill="auto"/>
                  <w:vAlign w:val="center"/>
                </w:tcPr>
                <w:p w14:paraId="4C1BFC0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0.009</w:t>
                  </w:r>
                </w:p>
              </w:tc>
              <w:tc>
                <w:tcPr>
                  <w:tcW w:w="363" w:type="pct"/>
                  <w:shd w:val="clear" w:color="auto" w:fill="auto"/>
                  <w:vAlign w:val="center"/>
                </w:tcPr>
                <w:p w14:paraId="560F7A0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0.00003</w:t>
                  </w:r>
                </w:p>
              </w:tc>
              <w:tc>
                <w:tcPr>
                  <w:tcW w:w="454" w:type="pct"/>
                  <w:vAlign w:val="center"/>
                </w:tcPr>
                <w:p w14:paraId="79D67506">
                  <w:pPr>
                    <w:pStyle w:val="29"/>
                    <w:rPr>
                      <w:rFonts w:hint="default"/>
                      <w:color w:val="auto"/>
                      <w:lang w:val="en-US" w:eastAsia="zh-CN"/>
                    </w:rPr>
                  </w:pPr>
                  <w:r>
                    <w:rPr>
                      <w:rFonts w:hint="default"/>
                      <w:color w:val="auto"/>
                      <w:lang w:val="en-US" w:eastAsia="zh-CN"/>
                    </w:rPr>
                    <w:t>《大气污染物综合排放标准》（GB16297-1996）表2中二级标准限值</w:t>
                  </w:r>
                </w:p>
              </w:tc>
            </w:tr>
            <w:tr w14:paraId="7AA9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310D6CA4">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6</w:t>
                  </w:r>
                </w:p>
              </w:tc>
              <w:tc>
                <w:tcPr>
                  <w:tcW w:w="282" w:type="pct"/>
                  <w:vMerge w:val="restart"/>
                  <w:shd w:val="clear" w:color="auto" w:fill="auto"/>
                  <w:vAlign w:val="center"/>
                </w:tcPr>
                <w:p w14:paraId="6AEBCD8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发酵废气</w:t>
                  </w:r>
                </w:p>
              </w:tc>
              <w:tc>
                <w:tcPr>
                  <w:tcW w:w="339" w:type="pct"/>
                  <w:shd w:val="clear" w:color="auto" w:fill="auto"/>
                  <w:vAlign w:val="center"/>
                </w:tcPr>
                <w:p w14:paraId="00AB11D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CO</w:t>
                  </w:r>
                  <w:r>
                    <w:rPr>
                      <w:rFonts w:hint="eastAsia"/>
                      <w:color w:val="auto"/>
                      <w:vertAlign w:val="subscript"/>
                      <w:lang w:val="en-US" w:eastAsia="zh-CN"/>
                    </w:rPr>
                    <w:t>2</w:t>
                  </w:r>
                </w:p>
              </w:tc>
              <w:tc>
                <w:tcPr>
                  <w:tcW w:w="363" w:type="pct"/>
                  <w:shd w:val="clear" w:color="auto" w:fill="auto"/>
                  <w:vAlign w:val="center"/>
                </w:tcPr>
                <w:p w14:paraId="4FC296EA">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26.972</w:t>
                  </w:r>
                </w:p>
              </w:tc>
              <w:tc>
                <w:tcPr>
                  <w:tcW w:w="439" w:type="pct"/>
                  <w:shd w:val="clear" w:color="auto" w:fill="auto"/>
                  <w:vAlign w:val="center"/>
                </w:tcPr>
                <w:p w14:paraId="34B1A44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359" w:type="pct"/>
                  <w:shd w:val="clear" w:color="auto" w:fill="auto"/>
                  <w:vAlign w:val="center"/>
                </w:tcPr>
                <w:p w14:paraId="4FB0C992">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11.238</w:t>
                  </w:r>
                </w:p>
              </w:tc>
              <w:tc>
                <w:tcPr>
                  <w:tcW w:w="152" w:type="pct"/>
                  <w:shd w:val="clear" w:color="auto" w:fill="auto"/>
                  <w:vAlign w:val="center"/>
                </w:tcPr>
                <w:p w14:paraId="0101AD45">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w:t>
                  </w:r>
                </w:p>
              </w:tc>
              <w:tc>
                <w:tcPr>
                  <w:tcW w:w="476" w:type="pct"/>
                  <w:vAlign w:val="center"/>
                </w:tcPr>
                <w:p w14:paraId="6E17ED09">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CO</w:t>
                  </w:r>
                  <w:r>
                    <w:rPr>
                      <w:rFonts w:hint="default" w:ascii="Times New Roman" w:hAnsi="Times New Roman" w:eastAsia="宋体" w:cs="Times New Roman"/>
                      <w:color w:val="auto"/>
                      <w:vertAlign w:val="subscript"/>
                      <w:lang w:val="en-US" w:eastAsia="zh-CN"/>
                    </w:rPr>
                    <w:t>2</w:t>
                  </w:r>
                  <w:r>
                    <w:rPr>
                      <w:rFonts w:hint="eastAsia" w:cs="Times New Roman"/>
                      <w:color w:val="auto"/>
                      <w:lang w:val="en-US" w:eastAsia="zh-CN"/>
                    </w:rPr>
                    <w:t>食品级钢瓶回收</w:t>
                  </w:r>
                </w:p>
              </w:tc>
              <w:tc>
                <w:tcPr>
                  <w:tcW w:w="263" w:type="pct"/>
                  <w:shd w:val="clear" w:color="auto" w:fill="auto"/>
                  <w:vAlign w:val="center"/>
                </w:tcPr>
                <w:p w14:paraId="5257130E">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100</w:t>
                  </w:r>
                </w:p>
              </w:tc>
              <w:tc>
                <w:tcPr>
                  <w:tcW w:w="274" w:type="pct"/>
                  <w:shd w:val="clear" w:color="auto" w:fill="auto"/>
                  <w:vAlign w:val="center"/>
                </w:tcPr>
                <w:p w14:paraId="6B5A0352">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85</w:t>
                  </w:r>
                </w:p>
              </w:tc>
              <w:tc>
                <w:tcPr>
                  <w:tcW w:w="336" w:type="pct"/>
                  <w:shd w:val="clear" w:color="auto" w:fill="auto"/>
                  <w:vAlign w:val="center"/>
                </w:tcPr>
                <w:p w14:paraId="0F2BD64A">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是</w:t>
                  </w:r>
                </w:p>
              </w:tc>
              <w:tc>
                <w:tcPr>
                  <w:tcW w:w="344" w:type="pct"/>
                  <w:shd w:val="clear" w:color="auto" w:fill="auto"/>
                  <w:vAlign w:val="center"/>
                </w:tcPr>
                <w:p w14:paraId="40F2CF8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4.046</w:t>
                  </w:r>
                </w:p>
              </w:tc>
              <w:tc>
                <w:tcPr>
                  <w:tcW w:w="370" w:type="pct"/>
                  <w:shd w:val="clear" w:color="auto" w:fill="auto"/>
                  <w:vAlign w:val="center"/>
                </w:tcPr>
                <w:p w14:paraId="64FE6C75">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w:t>
                  </w:r>
                </w:p>
              </w:tc>
              <w:tc>
                <w:tcPr>
                  <w:tcW w:w="363" w:type="pct"/>
                  <w:shd w:val="clear" w:color="auto" w:fill="auto"/>
                  <w:vAlign w:val="center"/>
                </w:tcPr>
                <w:p w14:paraId="72AE7A4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1.686</w:t>
                  </w:r>
                </w:p>
              </w:tc>
              <w:tc>
                <w:tcPr>
                  <w:tcW w:w="454" w:type="pct"/>
                  <w:vMerge w:val="restart"/>
                  <w:vAlign w:val="center"/>
                </w:tcPr>
                <w:p w14:paraId="729851B4">
                  <w:pPr>
                    <w:pStyle w:val="29"/>
                    <w:rPr>
                      <w:rFonts w:hint="default"/>
                      <w:color w:val="auto"/>
                      <w:lang w:val="en-US" w:eastAsia="zh-CN"/>
                    </w:rPr>
                  </w:pPr>
                  <w:r>
                    <w:rPr>
                      <w:rFonts w:hint="default"/>
                      <w:color w:val="auto"/>
                      <w:lang w:val="en-US" w:eastAsia="zh-CN"/>
                    </w:rPr>
                    <w:t>厂界颗粒物、非甲烷总烃执行《大气污染物综合排放标准》（GB16297-1996）表2无组织排放监控浓度限值要求；厂区内无组织非甲烷总烃排放浓度执行《挥发性有机物无组织排放控制标准》（GB37822-2019）附录A中表A.1厂区内VOC</w:t>
                  </w:r>
                  <w:r>
                    <w:rPr>
                      <w:rFonts w:hint="default"/>
                      <w:color w:val="auto"/>
                      <w:vertAlign w:val="subscript"/>
                      <w:lang w:val="en-US" w:eastAsia="zh-CN"/>
                    </w:rPr>
                    <w:t>S</w:t>
                  </w:r>
                  <w:r>
                    <w:rPr>
                      <w:rFonts w:hint="default"/>
                      <w:color w:val="auto"/>
                      <w:lang w:val="en-US" w:eastAsia="zh-CN"/>
                    </w:rPr>
                    <w:t>无组织排放限值NH</w:t>
                  </w:r>
                  <w:r>
                    <w:rPr>
                      <w:rFonts w:hint="default"/>
                      <w:color w:val="auto"/>
                      <w:vertAlign w:val="subscript"/>
                      <w:lang w:val="en-US" w:eastAsia="zh-CN"/>
                    </w:rPr>
                    <w:t>3</w:t>
                  </w:r>
                  <w:r>
                    <w:rPr>
                      <w:rFonts w:hint="default"/>
                      <w:color w:val="auto"/>
                      <w:lang w:val="en-US" w:eastAsia="zh-CN"/>
                    </w:rPr>
                    <w:t>、H</w:t>
                  </w:r>
                  <w:r>
                    <w:rPr>
                      <w:rFonts w:hint="default"/>
                      <w:color w:val="auto"/>
                      <w:vertAlign w:val="subscript"/>
                      <w:lang w:val="en-US" w:eastAsia="zh-CN"/>
                    </w:rPr>
                    <w:t>2</w:t>
                  </w:r>
                  <w:r>
                    <w:rPr>
                      <w:rFonts w:hint="default"/>
                      <w:color w:val="auto"/>
                      <w:lang w:val="en-US" w:eastAsia="zh-CN"/>
                    </w:rPr>
                    <w:t>S和臭气浓度执行《恶臭污染物排放标准》（GB14554-93）表1二级新改扩建厂界限值要求</w:t>
                  </w:r>
                </w:p>
              </w:tc>
            </w:tr>
            <w:tr w14:paraId="7755E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43C1A9D9">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7</w:t>
                  </w:r>
                </w:p>
              </w:tc>
              <w:tc>
                <w:tcPr>
                  <w:tcW w:w="282" w:type="pct"/>
                  <w:vMerge w:val="continue"/>
                  <w:shd w:val="clear" w:color="auto" w:fill="auto"/>
                  <w:vAlign w:val="center"/>
                </w:tcPr>
                <w:p w14:paraId="1EA51EE5">
                  <w:pPr>
                    <w:pStyle w:val="29"/>
                    <w:ind w:firstLine="0" w:firstLineChars="0"/>
                    <w:rPr>
                      <w:rFonts w:hint="eastAsia"/>
                      <w:color w:val="auto"/>
                      <w:lang w:val="en-US" w:eastAsia="zh-CN"/>
                    </w:rPr>
                  </w:pPr>
                </w:p>
              </w:tc>
              <w:tc>
                <w:tcPr>
                  <w:tcW w:w="339" w:type="pct"/>
                  <w:shd w:val="clear" w:color="auto" w:fill="auto"/>
                  <w:vAlign w:val="center"/>
                </w:tcPr>
                <w:p w14:paraId="5CCB349D">
                  <w:pPr>
                    <w:pStyle w:val="29"/>
                    <w:ind w:firstLine="0" w:firstLineChars="0"/>
                    <w:rPr>
                      <w:rFonts w:hint="default" w:eastAsia="宋体"/>
                      <w:color w:val="auto"/>
                      <w:lang w:val="en-US" w:eastAsia="zh-CN"/>
                    </w:rPr>
                  </w:pPr>
                  <w:r>
                    <w:rPr>
                      <w:rFonts w:hint="eastAsia"/>
                      <w:color w:val="auto"/>
                      <w:lang w:val="en-US" w:eastAsia="zh-CN"/>
                    </w:rPr>
                    <w:t>NMHC</w:t>
                  </w:r>
                </w:p>
              </w:tc>
              <w:tc>
                <w:tcPr>
                  <w:tcW w:w="363" w:type="pct"/>
                  <w:shd w:val="clear" w:color="auto" w:fill="auto"/>
                  <w:vAlign w:val="center"/>
                </w:tcPr>
                <w:p w14:paraId="508D7DAC">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0.028</w:t>
                  </w:r>
                </w:p>
              </w:tc>
              <w:tc>
                <w:tcPr>
                  <w:tcW w:w="439" w:type="pct"/>
                  <w:shd w:val="clear" w:color="auto" w:fill="auto"/>
                  <w:vAlign w:val="center"/>
                </w:tcPr>
                <w:p w14:paraId="19721297">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359" w:type="pct"/>
                  <w:shd w:val="clear" w:color="auto" w:fill="auto"/>
                  <w:vAlign w:val="center"/>
                </w:tcPr>
                <w:p w14:paraId="3D1A1D96">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0.012</w:t>
                  </w:r>
                </w:p>
              </w:tc>
              <w:tc>
                <w:tcPr>
                  <w:tcW w:w="152" w:type="pct"/>
                  <w:shd w:val="clear" w:color="auto" w:fill="auto"/>
                  <w:vAlign w:val="center"/>
                </w:tcPr>
                <w:p w14:paraId="7A7C7589">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w:t>
                  </w:r>
                </w:p>
              </w:tc>
              <w:tc>
                <w:tcPr>
                  <w:tcW w:w="476" w:type="pct"/>
                  <w:vAlign w:val="center"/>
                </w:tcPr>
                <w:p w14:paraId="42B576B2">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车间阻隔，加强通风、自然扩散</w:t>
                  </w:r>
                </w:p>
              </w:tc>
              <w:tc>
                <w:tcPr>
                  <w:tcW w:w="263" w:type="pct"/>
                  <w:shd w:val="clear" w:color="auto" w:fill="auto"/>
                  <w:vAlign w:val="center"/>
                </w:tcPr>
                <w:p w14:paraId="0611595B">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274" w:type="pct"/>
                  <w:shd w:val="clear" w:color="auto" w:fill="auto"/>
                  <w:vAlign w:val="center"/>
                </w:tcPr>
                <w:p w14:paraId="3645E06D">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336" w:type="pct"/>
                  <w:shd w:val="clear" w:color="auto" w:fill="auto"/>
                  <w:vAlign w:val="center"/>
                </w:tcPr>
                <w:p w14:paraId="5E3B86D8">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是</w:t>
                  </w:r>
                </w:p>
              </w:tc>
              <w:tc>
                <w:tcPr>
                  <w:tcW w:w="344" w:type="pct"/>
                  <w:shd w:val="clear" w:color="auto" w:fill="auto"/>
                  <w:vAlign w:val="center"/>
                </w:tcPr>
                <w:p w14:paraId="1628A25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0.028</w:t>
                  </w:r>
                </w:p>
              </w:tc>
              <w:tc>
                <w:tcPr>
                  <w:tcW w:w="370" w:type="pct"/>
                  <w:shd w:val="clear" w:color="auto" w:fill="auto"/>
                  <w:vAlign w:val="center"/>
                </w:tcPr>
                <w:p w14:paraId="32508B5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w:t>
                  </w:r>
                </w:p>
              </w:tc>
              <w:tc>
                <w:tcPr>
                  <w:tcW w:w="363" w:type="pct"/>
                  <w:shd w:val="clear" w:color="auto" w:fill="auto"/>
                  <w:vAlign w:val="center"/>
                </w:tcPr>
                <w:p w14:paraId="44D8690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0.012</w:t>
                  </w:r>
                </w:p>
              </w:tc>
              <w:tc>
                <w:tcPr>
                  <w:tcW w:w="454" w:type="pct"/>
                  <w:vMerge w:val="continue"/>
                  <w:vAlign w:val="center"/>
                </w:tcPr>
                <w:p w14:paraId="79A8423A">
                  <w:pPr>
                    <w:pStyle w:val="29"/>
                    <w:rPr>
                      <w:rFonts w:hint="default"/>
                      <w:color w:val="auto"/>
                      <w:lang w:val="en-US" w:eastAsia="zh-CN"/>
                    </w:rPr>
                  </w:pPr>
                </w:p>
              </w:tc>
            </w:tr>
            <w:tr w14:paraId="28C0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5E08AB61">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8</w:t>
                  </w:r>
                </w:p>
              </w:tc>
              <w:tc>
                <w:tcPr>
                  <w:tcW w:w="282" w:type="pct"/>
                  <w:vAlign w:val="center"/>
                </w:tcPr>
                <w:p w14:paraId="320698EC">
                  <w:pPr>
                    <w:pStyle w:val="29"/>
                    <w:rPr>
                      <w:rFonts w:hint="default"/>
                      <w:color w:val="auto"/>
                    </w:rPr>
                  </w:pPr>
                  <w:r>
                    <w:rPr>
                      <w:rFonts w:hint="eastAsia"/>
                      <w:color w:val="auto"/>
                    </w:rPr>
                    <w:t>固废暂存废气</w:t>
                  </w:r>
                </w:p>
              </w:tc>
              <w:tc>
                <w:tcPr>
                  <w:tcW w:w="339" w:type="pct"/>
                  <w:vAlign w:val="center"/>
                </w:tcPr>
                <w:p w14:paraId="012EE281">
                  <w:pPr>
                    <w:pStyle w:val="29"/>
                    <w:rPr>
                      <w:rFonts w:hint="eastAsia" w:eastAsia="宋体"/>
                      <w:color w:val="auto"/>
                      <w:lang w:eastAsia="zh-CN"/>
                    </w:rPr>
                  </w:pPr>
                  <w:r>
                    <w:rPr>
                      <w:rFonts w:hint="eastAsia"/>
                      <w:color w:val="auto"/>
                      <w:lang w:val="en-US" w:eastAsia="zh-CN"/>
                    </w:rPr>
                    <w:t>恶臭</w:t>
                  </w:r>
                </w:p>
              </w:tc>
              <w:tc>
                <w:tcPr>
                  <w:tcW w:w="363" w:type="pct"/>
                  <w:vAlign w:val="center"/>
                </w:tcPr>
                <w:p w14:paraId="189D4B79">
                  <w:pPr>
                    <w:pStyle w:val="29"/>
                    <w:rPr>
                      <w:rFonts w:hint="default" w:eastAsia="宋体"/>
                      <w:color w:val="auto"/>
                      <w:lang w:val="en-US" w:eastAsia="zh-CN"/>
                    </w:rPr>
                  </w:pPr>
                  <w:r>
                    <w:rPr>
                      <w:rFonts w:hint="eastAsia"/>
                      <w:color w:val="auto"/>
                      <w:lang w:val="en-US" w:eastAsia="zh-CN"/>
                    </w:rPr>
                    <w:t>/</w:t>
                  </w:r>
                </w:p>
              </w:tc>
              <w:tc>
                <w:tcPr>
                  <w:tcW w:w="439" w:type="pct"/>
                  <w:vAlign w:val="center"/>
                </w:tcPr>
                <w:p w14:paraId="3EA1D516">
                  <w:pPr>
                    <w:pStyle w:val="29"/>
                    <w:rPr>
                      <w:rFonts w:hint="default"/>
                      <w:color w:val="auto"/>
                    </w:rPr>
                  </w:pPr>
                  <w:r>
                    <w:rPr>
                      <w:color w:val="auto"/>
                    </w:rPr>
                    <w:t>/</w:t>
                  </w:r>
                </w:p>
              </w:tc>
              <w:tc>
                <w:tcPr>
                  <w:tcW w:w="359" w:type="pct"/>
                  <w:vAlign w:val="center"/>
                </w:tcPr>
                <w:p w14:paraId="6078B6DF">
                  <w:pPr>
                    <w:pStyle w:val="29"/>
                    <w:rPr>
                      <w:rFonts w:hint="default" w:eastAsia="宋体"/>
                      <w:color w:val="auto"/>
                      <w:lang w:val="en-US" w:eastAsia="zh-CN"/>
                    </w:rPr>
                  </w:pPr>
                  <w:r>
                    <w:rPr>
                      <w:rFonts w:hint="eastAsia"/>
                      <w:color w:val="auto"/>
                      <w:lang w:val="en-US" w:eastAsia="zh-CN"/>
                    </w:rPr>
                    <w:t>/</w:t>
                  </w:r>
                </w:p>
              </w:tc>
              <w:tc>
                <w:tcPr>
                  <w:tcW w:w="152" w:type="pct"/>
                  <w:vAlign w:val="center"/>
                </w:tcPr>
                <w:p w14:paraId="56BE28EB">
                  <w:pPr>
                    <w:pStyle w:val="29"/>
                    <w:rPr>
                      <w:rFonts w:hint="default"/>
                      <w:color w:val="auto"/>
                    </w:rPr>
                  </w:pPr>
                  <w:r>
                    <w:rPr>
                      <w:color w:val="auto"/>
                    </w:rPr>
                    <w:t>无组织</w:t>
                  </w:r>
                </w:p>
              </w:tc>
              <w:tc>
                <w:tcPr>
                  <w:tcW w:w="476" w:type="pct"/>
                  <w:vAlign w:val="center"/>
                </w:tcPr>
                <w:p w14:paraId="22C0CE6C">
                  <w:pPr>
                    <w:pStyle w:val="29"/>
                    <w:rPr>
                      <w:rFonts w:hint="default" w:eastAsia="宋体"/>
                      <w:color w:val="auto"/>
                      <w:lang w:val="en-US" w:eastAsia="zh-CN"/>
                    </w:rPr>
                  </w:pPr>
                  <w:r>
                    <w:rPr>
                      <w:rFonts w:hint="eastAsia"/>
                      <w:color w:val="auto"/>
                      <w:lang w:val="en-US" w:eastAsia="zh-CN"/>
                    </w:rPr>
                    <w:t>喷洒除臭剂、自然扩散</w:t>
                  </w:r>
                </w:p>
              </w:tc>
              <w:tc>
                <w:tcPr>
                  <w:tcW w:w="263" w:type="pct"/>
                  <w:vAlign w:val="center"/>
                </w:tcPr>
                <w:p w14:paraId="428746DC">
                  <w:pPr>
                    <w:pStyle w:val="29"/>
                    <w:rPr>
                      <w:rFonts w:hint="default"/>
                      <w:color w:val="auto"/>
                    </w:rPr>
                  </w:pPr>
                  <w:r>
                    <w:rPr>
                      <w:color w:val="auto"/>
                    </w:rPr>
                    <w:t>/</w:t>
                  </w:r>
                </w:p>
              </w:tc>
              <w:tc>
                <w:tcPr>
                  <w:tcW w:w="274" w:type="pct"/>
                  <w:vAlign w:val="center"/>
                </w:tcPr>
                <w:p w14:paraId="6EA19144">
                  <w:pPr>
                    <w:pStyle w:val="29"/>
                    <w:rPr>
                      <w:rFonts w:hint="default"/>
                      <w:color w:val="auto"/>
                      <w:lang w:val="en-US"/>
                    </w:rPr>
                  </w:pPr>
                  <w:r>
                    <w:rPr>
                      <w:rFonts w:hint="eastAsia"/>
                      <w:color w:val="auto"/>
                      <w:lang w:val="en-US" w:eastAsia="zh-CN"/>
                    </w:rPr>
                    <w:t>/</w:t>
                  </w:r>
                </w:p>
              </w:tc>
              <w:tc>
                <w:tcPr>
                  <w:tcW w:w="336" w:type="pct"/>
                  <w:shd w:val="clear" w:color="auto" w:fill="auto"/>
                  <w:vAlign w:val="center"/>
                </w:tcPr>
                <w:p w14:paraId="39E4B16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是</w:t>
                  </w:r>
                </w:p>
              </w:tc>
              <w:tc>
                <w:tcPr>
                  <w:tcW w:w="344" w:type="pct"/>
                  <w:vAlign w:val="center"/>
                </w:tcPr>
                <w:p w14:paraId="5BEE4212">
                  <w:pPr>
                    <w:pStyle w:val="29"/>
                    <w:rPr>
                      <w:rFonts w:hint="default"/>
                      <w:color w:val="auto"/>
                      <w:lang w:val="en-US" w:eastAsia="zh-CN"/>
                    </w:rPr>
                  </w:pPr>
                  <w:r>
                    <w:rPr>
                      <w:rFonts w:hint="eastAsia"/>
                      <w:color w:val="auto"/>
                      <w:lang w:val="en-US" w:eastAsia="zh-CN"/>
                    </w:rPr>
                    <w:t>/</w:t>
                  </w:r>
                </w:p>
              </w:tc>
              <w:tc>
                <w:tcPr>
                  <w:tcW w:w="370" w:type="pct"/>
                  <w:vAlign w:val="center"/>
                </w:tcPr>
                <w:p w14:paraId="62E3C4C2">
                  <w:pPr>
                    <w:pStyle w:val="29"/>
                    <w:rPr>
                      <w:rFonts w:hint="eastAsia"/>
                      <w:color w:val="auto"/>
                      <w:lang w:val="en-US" w:eastAsia="zh-CN"/>
                    </w:rPr>
                  </w:pPr>
                  <w:r>
                    <w:rPr>
                      <w:rFonts w:hint="eastAsia"/>
                      <w:color w:val="auto"/>
                      <w:lang w:val="en-US" w:eastAsia="zh-CN"/>
                    </w:rPr>
                    <w:t>/</w:t>
                  </w:r>
                </w:p>
              </w:tc>
              <w:tc>
                <w:tcPr>
                  <w:tcW w:w="363" w:type="pct"/>
                  <w:vAlign w:val="center"/>
                </w:tcPr>
                <w:p w14:paraId="1EC6E755">
                  <w:pPr>
                    <w:pStyle w:val="29"/>
                    <w:rPr>
                      <w:rFonts w:hint="default"/>
                      <w:color w:val="auto"/>
                      <w:lang w:val="en-US" w:eastAsia="zh-CN"/>
                    </w:rPr>
                  </w:pPr>
                  <w:r>
                    <w:rPr>
                      <w:rFonts w:hint="eastAsia"/>
                      <w:color w:val="auto"/>
                      <w:lang w:val="en-US" w:eastAsia="zh-CN"/>
                    </w:rPr>
                    <w:t>/</w:t>
                  </w:r>
                </w:p>
              </w:tc>
              <w:tc>
                <w:tcPr>
                  <w:tcW w:w="454" w:type="pct"/>
                  <w:vMerge w:val="continue"/>
                  <w:vAlign w:val="center"/>
                </w:tcPr>
                <w:p w14:paraId="5D9F0549">
                  <w:pPr>
                    <w:pStyle w:val="29"/>
                    <w:rPr>
                      <w:rFonts w:hint="default"/>
                      <w:color w:val="auto"/>
                    </w:rPr>
                  </w:pPr>
                </w:p>
              </w:tc>
            </w:tr>
            <w:tr w14:paraId="4627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3B521711">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9</w:t>
                  </w:r>
                </w:p>
              </w:tc>
              <w:tc>
                <w:tcPr>
                  <w:tcW w:w="282" w:type="pct"/>
                  <w:vMerge w:val="restart"/>
                  <w:vAlign w:val="center"/>
                </w:tcPr>
                <w:p w14:paraId="6F4F25BB">
                  <w:pPr>
                    <w:pStyle w:val="29"/>
                    <w:rPr>
                      <w:rFonts w:hint="eastAsia"/>
                      <w:color w:val="auto"/>
                    </w:rPr>
                  </w:pPr>
                  <w:r>
                    <w:rPr>
                      <w:rFonts w:hint="eastAsia"/>
                      <w:color w:val="auto"/>
                    </w:rPr>
                    <w:t>污水处理恶臭</w:t>
                  </w:r>
                </w:p>
              </w:tc>
              <w:tc>
                <w:tcPr>
                  <w:tcW w:w="339" w:type="pct"/>
                  <w:vAlign w:val="center"/>
                </w:tcPr>
                <w:p w14:paraId="5C78EFB9">
                  <w:pPr>
                    <w:pStyle w:val="29"/>
                    <w:rPr>
                      <w:rFonts w:hint="default" w:eastAsia="宋体"/>
                      <w:color w:val="auto"/>
                      <w:lang w:val="en-US" w:eastAsia="zh-CN"/>
                    </w:rPr>
                  </w:pPr>
                  <w:r>
                    <w:rPr>
                      <w:rFonts w:hint="default" w:ascii="Times New Roman" w:hAnsi="Times New Roman" w:eastAsia="宋体" w:cs="Times New Roman"/>
                      <w:b w:val="0"/>
                      <w:color w:val="auto"/>
                      <w:kern w:val="0"/>
                      <w:sz w:val="21"/>
                      <w:szCs w:val="21"/>
                      <w:highlight w:val="none"/>
                      <w:lang w:val="en-US" w:eastAsia="zh-CN" w:bidi="ar"/>
                    </w:rPr>
                    <w:t>NH</w:t>
                  </w:r>
                  <w:r>
                    <w:rPr>
                      <w:rFonts w:hint="default" w:ascii="Times New Roman" w:hAnsi="Times New Roman" w:eastAsia="宋体" w:cs="Times New Roman"/>
                      <w:b w:val="0"/>
                      <w:color w:val="auto"/>
                      <w:kern w:val="0"/>
                      <w:sz w:val="21"/>
                      <w:szCs w:val="21"/>
                      <w:highlight w:val="none"/>
                      <w:vertAlign w:val="subscript"/>
                      <w:lang w:val="en-US" w:eastAsia="zh-CN" w:bidi="ar"/>
                    </w:rPr>
                    <w:t>3</w:t>
                  </w:r>
                </w:p>
              </w:tc>
              <w:tc>
                <w:tcPr>
                  <w:tcW w:w="363" w:type="pct"/>
                  <w:shd w:val="clear" w:color="auto" w:fill="auto"/>
                  <w:vAlign w:val="center"/>
                </w:tcPr>
                <w:p w14:paraId="1D697C3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0.016</w:t>
                  </w:r>
                </w:p>
              </w:tc>
              <w:tc>
                <w:tcPr>
                  <w:tcW w:w="439" w:type="pct"/>
                  <w:shd w:val="clear" w:color="auto" w:fill="auto"/>
                  <w:vAlign w:val="center"/>
                </w:tcPr>
                <w:p w14:paraId="737FF10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359" w:type="pct"/>
                  <w:shd w:val="clear" w:color="auto" w:fill="auto"/>
                  <w:vAlign w:val="center"/>
                </w:tcPr>
                <w:p w14:paraId="68CB124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0.007</w:t>
                  </w:r>
                </w:p>
              </w:tc>
              <w:tc>
                <w:tcPr>
                  <w:tcW w:w="152" w:type="pct"/>
                  <w:vAlign w:val="center"/>
                </w:tcPr>
                <w:p w14:paraId="7066FF82">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w:t>
                  </w:r>
                </w:p>
              </w:tc>
              <w:tc>
                <w:tcPr>
                  <w:tcW w:w="476" w:type="pct"/>
                  <w:vMerge w:val="restart"/>
                  <w:vAlign w:val="center"/>
                </w:tcPr>
                <w:p w14:paraId="33081B7D">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喷洒除臭剂、自然扩散</w:t>
                  </w:r>
                </w:p>
              </w:tc>
              <w:tc>
                <w:tcPr>
                  <w:tcW w:w="263" w:type="pct"/>
                  <w:vAlign w:val="center"/>
                </w:tcPr>
                <w:p w14:paraId="758EDA9E">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274" w:type="pct"/>
                  <w:vAlign w:val="center"/>
                </w:tcPr>
                <w:p w14:paraId="231764A6">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336" w:type="pct"/>
                  <w:shd w:val="clear" w:color="auto" w:fill="auto"/>
                  <w:vAlign w:val="center"/>
                </w:tcPr>
                <w:p w14:paraId="0F6AF529">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是</w:t>
                  </w:r>
                </w:p>
              </w:tc>
              <w:tc>
                <w:tcPr>
                  <w:tcW w:w="344" w:type="pct"/>
                  <w:shd w:val="clear" w:color="auto" w:fill="auto"/>
                  <w:vAlign w:val="center"/>
                </w:tcPr>
                <w:p w14:paraId="5F61F27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0.016</w:t>
                  </w:r>
                </w:p>
              </w:tc>
              <w:tc>
                <w:tcPr>
                  <w:tcW w:w="370" w:type="pct"/>
                  <w:shd w:val="clear" w:color="auto" w:fill="auto"/>
                  <w:vAlign w:val="center"/>
                </w:tcPr>
                <w:p w14:paraId="13110BB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363" w:type="pct"/>
                  <w:shd w:val="clear" w:color="auto" w:fill="auto"/>
                  <w:vAlign w:val="center"/>
                </w:tcPr>
                <w:p w14:paraId="695FB6D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0.007</w:t>
                  </w:r>
                </w:p>
              </w:tc>
              <w:tc>
                <w:tcPr>
                  <w:tcW w:w="454" w:type="pct"/>
                  <w:vMerge w:val="continue"/>
                  <w:vAlign w:val="center"/>
                </w:tcPr>
                <w:p w14:paraId="234CA2A4">
                  <w:pPr>
                    <w:pStyle w:val="29"/>
                    <w:rPr>
                      <w:rFonts w:hint="default"/>
                      <w:color w:val="auto"/>
                    </w:rPr>
                  </w:pPr>
                </w:p>
              </w:tc>
            </w:tr>
            <w:tr w14:paraId="0EBB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 w:type="pct"/>
                  <w:shd w:val="clear" w:color="auto" w:fill="auto"/>
                  <w:vAlign w:val="center"/>
                </w:tcPr>
                <w:p w14:paraId="41D8466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282" w:type="pct"/>
                  <w:vMerge w:val="continue"/>
                  <w:vAlign w:val="center"/>
                </w:tcPr>
                <w:p w14:paraId="71C7E2AD">
                  <w:pPr>
                    <w:pStyle w:val="29"/>
                    <w:rPr>
                      <w:rFonts w:hint="eastAsia"/>
                      <w:color w:val="auto"/>
                    </w:rPr>
                  </w:pPr>
                </w:p>
              </w:tc>
              <w:tc>
                <w:tcPr>
                  <w:tcW w:w="339" w:type="pct"/>
                  <w:vAlign w:val="center"/>
                </w:tcPr>
                <w:p w14:paraId="5FA4CD25">
                  <w:pPr>
                    <w:pStyle w:val="29"/>
                    <w:rPr>
                      <w:rFonts w:hint="default" w:eastAsia="宋体"/>
                      <w:color w:val="auto"/>
                      <w:lang w:val="en-US" w:eastAsia="zh-CN"/>
                    </w:rPr>
                  </w:pPr>
                  <w:r>
                    <w:rPr>
                      <w:rFonts w:hint="default" w:ascii="Times New Roman" w:hAnsi="Times New Roman" w:eastAsia="宋体" w:cs="Times New Roman"/>
                      <w:b w:val="0"/>
                      <w:color w:val="auto"/>
                      <w:kern w:val="0"/>
                      <w:sz w:val="21"/>
                      <w:szCs w:val="21"/>
                      <w:highlight w:val="none"/>
                      <w:lang w:val="en-US" w:eastAsia="zh-CN" w:bidi="ar"/>
                    </w:rPr>
                    <w:t>H</w:t>
                  </w:r>
                  <w:r>
                    <w:rPr>
                      <w:rFonts w:hint="default" w:ascii="Times New Roman" w:hAnsi="Times New Roman" w:eastAsia="宋体" w:cs="Times New Roman"/>
                      <w:b w:val="0"/>
                      <w:color w:val="auto"/>
                      <w:kern w:val="0"/>
                      <w:sz w:val="21"/>
                      <w:szCs w:val="21"/>
                      <w:highlight w:val="none"/>
                      <w:vertAlign w:val="subscript"/>
                      <w:lang w:val="en-US" w:eastAsia="zh-CN" w:bidi="ar"/>
                    </w:rPr>
                    <w:t>2</w:t>
                  </w:r>
                  <w:r>
                    <w:rPr>
                      <w:rFonts w:hint="default" w:ascii="Times New Roman" w:hAnsi="Times New Roman" w:eastAsia="宋体" w:cs="Times New Roman"/>
                      <w:b w:val="0"/>
                      <w:color w:val="auto"/>
                      <w:kern w:val="0"/>
                      <w:sz w:val="21"/>
                      <w:szCs w:val="21"/>
                      <w:highlight w:val="none"/>
                      <w:lang w:val="en-US" w:eastAsia="zh-CN" w:bidi="ar"/>
                    </w:rPr>
                    <w:t>S</w:t>
                  </w:r>
                </w:p>
              </w:tc>
              <w:tc>
                <w:tcPr>
                  <w:tcW w:w="363" w:type="pct"/>
                  <w:shd w:val="clear" w:color="auto" w:fill="auto"/>
                  <w:vAlign w:val="center"/>
                </w:tcPr>
                <w:p w14:paraId="42A9488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0.0006</w:t>
                  </w:r>
                </w:p>
              </w:tc>
              <w:tc>
                <w:tcPr>
                  <w:tcW w:w="439" w:type="pct"/>
                  <w:shd w:val="clear" w:color="auto" w:fill="auto"/>
                  <w:vAlign w:val="center"/>
                </w:tcPr>
                <w:p w14:paraId="082C3FB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359" w:type="pct"/>
                  <w:shd w:val="clear" w:color="auto" w:fill="auto"/>
                  <w:vAlign w:val="center"/>
                </w:tcPr>
                <w:p w14:paraId="0090429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0.0003</w:t>
                  </w:r>
                </w:p>
              </w:tc>
              <w:tc>
                <w:tcPr>
                  <w:tcW w:w="152" w:type="pct"/>
                  <w:vAlign w:val="center"/>
                </w:tcPr>
                <w:p w14:paraId="31DDBDD6">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w:t>
                  </w:r>
                </w:p>
              </w:tc>
              <w:tc>
                <w:tcPr>
                  <w:tcW w:w="476" w:type="pct"/>
                  <w:vMerge w:val="continue"/>
                  <w:vAlign w:val="center"/>
                </w:tcPr>
                <w:p w14:paraId="5675DEC1">
                  <w:pPr>
                    <w:pStyle w:val="29"/>
                    <w:rPr>
                      <w:rFonts w:hint="eastAsia" w:ascii="Times New Roman" w:hAnsi="Times New Roman" w:eastAsia="宋体" w:cs="Times New Roman"/>
                      <w:color w:val="auto"/>
                      <w:lang w:val="en-US" w:eastAsia="zh-CN"/>
                    </w:rPr>
                  </w:pPr>
                </w:p>
              </w:tc>
              <w:tc>
                <w:tcPr>
                  <w:tcW w:w="263" w:type="pct"/>
                  <w:vAlign w:val="center"/>
                </w:tcPr>
                <w:p w14:paraId="6F0F29E7">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274" w:type="pct"/>
                  <w:vAlign w:val="center"/>
                </w:tcPr>
                <w:p w14:paraId="240E5962">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336" w:type="pct"/>
                  <w:shd w:val="clear" w:color="auto" w:fill="auto"/>
                  <w:vAlign w:val="center"/>
                </w:tcPr>
                <w:p w14:paraId="45A9A6F3">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是</w:t>
                  </w:r>
                </w:p>
              </w:tc>
              <w:tc>
                <w:tcPr>
                  <w:tcW w:w="344" w:type="pct"/>
                  <w:shd w:val="clear" w:color="auto" w:fill="auto"/>
                  <w:vAlign w:val="center"/>
                </w:tcPr>
                <w:p w14:paraId="43EE99B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0.0006</w:t>
                  </w:r>
                </w:p>
              </w:tc>
              <w:tc>
                <w:tcPr>
                  <w:tcW w:w="370" w:type="pct"/>
                  <w:shd w:val="clear" w:color="auto" w:fill="auto"/>
                  <w:vAlign w:val="center"/>
                </w:tcPr>
                <w:p w14:paraId="48F99AF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363" w:type="pct"/>
                  <w:shd w:val="clear" w:color="auto" w:fill="auto"/>
                  <w:vAlign w:val="center"/>
                </w:tcPr>
                <w:p w14:paraId="52F6B43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0.0003</w:t>
                  </w:r>
                </w:p>
              </w:tc>
              <w:tc>
                <w:tcPr>
                  <w:tcW w:w="454" w:type="pct"/>
                  <w:vMerge w:val="continue"/>
                  <w:vAlign w:val="center"/>
                </w:tcPr>
                <w:p w14:paraId="40FD5DFA">
                  <w:pPr>
                    <w:pStyle w:val="29"/>
                    <w:rPr>
                      <w:rFonts w:hint="default"/>
                      <w:color w:val="auto"/>
                    </w:rPr>
                  </w:pPr>
                </w:p>
              </w:tc>
            </w:tr>
            <w:tr w14:paraId="5E77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0" w:type="pct"/>
                  <w:shd w:val="clear" w:color="auto" w:fill="auto"/>
                  <w:vAlign w:val="center"/>
                </w:tcPr>
                <w:p w14:paraId="4323C9E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11</w:t>
                  </w:r>
                </w:p>
              </w:tc>
              <w:tc>
                <w:tcPr>
                  <w:tcW w:w="282" w:type="pct"/>
                  <w:vAlign w:val="center"/>
                </w:tcPr>
                <w:p w14:paraId="3D9ADA68">
                  <w:pPr>
                    <w:pStyle w:val="29"/>
                    <w:rPr>
                      <w:rFonts w:hint="eastAsia"/>
                      <w:color w:val="auto"/>
                    </w:rPr>
                  </w:pPr>
                  <w:r>
                    <w:rPr>
                      <w:rFonts w:hint="eastAsia"/>
                      <w:color w:val="auto"/>
                    </w:rPr>
                    <w:t>车辆运输扬尘</w:t>
                  </w:r>
                </w:p>
              </w:tc>
              <w:tc>
                <w:tcPr>
                  <w:tcW w:w="339" w:type="pct"/>
                  <w:vAlign w:val="center"/>
                </w:tcPr>
                <w:p w14:paraId="095BD606">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颗粒物</w:t>
                  </w:r>
                </w:p>
              </w:tc>
              <w:tc>
                <w:tcPr>
                  <w:tcW w:w="363" w:type="pct"/>
                  <w:vAlign w:val="center"/>
                </w:tcPr>
                <w:p w14:paraId="695162DF">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w:t>
                  </w:r>
                  <w:r>
                    <w:rPr>
                      <w:rFonts w:hint="eastAsia" w:cs="Times New Roman"/>
                      <w:color w:val="auto"/>
                      <w:lang w:val="en-US" w:eastAsia="zh-CN"/>
                    </w:rPr>
                    <w:t>01</w:t>
                  </w:r>
                </w:p>
              </w:tc>
              <w:tc>
                <w:tcPr>
                  <w:tcW w:w="439" w:type="pct"/>
                  <w:vAlign w:val="center"/>
                </w:tcPr>
                <w:p w14:paraId="48513E32">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359" w:type="pct"/>
                  <w:vAlign w:val="center"/>
                </w:tcPr>
                <w:p w14:paraId="2E6BF27F">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0.004</w:t>
                  </w:r>
                </w:p>
              </w:tc>
              <w:tc>
                <w:tcPr>
                  <w:tcW w:w="152" w:type="pct"/>
                  <w:vAlign w:val="center"/>
                </w:tcPr>
                <w:p w14:paraId="77E442E8">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无组织</w:t>
                  </w:r>
                </w:p>
              </w:tc>
              <w:tc>
                <w:tcPr>
                  <w:tcW w:w="476" w:type="pct"/>
                  <w:vAlign w:val="center"/>
                </w:tcPr>
                <w:p w14:paraId="66FC08DE">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运输道路硬化，定期洒水降尘，定期清扫</w:t>
                  </w:r>
                </w:p>
              </w:tc>
              <w:tc>
                <w:tcPr>
                  <w:tcW w:w="263" w:type="pct"/>
                  <w:vAlign w:val="center"/>
                </w:tcPr>
                <w:p w14:paraId="012F943F">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274" w:type="pct"/>
                  <w:vAlign w:val="center"/>
                </w:tcPr>
                <w:p w14:paraId="1C02783F">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70</w:t>
                  </w:r>
                </w:p>
              </w:tc>
              <w:tc>
                <w:tcPr>
                  <w:tcW w:w="336" w:type="pct"/>
                  <w:shd w:val="clear" w:color="auto" w:fill="auto"/>
                  <w:vAlign w:val="center"/>
                </w:tcPr>
                <w:p w14:paraId="7347EDC0">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是</w:t>
                  </w:r>
                </w:p>
              </w:tc>
              <w:tc>
                <w:tcPr>
                  <w:tcW w:w="344" w:type="pct"/>
                  <w:vAlign w:val="center"/>
                </w:tcPr>
                <w:p w14:paraId="536C12A3">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0.003</w:t>
                  </w:r>
                </w:p>
              </w:tc>
              <w:tc>
                <w:tcPr>
                  <w:tcW w:w="370" w:type="pct"/>
                  <w:vAlign w:val="center"/>
                </w:tcPr>
                <w:p w14:paraId="373B8315">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363" w:type="pct"/>
                  <w:vAlign w:val="center"/>
                </w:tcPr>
                <w:p w14:paraId="2FFB1EA9">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0.0014</w:t>
                  </w:r>
                </w:p>
              </w:tc>
              <w:tc>
                <w:tcPr>
                  <w:tcW w:w="454" w:type="pct"/>
                  <w:vMerge w:val="continue"/>
                  <w:vAlign w:val="center"/>
                </w:tcPr>
                <w:p w14:paraId="3FBA1926">
                  <w:pPr>
                    <w:pStyle w:val="29"/>
                    <w:rPr>
                      <w:rFonts w:hint="default"/>
                      <w:color w:val="auto"/>
                    </w:rPr>
                  </w:pPr>
                </w:p>
              </w:tc>
            </w:tr>
            <w:tr w14:paraId="5D11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0" w:type="pct"/>
                  <w:shd w:val="clear" w:color="auto" w:fill="auto"/>
                  <w:vAlign w:val="center"/>
                </w:tcPr>
                <w:p w14:paraId="22E276C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12</w:t>
                  </w:r>
                </w:p>
              </w:tc>
              <w:tc>
                <w:tcPr>
                  <w:tcW w:w="282" w:type="pct"/>
                  <w:vAlign w:val="center"/>
                </w:tcPr>
                <w:p w14:paraId="1B9D31F0">
                  <w:pPr>
                    <w:pStyle w:val="29"/>
                    <w:rPr>
                      <w:rFonts w:hint="eastAsia" w:eastAsia="宋体"/>
                      <w:color w:val="auto"/>
                      <w:lang w:eastAsia="zh-CN"/>
                    </w:rPr>
                  </w:pPr>
                  <w:r>
                    <w:rPr>
                      <w:rFonts w:hint="eastAsia"/>
                      <w:color w:val="auto"/>
                      <w:lang w:eastAsia="zh-CN"/>
                    </w:rPr>
                    <w:t>未捕集粉尘</w:t>
                  </w:r>
                </w:p>
              </w:tc>
              <w:tc>
                <w:tcPr>
                  <w:tcW w:w="339" w:type="pct"/>
                  <w:vAlign w:val="center"/>
                </w:tcPr>
                <w:p w14:paraId="7373056A">
                  <w:pPr>
                    <w:pStyle w:val="29"/>
                    <w:rPr>
                      <w:rFonts w:hint="eastAsia"/>
                      <w:color w:val="auto"/>
                      <w:lang w:eastAsia="zh-CN"/>
                    </w:rPr>
                  </w:pPr>
                  <w:r>
                    <w:rPr>
                      <w:rFonts w:hint="eastAsia"/>
                      <w:color w:val="auto"/>
                      <w:lang w:eastAsia="zh-CN"/>
                    </w:rPr>
                    <w:t>颗粒物</w:t>
                  </w:r>
                </w:p>
              </w:tc>
              <w:tc>
                <w:tcPr>
                  <w:tcW w:w="363" w:type="pct"/>
                  <w:vAlign w:val="center"/>
                </w:tcPr>
                <w:p w14:paraId="59546F24">
                  <w:pPr>
                    <w:pStyle w:val="29"/>
                    <w:rPr>
                      <w:rFonts w:hint="default"/>
                      <w:color w:val="auto"/>
                      <w:lang w:val="en-US" w:eastAsia="zh-CN"/>
                    </w:rPr>
                  </w:pPr>
                  <w:r>
                    <w:rPr>
                      <w:rFonts w:hint="eastAsia"/>
                      <w:color w:val="auto"/>
                      <w:lang w:val="en-US" w:eastAsia="zh-CN"/>
                    </w:rPr>
                    <w:t>0.0017</w:t>
                  </w:r>
                </w:p>
              </w:tc>
              <w:tc>
                <w:tcPr>
                  <w:tcW w:w="439" w:type="pct"/>
                  <w:vAlign w:val="center"/>
                </w:tcPr>
                <w:p w14:paraId="2659EF4F">
                  <w:pPr>
                    <w:pStyle w:val="29"/>
                    <w:rPr>
                      <w:rFonts w:hint="default"/>
                      <w:color w:val="auto"/>
                      <w:lang w:val="en-US" w:eastAsia="zh-CN"/>
                    </w:rPr>
                  </w:pPr>
                  <w:r>
                    <w:rPr>
                      <w:rFonts w:hint="eastAsia"/>
                      <w:color w:val="auto"/>
                      <w:lang w:val="en-US" w:eastAsia="zh-CN"/>
                    </w:rPr>
                    <w:t>/</w:t>
                  </w:r>
                </w:p>
              </w:tc>
              <w:tc>
                <w:tcPr>
                  <w:tcW w:w="359" w:type="pct"/>
                  <w:vAlign w:val="center"/>
                </w:tcPr>
                <w:p w14:paraId="4451C56E">
                  <w:pPr>
                    <w:pStyle w:val="29"/>
                    <w:rPr>
                      <w:rFonts w:hint="default"/>
                      <w:color w:val="auto"/>
                      <w:lang w:val="en-US" w:eastAsia="zh-CN"/>
                    </w:rPr>
                  </w:pPr>
                  <w:r>
                    <w:rPr>
                      <w:rFonts w:hint="eastAsia"/>
                      <w:color w:val="auto"/>
                      <w:lang w:val="en-US" w:eastAsia="zh-CN"/>
                    </w:rPr>
                    <w:t>0.0007</w:t>
                  </w:r>
                </w:p>
              </w:tc>
              <w:tc>
                <w:tcPr>
                  <w:tcW w:w="152" w:type="pct"/>
                  <w:vAlign w:val="center"/>
                </w:tcPr>
                <w:p w14:paraId="1FD53AAB">
                  <w:pPr>
                    <w:pStyle w:val="29"/>
                    <w:rPr>
                      <w:rFonts w:hint="eastAsia"/>
                      <w:color w:val="auto"/>
                      <w:lang w:eastAsia="zh-CN"/>
                    </w:rPr>
                  </w:pPr>
                  <w:r>
                    <w:rPr>
                      <w:rFonts w:hint="eastAsia"/>
                      <w:color w:val="auto"/>
                      <w:lang w:eastAsia="zh-CN"/>
                    </w:rPr>
                    <w:t>无组织</w:t>
                  </w:r>
                </w:p>
              </w:tc>
              <w:tc>
                <w:tcPr>
                  <w:tcW w:w="476" w:type="pct"/>
                  <w:vAlign w:val="center"/>
                </w:tcPr>
                <w:p w14:paraId="5D4B8BFF">
                  <w:pPr>
                    <w:pStyle w:val="29"/>
                    <w:rPr>
                      <w:rFonts w:hint="default" w:eastAsia="宋体"/>
                      <w:color w:val="auto"/>
                      <w:lang w:val="en-US" w:eastAsia="zh-CN"/>
                    </w:rPr>
                  </w:pPr>
                  <w:r>
                    <w:rPr>
                      <w:rFonts w:hint="eastAsia"/>
                      <w:color w:val="auto"/>
                      <w:lang w:val="en-US" w:eastAsia="zh-CN"/>
                    </w:rPr>
                    <w:t>车间阻隔、自然沉降</w:t>
                  </w:r>
                </w:p>
              </w:tc>
              <w:tc>
                <w:tcPr>
                  <w:tcW w:w="263" w:type="pct"/>
                  <w:vAlign w:val="center"/>
                </w:tcPr>
                <w:p w14:paraId="2BDFED35">
                  <w:pPr>
                    <w:pStyle w:val="29"/>
                    <w:rPr>
                      <w:rFonts w:hint="default"/>
                      <w:color w:val="auto"/>
                      <w:lang w:val="en-US" w:eastAsia="zh-CN"/>
                    </w:rPr>
                  </w:pPr>
                  <w:r>
                    <w:rPr>
                      <w:rFonts w:hint="eastAsia"/>
                      <w:color w:val="auto"/>
                      <w:lang w:val="en-US" w:eastAsia="zh-CN"/>
                    </w:rPr>
                    <w:t>/</w:t>
                  </w:r>
                </w:p>
              </w:tc>
              <w:tc>
                <w:tcPr>
                  <w:tcW w:w="274" w:type="pct"/>
                  <w:vAlign w:val="center"/>
                </w:tcPr>
                <w:p w14:paraId="1B77F822">
                  <w:pPr>
                    <w:pStyle w:val="29"/>
                    <w:tabs>
                      <w:tab w:val="left" w:pos="289"/>
                    </w:tabs>
                    <w:jc w:val="center"/>
                    <w:rPr>
                      <w:rFonts w:hint="default"/>
                      <w:color w:val="auto"/>
                      <w:lang w:val="en-US" w:eastAsia="zh-CN"/>
                    </w:rPr>
                  </w:pPr>
                  <w:r>
                    <w:rPr>
                      <w:rFonts w:hint="eastAsia"/>
                      <w:color w:val="auto"/>
                      <w:lang w:val="en-US" w:eastAsia="zh-CN"/>
                    </w:rPr>
                    <w:t>70</w:t>
                  </w:r>
                </w:p>
              </w:tc>
              <w:tc>
                <w:tcPr>
                  <w:tcW w:w="336" w:type="pct"/>
                  <w:vAlign w:val="center"/>
                </w:tcPr>
                <w:p w14:paraId="6D64882F">
                  <w:pPr>
                    <w:pStyle w:val="29"/>
                    <w:ind w:firstLine="0" w:firstLineChars="0"/>
                    <w:rPr>
                      <w:rFonts w:hint="eastAsia" w:eastAsia="宋体"/>
                      <w:color w:val="auto"/>
                      <w:lang w:eastAsia="zh-CN"/>
                    </w:rPr>
                  </w:pPr>
                  <w:r>
                    <w:rPr>
                      <w:rFonts w:hint="eastAsia"/>
                      <w:color w:val="auto"/>
                      <w:lang w:eastAsia="zh-CN"/>
                    </w:rPr>
                    <w:t>是</w:t>
                  </w:r>
                </w:p>
              </w:tc>
              <w:tc>
                <w:tcPr>
                  <w:tcW w:w="344" w:type="pct"/>
                  <w:vAlign w:val="center"/>
                </w:tcPr>
                <w:p w14:paraId="328CE540">
                  <w:pPr>
                    <w:pStyle w:val="29"/>
                    <w:rPr>
                      <w:rFonts w:hint="default"/>
                      <w:color w:val="auto"/>
                      <w:lang w:val="en-US" w:eastAsia="zh-CN"/>
                    </w:rPr>
                  </w:pPr>
                  <w:r>
                    <w:rPr>
                      <w:rFonts w:hint="eastAsia"/>
                      <w:color w:val="auto"/>
                      <w:lang w:val="en-US" w:eastAsia="zh-CN"/>
                    </w:rPr>
                    <w:t>0.0005</w:t>
                  </w:r>
                </w:p>
              </w:tc>
              <w:tc>
                <w:tcPr>
                  <w:tcW w:w="370" w:type="pct"/>
                  <w:vAlign w:val="center"/>
                </w:tcPr>
                <w:p w14:paraId="4F464900">
                  <w:pPr>
                    <w:pStyle w:val="29"/>
                    <w:rPr>
                      <w:rFonts w:hint="default"/>
                      <w:color w:val="auto"/>
                      <w:lang w:val="en-US" w:eastAsia="zh-CN"/>
                    </w:rPr>
                  </w:pPr>
                  <w:r>
                    <w:rPr>
                      <w:rFonts w:hint="eastAsia"/>
                      <w:color w:val="auto"/>
                      <w:lang w:val="en-US" w:eastAsia="zh-CN"/>
                    </w:rPr>
                    <w:t>/</w:t>
                  </w:r>
                </w:p>
              </w:tc>
              <w:tc>
                <w:tcPr>
                  <w:tcW w:w="363" w:type="pct"/>
                  <w:vAlign w:val="center"/>
                </w:tcPr>
                <w:p w14:paraId="2EB5A4C0">
                  <w:pPr>
                    <w:pStyle w:val="29"/>
                    <w:rPr>
                      <w:rFonts w:hint="default"/>
                      <w:color w:val="auto"/>
                      <w:lang w:val="en-US" w:eastAsia="zh-CN"/>
                    </w:rPr>
                  </w:pPr>
                  <w:r>
                    <w:rPr>
                      <w:rFonts w:hint="eastAsia"/>
                      <w:color w:val="auto"/>
                      <w:lang w:val="en-US" w:eastAsia="zh-CN"/>
                    </w:rPr>
                    <w:t>0.0005</w:t>
                  </w:r>
                </w:p>
              </w:tc>
              <w:tc>
                <w:tcPr>
                  <w:tcW w:w="454" w:type="pct"/>
                  <w:vMerge w:val="continue"/>
                  <w:vAlign w:val="center"/>
                </w:tcPr>
                <w:p w14:paraId="2E9BC0DF">
                  <w:pPr>
                    <w:pStyle w:val="29"/>
                    <w:rPr>
                      <w:rFonts w:hint="default"/>
                      <w:color w:val="auto"/>
                    </w:rPr>
                  </w:pPr>
                </w:p>
              </w:tc>
            </w:tr>
            <w:tr w14:paraId="02E90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0" w:type="pct"/>
                  <w:shd w:val="clear" w:color="auto" w:fill="auto"/>
                  <w:vAlign w:val="center"/>
                </w:tcPr>
                <w:p w14:paraId="48ABD4E9">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13</w:t>
                  </w:r>
                </w:p>
              </w:tc>
              <w:tc>
                <w:tcPr>
                  <w:tcW w:w="282" w:type="pct"/>
                  <w:vAlign w:val="center"/>
                </w:tcPr>
                <w:p w14:paraId="4EFF9762">
                  <w:pPr>
                    <w:pStyle w:val="29"/>
                    <w:rPr>
                      <w:rFonts w:hint="default"/>
                      <w:color w:val="auto"/>
                      <w:lang w:val="en-US" w:eastAsia="zh-CN"/>
                    </w:rPr>
                  </w:pPr>
                  <w:r>
                    <w:rPr>
                      <w:rFonts w:hint="eastAsia"/>
                      <w:color w:val="auto"/>
                      <w:lang w:val="en-US" w:eastAsia="zh-CN"/>
                    </w:rPr>
                    <w:t>制冷废气</w:t>
                  </w:r>
                </w:p>
              </w:tc>
              <w:tc>
                <w:tcPr>
                  <w:tcW w:w="339" w:type="pct"/>
                  <w:vAlign w:val="center"/>
                </w:tcPr>
                <w:p w14:paraId="7BB7AAA8">
                  <w:pPr>
                    <w:pStyle w:val="29"/>
                    <w:rPr>
                      <w:rFonts w:hint="default"/>
                      <w:color w:val="auto"/>
                      <w:lang w:val="en-US" w:eastAsia="zh-CN"/>
                    </w:rPr>
                  </w:pPr>
                  <w:r>
                    <w:rPr>
                      <w:rFonts w:hint="eastAsia"/>
                      <w:color w:val="auto"/>
                      <w:lang w:val="en-US" w:eastAsia="zh-CN"/>
                    </w:rPr>
                    <w:t>氟氯烃</w:t>
                  </w:r>
                </w:p>
              </w:tc>
              <w:tc>
                <w:tcPr>
                  <w:tcW w:w="363" w:type="pct"/>
                  <w:vAlign w:val="center"/>
                </w:tcPr>
                <w:p w14:paraId="3F5030E1">
                  <w:pPr>
                    <w:pStyle w:val="29"/>
                    <w:rPr>
                      <w:rFonts w:hint="default"/>
                      <w:color w:val="auto"/>
                      <w:lang w:val="en-US" w:eastAsia="zh-CN"/>
                    </w:rPr>
                  </w:pPr>
                  <w:r>
                    <w:rPr>
                      <w:rFonts w:hint="eastAsia"/>
                      <w:color w:val="auto"/>
                      <w:lang w:val="en-US" w:eastAsia="zh-CN"/>
                    </w:rPr>
                    <w:t>0.03</w:t>
                  </w:r>
                </w:p>
              </w:tc>
              <w:tc>
                <w:tcPr>
                  <w:tcW w:w="439" w:type="pct"/>
                  <w:vAlign w:val="center"/>
                </w:tcPr>
                <w:p w14:paraId="3FB7ED2F">
                  <w:pPr>
                    <w:pStyle w:val="29"/>
                    <w:rPr>
                      <w:rFonts w:hint="default"/>
                      <w:color w:val="auto"/>
                      <w:lang w:val="en-US" w:eastAsia="zh-CN"/>
                    </w:rPr>
                  </w:pPr>
                  <w:r>
                    <w:rPr>
                      <w:rFonts w:hint="eastAsia"/>
                      <w:color w:val="auto"/>
                      <w:lang w:val="en-US" w:eastAsia="zh-CN"/>
                    </w:rPr>
                    <w:t>/</w:t>
                  </w:r>
                </w:p>
              </w:tc>
              <w:tc>
                <w:tcPr>
                  <w:tcW w:w="359" w:type="pct"/>
                  <w:vAlign w:val="center"/>
                </w:tcPr>
                <w:p w14:paraId="27A40A25">
                  <w:pPr>
                    <w:pStyle w:val="29"/>
                    <w:rPr>
                      <w:rFonts w:hint="eastAsia"/>
                      <w:color w:val="auto"/>
                      <w:lang w:val="en-US" w:eastAsia="zh-CN"/>
                    </w:rPr>
                  </w:pPr>
                  <w:r>
                    <w:rPr>
                      <w:rFonts w:hint="eastAsia"/>
                      <w:color w:val="auto"/>
                      <w:lang w:val="en-US" w:eastAsia="zh-CN"/>
                    </w:rPr>
                    <w:t>0.013</w:t>
                  </w:r>
                </w:p>
              </w:tc>
              <w:tc>
                <w:tcPr>
                  <w:tcW w:w="152" w:type="pct"/>
                  <w:vAlign w:val="center"/>
                </w:tcPr>
                <w:p w14:paraId="2446C45A">
                  <w:pPr>
                    <w:pStyle w:val="29"/>
                    <w:rPr>
                      <w:rFonts w:hint="default"/>
                      <w:color w:val="auto"/>
                      <w:lang w:val="en-US" w:eastAsia="zh-CN"/>
                    </w:rPr>
                  </w:pPr>
                  <w:r>
                    <w:rPr>
                      <w:rFonts w:hint="eastAsia"/>
                      <w:color w:val="auto"/>
                      <w:lang w:val="en-US" w:eastAsia="zh-CN"/>
                    </w:rPr>
                    <w:t>无组织</w:t>
                  </w:r>
                </w:p>
              </w:tc>
              <w:tc>
                <w:tcPr>
                  <w:tcW w:w="476" w:type="pct"/>
                  <w:vAlign w:val="center"/>
                </w:tcPr>
                <w:p w14:paraId="0A15400B">
                  <w:pPr>
                    <w:pStyle w:val="29"/>
                    <w:rPr>
                      <w:rFonts w:hint="eastAsia"/>
                      <w:color w:val="auto"/>
                      <w:lang w:val="en-US" w:eastAsia="zh-CN"/>
                    </w:rPr>
                  </w:pPr>
                  <w:r>
                    <w:rPr>
                      <w:rFonts w:hint="eastAsia"/>
                      <w:color w:val="auto"/>
                      <w:lang w:val="en-US" w:eastAsia="zh-CN"/>
                    </w:rPr>
                    <w:t>车间阻隔、自然扩散</w:t>
                  </w:r>
                </w:p>
              </w:tc>
              <w:tc>
                <w:tcPr>
                  <w:tcW w:w="263" w:type="pct"/>
                  <w:vAlign w:val="center"/>
                </w:tcPr>
                <w:p w14:paraId="70A57B87">
                  <w:pPr>
                    <w:pStyle w:val="29"/>
                    <w:rPr>
                      <w:rFonts w:hint="default"/>
                      <w:color w:val="auto"/>
                      <w:lang w:val="en-US" w:eastAsia="zh-CN"/>
                    </w:rPr>
                  </w:pPr>
                  <w:r>
                    <w:rPr>
                      <w:rFonts w:hint="eastAsia"/>
                      <w:color w:val="auto"/>
                      <w:lang w:val="en-US" w:eastAsia="zh-CN"/>
                    </w:rPr>
                    <w:t>/</w:t>
                  </w:r>
                </w:p>
              </w:tc>
              <w:tc>
                <w:tcPr>
                  <w:tcW w:w="274" w:type="pct"/>
                  <w:vAlign w:val="center"/>
                </w:tcPr>
                <w:p w14:paraId="15D828C1">
                  <w:pPr>
                    <w:pStyle w:val="29"/>
                    <w:tabs>
                      <w:tab w:val="left" w:pos="289"/>
                    </w:tabs>
                    <w:jc w:val="center"/>
                    <w:rPr>
                      <w:rFonts w:hint="default"/>
                      <w:color w:val="auto"/>
                      <w:lang w:val="en-US" w:eastAsia="zh-CN"/>
                    </w:rPr>
                  </w:pPr>
                  <w:r>
                    <w:rPr>
                      <w:rFonts w:hint="eastAsia"/>
                      <w:color w:val="auto"/>
                      <w:lang w:val="en-US" w:eastAsia="zh-CN"/>
                    </w:rPr>
                    <w:t>0</w:t>
                  </w:r>
                </w:p>
              </w:tc>
              <w:tc>
                <w:tcPr>
                  <w:tcW w:w="336" w:type="pct"/>
                  <w:vAlign w:val="center"/>
                </w:tcPr>
                <w:p w14:paraId="16BA6354">
                  <w:pPr>
                    <w:pStyle w:val="29"/>
                    <w:ind w:firstLine="0" w:firstLineChars="0"/>
                    <w:rPr>
                      <w:rFonts w:hint="default"/>
                      <w:color w:val="auto"/>
                      <w:lang w:val="en-US" w:eastAsia="zh-CN"/>
                    </w:rPr>
                  </w:pPr>
                  <w:r>
                    <w:rPr>
                      <w:rFonts w:hint="eastAsia"/>
                      <w:color w:val="auto"/>
                      <w:lang w:val="en-US" w:eastAsia="zh-CN"/>
                    </w:rPr>
                    <w:t>/</w:t>
                  </w:r>
                </w:p>
              </w:tc>
              <w:tc>
                <w:tcPr>
                  <w:tcW w:w="344" w:type="pct"/>
                  <w:shd w:val="clear" w:color="auto" w:fill="auto"/>
                  <w:vAlign w:val="center"/>
                </w:tcPr>
                <w:p w14:paraId="45B60F8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0.03</w:t>
                  </w:r>
                </w:p>
              </w:tc>
              <w:tc>
                <w:tcPr>
                  <w:tcW w:w="370" w:type="pct"/>
                  <w:shd w:val="clear" w:color="auto" w:fill="auto"/>
                  <w:vAlign w:val="center"/>
                </w:tcPr>
                <w:p w14:paraId="7023A59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c>
                <w:tcPr>
                  <w:tcW w:w="363" w:type="pct"/>
                  <w:shd w:val="clear" w:color="auto" w:fill="auto"/>
                  <w:vAlign w:val="center"/>
                </w:tcPr>
                <w:p w14:paraId="010A9F47">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0.013</w:t>
                  </w:r>
                </w:p>
              </w:tc>
              <w:tc>
                <w:tcPr>
                  <w:tcW w:w="454" w:type="pct"/>
                  <w:vMerge w:val="continue"/>
                  <w:vAlign w:val="center"/>
                </w:tcPr>
                <w:p w14:paraId="04EBA6E0">
                  <w:pPr>
                    <w:pStyle w:val="29"/>
                    <w:rPr>
                      <w:rFonts w:hint="default"/>
                      <w:color w:val="auto"/>
                    </w:rPr>
                  </w:pPr>
                </w:p>
              </w:tc>
            </w:tr>
            <w:tr w14:paraId="33D1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2" w:type="pct"/>
                  <w:gridSpan w:val="2"/>
                  <w:vMerge w:val="restart"/>
                  <w:vAlign w:val="center"/>
                </w:tcPr>
                <w:p w14:paraId="7B020CDA">
                  <w:pPr>
                    <w:pStyle w:val="29"/>
                    <w:rPr>
                      <w:rFonts w:hint="default"/>
                      <w:color w:val="auto"/>
                    </w:rPr>
                  </w:pPr>
                  <w:r>
                    <w:rPr>
                      <w:color w:val="auto"/>
                    </w:rPr>
                    <w:t>合计</w:t>
                  </w:r>
                </w:p>
              </w:tc>
              <w:tc>
                <w:tcPr>
                  <w:tcW w:w="1502" w:type="pct"/>
                  <w:gridSpan w:val="4"/>
                  <w:vMerge w:val="restart"/>
                  <w:vAlign w:val="center"/>
                </w:tcPr>
                <w:p w14:paraId="34792D79">
                  <w:pPr>
                    <w:pStyle w:val="29"/>
                    <w:rPr>
                      <w:rFonts w:hint="eastAsia" w:eastAsia="宋体"/>
                      <w:color w:val="auto"/>
                      <w:lang w:eastAsia="zh-CN"/>
                    </w:rPr>
                  </w:pPr>
                  <w:r>
                    <w:rPr>
                      <w:color w:val="auto"/>
                    </w:rPr>
                    <w:t>有组织</w:t>
                  </w:r>
                  <w:r>
                    <w:rPr>
                      <w:rFonts w:hint="eastAsia"/>
                      <w:color w:val="auto"/>
                      <w:lang w:eastAsia="zh-CN"/>
                    </w:rPr>
                    <w:t>排放总量</w:t>
                  </w:r>
                </w:p>
              </w:tc>
              <w:tc>
                <w:tcPr>
                  <w:tcW w:w="1846" w:type="pct"/>
                  <w:gridSpan w:val="6"/>
                  <w:vAlign w:val="center"/>
                </w:tcPr>
                <w:p w14:paraId="6630269C">
                  <w:pPr>
                    <w:pStyle w:val="29"/>
                    <w:rPr>
                      <w:rFonts w:hint="default"/>
                      <w:color w:val="auto"/>
                    </w:rPr>
                  </w:pPr>
                  <w:r>
                    <w:rPr>
                      <w:color w:val="auto"/>
                    </w:rPr>
                    <w:t>颗粒物</w:t>
                  </w:r>
                </w:p>
              </w:tc>
              <w:tc>
                <w:tcPr>
                  <w:tcW w:w="1188" w:type="pct"/>
                  <w:gridSpan w:val="3"/>
                  <w:shd w:val="clear" w:color="auto" w:fill="auto"/>
                  <w:vAlign w:val="center"/>
                </w:tcPr>
                <w:p w14:paraId="580CB95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0.0081</w:t>
                  </w:r>
                </w:p>
              </w:tc>
            </w:tr>
            <w:tr w14:paraId="11F29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2" w:type="pct"/>
                  <w:gridSpan w:val="2"/>
                  <w:vMerge w:val="continue"/>
                  <w:vAlign w:val="center"/>
                </w:tcPr>
                <w:p w14:paraId="5AFA714A">
                  <w:pPr>
                    <w:pStyle w:val="29"/>
                    <w:rPr>
                      <w:color w:val="auto"/>
                    </w:rPr>
                  </w:pPr>
                </w:p>
              </w:tc>
              <w:tc>
                <w:tcPr>
                  <w:tcW w:w="1502" w:type="pct"/>
                  <w:gridSpan w:val="4"/>
                  <w:vMerge w:val="continue"/>
                  <w:vAlign w:val="center"/>
                </w:tcPr>
                <w:p w14:paraId="632B88BD">
                  <w:pPr>
                    <w:pStyle w:val="29"/>
                    <w:rPr>
                      <w:color w:val="auto"/>
                    </w:rPr>
                  </w:pPr>
                </w:p>
              </w:tc>
              <w:tc>
                <w:tcPr>
                  <w:tcW w:w="1846" w:type="pct"/>
                  <w:gridSpan w:val="6"/>
                  <w:shd w:val="clear" w:color="auto" w:fill="auto"/>
                  <w:vAlign w:val="center"/>
                </w:tcPr>
                <w:p w14:paraId="4C1375B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SO</w:t>
                  </w:r>
                  <w:r>
                    <w:rPr>
                      <w:rFonts w:hint="eastAsia"/>
                      <w:color w:val="auto"/>
                      <w:vertAlign w:val="subscript"/>
                      <w:lang w:val="en-US" w:eastAsia="zh-CN"/>
                    </w:rPr>
                    <w:t>2</w:t>
                  </w:r>
                </w:p>
              </w:tc>
              <w:tc>
                <w:tcPr>
                  <w:tcW w:w="1188" w:type="pct"/>
                  <w:gridSpan w:val="3"/>
                  <w:shd w:val="clear" w:color="auto" w:fill="auto"/>
                  <w:vAlign w:val="center"/>
                </w:tcPr>
                <w:p w14:paraId="4E269AE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0.001</w:t>
                  </w:r>
                </w:p>
              </w:tc>
            </w:tr>
            <w:tr w14:paraId="146E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2" w:type="pct"/>
                  <w:gridSpan w:val="2"/>
                  <w:vMerge w:val="continue"/>
                  <w:vAlign w:val="center"/>
                </w:tcPr>
                <w:p w14:paraId="03F7AA82">
                  <w:pPr>
                    <w:pStyle w:val="29"/>
                    <w:rPr>
                      <w:color w:val="auto"/>
                    </w:rPr>
                  </w:pPr>
                </w:p>
              </w:tc>
              <w:tc>
                <w:tcPr>
                  <w:tcW w:w="1502" w:type="pct"/>
                  <w:gridSpan w:val="4"/>
                  <w:vMerge w:val="continue"/>
                  <w:vAlign w:val="center"/>
                </w:tcPr>
                <w:p w14:paraId="528AA64A">
                  <w:pPr>
                    <w:pStyle w:val="29"/>
                    <w:rPr>
                      <w:color w:val="auto"/>
                    </w:rPr>
                  </w:pPr>
                </w:p>
              </w:tc>
              <w:tc>
                <w:tcPr>
                  <w:tcW w:w="1846" w:type="pct"/>
                  <w:gridSpan w:val="6"/>
                  <w:shd w:val="clear" w:color="auto" w:fill="auto"/>
                  <w:vAlign w:val="center"/>
                </w:tcPr>
                <w:p w14:paraId="4A15290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NO</w:t>
                  </w:r>
                  <w:r>
                    <w:rPr>
                      <w:rFonts w:hint="eastAsia"/>
                      <w:color w:val="auto"/>
                      <w:vertAlign w:val="subscript"/>
                      <w:lang w:val="en-US" w:eastAsia="zh-CN"/>
                    </w:rPr>
                    <w:t>x</w:t>
                  </w:r>
                </w:p>
              </w:tc>
              <w:tc>
                <w:tcPr>
                  <w:tcW w:w="1188" w:type="pct"/>
                  <w:gridSpan w:val="3"/>
                  <w:shd w:val="clear" w:color="auto" w:fill="auto"/>
                  <w:vAlign w:val="center"/>
                </w:tcPr>
                <w:p w14:paraId="4747BE4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0.867</w:t>
                  </w:r>
                </w:p>
              </w:tc>
            </w:tr>
            <w:tr w14:paraId="3BA5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vAlign w:val="center"/>
                </w:tcPr>
                <w:p w14:paraId="4F7B437F">
                  <w:pPr>
                    <w:pStyle w:val="29"/>
                    <w:rPr>
                      <w:rFonts w:hint="default"/>
                      <w:color w:val="auto"/>
                    </w:rPr>
                  </w:pPr>
                </w:p>
              </w:tc>
              <w:tc>
                <w:tcPr>
                  <w:tcW w:w="1502" w:type="pct"/>
                  <w:gridSpan w:val="4"/>
                  <w:vMerge w:val="restart"/>
                  <w:vAlign w:val="center"/>
                </w:tcPr>
                <w:p w14:paraId="6918834F">
                  <w:pPr>
                    <w:pStyle w:val="29"/>
                    <w:rPr>
                      <w:rFonts w:hint="eastAsia" w:eastAsia="宋体"/>
                      <w:color w:val="auto"/>
                      <w:lang w:eastAsia="zh-CN"/>
                    </w:rPr>
                  </w:pPr>
                  <w:r>
                    <w:rPr>
                      <w:color w:val="auto"/>
                    </w:rPr>
                    <w:t>无组织</w:t>
                  </w:r>
                  <w:r>
                    <w:rPr>
                      <w:rFonts w:hint="eastAsia"/>
                      <w:color w:val="auto"/>
                      <w:lang w:eastAsia="zh-CN"/>
                    </w:rPr>
                    <w:t>排放总量</w:t>
                  </w:r>
                </w:p>
              </w:tc>
              <w:tc>
                <w:tcPr>
                  <w:tcW w:w="1846" w:type="pct"/>
                  <w:gridSpan w:val="6"/>
                  <w:vAlign w:val="center"/>
                </w:tcPr>
                <w:p w14:paraId="45D49063">
                  <w:pPr>
                    <w:pStyle w:val="29"/>
                    <w:rPr>
                      <w:rFonts w:hint="default"/>
                      <w:color w:val="auto"/>
                    </w:rPr>
                  </w:pPr>
                  <w:r>
                    <w:rPr>
                      <w:color w:val="auto"/>
                    </w:rPr>
                    <w:t>颗粒物</w:t>
                  </w:r>
                </w:p>
              </w:tc>
              <w:tc>
                <w:tcPr>
                  <w:tcW w:w="1188" w:type="pct"/>
                  <w:gridSpan w:val="3"/>
                  <w:vAlign w:val="center"/>
                </w:tcPr>
                <w:p w14:paraId="13C80FFD">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0.0035</w:t>
                  </w:r>
                </w:p>
              </w:tc>
            </w:tr>
            <w:tr w14:paraId="308C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vAlign w:val="center"/>
                </w:tcPr>
                <w:p w14:paraId="2AC0FCFE">
                  <w:pPr>
                    <w:pStyle w:val="29"/>
                    <w:rPr>
                      <w:rFonts w:hint="default"/>
                      <w:color w:val="auto"/>
                    </w:rPr>
                  </w:pPr>
                </w:p>
              </w:tc>
              <w:tc>
                <w:tcPr>
                  <w:tcW w:w="1502" w:type="pct"/>
                  <w:gridSpan w:val="4"/>
                  <w:vMerge w:val="continue"/>
                  <w:vAlign w:val="center"/>
                </w:tcPr>
                <w:p w14:paraId="375C7EA5">
                  <w:pPr>
                    <w:pStyle w:val="29"/>
                    <w:rPr>
                      <w:color w:val="auto"/>
                    </w:rPr>
                  </w:pPr>
                </w:p>
              </w:tc>
              <w:tc>
                <w:tcPr>
                  <w:tcW w:w="1846" w:type="pct"/>
                  <w:gridSpan w:val="6"/>
                  <w:shd w:val="clear" w:color="auto" w:fill="auto"/>
                  <w:vAlign w:val="center"/>
                </w:tcPr>
                <w:p w14:paraId="2A6DB0E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CO</w:t>
                  </w:r>
                  <w:r>
                    <w:rPr>
                      <w:rFonts w:hint="eastAsia"/>
                      <w:color w:val="auto"/>
                      <w:vertAlign w:val="subscript"/>
                      <w:lang w:val="en-US" w:eastAsia="zh-CN"/>
                    </w:rPr>
                    <w:t>2</w:t>
                  </w:r>
                </w:p>
              </w:tc>
              <w:tc>
                <w:tcPr>
                  <w:tcW w:w="1188" w:type="pct"/>
                  <w:gridSpan w:val="3"/>
                  <w:shd w:val="clear" w:color="auto" w:fill="auto"/>
                  <w:vAlign w:val="center"/>
                </w:tcPr>
                <w:p w14:paraId="43BBF34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4.046</w:t>
                  </w:r>
                </w:p>
              </w:tc>
            </w:tr>
            <w:tr w14:paraId="1D38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vAlign w:val="center"/>
                </w:tcPr>
                <w:p w14:paraId="56AC999C">
                  <w:pPr>
                    <w:pStyle w:val="29"/>
                    <w:rPr>
                      <w:rFonts w:hint="default"/>
                      <w:color w:val="auto"/>
                    </w:rPr>
                  </w:pPr>
                </w:p>
              </w:tc>
              <w:tc>
                <w:tcPr>
                  <w:tcW w:w="1502" w:type="pct"/>
                  <w:gridSpan w:val="4"/>
                  <w:vMerge w:val="continue"/>
                  <w:vAlign w:val="center"/>
                </w:tcPr>
                <w:p w14:paraId="5A1F2CC0">
                  <w:pPr>
                    <w:pStyle w:val="29"/>
                    <w:rPr>
                      <w:color w:val="auto"/>
                    </w:rPr>
                  </w:pPr>
                </w:p>
              </w:tc>
              <w:tc>
                <w:tcPr>
                  <w:tcW w:w="1846" w:type="pct"/>
                  <w:gridSpan w:val="6"/>
                  <w:shd w:val="clear" w:color="auto" w:fill="auto"/>
                  <w:vAlign w:val="center"/>
                </w:tcPr>
                <w:p w14:paraId="493538B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NMHC</w:t>
                  </w:r>
                </w:p>
              </w:tc>
              <w:tc>
                <w:tcPr>
                  <w:tcW w:w="1188" w:type="pct"/>
                  <w:gridSpan w:val="3"/>
                  <w:shd w:val="clear" w:color="auto" w:fill="auto"/>
                  <w:vAlign w:val="center"/>
                </w:tcPr>
                <w:p w14:paraId="04044A1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0.028</w:t>
                  </w:r>
                </w:p>
              </w:tc>
            </w:tr>
            <w:tr w14:paraId="7F9DA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tcPr>
                <w:p w14:paraId="49687488">
                  <w:pPr>
                    <w:pStyle w:val="29"/>
                    <w:rPr>
                      <w:rFonts w:hint="default"/>
                      <w:color w:val="auto"/>
                    </w:rPr>
                  </w:pPr>
                </w:p>
              </w:tc>
              <w:tc>
                <w:tcPr>
                  <w:tcW w:w="1502" w:type="pct"/>
                  <w:gridSpan w:val="4"/>
                  <w:vMerge w:val="continue"/>
                </w:tcPr>
                <w:p w14:paraId="2DF5408A">
                  <w:pPr>
                    <w:pStyle w:val="29"/>
                    <w:rPr>
                      <w:color w:val="auto"/>
                    </w:rPr>
                  </w:pPr>
                </w:p>
              </w:tc>
              <w:tc>
                <w:tcPr>
                  <w:tcW w:w="0" w:type="auto"/>
                  <w:gridSpan w:val="6"/>
                  <w:shd w:val="clear" w:color="auto" w:fill="auto"/>
                  <w:vAlign w:val="center"/>
                </w:tcPr>
                <w:p w14:paraId="4D2D9C5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恶臭</w:t>
                  </w:r>
                </w:p>
              </w:tc>
              <w:tc>
                <w:tcPr>
                  <w:tcW w:w="0" w:type="auto"/>
                  <w:gridSpan w:val="3"/>
                  <w:shd w:val="clear" w:color="auto" w:fill="auto"/>
                  <w:vAlign w:val="center"/>
                </w:tcPr>
                <w:p w14:paraId="1A153071">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r>
            <w:tr w14:paraId="3E48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tcPr>
                <w:p w14:paraId="378E953F">
                  <w:pPr>
                    <w:pStyle w:val="29"/>
                    <w:rPr>
                      <w:rFonts w:hint="default"/>
                      <w:color w:val="auto"/>
                    </w:rPr>
                  </w:pPr>
                </w:p>
              </w:tc>
              <w:tc>
                <w:tcPr>
                  <w:tcW w:w="1502" w:type="pct"/>
                  <w:gridSpan w:val="4"/>
                  <w:vMerge w:val="continue"/>
                </w:tcPr>
                <w:p w14:paraId="33BF4841">
                  <w:pPr>
                    <w:pStyle w:val="29"/>
                    <w:rPr>
                      <w:color w:val="auto"/>
                    </w:rPr>
                  </w:pPr>
                </w:p>
              </w:tc>
              <w:tc>
                <w:tcPr>
                  <w:tcW w:w="0" w:type="auto"/>
                  <w:gridSpan w:val="6"/>
                  <w:shd w:val="clear" w:color="auto" w:fill="auto"/>
                  <w:vAlign w:val="center"/>
                </w:tcPr>
                <w:p w14:paraId="3F2A63F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0"/>
                      <w:sz w:val="21"/>
                      <w:szCs w:val="21"/>
                      <w:highlight w:val="none"/>
                      <w:lang w:val="en-US" w:eastAsia="zh-CN" w:bidi="ar"/>
                    </w:rPr>
                    <w:t>NH</w:t>
                  </w:r>
                  <w:r>
                    <w:rPr>
                      <w:rFonts w:hint="default" w:ascii="Times New Roman" w:hAnsi="Times New Roman" w:eastAsia="宋体" w:cs="Times New Roman"/>
                      <w:b w:val="0"/>
                      <w:color w:val="auto"/>
                      <w:kern w:val="0"/>
                      <w:sz w:val="21"/>
                      <w:szCs w:val="21"/>
                      <w:highlight w:val="none"/>
                      <w:vertAlign w:val="subscript"/>
                      <w:lang w:val="en-US" w:eastAsia="zh-CN" w:bidi="ar"/>
                    </w:rPr>
                    <w:t>3</w:t>
                  </w:r>
                </w:p>
              </w:tc>
              <w:tc>
                <w:tcPr>
                  <w:tcW w:w="1188" w:type="pct"/>
                  <w:gridSpan w:val="3"/>
                  <w:shd w:val="clear" w:color="auto" w:fill="auto"/>
                  <w:vAlign w:val="center"/>
                </w:tcPr>
                <w:p w14:paraId="4932168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0.016</w:t>
                  </w:r>
                </w:p>
              </w:tc>
            </w:tr>
            <w:tr w14:paraId="3C98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tcPr>
                <w:p w14:paraId="45BD2AE2">
                  <w:pPr>
                    <w:pStyle w:val="29"/>
                    <w:rPr>
                      <w:rFonts w:hint="default"/>
                      <w:color w:val="auto"/>
                    </w:rPr>
                  </w:pPr>
                </w:p>
              </w:tc>
              <w:tc>
                <w:tcPr>
                  <w:tcW w:w="1502" w:type="pct"/>
                  <w:gridSpan w:val="4"/>
                  <w:vMerge w:val="continue"/>
                </w:tcPr>
                <w:p w14:paraId="17A0A124">
                  <w:pPr>
                    <w:pStyle w:val="29"/>
                    <w:rPr>
                      <w:color w:val="auto"/>
                    </w:rPr>
                  </w:pPr>
                </w:p>
              </w:tc>
              <w:tc>
                <w:tcPr>
                  <w:tcW w:w="0" w:type="auto"/>
                  <w:gridSpan w:val="6"/>
                  <w:shd w:val="clear" w:color="auto" w:fill="auto"/>
                  <w:vAlign w:val="center"/>
                </w:tcPr>
                <w:p w14:paraId="29FA0A4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0"/>
                      <w:sz w:val="21"/>
                      <w:szCs w:val="21"/>
                      <w:highlight w:val="none"/>
                      <w:lang w:val="en-US" w:eastAsia="zh-CN" w:bidi="ar"/>
                    </w:rPr>
                    <w:t>H</w:t>
                  </w:r>
                  <w:r>
                    <w:rPr>
                      <w:rFonts w:hint="default" w:ascii="Times New Roman" w:hAnsi="Times New Roman" w:eastAsia="宋体" w:cs="Times New Roman"/>
                      <w:b w:val="0"/>
                      <w:color w:val="auto"/>
                      <w:kern w:val="0"/>
                      <w:sz w:val="21"/>
                      <w:szCs w:val="21"/>
                      <w:highlight w:val="none"/>
                      <w:vertAlign w:val="subscript"/>
                      <w:lang w:val="en-US" w:eastAsia="zh-CN" w:bidi="ar"/>
                    </w:rPr>
                    <w:t>2</w:t>
                  </w:r>
                  <w:r>
                    <w:rPr>
                      <w:rFonts w:hint="default" w:ascii="Times New Roman" w:hAnsi="Times New Roman" w:eastAsia="宋体" w:cs="Times New Roman"/>
                      <w:b w:val="0"/>
                      <w:color w:val="auto"/>
                      <w:kern w:val="0"/>
                      <w:sz w:val="21"/>
                      <w:szCs w:val="21"/>
                      <w:highlight w:val="none"/>
                      <w:lang w:val="en-US" w:eastAsia="zh-CN" w:bidi="ar"/>
                    </w:rPr>
                    <w:t>S</w:t>
                  </w:r>
                </w:p>
              </w:tc>
              <w:tc>
                <w:tcPr>
                  <w:tcW w:w="1188" w:type="pct"/>
                  <w:gridSpan w:val="3"/>
                  <w:shd w:val="clear" w:color="auto" w:fill="auto"/>
                  <w:vAlign w:val="center"/>
                </w:tcPr>
                <w:p w14:paraId="10C1A5C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0.0006</w:t>
                  </w:r>
                </w:p>
              </w:tc>
            </w:tr>
            <w:tr w14:paraId="0572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gridSpan w:val="2"/>
                  <w:vMerge w:val="continue"/>
                </w:tcPr>
                <w:p w14:paraId="428C126A">
                  <w:pPr>
                    <w:pStyle w:val="29"/>
                    <w:rPr>
                      <w:rFonts w:hint="default"/>
                      <w:color w:val="auto"/>
                    </w:rPr>
                  </w:pPr>
                </w:p>
              </w:tc>
              <w:tc>
                <w:tcPr>
                  <w:tcW w:w="1502" w:type="pct"/>
                  <w:gridSpan w:val="4"/>
                  <w:vMerge w:val="continue"/>
                </w:tcPr>
                <w:p w14:paraId="40FD330A">
                  <w:pPr>
                    <w:pStyle w:val="29"/>
                    <w:rPr>
                      <w:color w:val="auto"/>
                    </w:rPr>
                  </w:pPr>
                </w:p>
              </w:tc>
              <w:tc>
                <w:tcPr>
                  <w:tcW w:w="0" w:type="auto"/>
                  <w:gridSpan w:val="6"/>
                  <w:shd w:val="clear" w:color="auto" w:fill="auto"/>
                  <w:vAlign w:val="center"/>
                </w:tcPr>
                <w:p w14:paraId="36EE1415">
                  <w:pPr>
                    <w:pStyle w:val="29"/>
                    <w:ind w:firstLine="0" w:firstLineChars="0"/>
                    <w:rPr>
                      <w:rFonts w:hint="default" w:ascii="Times New Roman" w:hAnsi="Times New Roman" w:eastAsia="宋体" w:cs="Times New Roman"/>
                      <w:b w:val="0"/>
                      <w:color w:val="auto"/>
                      <w:kern w:val="0"/>
                      <w:sz w:val="21"/>
                      <w:szCs w:val="21"/>
                      <w:highlight w:val="none"/>
                      <w:lang w:val="en-US" w:eastAsia="zh-CN" w:bidi="ar"/>
                    </w:rPr>
                  </w:pPr>
                  <w:r>
                    <w:rPr>
                      <w:rFonts w:hint="eastAsia" w:cs="Times New Roman"/>
                      <w:b w:val="0"/>
                      <w:color w:val="auto"/>
                      <w:kern w:val="0"/>
                      <w:sz w:val="21"/>
                      <w:szCs w:val="21"/>
                      <w:highlight w:val="none"/>
                      <w:lang w:val="en-US" w:eastAsia="zh-CN" w:bidi="ar"/>
                    </w:rPr>
                    <w:t>氟氯烃</w:t>
                  </w:r>
                </w:p>
              </w:tc>
              <w:tc>
                <w:tcPr>
                  <w:tcW w:w="1188" w:type="pct"/>
                  <w:gridSpan w:val="3"/>
                  <w:shd w:val="clear" w:color="auto" w:fill="auto"/>
                  <w:vAlign w:val="center"/>
                </w:tcPr>
                <w:p w14:paraId="1C89B7D6">
                  <w:pPr>
                    <w:pStyle w:val="29"/>
                    <w:bidi w:val="0"/>
                    <w:ind w:firstLine="0" w:firstLineChars="0"/>
                    <w:rPr>
                      <w:rFonts w:hint="default"/>
                      <w:color w:val="auto"/>
                      <w:lang w:val="en-US" w:eastAsia="zh-CN"/>
                    </w:rPr>
                  </w:pPr>
                  <w:r>
                    <w:rPr>
                      <w:rFonts w:hint="eastAsia"/>
                      <w:color w:val="auto"/>
                      <w:lang w:val="en-US" w:eastAsia="zh-CN"/>
                    </w:rPr>
                    <w:t>0.03</w:t>
                  </w:r>
                </w:p>
              </w:tc>
            </w:tr>
          </w:tbl>
          <w:p w14:paraId="6BE01CFD">
            <w:pPr>
              <w:ind w:firstLine="0" w:firstLineChars="0"/>
              <w:rPr>
                <w:color w:val="auto"/>
              </w:rPr>
            </w:pPr>
          </w:p>
        </w:tc>
      </w:tr>
    </w:tbl>
    <w:p w14:paraId="52615DAA">
      <w:pPr>
        <w:pStyle w:val="43"/>
        <w:ind w:left="0" w:leftChars="0" w:firstLine="0" w:firstLineChars="0"/>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6"/>
      </w:tblGrid>
      <w:tr w14:paraId="75DE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2" w:hRule="atLeast"/>
        </w:trPr>
        <w:tc>
          <w:tcPr>
            <w:tcW w:w="412" w:type="dxa"/>
            <w:vAlign w:val="center"/>
          </w:tcPr>
          <w:p w14:paraId="5DCC92C9">
            <w:pPr>
              <w:ind w:firstLine="0" w:firstLineChars="0"/>
              <w:jc w:val="center"/>
              <w:rPr>
                <w:color w:val="auto"/>
              </w:rPr>
            </w:pPr>
            <w:r>
              <w:rPr>
                <w:rFonts w:hint="eastAsia"/>
                <w:color w:val="auto"/>
              </w:rPr>
              <w:t>运营期环境影响和保护措施</w:t>
            </w:r>
          </w:p>
        </w:tc>
        <w:tc>
          <w:tcPr>
            <w:tcW w:w="8110" w:type="dxa"/>
          </w:tcPr>
          <w:p w14:paraId="77059072">
            <w:pPr>
              <w:ind w:firstLine="482"/>
              <w:rPr>
                <w:rFonts w:hint="eastAsia"/>
                <w:b/>
                <w:bCs/>
                <w:color w:val="auto"/>
                <w:lang w:eastAsia="zh-CN"/>
              </w:rPr>
            </w:pPr>
            <w:r>
              <w:rPr>
                <w:rFonts w:hint="eastAsia"/>
                <w:b/>
                <w:bCs/>
                <w:color w:val="auto"/>
              </w:rPr>
              <w:t>（</w:t>
            </w:r>
            <w:r>
              <w:rPr>
                <w:rFonts w:hint="eastAsia"/>
                <w:b/>
                <w:bCs/>
                <w:color w:val="auto"/>
                <w:lang w:eastAsia="zh-CN"/>
              </w:rPr>
              <w:t>二</w:t>
            </w:r>
            <w:r>
              <w:rPr>
                <w:rFonts w:hint="eastAsia"/>
                <w:b/>
                <w:bCs/>
                <w:color w:val="auto"/>
              </w:rPr>
              <w:t>）</w:t>
            </w:r>
            <w:r>
              <w:rPr>
                <w:rFonts w:hint="eastAsia"/>
                <w:b/>
                <w:bCs/>
                <w:color w:val="auto"/>
                <w:lang w:eastAsia="zh-CN"/>
              </w:rPr>
              <w:t>主要污染工序及源强分析</w:t>
            </w:r>
          </w:p>
          <w:p w14:paraId="45E9B487">
            <w:pPr>
              <w:keepNext w:val="0"/>
              <w:keepLines w:val="0"/>
              <w:widowControl/>
              <w:suppressLineNumbers w:val="0"/>
              <w:jc w:val="left"/>
              <w:rPr>
                <w:rFonts w:hint="eastAsia"/>
                <w:color w:val="auto"/>
                <w:lang w:eastAsia="zh-CN"/>
              </w:rPr>
            </w:pPr>
            <w:r>
              <w:rPr>
                <w:rFonts w:hint="eastAsia"/>
                <w:color w:val="auto"/>
                <w:lang w:eastAsia="zh-CN"/>
              </w:rPr>
              <w:t>根据项目特性识别，本项目废气污染物主要</w:t>
            </w:r>
            <w:r>
              <w:rPr>
                <w:rFonts w:hint="eastAsia"/>
                <w:color w:val="auto"/>
                <w:lang w:val="en-US" w:eastAsia="zh-CN"/>
              </w:rPr>
              <w:t>是破碎粉尘、锅炉</w:t>
            </w:r>
            <w:r>
              <w:rPr>
                <w:rFonts w:hint="eastAsia"/>
                <w:color w:val="auto"/>
                <w:lang w:eastAsia="zh-CN"/>
              </w:rPr>
              <w:t>燃烧废气、发酵废气、</w:t>
            </w:r>
            <w:r>
              <w:rPr>
                <w:rFonts w:hint="eastAsia"/>
                <w:color w:val="auto"/>
                <w:lang w:val="en-US" w:eastAsia="zh-CN"/>
              </w:rPr>
              <w:t>固废暂存废气、污水处理恶臭和车辆运输扬尘</w:t>
            </w:r>
            <w:r>
              <w:rPr>
                <w:rFonts w:hint="eastAsia"/>
                <w:color w:val="auto"/>
                <w:lang w:eastAsia="zh-CN"/>
              </w:rPr>
              <w:t>等。</w:t>
            </w:r>
          </w:p>
          <w:p w14:paraId="63C2EA64">
            <w:pPr>
              <w:pStyle w:val="13"/>
              <w:rPr>
                <w:rFonts w:hint="eastAsia"/>
                <w:b/>
                <w:bCs/>
                <w:color w:val="auto"/>
                <w:lang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）废气产排情况核算</w:t>
            </w:r>
          </w:p>
          <w:p w14:paraId="6698468F">
            <w:pPr>
              <w:rPr>
                <w:rFonts w:hint="eastAsia"/>
                <w:b/>
                <w:bCs/>
                <w:color w:val="auto"/>
                <w:lang w:val="en-US" w:eastAsia="zh-CN"/>
              </w:rPr>
            </w:pPr>
            <w:r>
              <w:rPr>
                <w:rFonts w:hint="eastAsia"/>
                <w:b/>
                <w:bCs/>
                <w:color w:val="auto"/>
                <w:lang w:val="en-US" w:eastAsia="zh-CN"/>
              </w:rPr>
              <w:t>1）有组织废气</w:t>
            </w:r>
          </w:p>
          <w:p w14:paraId="54FEA47B">
            <w:pPr>
              <w:bidi w:val="0"/>
              <w:rPr>
                <w:rFonts w:hint="default"/>
                <w:b/>
                <w:bCs/>
                <w:color w:val="auto"/>
                <w:lang w:val="en-US" w:eastAsia="zh-CN"/>
              </w:rPr>
            </w:pPr>
            <w:r>
              <w:rPr>
                <w:rFonts w:hint="eastAsia"/>
                <w:b/>
                <w:bCs/>
                <w:color w:val="auto"/>
                <w:lang w:val="en-US" w:eastAsia="zh-CN"/>
              </w:rPr>
              <w:t>①锅炉燃烧废气</w:t>
            </w:r>
          </w:p>
          <w:p w14:paraId="7A795294">
            <w:pPr>
              <w:bidi w:val="0"/>
              <w:rPr>
                <w:rFonts w:hint="eastAsia"/>
                <w:b w:val="0"/>
                <w:bCs w:val="0"/>
                <w:color w:val="auto"/>
                <w:lang w:val="en-US" w:eastAsia="zh-CN"/>
              </w:rPr>
            </w:pPr>
            <w:r>
              <w:rPr>
                <w:rFonts w:hint="eastAsia"/>
                <w:b w:val="0"/>
                <w:bCs w:val="0"/>
                <w:color w:val="auto"/>
                <w:lang w:val="en-US" w:eastAsia="zh-CN"/>
              </w:rPr>
              <w:t>项目设置2台（一备一用）0.5t/h的燃气锅炉供热。锅炉以天然气为燃料，根据0.5t/h燃气锅炉每小时平均耗气在40Nm³/h‌，全年共生产2400h，则项目锅炉全年消耗天然气燃料96000Nm³，‌产生的大气污染物主要为二氧化硫、氮氧化物。</w:t>
            </w:r>
          </w:p>
          <w:p w14:paraId="5B406F96">
            <w:pPr>
              <w:bidi w:val="0"/>
              <w:rPr>
                <w:rFonts w:hint="eastAsia"/>
                <w:b w:val="0"/>
                <w:bCs w:val="0"/>
                <w:color w:val="auto"/>
                <w:lang w:val="en-US" w:eastAsia="zh-CN"/>
              </w:rPr>
            </w:pPr>
            <w:r>
              <w:rPr>
                <w:rFonts w:hint="eastAsia"/>
                <w:b w:val="0"/>
                <w:bCs w:val="0"/>
                <w:color w:val="auto"/>
                <w:lang w:val="en-US" w:eastAsia="zh-CN"/>
              </w:rPr>
              <w:t>根据《排放源统计调查产排污核算方法和系数手册》（公告2021年第24号）中4430工业锅炉（热力生产和供应行业）-燃气工业锅炉-室燃炉的产污系数，其中颗粒物产污系数参考《环境保护实用数据手册》中天然气燃烧过程中烟尘的产污系数为0.8kg/万m</w:t>
            </w:r>
            <w:r>
              <w:rPr>
                <w:rFonts w:hint="eastAsia"/>
                <w:b w:val="0"/>
                <w:bCs w:val="0"/>
                <w:color w:val="auto"/>
                <w:vertAlign w:val="superscript"/>
                <w:lang w:val="en-US" w:eastAsia="zh-CN"/>
              </w:rPr>
              <w:t>3</w:t>
            </w:r>
            <w:r>
              <w:rPr>
                <w:rFonts w:hint="eastAsia"/>
                <w:b w:val="0"/>
                <w:bCs w:val="0"/>
                <w:color w:val="auto"/>
                <w:lang w:val="en-US" w:eastAsia="zh-CN"/>
              </w:rPr>
              <w:t>-燃料，则各污染物的产污系数如下表。</w:t>
            </w:r>
          </w:p>
          <w:p w14:paraId="539AFC98">
            <w:pPr>
              <w:pStyle w:val="30"/>
              <w:bidi w:val="0"/>
              <w:rPr>
                <w:rFonts w:hint="default"/>
                <w:color w:val="auto"/>
                <w:lang w:val="en-US" w:eastAsia="zh-CN"/>
              </w:rPr>
            </w:pPr>
            <w:r>
              <w:rPr>
                <w:rFonts w:hint="eastAsia"/>
                <w:color w:val="auto"/>
                <w:lang w:val="en-US" w:eastAsia="zh-CN"/>
              </w:rPr>
              <w:t>表4-2  燃气锅炉产排污系数表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730"/>
              <w:gridCol w:w="780"/>
              <w:gridCol w:w="670"/>
              <w:gridCol w:w="1530"/>
              <w:gridCol w:w="1862"/>
              <w:gridCol w:w="1149"/>
            </w:tblGrid>
            <w:tr w14:paraId="431A1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vAlign w:val="center"/>
                </w:tcPr>
                <w:p w14:paraId="2A08C4CB">
                  <w:pPr>
                    <w:pStyle w:val="29"/>
                    <w:bidi w:val="0"/>
                    <w:rPr>
                      <w:rFonts w:hint="default"/>
                      <w:color w:val="auto"/>
                      <w:lang w:val="en-US" w:eastAsia="zh-CN"/>
                    </w:rPr>
                  </w:pPr>
                  <w:r>
                    <w:rPr>
                      <w:rFonts w:hint="eastAsia"/>
                      <w:color w:val="auto"/>
                      <w:lang w:val="en-US" w:eastAsia="zh-CN"/>
                    </w:rPr>
                    <w:t>产品名称</w:t>
                  </w:r>
                </w:p>
              </w:tc>
              <w:tc>
                <w:tcPr>
                  <w:tcW w:w="730" w:type="dxa"/>
                  <w:vAlign w:val="center"/>
                </w:tcPr>
                <w:p w14:paraId="270E0869">
                  <w:pPr>
                    <w:pStyle w:val="29"/>
                    <w:bidi w:val="0"/>
                    <w:rPr>
                      <w:rFonts w:hint="default"/>
                      <w:color w:val="auto"/>
                      <w:lang w:val="en-US" w:eastAsia="zh-CN"/>
                    </w:rPr>
                  </w:pPr>
                  <w:r>
                    <w:rPr>
                      <w:rFonts w:hint="eastAsia"/>
                      <w:color w:val="auto"/>
                      <w:lang w:val="en-US" w:eastAsia="zh-CN"/>
                    </w:rPr>
                    <w:t>原料名称</w:t>
                  </w:r>
                </w:p>
              </w:tc>
              <w:tc>
                <w:tcPr>
                  <w:tcW w:w="780" w:type="dxa"/>
                  <w:vAlign w:val="center"/>
                </w:tcPr>
                <w:p w14:paraId="2D1E4F8B">
                  <w:pPr>
                    <w:pStyle w:val="29"/>
                    <w:bidi w:val="0"/>
                    <w:rPr>
                      <w:rFonts w:hint="default"/>
                      <w:color w:val="auto"/>
                      <w:lang w:val="en-US" w:eastAsia="zh-CN"/>
                    </w:rPr>
                  </w:pPr>
                  <w:r>
                    <w:rPr>
                      <w:rFonts w:hint="eastAsia"/>
                      <w:color w:val="auto"/>
                      <w:lang w:val="en-US" w:eastAsia="zh-CN"/>
                    </w:rPr>
                    <w:t>工艺名称</w:t>
                  </w:r>
                </w:p>
              </w:tc>
              <w:tc>
                <w:tcPr>
                  <w:tcW w:w="670" w:type="dxa"/>
                  <w:vAlign w:val="center"/>
                </w:tcPr>
                <w:p w14:paraId="40FA25D7">
                  <w:pPr>
                    <w:pStyle w:val="29"/>
                    <w:bidi w:val="0"/>
                    <w:rPr>
                      <w:rFonts w:hint="default"/>
                      <w:color w:val="auto"/>
                      <w:lang w:val="en-US" w:eastAsia="zh-CN"/>
                    </w:rPr>
                  </w:pPr>
                  <w:r>
                    <w:rPr>
                      <w:rFonts w:hint="eastAsia"/>
                      <w:color w:val="auto"/>
                      <w:lang w:val="en-US" w:eastAsia="zh-CN"/>
                    </w:rPr>
                    <w:t>规模等级</w:t>
                  </w:r>
                </w:p>
              </w:tc>
              <w:tc>
                <w:tcPr>
                  <w:tcW w:w="1530" w:type="dxa"/>
                  <w:vAlign w:val="center"/>
                </w:tcPr>
                <w:p w14:paraId="0FDA85F3">
                  <w:pPr>
                    <w:pStyle w:val="29"/>
                    <w:bidi w:val="0"/>
                    <w:rPr>
                      <w:rFonts w:hint="default"/>
                      <w:color w:val="auto"/>
                      <w:lang w:val="en-US" w:eastAsia="zh-CN"/>
                    </w:rPr>
                  </w:pPr>
                  <w:r>
                    <w:rPr>
                      <w:rFonts w:hint="eastAsia"/>
                      <w:color w:val="auto"/>
                      <w:lang w:val="en-US" w:eastAsia="zh-CN"/>
                    </w:rPr>
                    <w:t>污染物指标</w:t>
                  </w:r>
                </w:p>
              </w:tc>
              <w:tc>
                <w:tcPr>
                  <w:tcW w:w="1862" w:type="dxa"/>
                  <w:vAlign w:val="center"/>
                </w:tcPr>
                <w:p w14:paraId="10C75062">
                  <w:pPr>
                    <w:pStyle w:val="29"/>
                    <w:bidi w:val="0"/>
                    <w:rPr>
                      <w:rFonts w:hint="default"/>
                      <w:color w:val="auto"/>
                      <w:lang w:val="en-US" w:eastAsia="zh-CN"/>
                    </w:rPr>
                  </w:pPr>
                  <w:r>
                    <w:rPr>
                      <w:rFonts w:hint="eastAsia"/>
                      <w:color w:val="auto"/>
                      <w:lang w:val="en-US" w:eastAsia="zh-CN"/>
                    </w:rPr>
                    <w:t>单位</w:t>
                  </w:r>
                </w:p>
              </w:tc>
              <w:tc>
                <w:tcPr>
                  <w:tcW w:w="1149" w:type="dxa"/>
                  <w:vAlign w:val="center"/>
                </w:tcPr>
                <w:p w14:paraId="4D36A659">
                  <w:pPr>
                    <w:pStyle w:val="29"/>
                    <w:bidi w:val="0"/>
                    <w:rPr>
                      <w:rFonts w:hint="default"/>
                      <w:color w:val="auto"/>
                      <w:lang w:val="en-US" w:eastAsia="zh-CN"/>
                    </w:rPr>
                  </w:pPr>
                  <w:r>
                    <w:rPr>
                      <w:rFonts w:hint="eastAsia"/>
                      <w:color w:val="auto"/>
                      <w:lang w:val="en-US" w:eastAsia="zh-CN"/>
                    </w:rPr>
                    <w:t>产污系数</w:t>
                  </w:r>
                </w:p>
              </w:tc>
            </w:tr>
            <w:tr w14:paraId="3D2C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vMerge w:val="restart"/>
                  <w:vAlign w:val="center"/>
                </w:tcPr>
                <w:p w14:paraId="189D04C9">
                  <w:pPr>
                    <w:pStyle w:val="29"/>
                    <w:bidi w:val="0"/>
                    <w:rPr>
                      <w:rFonts w:hint="eastAsia"/>
                      <w:color w:val="auto"/>
                      <w:lang w:val="en-US" w:eastAsia="zh-CN"/>
                    </w:rPr>
                  </w:pPr>
                  <w:r>
                    <w:rPr>
                      <w:rFonts w:hint="eastAsia"/>
                      <w:color w:val="auto"/>
                      <w:lang w:val="en-US" w:eastAsia="zh-CN"/>
                    </w:rPr>
                    <w:t>蒸汽/热</w:t>
                  </w:r>
                </w:p>
                <w:p w14:paraId="7B14549C">
                  <w:pPr>
                    <w:pStyle w:val="29"/>
                    <w:bidi w:val="0"/>
                    <w:rPr>
                      <w:rFonts w:hint="eastAsia"/>
                      <w:color w:val="auto"/>
                      <w:lang w:val="en-US" w:eastAsia="zh-CN"/>
                    </w:rPr>
                  </w:pPr>
                  <w:r>
                    <w:rPr>
                      <w:rFonts w:hint="eastAsia"/>
                      <w:color w:val="auto"/>
                      <w:lang w:val="en-US" w:eastAsia="zh-CN"/>
                    </w:rPr>
                    <w:t>水/其他</w:t>
                  </w:r>
                </w:p>
              </w:tc>
              <w:tc>
                <w:tcPr>
                  <w:tcW w:w="730" w:type="dxa"/>
                  <w:vMerge w:val="restart"/>
                  <w:vAlign w:val="center"/>
                </w:tcPr>
                <w:p w14:paraId="5CD15626">
                  <w:pPr>
                    <w:pStyle w:val="29"/>
                    <w:bidi w:val="0"/>
                    <w:rPr>
                      <w:rFonts w:hint="default"/>
                      <w:color w:val="auto"/>
                      <w:lang w:val="en-US" w:eastAsia="zh-CN"/>
                    </w:rPr>
                  </w:pPr>
                  <w:r>
                    <w:rPr>
                      <w:rFonts w:hint="eastAsia"/>
                      <w:color w:val="auto"/>
                      <w:lang w:val="en-US" w:eastAsia="zh-CN"/>
                    </w:rPr>
                    <w:t>天然气</w:t>
                  </w:r>
                </w:p>
              </w:tc>
              <w:tc>
                <w:tcPr>
                  <w:tcW w:w="780" w:type="dxa"/>
                  <w:vMerge w:val="restart"/>
                  <w:vAlign w:val="center"/>
                </w:tcPr>
                <w:p w14:paraId="6A670469">
                  <w:pPr>
                    <w:pStyle w:val="29"/>
                    <w:bidi w:val="0"/>
                    <w:rPr>
                      <w:rFonts w:hint="default"/>
                      <w:color w:val="auto"/>
                      <w:lang w:val="en-US" w:eastAsia="zh-CN"/>
                    </w:rPr>
                  </w:pPr>
                  <w:r>
                    <w:rPr>
                      <w:rFonts w:hint="eastAsia"/>
                      <w:color w:val="auto"/>
                      <w:lang w:val="en-US" w:eastAsia="zh-CN"/>
                    </w:rPr>
                    <w:t>室燃炉</w:t>
                  </w:r>
                </w:p>
              </w:tc>
              <w:tc>
                <w:tcPr>
                  <w:tcW w:w="670" w:type="dxa"/>
                  <w:vMerge w:val="restart"/>
                  <w:vAlign w:val="center"/>
                </w:tcPr>
                <w:p w14:paraId="0BAC5BD0">
                  <w:pPr>
                    <w:pStyle w:val="29"/>
                    <w:bidi w:val="0"/>
                    <w:rPr>
                      <w:rFonts w:hint="eastAsia"/>
                      <w:color w:val="auto"/>
                      <w:lang w:val="en-US" w:eastAsia="zh-CN"/>
                    </w:rPr>
                  </w:pPr>
                  <w:r>
                    <w:rPr>
                      <w:rFonts w:hint="eastAsia"/>
                      <w:color w:val="auto"/>
                      <w:lang w:val="en-US" w:eastAsia="zh-CN"/>
                    </w:rPr>
                    <w:t>所有规模</w:t>
                  </w:r>
                </w:p>
              </w:tc>
              <w:tc>
                <w:tcPr>
                  <w:tcW w:w="1530" w:type="dxa"/>
                  <w:vAlign w:val="center"/>
                </w:tcPr>
                <w:p w14:paraId="45825F45">
                  <w:pPr>
                    <w:pStyle w:val="29"/>
                    <w:bidi w:val="0"/>
                    <w:rPr>
                      <w:rFonts w:hint="default"/>
                      <w:color w:val="auto"/>
                      <w:lang w:val="en-US" w:eastAsia="zh-CN"/>
                    </w:rPr>
                  </w:pPr>
                  <w:r>
                    <w:rPr>
                      <w:rFonts w:hint="eastAsia"/>
                      <w:color w:val="auto"/>
                      <w:lang w:val="en-US" w:eastAsia="zh-CN"/>
                    </w:rPr>
                    <w:t>工业废气量</w:t>
                  </w:r>
                </w:p>
              </w:tc>
              <w:tc>
                <w:tcPr>
                  <w:tcW w:w="1862" w:type="dxa"/>
                  <w:vAlign w:val="center"/>
                </w:tcPr>
                <w:p w14:paraId="4184D638">
                  <w:pPr>
                    <w:pStyle w:val="29"/>
                    <w:bidi w:val="0"/>
                    <w:rPr>
                      <w:rFonts w:hint="eastAsia"/>
                      <w:color w:val="auto"/>
                      <w:lang w:val="en-US" w:eastAsia="zh-CN"/>
                    </w:rPr>
                  </w:pPr>
                  <w:r>
                    <w:rPr>
                      <w:rFonts w:hint="eastAsia"/>
                      <w:color w:val="auto"/>
                      <w:lang w:val="en-US" w:eastAsia="zh-CN"/>
                    </w:rPr>
                    <w:t>标立方米/万立方米-原料</w:t>
                  </w:r>
                </w:p>
              </w:tc>
              <w:tc>
                <w:tcPr>
                  <w:tcW w:w="1149" w:type="dxa"/>
                  <w:vAlign w:val="center"/>
                </w:tcPr>
                <w:p w14:paraId="6B55BC1B">
                  <w:pPr>
                    <w:pStyle w:val="29"/>
                    <w:bidi w:val="0"/>
                    <w:rPr>
                      <w:rFonts w:hint="default"/>
                      <w:color w:val="auto"/>
                      <w:lang w:val="en-US" w:eastAsia="zh-CN"/>
                    </w:rPr>
                  </w:pPr>
                  <w:r>
                    <w:rPr>
                      <w:rFonts w:hint="eastAsia"/>
                      <w:color w:val="auto"/>
                      <w:lang w:val="en-US" w:eastAsia="zh-CN"/>
                    </w:rPr>
                    <w:t>107753</w:t>
                  </w:r>
                </w:p>
              </w:tc>
            </w:tr>
            <w:tr w14:paraId="61A4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vMerge w:val="continue"/>
                  <w:vAlign w:val="center"/>
                </w:tcPr>
                <w:p w14:paraId="167885FA">
                  <w:pPr>
                    <w:pStyle w:val="29"/>
                    <w:bidi w:val="0"/>
                    <w:rPr>
                      <w:rFonts w:hint="eastAsia"/>
                      <w:color w:val="auto"/>
                      <w:lang w:val="en-US" w:eastAsia="zh-CN"/>
                    </w:rPr>
                  </w:pPr>
                </w:p>
              </w:tc>
              <w:tc>
                <w:tcPr>
                  <w:tcW w:w="730" w:type="dxa"/>
                  <w:vMerge w:val="continue"/>
                  <w:vAlign w:val="center"/>
                </w:tcPr>
                <w:p w14:paraId="45CBA326">
                  <w:pPr>
                    <w:pStyle w:val="29"/>
                    <w:bidi w:val="0"/>
                    <w:rPr>
                      <w:rFonts w:hint="eastAsia"/>
                      <w:color w:val="auto"/>
                      <w:lang w:val="en-US" w:eastAsia="zh-CN"/>
                    </w:rPr>
                  </w:pPr>
                </w:p>
              </w:tc>
              <w:tc>
                <w:tcPr>
                  <w:tcW w:w="780" w:type="dxa"/>
                  <w:vMerge w:val="continue"/>
                  <w:vAlign w:val="center"/>
                </w:tcPr>
                <w:p w14:paraId="467ADBE0">
                  <w:pPr>
                    <w:pStyle w:val="29"/>
                    <w:bidi w:val="0"/>
                    <w:rPr>
                      <w:rFonts w:hint="eastAsia"/>
                      <w:color w:val="auto"/>
                      <w:lang w:val="en-US" w:eastAsia="zh-CN"/>
                    </w:rPr>
                  </w:pPr>
                </w:p>
              </w:tc>
              <w:tc>
                <w:tcPr>
                  <w:tcW w:w="670" w:type="dxa"/>
                  <w:vMerge w:val="continue"/>
                  <w:vAlign w:val="center"/>
                </w:tcPr>
                <w:p w14:paraId="7BCC9B6E">
                  <w:pPr>
                    <w:pStyle w:val="29"/>
                    <w:bidi w:val="0"/>
                    <w:rPr>
                      <w:rFonts w:hint="eastAsia"/>
                      <w:color w:val="auto"/>
                      <w:lang w:val="en-US" w:eastAsia="zh-CN"/>
                    </w:rPr>
                  </w:pPr>
                </w:p>
              </w:tc>
              <w:tc>
                <w:tcPr>
                  <w:tcW w:w="1530" w:type="dxa"/>
                  <w:vAlign w:val="center"/>
                </w:tcPr>
                <w:p w14:paraId="1DA160EC">
                  <w:pPr>
                    <w:pStyle w:val="29"/>
                    <w:bidi w:val="0"/>
                    <w:rPr>
                      <w:rFonts w:hint="default"/>
                      <w:color w:val="auto"/>
                      <w:lang w:val="en-US" w:eastAsia="zh-CN"/>
                    </w:rPr>
                  </w:pPr>
                  <w:r>
                    <w:rPr>
                      <w:rFonts w:hint="eastAsia"/>
                      <w:color w:val="auto"/>
                      <w:lang w:val="en-US" w:eastAsia="zh-CN"/>
                    </w:rPr>
                    <w:t>颗粒物</w:t>
                  </w:r>
                </w:p>
              </w:tc>
              <w:tc>
                <w:tcPr>
                  <w:tcW w:w="1862" w:type="dxa"/>
                  <w:shd w:val="clear" w:color="auto" w:fill="auto"/>
                  <w:vAlign w:val="center"/>
                </w:tcPr>
                <w:p w14:paraId="57B1356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千克/万立方米-原料</w:t>
                  </w:r>
                </w:p>
              </w:tc>
              <w:tc>
                <w:tcPr>
                  <w:tcW w:w="1149" w:type="dxa"/>
                  <w:vAlign w:val="center"/>
                </w:tcPr>
                <w:p w14:paraId="77B7CD3E">
                  <w:pPr>
                    <w:pStyle w:val="29"/>
                    <w:bidi w:val="0"/>
                    <w:rPr>
                      <w:rFonts w:hint="default"/>
                      <w:color w:val="auto"/>
                      <w:lang w:val="en-US" w:eastAsia="zh-CN"/>
                    </w:rPr>
                  </w:pPr>
                  <w:r>
                    <w:rPr>
                      <w:rFonts w:hint="eastAsia"/>
                      <w:color w:val="auto"/>
                      <w:lang w:val="en-US" w:eastAsia="zh-CN"/>
                    </w:rPr>
                    <w:t>0.8</w:t>
                  </w:r>
                </w:p>
              </w:tc>
            </w:tr>
            <w:tr w14:paraId="31280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vMerge w:val="continue"/>
                  <w:vAlign w:val="center"/>
                </w:tcPr>
                <w:p w14:paraId="5949E77F">
                  <w:pPr>
                    <w:pStyle w:val="29"/>
                    <w:bidi w:val="0"/>
                    <w:rPr>
                      <w:rFonts w:hint="eastAsia"/>
                      <w:color w:val="auto"/>
                      <w:lang w:val="en-US" w:eastAsia="zh-CN"/>
                    </w:rPr>
                  </w:pPr>
                </w:p>
              </w:tc>
              <w:tc>
                <w:tcPr>
                  <w:tcW w:w="730" w:type="dxa"/>
                  <w:vMerge w:val="continue"/>
                  <w:vAlign w:val="center"/>
                </w:tcPr>
                <w:p w14:paraId="7BA6DBB0">
                  <w:pPr>
                    <w:pStyle w:val="29"/>
                    <w:bidi w:val="0"/>
                    <w:rPr>
                      <w:rFonts w:hint="eastAsia"/>
                      <w:color w:val="auto"/>
                      <w:lang w:val="en-US" w:eastAsia="zh-CN"/>
                    </w:rPr>
                  </w:pPr>
                </w:p>
              </w:tc>
              <w:tc>
                <w:tcPr>
                  <w:tcW w:w="780" w:type="dxa"/>
                  <w:vMerge w:val="continue"/>
                  <w:vAlign w:val="center"/>
                </w:tcPr>
                <w:p w14:paraId="7958BBCE">
                  <w:pPr>
                    <w:pStyle w:val="29"/>
                    <w:bidi w:val="0"/>
                    <w:rPr>
                      <w:rFonts w:hint="eastAsia"/>
                      <w:color w:val="auto"/>
                      <w:lang w:val="en-US" w:eastAsia="zh-CN"/>
                    </w:rPr>
                  </w:pPr>
                </w:p>
              </w:tc>
              <w:tc>
                <w:tcPr>
                  <w:tcW w:w="670" w:type="dxa"/>
                  <w:vMerge w:val="continue"/>
                  <w:vAlign w:val="center"/>
                </w:tcPr>
                <w:p w14:paraId="6DBAC420">
                  <w:pPr>
                    <w:pStyle w:val="29"/>
                    <w:bidi w:val="0"/>
                    <w:rPr>
                      <w:rFonts w:hint="eastAsia"/>
                      <w:color w:val="auto"/>
                      <w:lang w:val="en-US" w:eastAsia="zh-CN"/>
                    </w:rPr>
                  </w:pPr>
                </w:p>
              </w:tc>
              <w:tc>
                <w:tcPr>
                  <w:tcW w:w="1530" w:type="dxa"/>
                  <w:vAlign w:val="center"/>
                </w:tcPr>
                <w:p w14:paraId="385EC0F7">
                  <w:pPr>
                    <w:pStyle w:val="29"/>
                    <w:bidi w:val="0"/>
                    <w:rPr>
                      <w:rFonts w:hint="eastAsia"/>
                      <w:color w:val="auto"/>
                      <w:lang w:val="en-US" w:eastAsia="zh-CN"/>
                    </w:rPr>
                  </w:pPr>
                  <w:r>
                    <w:rPr>
                      <w:rFonts w:hint="eastAsia"/>
                      <w:color w:val="auto"/>
                      <w:lang w:val="en-US" w:eastAsia="zh-CN"/>
                    </w:rPr>
                    <w:t>SO</w:t>
                  </w:r>
                  <w:r>
                    <w:rPr>
                      <w:rFonts w:hint="eastAsia"/>
                      <w:color w:val="auto"/>
                      <w:vertAlign w:val="subscript"/>
                      <w:lang w:val="en-US" w:eastAsia="zh-CN"/>
                    </w:rPr>
                    <w:t>2</w:t>
                  </w:r>
                </w:p>
              </w:tc>
              <w:tc>
                <w:tcPr>
                  <w:tcW w:w="1862" w:type="dxa"/>
                  <w:vAlign w:val="center"/>
                </w:tcPr>
                <w:p w14:paraId="37DD4526">
                  <w:pPr>
                    <w:pStyle w:val="29"/>
                    <w:bidi w:val="0"/>
                    <w:rPr>
                      <w:rFonts w:hint="eastAsia"/>
                      <w:color w:val="auto"/>
                      <w:lang w:val="en-US" w:eastAsia="zh-CN"/>
                    </w:rPr>
                  </w:pPr>
                  <w:r>
                    <w:rPr>
                      <w:rFonts w:hint="eastAsia"/>
                      <w:color w:val="auto"/>
                      <w:lang w:val="en-US" w:eastAsia="zh-CN"/>
                    </w:rPr>
                    <w:t>千克/万立方米-原料</w:t>
                  </w:r>
                </w:p>
              </w:tc>
              <w:tc>
                <w:tcPr>
                  <w:tcW w:w="1149" w:type="dxa"/>
                  <w:vAlign w:val="center"/>
                </w:tcPr>
                <w:p w14:paraId="0C7AF606">
                  <w:pPr>
                    <w:pStyle w:val="29"/>
                    <w:bidi w:val="0"/>
                    <w:rPr>
                      <w:rFonts w:hint="default"/>
                      <w:color w:val="auto"/>
                      <w:lang w:val="en-US" w:eastAsia="zh-CN"/>
                    </w:rPr>
                  </w:pPr>
                  <w:r>
                    <w:rPr>
                      <w:rFonts w:hint="eastAsia"/>
                      <w:color w:val="auto"/>
                      <w:lang w:val="en-US" w:eastAsia="zh-CN"/>
                    </w:rPr>
                    <w:t>0.02S</w:t>
                  </w:r>
                </w:p>
              </w:tc>
            </w:tr>
            <w:tr w14:paraId="618D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vMerge w:val="continue"/>
                  <w:vAlign w:val="center"/>
                </w:tcPr>
                <w:p w14:paraId="1D5CE2CC">
                  <w:pPr>
                    <w:pStyle w:val="29"/>
                    <w:bidi w:val="0"/>
                    <w:rPr>
                      <w:rFonts w:hint="eastAsia"/>
                      <w:color w:val="auto"/>
                      <w:lang w:val="en-US" w:eastAsia="zh-CN"/>
                    </w:rPr>
                  </w:pPr>
                </w:p>
              </w:tc>
              <w:tc>
                <w:tcPr>
                  <w:tcW w:w="730" w:type="dxa"/>
                  <w:vMerge w:val="continue"/>
                  <w:vAlign w:val="center"/>
                </w:tcPr>
                <w:p w14:paraId="05CB6D85">
                  <w:pPr>
                    <w:pStyle w:val="29"/>
                    <w:bidi w:val="0"/>
                    <w:rPr>
                      <w:rFonts w:hint="eastAsia"/>
                      <w:color w:val="auto"/>
                      <w:lang w:val="en-US" w:eastAsia="zh-CN"/>
                    </w:rPr>
                  </w:pPr>
                </w:p>
              </w:tc>
              <w:tc>
                <w:tcPr>
                  <w:tcW w:w="780" w:type="dxa"/>
                  <w:vMerge w:val="continue"/>
                  <w:vAlign w:val="center"/>
                </w:tcPr>
                <w:p w14:paraId="1DF73D91">
                  <w:pPr>
                    <w:pStyle w:val="29"/>
                    <w:bidi w:val="0"/>
                    <w:rPr>
                      <w:rFonts w:hint="eastAsia"/>
                      <w:color w:val="auto"/>
                      <w:lang w:val="en-US" w:eastAsia="zh-CN"/>
                    </w:rPr>
                  </w:pPr>
                </w:p>
              </w:tc>
              <w:tc>
                <w:tcPr>
                  <w:tcW w:w="670" w:type="dxa"/>
                  <w:vMerge w:val="continue"/>
                  <w:vAlign w:val="center"/>
                </w:tcPr>
                <w:p w14:paraId="141BD946">
                  <w:pPr>
                    <w:pStyle w:val="29"/>
                    <w:bidi w:val="0"/>
                    <w:rPr>
                      <w:rFonts w:hint="eastAsia"/>
                      <w:color w:val="auto"/>
                      <w:lang w:val="en-US" w:eastAsia="zh-CN"/>
                    </w:rPr>
                  </w:pPr>
                </w:p>
              </w:tc>
              <w:tc>
                <w:tcPr>
                  <w:tcW w:w="1530" w:type="dxa"/>
                  <w:vAlign w:val="center"/>
                </w:tcPr>
                <w:p w14:paraId="54D6F91A">
                  <w:pPr>
                    <w:pStyle w:val="29"/>
                    <w:bidi w:val="0"/>
                    <w:rPr>
                      <w:rFonts w:hint="default"/>
                      <w:color w:val="auto"/>
                      <w:lang w:val="en-US" w:eastAsia="zh-CN"/>
                    </w:rPr>
                  </w:pPr>
                  <w:r>
                    <w:rPr>
                      <w:rFonts w:hint="default"/>
                      <w:color w:val="auto"/>
                      <w:lang w:val="en-US" w:eastAsia="zh-CN"/>
                    </w:rPr>
                    <w:t>NO</w:t>
                  </w:r>
                  <w:r>
                    <w:rPr>
                      <w:rFonts w:hint="default"/>
                      <w:color w:val="auto"/>
                      <w:vertAlign w:val="subscript"/>
                      <w:lang w:val="en-US" w:eastAsia="zh-CN"/>
                    </w:rPr>
                    <w:t>x</w:t>
                  </w:r>
                </w:p>
              </w:tc>
              <w:tc>
                <w:tcPr>
                  <w:tcW w:w="1862" w:type="dxa"/>
                  <w:vAlign w:val="center"/>
                </w:tcPr>
                <w:p w14:paraId="077B8BD6">
                  <w:pPr>
                    <w:pStyle w:val="29"/>
                    <w:bidi w:val="0"/>
                    <w:rPr>
                      <w:rFonts w:hint="eastAsia"/>
                      <w:color w:val="auto"/>
                      <w:lang w:val="en-US" w:eastAsia="zh-CN"/>
                    </w:rPr>
                  </w:pPr>
                  <w:r>
                    <w:rPr>
                      <w:rFonts w:hint="eastAsia"/>
                      <w:color w:val="auto"/>
                      <w:lang w:val="en-US" w:eastAsia="zh-CN"/>
                    </w:rPr>
                    <w:t>千克/万立方米-原料</w:t>
                  </w:r>
                </w:p>
              </w:tc>
              <w:tc>
                <w:tcPr>
                  <w:tcW w:w="1149" w:type="dxa"/>
                  <w:vAlign w:val="center"/>
                </w:tcPr>
                <w:p w14:paraId="0415D04D">
                  <w:pPr>
                    <w:pStyle w:val="29"/>
                    <w:bidi w:val="0"/>
                    <w:rPr>
                      <w:rFonts w:hint="default"/>
                      <w:color w:val="auto"/>
                      <w:lang w:val="en-US" w:eastAsia="zh-CN"/>
                    </w:rPr>
                  </w:pPr>
                  <w:r>
                    <w:rPr>
                      <w:rFonts w:hint="eastAsia"/>
                      <w:color w:val="auto"/>
                      <w:lang w:val="en-US" w:eastAsia="zh-CN"/>
                    </w:rPr>
                    <w:t>15.87</w:t>
                  </w:r>
                </w:p>
              </w:tc>
            </w:tr>
            <w:tr w14:paraId="1E0B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0" w:type="dxa"/>
                  <w:gridSpan w:val="7"/>
                  <w:vAlign w:val="center"/>
                </w:tcPr>
                <w:p w14:paraId="10F13389">
                  <w:pPr>
                    <w:pStyle w:val="29"/>
                    <w:bidi w:val="0"/>
                    <w:jc w:val="left"/>
                    <w:rPr>
                      <w:rFonts w:hint="eastAsia"/>
                      <w:color w:val="auto"/>
                      <w:lang w:val="en-US" w:eastAsia="zh-CN"/>
                    </w:rPr>
                  </w:pPr>
                  <w:r>
                    <w:rPr>
                      <w:rFonts w:hint="eastAsia"/>
                      <w:color w:val="auto"/>
                      <w:sz w:val="18"/>
                      <w:szCs w:val="18"/>
                      <w:lang w:val="en-US" w:eastAsia="zh-CN"/>
                    </w:rPr>
                    <w:t>注：S：产污系数表中气体燃料的二氧化硫的产污系数是以含硫量（S）的形式表示的，其中含硫量（S）是指气体燃料中的硫含量，单位为毫克/立方米。例如燃料中含硫量（S）为200mg/m</w:t>
                  </w:r>
                  <w:r>
                    <w:rPr>
                      <w:rFonts w:hint="eastAsia"/>
                      <w:color w:val="auto"/>
                      <w:sz w:val="18"/>
                      <w:szCs w:val="18"/>
                      <w:vertAlign w:val="superscript"/>
                      <w:lang w:val="en-US" w:eastAsia="zh-CN"/>
                    </w:rPr>
                    <w:t>3</w:t>
                  </w:r>
                  <w:r>
                    <w:rPr>
                      <w:rFonts w:hint="eastAsia"/>
                      <w:color w:val="auto"/>
                      <w:sz w:val="18"/>
                      <w:szCs w:val="18"/>
                      <w:lang w:val="en-US" w:eastAsia="zh-CN"/>
                    </w:rPr>
                    <w:t>，则S=200。本项目使用燃气为天然气，根据建设单位提供天然气成分检测报告，H</w:t>
                  </w:r>
                  <w:r>
                    <w:rPr>
                      <w:rFonts w:hint="eastAsia"/>
                      <w:color w:val="auto"/>
                      <w:sz w:val="18"/>
                      <w:szCs w:val="18"/>
                      <w:vertAlign w:val="subscript"/>
                      <w:lang w:val="en-US" w:eastAsia="zh-CN"/>
                    </w:rPr>
                    <w:t>2</w:t>
                  </w:r>
                  <w:r>
                    <w:rPr>
                      <w:rFonts w:hint="eastAsia"/>
                      <w:color w:val="auto"/>
                      <w:sz w:val="18"/>
                      <w:szCs w:val="18"/>
                      <w:lang w:val="en-US" w:eastAsia="zh-CN"/>
                    </w:rPr>
                    <w:t>S的含量为0.7mg/m</w:t>
                  </w:r>
                  <w:r>
                    <w:rPr>
                      <w:rFonts w:hint="eastAsia"/>
                      <w:color w:val="auto"/>
                      <w:sz w:val="18"/>
                      <w:szCs w:val="18"/>
                      <w:vertAlign w:val="superscript"/>
                      <w:lang w:val="en-US" w:eastAsia="zh-CN"/>
                    </w:rPr>
                    <w:t>3</w:t>
                  </w:r>
                  <w:r>
                    <w:rPr>
                      <w:rFonts w:hint="eastAsia"/>
                      <w:color w:val="auto"/>
                      <w:sz w:val="18"/>
                      <w:szCs w:val="18"/>
                      <w:lang w:val="en-US" w:eastAsia="zh-CN"/>
                    </w:rPr>
                    <w:t>，计算得到硫含量约为0.7</w:t>
                  </w:r>
                  <w:r>
                    <w:rPr>
                      <w:rFonts w:hint="default" w:ascii="Arial" w:hAnsi="Arial" w:cs="Arial"/>
                      <w:color w:val="auto"/>
                      <w:sz w:val="18"/>
                      <w:szCs w:val="18"/>
                      <w:lang w:val="en-US" w:eastAsia="zh-CN"/>
                    </w:rPr>
                    <w:t>×</w:t>
                  </w:r>
                  <w:r>
                    <w:rPr>
                      <w:rFonts w:hint="eastAsia" w:ascii="Arial" w:hAnsi="Arial" w:cs="Arial"/>
                      <w:color w:val="auto"/>
                      <w:sz w:val="18"/>
                      <w:szCs w:val="18"/>
                      <w:lang w:val="en-US" w:eastAsia="zh-CN"/>
                    </w:rPr>
                    <w:t>（</w:t>
                  </w:r>
                  <w:r>
                    <w:rPr>
                      <w:rFonts w:hint="eastAsia"/>
                      <w:color w:val="auto"/>
                      <w:sz w:val="18"/>
                      <w:szCs w:val="18"/>
                      <w:lang w:val="en-US" w:eastAsia="zh-CN"/>
                    </w:rPr>
                    <w:t>32/34）≈0.66mg/m</w:t>
                  </w:r>
                  <w:r>
                    <w:rPr>
                      <w:rFonts w:hint="eastAsia"/>
                      <w:color w:val="auto"/>
                      <w:sz w:val="18"/>
                      <w:szCs w:val="18"/>
                      <w:vertAlign w:val="superscript"/>
                      <w:lang w:val="en-US" w:eastAsia="zh-CN"/>
                    </w:rPr>
                    <w:t>3</w:t>
                  </w:r>
                  <w:r>
                    <w:rPr>
                      <w:rFonts w:hint="eastAsia"/>
                      <w:color w:val="auto"/>
                      <w:sz w:val="18"/>
                      <w:szCs w:val="18"/>
                      <w:lang w:val="en-US" w:eastAsia="zh-CN"/>
                    </w:rPr>
                    <w:t>，则S取值0.66。</w:t>
                  </w:r>
                </w:p>
              </w:tc>
            </w:tr>
          </w:tbl>
          <w:p w14:paraId="62FB3A24">
            <w:pPr>
              <w:bidi w:val="0"/>
              <w:rPr>
                <w:rFonts w:hint="eastAsia"/>
                <w:b w:val="0"/>
                <w:bCs w:val="0"/>
                <w:color w:val="auto"/>
                <w:lang w:val="en-US" w:eastAsia="zh-CN"/>
              </w:rPr>
            </w:pPr>
            <w:r>
              <w:rPr>
                <w:rFonts w:hint="eastAsia"/>
                <w:b w:val="0"/>
                <w:bCs w:val="0"/>
                <w:color w:val="auto"/>
                <w:lang w:val="en-US" w:eastAsia="zh-CN"/>
              </w:rPr>
              <w:t>依据上述产排污系数，结合厂区锅炉天然气消耗量为9.6万m</w:t>
            </w:r>
            <w:r>
              <w:rPr>
                <w:rFonts w:hint="eastAsia"/>
                <w:b w:val="0"/>
                <w:bCs w:val="0"/>
                <w:color w:val="auto"/>
                <w:vertAlign w:val="superscript"/>
                <w:lang w:val="en-US" w:eastAsia="zh-CN"/>
              </w:rPr>
              <w:t>3</w:t>
            </w:r>
            <w:r>
              <w:rPr>
                <w:rFonts w:hint="eastAsia"/>
                <w:b w:val="0"/>
                <w:bCs w:val="0"/>
                <w:color w:val="auto"/>
                <w:lang w:val="en-US" w:eastAsia="zh-CN"/>
              </w:rPr>
              <w:t>/a，计算得出废气量为1034428.8Nm</w:t>
            </w:r>
            <w:r>
              <w:rPr>
                <w:rFonts w:hint="eastAsia"/>
                <w:b w:val="0"/>
                <w:bCs w:val="0"/>
                <w:color w:val="auto"/>
                <w:vertAlign w:val="superscript"/>
                <w:lang w:val="en-US" w:eastAsia="zh-CN"/>
              </w:rPr>
              <w:t>3</w:t>
            </w:r>
            <w:r>
              <w:rPr>
                <w:rFonts w:hint="eastAsia"/>
                <w:b w:val="0"/>
                <w:bCs w:val="0"/>
                <w:color w:val="auto"/>
                <w:lang w:val="en-US" w:eastAsia="zh-CN"/>
              </w:rPr>
              <w:t>/a，颗粒物的产生量为008t/a、产生速率为0.003kg/h、产生浓度为0.552mg/m</w:t>
            </w:r>
            <w:r>
              <w:rPr>
                <w:rFonts w:hint="eastAsia"/>
                <w:b w:val="0"/>
                <w:bCs w:val="0"/>
                <w:color w:val="auto"/>
                <w:vertAlign w:val="superscript"/>
                <w:lang w:val="en-US" w:eastAsia="zh-CN"/>
              </w:rPr>
              <w:t>3</w:t>
            </w:r>
            <w:r>
              <w:rPr>
                <w:rFonts w:hint="eastAsia"/>
                <w:b w:val="0"/>
                <w:bCs w:val="0"/>
                <w:color w:val="auto"/>
                <w:lang w:val="en-US" w:eastAsia="zh-CN"/>
              </w:rPr>
              <w:t>，SO</w:t>
            </w:r>
            <w:r>
              <w:rPr>
                <w:rFonts w:hint="eastAsia"/>
                <w:b w:val="0"/>
                <w:bCs w:val="0"/>
                <w:color w:val="auto"/>
                <w:vertAlign w:val="subscript"/>
                <w:lang w:val="en-US" w:eastAsia="zh-CN"/>
              </w:rPr>
              <w:t>2</w:t>
            </w:r>
            <w:r>
              <w:rPr>
                <w:rFonts w:hint="eastAsia"/>
                <w:b w:val="0"/>
                <w:bCs w:val="0"/>
                <w:color w:val="auto"/>
                <w:lang w:val="en-US" w:eastAsia="zh-CN"/>
              </w:rPr>
              <w:t>产生量为0.001t/a、产生速率为0.0004kg/h、产生浓度为0.074mg/m</w:t>
            </w:r>
            <w:r>
              <w:rPr>
                <w:rFonts w:hint="eastAsia"/>
                <w:b w:val="0"/>
                <w:bCs w:val="0"/>
                <w:color w:val="auto"/>
                <w:vertAlign w:val="superscript"/>
                <w:lang w:val="en-US" w:eastAsia="zh-CN"/>
              </w:rPr>
              <w:t>3</w:t>
            </w:r>
            <w:r>
              <w:rPr>
                <w:rFonts w:hint="eastAsia"/>
                <w:b w:val="0"/>
                <w:bCs w:val="0"/>
                <w:color w:val="auto"/>
                <w:lang w:val="en-US" w:eastAsia="zh-CN"/>
              </w:rPr>
              <w:t>，NO</w:t>
            </w:r>
            <w:r>
              <w:rPr>
                <w:rFonts w:hint="eastAsia"/>
                <w:b w:val="0"/>
                <w:bCs w:val="0"/>
                <w:color w:val="auto"/>
                <w:vertAlign w:val="subscript"/>
                <w:lang w:val="en-US" w:eastAsia="zh-CN"/>
              </w:rPr>
              <w:t>x</w:t>
            </w:r>
            <w:r>
              <w:rPr>
                <w:rFonts w:hint="eastAsia"/>
                <w:b w:val="0"/>
                <w:bCs w:val="0"/>
                <w:color w:val="auto"/>
                <w:lang w:val="en-US" w:eastAsia="zh-CN"/>
              </w:rPr>
              <w:t>产生量为1.238t/a、产生速率为0.516kg/h、产生浓度为88.927mg/m</w:t>
            </w:r>
            <w:r>
              <w:rPr>
                <w:rFonts w:hint="eastAsia"/>
                <w:b w:val="0"/>
                <w:bCs w:val="0"/>
                <w:color w:val="auto"/>
                <w:vertAlign w:val="superscript"/>
                <w:lang w:val="en-US" w:eastAsia="zh-CN"/>
              </w:rPr>
              <w:t>3</w:t>
            </w:r>
            <w:r>
              <w:rPr>
                <w:rFonts w:hint="eastAsia"/>
                <w:b w:val="0"/>
                <w:bCs w:val="0"/>
                <w:color w:val="auto"/>
                <w:lang w:val="en-US" w:eastAsia="zh-CN"/>
              </w:rPr>
              <w:t>。</w:t>
            </w:r>
          </w:p>
          <w:p w14:paraId="5D850CD2">
            <w:pPr>
              <w:bidi w:val="0"/>
              <w:rPr>
                <w:rFonts w:hint="eastAsia"/>
                <w:b w:val="0"/>
                <w:bCs w:val="0"/>
                <w:color w:val="auto"/>
                <w:lang w:val="en-US" w:eastAsia="zh-CN"/>
              </w:rPr>
            </w:pPr>
            <w:r>
              <w:rPr>
                <w:rFonts w:hint="eastAsia"/>
                <w:b w:val="0"/>
                <w:bCs w:val="0"/>
                <w:color w:val="auto"/>
                <w:lang w:val="en-US" w:eastAsia="zh-CN"/>
              </w:rPr>
              <w:t>根据《排放源统计调查产排污核算方法和系数手册》中的“4430 工业锅炉（热力供应）行业系数手册，项目燃烧废气通过采用低氮燃烧技术脱氮后经锅炉上密封管道进行收集后通过引风机引入高度为18m（内径0.3m）的1根烟囱排放（排放口编号DA001），低氮燃烧氮氧化物的去除效率为30%。</w:t>
            </w:r>
          </w:p>
          <w:p w14:paraId="29196577">
            <w:pPr>
              <w:bidi w:val="0"/>
              <w:rPr>
                <w:rFonts w:hint="eastAsia"/>
                <w:b w:val="0"/>
                <w:bCs w:val="0"/>
                <w:color w:val="auto"/>
                <w:lang w:val="en-US" w:eastAsia="zh-CN"/>
              </w:rPr>
            </w:pPr>
            <w:r>
              <w:rPr>
                <w:rFonts w:hint="eastAsia"/>
                <w:b w:val="0"/>
                <w:bCs w:val="0"/>
                <w:color w:val="auto"/>
                <w:lang w:val="en-US" w:eastAsia="zh-CN"/>
              </w:rPr>
              <w:t>综上，锅炉燃烧废气通过采用低氮燃烧技术脱氮后经锅炉上密封管道进行收集，收集效率为100%，收集后的废气通过引风机（风量为5800m</w:t>
            </w:r>
            <w:r>
              <w:rPr>
                <w:rFonts w:hint="eastAsia"/>
                <w:b w:val="0"/>
                <w:bCs w:val="0"/>
                <w:color w:val="auto"/>
                <w:vertAlign w:val="superscript"/>
                <w:lang w:val="en-US" w:eastAsia="zh-CN"/>
              </w:rPr>
              <w:t>3</w:t>
            </w:r>
            <w:r>
              <w:rPr>
                <w:rFonts w:hint="eastAsia"/>
                <w:b w:val="0"/>
                <w:bCs w:val="0"/>
                <w:color w:val="auto"/>
                <w:lang w:val="en-US" w:eastAsia="zh-CN"/>
              </w:rPr>
              <w:t>/h）引入一根高18m的排气筒（DA001）排放。经计算得出颗粒物排放量为0.008t/a，排放速率为0.003kg/h，排放浓度为0.552mg/m</w:t>
            </w:r>
            <w:r>
              <w:rPr>
                <w:rFonts w:hint="eastAsia"/>
                <w:b w:val="0"/>
                <w:bCs w:val="0"/>
                <w:color w:val="auto"/>
                <w:vertAlign w:val="superscript"/>
                <w:lang w:val="en-US" w:eastAsia="zh-CN"/>
              </w:rPr>
              <w:t>3</w:t>
            </w:r>
            <w:r>
              <w:rPr>
                <w:rFonts w:hint="eastAsia"/>
                <w:b w:val="0"/>
                <w:bCs w:val="0"/>
                <w:color w:val="auto"/>
                <w:lang w:val="en-US" w:eastAsia="zh-CN"/>
              </w:rPr>
              <w:t>，SO</w:t>
            </w:r>
            <w:r>
              <w:rPr>
                <w:rFonts w:hint="eastAsia"/>
                <w:b w:val="0"/>
                <w:bCs w:val="0"/>
                <w:color w:val="auto"/>
                <w:vertAlign w:val="subscript"/>
                <w:lang w:val="en-US" w:eastAsia="zh-CN"/>
              </w:rPr>
              <w:t>2</w:t>
            </w:r>
            <w:r>
              <w:rPr>
                <w:rFonts w:hint="eastAsia"/>
                <w:b w:val="0"/>
                <w:bCs w:val="0"/>
                <w:color w:val="auto"/>
                <w:vertAlign w:val="baseline"/>
                <w:lang w:val="en-US" w:eastAsia="zh-CN"/>
              </w:rPr>
              <w:t>排放量为0.001t/a，排放速率为0.0004kg/h，</w:t>
            </w:r>
            <w:r>
              <w:rPr>
                <w:rFonts w:hint="eastAsia"/>
                <w:b w:val="0"/>
                <w:bCs w:val="0"/>
                <w:color w:val="auto"/>
                <w:lang w:val="en-US" w:eastAsia="zh-CN"/>
              </w:rPr>
              <w:t>排放浓度为0.074mg/m</w:t>
            </w:r>
            <w:r>
              <w:rPr>
                <w:rFonts w:hint="eastAsia"/>
                <w:b w:val="0"/>
                <w:bCs w:val="0"/>
                <w:color w:val="auto"/>
                <w:vertAlign w:val="superscript"/>
                <w:lang w:val="en-US" w:eastAsia="zh-CN"/>
              </w:rPr>
              <w:t>3</w:t>
            </w:r>
            <w:r>
              <w:rPr>
                <w:rFonts w:hint="eastAsia"/>
                <w:b w:val="0"/>
                <w:bCs w:val="0"/>
                <w:color w:val="auto"/>
                <w:lang w:val="en-US" w:eastAsia="zh-CN"/>
              </w:rPr>
              <w:t>，NO</w:t>
            </w:r>
            <w:r>
              <w:rPr>
                <w:rFonts w:hint="eastAsia"/>
                <w:b w:val="0"/>
                <w:bCs w:val="0"/>
                <w:color w:val="auto"/>
                <w:vertAlign w:val="subscript"/>
                <w:lang w:val="en-US" w:eastAsia="zh-CN"/>
              </w:rPr>
              <w:t>x</w:t>
            </w:r>
            <w:r>
              <w:rPr>
                <w:rFonts w:hint="eastAsia"/>
                <w:b w:val="0"/>
                <w:bCs w:val="0"/>
                <w:color w:val="auto"/>
                <w:lang w:val="en-US" w:eastAsia="zh-CN"/>
              </w:rPr>
              <w:t>排放量为0.867t/a，排放速率为0.361kg/h，排放浓度为62.249mg/m</w:t>
            </w:r>
            <w:r>
              <w:rPr>
                <w:rFonts w:hint="eastAsia"/>
                <w:b w:val="0"/>
                <w:bCs w:val="0"/>
                <w:color w:val="auto"/>
                <w:vertAlign w:val="superscript"/>
                <w:lang w:val="en-US" w:eastAsia="zh-CN"/>
              </w:rPr>
              <w:t>3</w:t>
            </w:r>
            <w:r>
              <w:rPr>
                <w:rFonts w:hint="eastAsia"/>
                <w:b w:val="0"/>
                <w:bCs w:val="0"/>
                <w:color w:val="auto"/>
                <w:lang w:val="en-US" w:eastAsia="zh-CN"/>
              </w:rPr>
              <w:t>，污染物排放浓度可以达到《锅炉大气污染物排放标准》（GB13271-2014）表2标准限值（参照燃气锅炉执行，即颗粒物 30mg/m</w:t>
            </w:r>
            <w:r>
              <w:rPr>
                <w:rFonts w:hint="eastAsia"/>
                <w:b w:val="0"/>
                <w:bCs w:val="0"/>
                <w:color w:val="auto"/>
                <w:vertAlign w:val="superscript"/>
                <w:lang w:val="en-US" w:eastAsia="zh-CN"/>
              </w:rPr>
              <w:t>3</w:t>
            </w:r>
            <w:r>
              <w:rPr>
                <w:rFonts w:hint="eastAsia"/>
                <w:b w:val="0"/>
                <w:bCs w:val="0"/>
                <w:color w:val="auto"/>
                <w:lang w:val="en-US" w:eastAsia="zh-CN"/>
              </w:rPr>
              <w:t>、SO</w:t>
            </w:r>
            <w:r>
              <w:rPr>
                <w:rFonts w:hint="eastAsia"/>
                <w:b w:val="0"/>
                <w:bCs w:val="0"/>
                <w:color w:val="auto"/>
                <w:vertAlign w:val="subscript"/>
                <w:lang w:val="en-US" w:eastAsia="zh-CN"/>
              </w:rPr>
              <w:t>2</w:t>
            </w:r>
            <w:r>
              <w:rPr>
                <w:rFonts w:hint="eastAsia"/>
                <w:b w:val="0"/>
                <w:bCs w:val="0"/>
                <w:color w:val="auto"/>
                <w:vertAlign w:val="baseline"/>
                <w:lang w:val="en-US" w:eastAsia="zh-CN"/>
              </w:rPr>
              <w:t xml:space="preserve"> </w:t>
            </w:r>
            <w:r>
              <w:rPr>
                <w:rFonts w:hint="eastAsia"/>
                <w:b w:val="0"/>
                <w:bCs w:val="0"/>
                <w:color w:val="auto"/>
                <w:lang w:val="en-US" w:eastAsia="zh-CN"/>
              </w:rPr>
              <w:t>50mg/m</w:t>
            </w:r>
            <w:r>
              <w:rPr>
                <w:rFonts w:hint="eastAsia"/>
                <w:b w:val="0"/>
                <w:bCs w:val="0"/>
                <w:color w:val="auto"/>
                <w:vertAlign w:val="superscript"/>
                <w:lang w:val="en-US" w:eastAsia="zh-CN"/>
              </w:rPr>
              <w:t>3</w:t>
            </w:r>
            <w:r>
              <w:rPr>
                <w:rFonts w:hint="eastAsia"/>
                <w:b w:val="0"/>
                <w:bCs w:val="0"/>
                <w:color w:val="auto"/>
                <w:lang w:val="en-US" w:eastAsia="zh-CN"/>
              </w:rPr>
              <w:t>、NO</w:t>
            </w:r>
            <w:r>
              <w:rPr>
                <w:rFonts w:hint="eastAsia"/>
                <w:b w:val="0"/>
                <w:bCs w:val="0"/>
                <w:color w:val="auto"/>
                <w:vertAlign w:val="subscript"/>
                <w:lang w:val="en-US" w:eastAsia="zh-CN"/>
              </w:rPr>
              <w:t>x</w:t>
            </w:r>
            <w:r>
              <w:rPr>
                <w:rFonts w:hint="eastAsia"/>
                <w:b w:val="0"/>
                <w:bCs w:val="0"/>
                <w:color w:val="auto"/>
                <w:vertAlign w:val="baseline"/>
                <w:lang w:val="en-US" w:eastAsia="zh-CN"/>
              </w:rPr>
              <w:t xml:space="preserve"> </w:t>
            </w:r>
            <w:r>
              <w:rPr>
                <w:rFonts w:hint="eastAsia"/>
                <w:b w:val="0"/>
                <w:bCs w:val="0"/>
                <w:color w:val="auto"/>
                <w:lang w:val="en-US" w:eastAsia="zh-CN"/>
              </w:rPr>
              <w:t>200mg/m</w:t>
            </w:r>
            <w:r>
              <w:rPr>
                <w:rFonts w:hint="eastAsia"/>
                <w:b w:val="0"/>
                <w:bCs w:val="0"/>
                <w:color w:val="auto"/>
                <w:vertAlign w:val="superscript"/>
                <w:lang w:val="en-US" w:eastAsia="zh-CN"/>
              </w:rPr>
              <w:t>3</w:t>
            </w:r>
            <w:r>
              <w:rPr>
                <w:rFonts w:hint="eastAsia"/>
                <w:b w:val="0"/>
                <w:bCs w:val="0"/>
                <w:color w:val="auto"/>
                <w:lang w:val="en-US" w:eastAsia="zh-CN"/>
              </w:rPr>
              <w:t>）。</w:t>
            </w:r>
          </w:p>
          <w:p w14:paraId="7DC71A1D">
            <w:pPr>
              <w:pStyle w:val="13"/>
              <w:rPr>
                <w:rFonts w:hint="eastAsia"/>
                <w:b/>
                <w:bCs/>
                <w:color w:val="auto"/>
                <w:lang w:val="en-US" w:eastAsia="zh-CN"/>
              </w:rPr>
            </w:pPr>
            <w:r>
              <w:rPr>
                <w:rFonts w:hint="eastAsia"/>
                <w:b/>
                <w:bCs/>
                <w:color w:val="auto"/>
                <w:lang w:val="en-US" w:eastAsia="zh-CN"/>
              </w:rPr>
              <w:fldChar w:fldCharType="begin"/>
            </w:r>
            <w:r>
              <w:rPr>
                <w:rFonts w:hint="eastAsia"/>
                <w:b/>
                <w:bCs/>
                <w:color w:val="auto"/>
                <w:lang w:val="en-US" w:eastAsia="zh-CN"/>
              </w:rPr>
              <w:instrText xml:space="preserve"> = 2 \* GB3 \* MERGEFORMAT </w:instrText>
            </w:r>
            <w:r>
              <w:rPr>
                <w:rFonts w:hint="eastAsia"/>
                <w:b/>
                <w:bCs/>
                <w:color w:val="auto"/>
                <w:lang w:val="en-US" w:eastAsia="zh-CN"/>
              </w:rPr>
              <w:fldChar w:fldCharType="separate"/>
            </w:r>
            <w:r>
              <w:rPr>
                <w:rFonts w:hint="eastAsia"/>
                <w:b/>
                <w:bCs/>
                <w:color w:val="auto"/>
                <w:lang w:val="en-US" w:eastAsia="zh-CN"/>
              </w:rPr>
              <w:t>②</w:t>
            </w:r>
            <w:r>
              <w:rPr>
                <w:rFonts w:hint="eastAsia"/>
                <w:b/>
                <w:bCs/>
                <w:color w:val="auto"/>
                <w:lang w:val="en-US" w:eastAsia="zh-CN"/>
              </w:rPr>
              <w:fldChar w:fldCharType="end"/>
            </w:r>
            <w:r>
              <w:rPr>
                <w:rFonts w:hint="eastAsia"/>
                <w:b/>
                <w:bCs/>
                <w:color w:val="auto"/>
                <w:lang w:val="en-US" w:eastAsia="zh-CN"/>
              </w:rPr>
              <w:t>破碎粉尘</w:t>
            </w:r>
          </w:p>
          <w:p w14:paraId="58B8269C">
            <w:pPr>
              <w:pStyle w:val="13"/>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本项目麦芽粉碎过程会产生粉尘，参考《排放源统计调查产排污核算方法和系数手册》中的《131 谷物磨制行业系数手册》，原料麦芽磨成小麦粉“清理、磨制、除尘”工艺过程产污系数为0.085kg/t-原料。本项目年耗麦芽100t，则颗粒物产生量为0.0085t/a，产生速率为0.0035kg/h，产生浓度为1.181mg/m</w:t>
            </w:r>
            <w:r>
              <w:rPr>
                <w:rFonts w:hint="eastAsia" w:ascii="Times New Roman" w:hAnsi="Times New Roman" w:eastAsia="宋体" w:cs="Times New Roman"/>
                <w:b w:val="0"/>
                <w:bCs w:val="0"/>
                <w:color w:val="auto"/>
                <w:kern w:val="2"/>
                <w:sz w:val="24"/>
                <w:szCs w:val="24"/>
                <w:vertAlign w:val="superscript"/>
                <w:lang w:val="en-US" w:eastAsia="zh-CN" w:bidi="ar-SA"/>
              </w:rPr>
              <w:t>3</w:t>
            </w:r>
            <w:r>
              <w:rPr>
                <w:rFonts w:hint="eastAsia" w:ascii="Times New Roman" w:hAnsi="Times New Roman" w:eastAsia="宋体" w:cs="Times New Roman"/>
                <w:b w:val="0"/>
                <w:bCs w:val="0"/>
                <w:color w:val="auto"/>
                <w:kern w:val="2"/>
                <w:sz w:val="24"/>
                <w:szCs w:val="24"/>
                <w:lang w:val="en-US" w:eastAsia="zh-CN" w:bidi="ar-SA"/>
              </w:rPr>
              <w:t>。</w:t>
            </w:r>
          </w:p>
          <w:p w14:paraId="103D4603">
            <w:pPr>
              <w:pStyle w:val="13"/>
              <w:rPr>
                <w:rFonts w:hint="eastAsia" w:ascii="Times New Roman" w:hAnsi="Times New Roman" w:eastAsia="宋体" w:cs="Times New Roman"/>
                <w:b w:val="0"/>
                <w:bCs w:val="0"/>
                <w:color w:val="auto"/>
                <w:kern w:val="2"/>
                <w:sz w:val="24"/>
                <w:szCs w:val="24"/>
                <w:lang w:val="en-US" w:eastAsia="zh-CN" w:bidi="ar-SA"/>
              </w:rPr>
            </w:pPr>
            <w:r>
              <w:rPr>
                <w:rFonts w:hint="eastAsia" w:ascii="Times New Roman" w:hAnsi="Times New Roman" w:eastAsia="宋体" w:cs="Times New Roman"/>
                <w:b w:val="0"/>
                <w:bCs w:val="0"/>
                <w:color w:val="auto"/>
                <w:kern w:val="2"/>
                <w:sz w:val="24"/>
                <w:szCs w:val="24"/>
                <w:lang w:val="en-US" w:eastAsia="zh-CN" w:bidi="ar-SA"/>
              </w:rPr>
              <w:t>本次评价要求建设单位在破碎机上方设置集气罩（集气效率为80%），破碎废气经集气罩收集后由引风机（风量为3000m</w:t>
            </w:r>
            <w:r>
              <w:rPr>
                <w:rFonts w:hint="eastAsia" w:ascii="Times New Roman" w:hAnsi="Times New Roman" w:eastAsia="宋体" w:cs="Times New Roman"/>
                <w:b w:val="0"/>
                <w:bCs w:val="0"/>
                <w:color w:val="auto"/>
                <w:kern w:val="2"/>
                <w:sz w:val="24"/>
                <w:szCs w:val="24"/>
                <w:vertAlign w:val="superscript"/>
                <w:lang w:val="en-US" w:eastAsia="zh-CN" w:bidi="ar-SA"/>
              </w:rPr>
              <w:t>3</w:t>
            </w:r>
            <w:r>
              <w:rPr>
                <w:rFonts w:hint="eastAsia" w:ascii="Times New Roman" w:hAnsi="Times New Roman" w:eastAsia="宋体" w:cs="Times New Roman"/>
                <w:b w:val="0"/>
                <w:bCs w:val="0"/>
                <w:color w:val="auto"/>
                <w:kern w:val="2"/>
                <w:sz w:val="24"/>
                <w:szCs w:val="24"/>
                <w:lang w:val="en-US" w:eastAsia="zh-CN" w:bidi="ar-SA"/>
              </w:rPr>
              <w:t>/h）引入布袋除尘器处理装置（处理效率为99%）处置后经高度为</w:t>
            </w:r>
            <w:r>
              <w:rPr>
                <w:rFonts w:hint="eastAsia" w:ascii="Times New Roman" w:hAnsi="Times New Roman" w:cs="Times New Roman"/>
                <w:b w:val="0"/>
                <w:bCs w:val="0"/>
                <w:color w:val="auto"/>
                <w:kern w:val="2"/>
                <w:sz w:val="24"/>
                <w:szCs w:val="24"/>
                <w:lang w:val="en-US" w:eastAsia="zh-CN" w:bidi="ar-SA"/>
              </w:rPr>
              <w:t>20</w:t>
            </w:r>
            <w:r>
              <w:rPr>
                <w:rFonts w:hint="eastAsia" w:ascii="Times New Roman" w:hAnsi="Times New Roman" w:eastAsia="宋体" w:cs="Times New Roman"/>
                <w:b w:val="0"/>
                <w:bCs w:val="0"/>
                <w:color w:val="auto"/>
                <w:kern w:val="2"/>
                <w:sz w:val="24"/>
                <w:szCs w:val="24"/>
                <w:lang w:val="en-US" w:eastAsia="zh-CN" w:bidi="ar-SA"/>
              </w:rPr>
              <w:t>m的1根烟囱排放（排放口编号DA002），颗粒物排放量为0.0067t/a，排放速率为0.0028kg/h，排放浓度为0.935mg/m</w:t>
            </w:r>
            <w:r>
              <w:rPr>
                <w:rFonts w:hint="eastAsia" w:ascii="Times New Roman" w:hAnsi="Times New Roman" w:eastAsia="宋体" w:cs="Times New Roman"/>
                <w:b w:val="0"/>
                <w:bCs w:val="0"/>
                <w:color w:val="auto"/>
                <w:kern w:val="2"/>
                <w:sz w:val="24"/>
                <w:szCs w:val="24"/>
                <w:vertAlign w:val="superscript"/>
                <w:lang w:val="en-US" w:eastAsia="zh-CN" w:bidi="ar-SA"/>
              </w:rPr>
              <w:t>3</w:t>
            </w:r>
            <w:r>
              <w:rPr>
                <w:rFonts w:hint="eastAsia" w:ascii="Times New Roman" w:hAnsi="Times New Roman" w:eastAsia="宋体" w:cs="Times New Roman"/>
                <w:b w:val="0"/>
                <w:bCs w:val="0"/>
                <w:color w:val="auto"/>
                <w:kern w:val="2"/>
                <w:sz w:val="24"/>
                <w:szCs w:val="24"/>
                <w:lang w:val="en-US" w:eastAsia="zh-CN" w:bidi="ar-SA"/>
              </w:rPr>
              <w:t>，能达到《大气污染物综合排放标准》（GB16297-1996）表2无组织排放监控浓度限值（颗粒物：1.0mg/m</w:t>
            </w:r>
            <w:r>
              <w:rPr>
                <w:rFonts w:hint="eastAsia" w:ascii="Times New Roman" w:hAnsi="Times New Roman" w:eastAsia="宋体" w:cs="Times New Roman"/>
                <w:b w:val="0"/>
                <w:bCs w:val="0"/>
                <w:color w:val="auto"/>
                <w:kern w:val="2"/>
                <w:sz w:val="24"/>
                <w:szCs w:val="24"/>
                <w:vertAlign w:val="superscript"/>
                <w:lang w:val="en-US" w:eastAsia="zh-CN" w:bidi="ar-SA"/>
              </w:rPr>
              <w:t>3</w:t>
            </w:r>
            <w:r>
              <w:rPr>
                <w:rFonts w:hint="eastAsia" w:ascii="Times New Roman" w:hAnsi="Times New Roman" w:eastAsia="宋体" w:cs="Times New Roman"/>
                <w:b w:val="0"/>
                <w:bCs w:val="0"/>
                <w:color w:val="auto"/>
                <w:kern w:val="2"/>
                <w:sz w:val="24"/>
                <w:szCs w:val="24"/>
                <w:lang w:val="en-US" w:eastAsia="zh-CN" w:bidi="ar-SA"/>
              </w:rPr>
              <w:t>），对厂区及周围环境影响较小。</w:t>
            </w:r>
          </w:p>
          <w:p w14:paraId="1C39C841">
            <w:pPr>
              <w:pStyle w:val="13"/>
              <w:rPr>
                <w:rFonts w:hint="eastAsia"/>
                <w:b/>
                <w:bCs/>
                <w:color w:val="auto"/>
                <w:lang w:val="en-US" w:eastAsia="zh-CN"/>
              </w:rPr>
            </w:pPr>
            <w:r>
              <w:rPr>
                <w:rFonts w:hint="eastAsia"/>
                <w:b/>
                <w:bCs/>
                <w:color w:val="auto"/>
                <w:lang w:val="en-US" w:eastAsia="zh-CN"/>
              </w:rPr>
              <w:t>2）无组织废气</w:t>
            </w:r>
          </w:p>
          <w:p w14:paraId="08F5C0F4">
            <w:pPr>
              <w:keepNext w:val="0"/>
              <w:keepLines w:val="0"/>
              <w:widowControl/>
              <w:suppressLineNumbers w:val="0"/>
              <w:jc w:val="left"/>
              <w:rPr>
                <w:rFonts w:hint="eastAsia"/>
                <w:color w:val="auto"/>
                <w:lang w:val="en-US" w:eastAsia="zh-CN"/>
              </w:rPr>
            </w:pPr>
            <w:r>
              <w:rPr>
                <w:rFonts w:hint="eastAsia"/>
                <w:color w:val="auto"/>
                <w:lang w:val="en-US" w:eastAsia="zh-CN"/>
              </w:rPr>
              <w:t>本项目无组织废气主要包括：</w:t>
            </w:r>
            <w:r>
              <w:rPr>
                <w:rFonts w:hint="eastAsia"/>
                <w:color w:val="auto"/>
                <w:lang w:eastAsia="zh-CN"/>
              </w:rPr>
              <w:t>发酵废气、</w:t>
            </w:r>
            <w:r>
              <w:rPr>
                <w:rFonts w:hint="eastAsia"/>
                <w:color w:val="auto"/>
                <w:lang w:val="en-US" w:eastAsia="zh-CN"/>
              </w:rPr>
              <w:t>固废暂存废气、污水处理恶臭、</w:t>
            </w:r>
            <w:r>
              <w:rPr>
                <w:rFonts w:hint="eastAsia"/>
                <w:color w:val="auto"/>
                <w:lang w:eastAsia="zh-CN"/>
              </w:rPr>
              <w:t>车辆运输扬尘</w:t>
            </w:r>
            <w:r>
              <w:rPr>
                <w:rFonts w:hint="eastAsia"/>
                <w:color w:val="auto"/>
                <w:lang w:val="en-US" w:eastAsia="zh-CN"/>
              </w:rPr>
              <w:t>等。</w:t>
            </w:r>
          </w:p>
          <w:p w14:paraId="7931EFDC">
            <w:pPr>
              <w:ind w:firstLine="480"/>
              <w:rPr>
                <w:rFonts w:hint="default" w:cs="Times New Roman"/>
                <w:b/>
                <w:bCs/>
                <w:color w:val="auto"/>
                <w:lang w:val="en-US"/>
              </w:rPr>
            </w:pPr>
            <w:r>
              <w:rPr>
                <w:rFonts w:hint="eastAsia" w:cs="Times New Roman"/>
                <w:b/>
                <w:bCs/>
                <w:color w:val="auto"/>
                <w:lang w:val="en-US" w:eastAsia="zh-CN"/>
              </w:rPr>
              <w:t>①发酵废气</w:t>
            </w:r>
          </w:p>
          <w:p w14:paraId="199EFAF5">
            <w:pPr>
              <w:widowControl/>
              <w:ind w:firstLine="480" w:firstLineChars="200"/>
              <w:jc w:val="both"/>
              <w:rPr>
                <w:rFonts w:hint="eastAsia"/>
                <w:b w:val="0"/>
                <w:bCs w:val="0"/>
                <w:color w:val="auto"/>
                <w:lang w:val="en-US" w:eastAsia="zh-CN"/>
              </w:rPr>
            </w:pPr>
            <w:r>
              <w:rPr>
                <w:rFonts w:hint="eastAsia"/>
                <w:b w:val="0"/>
                <w:bCs w:val="0"/>
                <w:color w:val="auto"/>
                <w:lang w:val="en-US" w:eastAsia="zh-CN"/>
              </w:rPr>
              <w:t>项目在发酵过程中会有少量的发酵废气，主要污染物为CO</w:t>
            </w:r>
            <w:r>
              <w:rPr>
                <w:rFonts w:hint="eastAsia"/>
                <w:b w:val="0"/>
                <w:bCs w:val="0"/>
                <w:color w:val="auto"/>
                <w:vertAlign w:val="subscript"/>
                <w:lang w:val="en-US" w:eastAsia="zh-CN"/>
              </w:rPr>
              <w:t>2</w:t>
            </w:r>
            <w:r>
              <w:rPr>
                <w:rFonts w:hint="eastAsia"/>
                <w:b w:val="0"/>
                <w:bCs w:val="0"/>
                <w:color w:val="auto"/>
                <w:lang w:val="en-US" w:eastAsia="zh-CN"/>
              </w:rPr>
              <w:t>和少量乙醇废气（以非甲烷总烃计）。根据《现代啤酒工艺技术》（周广田，化学工业出版社），0.1t麦汁约含12kg浸出物，其中2/3为可发酵性糖，即8kg糖被发酵，根据反应方程式，可分解为4.08kg乙醇和3.91kgCO</w:t>
            </w:r>
            <w:r>
              <w:rPr>
                <w:rFonts w:hint="eastAsia"/>
                <w:b w:val="0"/>
                <w:bCs w:val="0"/>
                <w:color w:val="auto"/>
                <w:vertAlign w:val="subscript"/>
                <w:lang w:val="en-US" w:eastAsia="zh-CN"/>
              </w:rPr>
              <w:t>2</w:t>
            </w:r>
            <w:r>
              <w:rPr>
                <w:rFonts w:hint="eastAsia"/>
                <w:b w:val="0"/>
                <w:bCs w:val="0"/>
                <w:color w:val="auto"/>
                <w:lang w:val="en-US" w:eastAsia="zh-CN"/>
              </w:rPr>
              <w:t>。根据物料平衡本项目麦汁量为520.367t，则CO</w:t>
            </w:r>
            <w:r>
              <w:rPr>
                <w:rFonts w:hint="eastAsia"/>
                <w:b w:val="0"/>
                <w:bCs w:val="0"/>
                <w:color w:val="auto"/>
                <w:vertAlign w:val="subscript"/>
                <w:lang w:val="en-US" w:eastAsia="zh-CN"/>
              </w:rPr>
              <w:t>2</w:t>
            </w:r>
            <w:r>
              <w:rPr>
                <w:rFonts w:hint="eastAsia"/>
                <w:b w:val="0"/>
                <w:bCs w:val="0"/>
                <w:color w:val="auto"/>
                <w:lang w:val="en-US" w:eastAsia="zh-CN"/>
              </w:rPr>
              <w:t>产生量为520.367×3.91÷0.1÷1000=20.346t/a，乙醇产生量为520.367×4.08÷0.1÷1000=21.231t/a。</w:t>
            </w:r>
          </w:p>
          <w:p w14:paraId="2EFBA086">
            <w:pPr>
              <w:widowControl/>
              <w:ind w:firstLine="480" w:firstLineChars="200"/>
              <w:jc w:val="both"/>
              <w:rPr>
                <w:rFonts w:hint="eastAsia"/>
                <w:b w:val="0"/>
                <w:bCs w:val="0"/>
                <w:color w:val="auto"/>
                <w:lang w:val="en-US" w:eastAsia="zh-CN"/>
              </w:rPr>
            </w:pPr>
            <w:r>
              <w:rPr>
                <w:rFonts w:hint="eastAsia"/>
                <w:b w:val="0"/>
                <w:bCs w:val="0"/>
                <w:color w:val="auto"/>
                <w:lang w:val="en-US" w:eastAsia="zh-CN"/>
              </w:rPr>
              <w:t>项目发酵酒发酵过程也会产生发酵废气，根据酒精发酵的核心反应为：C</w:t>
            </w:r>
            <w:r>
              <w:rPr>
                <w:rFonts w:hint="eastAsia"/>
                <w:b w:val="0"/>
                <w:bCs w:val="0"/>
                <w:color w:val="auto"/>
                <w:vertAlign w:val="subscript"/>
                <w:lang w:val="en-US" w:eastAsia="zh-CN"/>
              </w:rPr>
              <w:t>6</w:t>
            </w:r>
            <w:r>
              <w:rPr>
                <w:rFonts w:hint="eastAsia"/>
                <w:b w:val="0"/>
                <w:bCs w:val="0"/>
                <w:color w:val="auto"/>
                <w:lang w:val="en-US" w:eastAsia="zh-CN"/>
              </w:rPr>
              <w:t>H</w:t>
            </w:r>
            <w:r>
              <w:rPr>
                <w:rFonts w:hint="eastAsia"/>
                <w:b w:val="0"/>
                <w:bCs w:val="0"/>
                <w:color w:val="auto"/>
                <w:vertAlign w:val="subscript"/>
                <w:lang w:val="en-US" w:eastAsia="zh-CN"/>
              </w:rPr>
              <w:t>12</w:t>
            </w:r>
            <w:r>
              <w:rPr>
                <w:rFonts w:hint="eastAsia"/>
                <w:b w:val="0"/>
                <w:bCs w:val="0"/>
                <w:color w:val="auto"/>
                <w:lang w:val="en-US" w:eastAsia="zh-CN"/>
              </w:rPr>
              <w:t>O</w:t>
            </w:r>
            <w:r>
              <w:rPr>
                <w:rFonts w:hint="eastAsia"/>
                <w:b w:val="0"/>
                <w:bCs w:val="0"/>
                <w:color w:val="auto"/>
                <w:vertAlign w:val="subscript"/>
                <w:lang w:val="en-US" w:eastAsia="zh-CN"/>
              </w:rPr>
              <w:t>6</w:t>
            </w:r>
            <w:r>
              <w:rPr>
                <w:rFonts w:hint="eastAsia"/>
                <w:b w:val="0"/>
                <w:bCs w:val="0"/>
                <w:color w:val="auto"/>
                <w:lang w:val="en-US" w:eastAsia="zh-CN"/>
              </w:rPr>
              <w:t>→2C</w:t>
            </w:r>
            <w:r>
              <w:rPr>
                <w:rFonts w:hint="eastAsia"/>
                <w:b w:val="0"/>
                <w:bCs w:val="0"/>
                <w:color w:val="auto"/>
                <w:vertAlign w:val="subscript"/>
                <w:lang w:val="en-US" w:eastAsia="zh-CN"/>
              </w:rPr>
              <w:t>2</w:t>
            </w:r>
            <w:r>
              <w:rPr>
                <w:rFonts w:hint="eastAsia"/>
                <w:b w:val="0"/>
                <w:bCs w:val="0"/>
                <w:color w:val="auto"/>
                <w:lang w:val="en-US" w:eastAsia="zh-CN"/>
              </w:rPr>
              <w:t>H</w:t>
            </w:r>
            <w:r>
              <w:rPr>
                <w:rFonts w:hint="eastAsia"/>
                <w:b w:val="0"/>
                <w:bCs w:val="0"/>
                <w:color w:val="auto"/>
                <w:vertAlign w:val="subscript"/>
                <w:lang w:val="en-US" w:eastAsia="zh-CN"/>
              </w:rPr>
              <w:t>5</w:t>
            </w:r>
            <w:r>
              <w:rPr>
                <w:rFonts w:hint="eastAsia"/>
                <w:b w:val="0"/>
                <w:bCs w:val="0"/>
                <w:color w:val="auto"/>
                <w:lang w:val="en-US" w:eastAsia="zh-CN"/>
              </w:rPr>
              <w:t>OH+2CO</w:t>
            </w:r>
            <w:r>
              <w:rPr>
                <w:rFonts w:hint="eastAsia"/>
                <w:b w:val="0"/>
                <w:bCs w:val="0"/>
                <w:color w:val="auto"/>
                <w:vertAlign w:val="subscript"/>
                <w:lang w:val="en-US" w:eastAsia="zh-CN"/>
              </w:rPr>
              <w:t>2</w:t>
            </w:r>
            <w:r>
              <w:rPr>
                <w:rFonts w:hint="eastAsia"/>
                <w:b w:val="0"/>
                <w:bCs w:val="0"/>
                <w:color w:val="auto"/>
                <w:lang w:val="en-US" w:eastAsia="zh-CN"/>
              </w:rPr>
              <w:t>，即：‌每180克葡萄糖发酵生成92克乙醇和88克二氧化碳‌，理论产率比为：乙醇：‌0.511g/g糖‌，CO</w:t>
            </w:r>
            <w:r>
              <w:rPr>
                <w:rFonts w:hint="eastAsia"/>
                <w:b w:val="0"/>
                <w:bCs w:val="0"/>
                <w:color w:val="auto"/>
                <w:vertAlign w:val="subscript"/>
                <w:lang w:val="en-US" w:eastAsia="zh-CN"/>
              </w:rPr>
              <w:t>2</w:t>
            </w:r>
            <w:r>
              <w:rPr>
                <w:rFonts w:hint="eastAsia"/>
                <w:b w:val="0"/>
                <w:bCs w:val="0"/>
                <w:color w:val="auto"/>
                <w:lang w:val="en-US" w:eastAsia="zh-CN"/>
              </w:rPr>
              <w:t>：‌0.489g/g糖，根据建设单位提供资料项目发酵酒用红糖5t，水果浓缩汁16t，红糖中蔗糖的含量按95%计，则蔗糖含量为4.75t，1mol蔗糖→2mol葡萄糖→质量比为（2×180.16）/342.3=1.052，则葡萄糖含量为：4.75×1.052=4.997t；水果浓缩汁按65%可发酵糖计，则葡萄糖含量为10.4t，总计葡萄糖含量为15.397t，葡萄糖有效发酵率88%‌（扣除12%的糖用于酵母生长和残糖留存），则CO</w:t>
            </w:r>
            <w:r>
              <w:rPr>
                <w:rFonts w:hint="eastAsia"/>
                <w:b w:val="0"/>
                <w:bCs w:val="0"/>
                <w:color w:val="auto"/>
                <w:vertAlign w:val="subscript"/>
                <w:lang w:val="en-US" w:eastAsia="zh-CN"/>
              </w:rPr>
              <w:t>2</w:t>
            </w:r>
            <w:r>
              <w:rPr>
                <w:rFonts w:hint="eastAsia"/>
                <w:b w:val="0"/>
                <w:bCs w:val="0"/>
                <w:color w:val="auto"/>
                <w:lang w:val="en-US" w:eastAsia="zh-CN"/>
              </w:rPr>
              <w:t>产生量为6.626t/a，乙醇产生量为6.924t/a。</w:t>
            </w:r>
          </w:p>
          <w:p w14:paraId="48ED164F">
            <w:pPr>
              <w:widowControl/>
              <w:ind w:firstLine="480" w:firstLineChars="200"/>
              <w:jc w:val="both"/>
              <w:rPr>
                <w:rFonts w:hint="default"/>
                <w:b w:val="0"/>
                <w:bCs w:val="0"/>
                <w:color w:val="auto"/>
                <w:lang w:val="en-US" w:eastAsia="zh-CN"/>
              </w:rPr>
            </w:pPr>
            <w:r>
              <w:rPr>
                <w:rFonts w:hint="eastAsia"/>
                <w:b w:val="0"/>
                <w:bCs w:val="0"/>
                <w:color w:val="auto"/>
                <w:lang w:val="en-US" w:eastAsia="zh-CN"/>
              </w:rPr>
              <w:t>本项目配套CO</w:t>
            </w:r>
            <w:r>
              <w:rPr>
                <w:rFonts w:hint="eastAsia"/>
                <w:b w:val="0"/>
                <w:bCs w:val="0"/>
                <w:color w:val="auto"/>
                <w:vertAlign w:val="subscript"/>
                <w:lang w:val="en-US" w:eastAsia="zh-CN"/>
              </w:rPr>
              <w:t>2</w:t>
            </w:r>
            <w:r>
              <w:rPr>
                <w:rFonts w:hint="eastAsia"/>
                <w:b w:val="0"/>
                <w:bCs w:val="0"/>
                <w:color w:val="auto"/>
                <w:lang w:val="en-US" w:eastAsia="zh-CN"/>
              </w:rPr>
              <w:t>食品级钢瓶回收，回收效率取85%，回收的CO</w:t>
            </w:r>
            <w:r>
              <w:rPr>
                <w:rFonts w:hint="eastAsia"/>
                <w:b w:val="0"/>
                <w:bCs w:val="0"/>
                <w:color w:val="auto"/>
                <w:vertAlign w:val="subscript"/>
                <w:lang w:val="en-US" w:eastAsia="zh-CN"/>
              </w:rPr>
              <w:t>2</w:t>
            </w:r>
            <w:r>
              <w:rPr>
                <w:rFonts w:hint="eastAsia"/>
                <w:b w:val="0"/>
                <w:bCs w:val="0"/>
                <w:color w:val="auto"/>
                <w:lang w:val="en-US" w:eastAsia="zh-CN"/>
              </w:rPr>
              <w:t>对清酒罐进行空气置换，剩余15%的CO</w:t>
            </w:r>
            <w:r>
              <w:rPr>
                <w:rFonts w:hint="eastAsia"/>
                <w:b w:val="0"/>
                <w:bCs w:val="0"/>
                <w:color w:val="auto"/>
                <w:vertAlign w:val="subscript"/>
                <w:lang w:val="en-US" w:eastAsia="zh-CN"/>
              </w:rPr>
              <w:t>2</w:t>
            </w:r>
            <w:r>
              <w:rPr>
                <w:rFonts w:hint="eastAsia"/>
                <w:b w:val="0"/>
                <w:bCs w:val="0"/>
                <w:color w:val="auto"/>
                <w:lang w:val="en-US" w:eastAsia="zh-CN"/>
              </w:rPr>
              <w:t>在发酵初期通过排气阀无组织溢出，直接排放至环境中。发酵过程中99%的乙醇留存于发酵液中，仅0.1%的乙醇随发酵废气挥发溢出，该部分乙醇以非甲烷总烃（NMHC）计纳入废气核算。</w:t>
            </w:r>
          </w:p>
          <w:p w14:paraId="0FD610F6">
            <w:pPr>
              <w:widowControl/>
              <w:ind w:firstLine="480" w:firstLineChars="200"/>
              <w:jc w:val="both"/>
              <w:rPr>
                <w:rFonts w:hint="default"/>
                <w:b w:val="0"/>
                <w:bCs w:val="0"/>
                <w:color w:val="auto"/>
                <w:lang w:val="en-US" w:eastAsia="zh-CN"/>
              </w:rPr>
            </w:pPr>
            <w:r>
              <w:rPr>
                <w:rFonts w:hint="eastAsia"/>
                <w:b w:val="0"/>
                <w:bCs w:val="0"/>
                <w:color w:val="auto"/>
                <w:lang w:val="en-US" w:eastAsia="zh-CN"/>
              </w:rPr>
              <w:t>综上，啤酒外排CO</w:t>
            </w:r>
            <w:r>
              <w:rPr>
                <w:rFonts w:hint="eastAsia"/>
                <w:b w:val="0"/>
                <w:bCs w:val="0"/>
                <w:color w:val="auto"/>
                <w:vertAlign w:val="subscript"/>
                <w:lang w:val="en-US" w:eastAsia="zh-CN"/>
              </w:rPr>
              <w:t>2</w:t>
            </w:r>
            <w:r>
              <w:rPr>
                <w:rFonts w:hint="eastAsia"/>
                <w:b w:val="0"/>
                <w:bCs w:val="0"/>
                <w:color w:val="auto"/>
                <w:lang w:val="en-US" w:eastAsia="zh-CN"/>
              </w:rPr>
              <w:t>量为3.052t/a、1.272kg/h，非甲烷总烃量为0.021t/a、0.009kg/h；发酵酒外排CO</w:t>
            </w:r>
            <w:r>
              <w:rPr>
                <w:rFonts w:hint="eastAsia"/>
                <w:b w:val="0"/>
                <w:bCs w:val="0"/>
                <w:color w:val="auto"/>
                <w:vertAlign w:val="subscript"/>
                <w:lang w:val="en-US" w:eastAsia="zh-CN"/>
              </w:rPr>
              <w:t>2</w:t>
            </w:r>
            <w:r>
              <w:rPr>
                <w:rFonts w:hint="eastAsia"/>
                <w:b w:val="0"/>
                <w:bCs w:val="0"/>
                <w:color w:val="auto"/>
                <w:lang w:val="en-US" w:eastAsia="zh-CN"/>
              </w:rPr>
              <w:t>量为0.994t/a、0.414kg/h，非甲烷总烃量为0.007t/a、0.003kg/h。故本项目外排CO</w:t>
            </w:r>
            <w:r>
              <w:rPr>
                <w:rFonts w:hint="eastAsia"/>
                <w:b w:val="0"/>
                <w:bCs w:val="0"/>
                <w:color w:val="auto"/>
                <w:vertAlign w:val="subscript"/>
                <w:lang w:val="en-US" w:eastAsia="zh-CN"/>
              </w:rPr>
              <w:t>2</w:t>
            </w:r>
            <w:r>
              <w:rPr>
                <w:rFonts w:hint="eastAsia"/>
                <w:b w:val="0"/>
                <w:bCs w:val="0"/>
                <w:color w:val="auto"/>
                <w:lang w:val="en-US" w:eastAsia="zh-CN"/>
              </w:rPr>
              <w:t>量共计4.046t/a、1.686kg/h，非甲烷总烃量共计0.028t/a、0.012kg/h。</w:t>
            </w:r>
          </w:p>
          <w:p w14:paraId="0A11D8D7">
            <w:pPr>
              <w:widowControl/>
              <w:ind w:firstLine="480" w:firstLineChars="200"/>
              <w:jc w:val="both"/>
              <w:rPr>
                <w:rFonts w:hint="eastAsia"/>
                <w:b w:val="0"/>
                <w:bCs w:val="0"/>
                <w:color w:val="auto"/>
                <w:lang w:val="en-US" w:eastAsia="zh-CN"/>
              </w:rPr>
            </w:pPr>
            <w:r>
              <w:rPr>
                <w:rFonts w:hint="eastAsia"/>
                <w:b w:val="0"/>
                <w:bCs w:val="0"/>
                <w:color w:val="auto"/>
                <w:lang w:val="en-US" w:eastAsia="zh-CN"/>
              </w:rPr>
              <w:t>从生产工艺及设备上分析可知，生产过程、灌装过程均在密闭容器中进行，发酵液的转移通过自动传输管道完成，因此发酵过程中废气产生量较小，通过采取加强车间通风的措施，CO</w:t>
            </w:r>
            <w:r>
              <w:rPr>
                <w:rFonts w:hint="eastAsia"/>
                <w:b w:val="0"/>
                <w:bCs w:val="0"/>
                <w:color w:val="auto"/>
                <w:vertAlign w:val="subscript"/>
                <w:lang w:val="en-US" w:eastAsia="zh-CN"/>
              </w:rPr>
              <w:t>2</w:t>
            </w:r>
            <w:r>
              <w:rPr>
                <w:rFonts w:hint="eastAsia"/>
                <w:b w:val="0"/>
                <w:bCs w:val="0"/>
                <w:color w:val="auto"/>
                <w:lang w:val="en-US" w:eastAsia="zh-CN"/>
              </w:rPr>
              <w:t>为空气主要成分，不会对大气环境造成污染影响，非甲烷总烃外排量较少，对环境空气影响较小。</w:t>
            </w:r>
          </w:p>
          <w:p w14:paraId="2274BA25">
            <w:pPr>
              <w:widowControl/>
              <w:ind w:firstLine="482" w:firstLineChars="200"/>
              <w:jc w:val="both"/>
              <w:rPr>
                <w:rFonts w:hint="eastAsia"/>
                <w:b/>
                <w:bCs/>
                <w:color w:val="auto"/>
                <w:lang w:eastAsia="zh-CN"/>
              </w:rPr>
            </w:pPr>
            <w:r>
              <w:rPr>
                <w:rFonts w:hint="eastAsia"/>
                <w:b/>
                <w:bCs/>
                <w:color w:val="auto"/>
                <w:lang w:val="en-US" w:eastAsia="zh-CN"/>
              </w:rPr>
              <w:fldChar w:fldCharType="begin"/>
            </w:r>
            <w:r>
              <w:rPr>
                <w:rFonts w:hint="eastAsia"/>
                <w:b/>
                <w:bCs/>
                <w:color w:val="auto"/>
                <w:lang w:val="en-US" w:eastAsia="zh-CN"/>
              </w:rPr>
              <w:instrText xml:space="preserve"> = 2 \* GB3 \* MERGEFORMAT </w:instrText>
            </w:r>
            <w:r>
              <w:rPr>
                <w:rFonts w:hint="eastAsia"/>
                <w:b/>
                <w:bCs/>
                <w:color w:val="auto"/>
                <w:lang w:val="en-US" w:eastAsia="zh-CN"/>
              </w:rPr>
              <w:fldChar w:fldCharType="separate"/>
            </w:r>
            <w:r>
              <w:rPr>
                <w:rFonts w:hint="eastAsia"/>
                <w:b/>
                <w:bCs/>
                <w:color w:val="auto"/>
                <w:lang w:val="en-US" w:eastAsia="zh-CN"/>
              </w:rPr>
              <w:t>②</w:t>
            </w:r>
            <w:r>
              <w:rPr>
                <w:rFonts w:hint="eastAsia"/>
                <w:b/>
                <w:bCs/>
                <w:color w:val="auto"/>
                <w:lang w:val="en-US" w:eastAsia="zh-CN"/>
              </w:rPr>
              <w:fldChar w:fldCharType="end"/>
            </w:r>
            <w:r>
              <w:rPr>
                <w:rFonts w:hint="eastAsia"/>
                <w:b/>
                <w:bCs/>
                <w:color w:val="auto"/>
                <w:lang w:val="en-US" w:eastAsia="zh-CN"/>
              </w:rPr>
              <w:t>固废暂存废气</w:t>
            </w:r>
          </w:p>
          <w:p w14:paraId="45D0FC64">
            <w:pPr>
              <w:widowControl/>
              <w:ind w:firstLine="480" w:firstLineChars="200"/>
              <w:jc w:val="both"/>
              <w:rPr>
                <w:rFonts w:hint="eastAsia" w:ascii="Times New Roman" w:hAnsi="Times New Roman" w:eastAsia="宋体" w:cs="Times New Roman"/>
                <w:b w:val="0"/>
                <w:bCs w:val="0"/>
                <w:color w:val="auto"/>
                <w:lang w:eastAsia="zh-CN"/>
              </w:rPr>
            </w:pPr>
            <w:r>
              <w:rPr>
                <w:rFonts w:hint="eastAsia" w:ascii="Times New Roman" w:hAnsi="Times New Roman" w:eastAsia="宋体" w:cs="Times New Roman"/>
                <w:b w:val="0"/>
                <w:bCs w:val="0"/>
                <w:color w:val="auto"/>
                <w:lang w:eastAsia="zh-CN"/>
              </w:rPr>
              <w:t>项目啤酒加工固废（废酒糟、</w:t>
            </w:r>
            <w:r>
              <w:rPr>
                <w:rFonts w:hint="eastAsia" w:cs="Times New Roman"/>
                <w:b w:val="0"/>
                <w:bCs w:val="0"/>
                <w:color w:val="auto"/>
                <w:lang w:val="en-US" w:eastAsia="zh-CN"/>
              </w:rPr>
              <w:t>废酵母、</w:t>
            </w:r>
            <w:r>
              <w:rPr>
                <w:rFonts w:hint="eastAsia" w:ascii="Times New Roman" w:hAnsi="Times New Roman" w:eastAsia="宋体" w:cs="Times New Roman"/>
                <w:b w:val="0"/>
                <w:bCs w:val="0"/>
                <w:color w:val="auto"/>
                <w:lang w:eastAsia="zh-CN"/>
              </w:rPr>
              <w:t>废酒花、</w:t>
            </w:r>
            <w:r>
              <w:rPr>
                <w:rFonts w:hint="eastAsia" w:cs="Times New Roman"/>
                <w:b w:val="0"/>
                <w:bCs w:val="0"/>
                <w:color w:val="auto"/>
                <w:lang w:val="en-US" w:eastAsia="zh-CN"/>
              </w:rPr>
              <w:t>沉淀渣</w:t>
            </w:r>
            <w:r>
              <w:rPr>
                <w:rFonts w:hint="eastAsia" w:ascii="Times New Roman" w:hAnsi="Times New Roman" w:eastAsia="宋体" w:cs="Times New Roman"/>
                <w:b w:val="0"/>
                <w:bCs w:val="0"/>
                <w:color w:val="auto"/>
                <w:lang w:eastAsia="zh-CN"/>
              </w:rPr>
              <w:t>等）会产生异味，以臭气浓度计。产生的啤酒加工固废暂存于密闭专用存储桶内，并</w:t>
            </w:r>
            <w:r>
              <w:rPr>
                <w:rFonts w:hint="eastAsia" w:ascii="Times New Roman" w:hAnsi="Times New Roman" w:eastAsia="宋体" w:cs="Times New Roman"/>
                <w:b w:val="0"/>
                <w:bCs w:val="0"/>
                <w:color w:val="auto"/>
                <w:lang w:val="en-US" w:eastAsia="zh-CN"/>
              </w:rPr>
              <w:t>全部定向外售至已取得饲料生产合法资质的饲料加工企业，或具备规模化养殖资质、配套合规饲料加工车间的养殖场，作为饲料生产原料实现全量资源化利用，不交由无资质散户零散收购处置，即产即清，</w:t>
            </w:r>
            <w:r>
              <w:rPr>
                <w:rFonts w:hint="eastAsia" w:ascii="Times New Roman" w:hAnsi="Times New Roman" w:eastAsia="宋体" w:cs="Times New Roman"/>
                <w:b w:val="0"/>
                <w:bCs w:val="0"/>
                <w:color w:val="auto"/>
                <w:lang w:eastAsia="zh-CN"/>
              </w:rPr>
              <w:t>不在厂区贮存，该部分废气属无组织排放，产生量较少，清运过程喷洒除臭剂后对环境影响不</w:t>
            </w:r>
            <w:r>
              <w:rPr>
                <w:rFonts w:hint="eastAsia" w:cs="Times New Roman"/>
                <w:b w:val="0"/>
                <w:bCs w:val="0"/>
                <w:color w:val="auto"/>
                <w:lang w:val="en-US" w:eastAsia="zh-CN"/>
              </w:rPr>
              <w:t>大</w:t>
            </w:r>
            <w:r>
              <w:rPr>
                <w:rFonts w:hint="eastAsia" w:ascii="Times New Roman" w:hAnsi="Times New Roman" w:eastAsia="宋体" w:cs="Times New Roman"/>
                <w:b w:val="0"/>
                <w:bCs w:val="0"/>
                <w:color w:val="auto"/>
                <w:lang w:eastAsia="zh-CN"/>
              </w:rPr>
              <w:t>。</w:t>
            </w:r>
          </w:p>
          <w:p w14:paraId="7AB057B2">
            <w:pPr>
              <w:bidi w:val="0"/>
              <w:rPr>
                <w:rFonts w:hint="default" w:eastAsia="宋体" w:cs="Times New Roman"/>
                <w:b/>
                <w:bCs/>
                <w:color w:val="auto"/>
                <w:lang w:val="en-US" w:eastAsia="zh-CN"/>
              </w:rPr>
            </w:pPr>
            <w:r>
              <w:rPr>
                <w:rFonts w:hint="eastAsia" w:cs="Times New Roman"/>
                <w:b/>
                <w:bCs/>
                <w:color w:val="auto"/>
              </w:rPr>
              <w:t>③</w:t>
            </w:r>
            <w:r>
              <w:rPr>
                <w:rFonts w:hint="eastAsia" w:cs="Times New Roman"/>
                <w:b/>
                <w:bCs/>
                <w:color w:val="auto"/>
                <w:lang w:val="en-US" w:eastAsia="zh-CN"/>
              </w:rPr>
              <w:t>污水处理恶臭</w:t>
            </w:r>
          </w:p>
          <w:p w14:paraId="3BF7EE40">
            <w:pPr>
              <w:widowControl/>
              <w:ind w:firstLine="480" w:firstLineChars="200"/>
              <w:jc w:val="both"/>
              <w:rPr>
                <w:rFonts w:hint="eastAsia"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项目拟新建一体化污水处理设备，污水处理站建成后会有少量恶臭产生。该部分废气属无组织排放。项目污水处理站规模小，恶臭气体为H</w:t>
            </w:r>
            <w:r>
              <w:rPr>
                <w:rFonts w:hint="eastAsia" w:ascii="Times New Roman" w:hAnsi="Times New Roman" w:eastAsia="宋体" w:cs="Times New Roman"/>
                <w:b w:val="0"/>
                <w:bCs w:val="0"/>
                <w:color w:val="auto"/>
                <w:vertAlign w:val="subscript"/>
                <w:lang w:val="en-US" w:eastAsia="zh-CN"/>
              </w:rPr>
              <w:t>2</w:t>
            </w:r>
            <w:r>
              <w:rPr>
                <w:rFonts w:hint="eastAsia" w:ascii="Times New Roman" w:hAnsi="Times New Roman" w:eastAsia="宋体" w:cs="Times New Roman"/>
                <w:b w:val="0"/>
                <w:bCs w:val="0"/>
                <w:color w:val="auto"/>
                <w:lang w:val="en-US" w:eastAsia="zh-CN"/>
              </w:rPr>
              <w:t>S及NH</w:t>
            </w:r>
            <w:r>
              <w:rPr>
                <w:rFonts w:hint="eastAsia" w:ascii="Times New Roman" w:hAnsi="Times New Roman" w:eastAsia="宋体" w:cs="Times New Roman"/>
                <w:b w:val="0"/>
                <w:bCs w:val="0"/>
                <w:color w:val="auto"/>
                <w:vertAlign w:val="subscript"/>
                <w:lang w:val="en-US" w:eastAsia="zh-CN"/>
              </w:rPr>
              <w:t>3</w:t>
            </w:r>
            <w:r>
              <w:rPr>
                <w:rFonts w:hint="eastAsia" w:ascii="Times New Roman" w:hAnsi="Times New Roman" w:eastAsia="宋体" w:cs="Times New Roman"/>
                <w:b w:val="0"/>
                <w:bCs w:val="0"/>
                <w:color w:val="auto"/>
                <w:lang w:val="en-US" w:eastAsia="zh-CN"/>
              </w:rPr>
              <w:t>。本项目污水处理站恶臭污染物源强根据美国EPA对城市污水处理厂恶臭污染物产生情况的研究，每去除1g的BOD</w:t>
            </w:r>
            <w:r>
              <w:rPr>
                <w:rFonts w:hint="eastAsia" w:ascii="Times New Roman" w:hAnsi="Times New Roman" w:eastAsia="宋体" w:cs="Times New Roman"/>
                <w:b w:val="0"/>
                <w:bCs w:val="0"/>
                <w:color w:val="auto"/>
                <w:vertAlign w:val="subscript"/>
                <w:lang w:val="en-US" w:eastAsia="zh-CN"/>
              </w:rPr>
              <w:t>5</w:t>
            </w:r>
            <w:r>
              <w:rPr>
                <w:rFonts w:hint="eastAsia" w:ascii="Times New Roman" w:hAnsi="Times New Roman" w:eastAsia="宋体" w:cs="Times New Roman"/>
                <w:b w:val="0"/>
                <w:bCs w:val="0"/>
                <w:color w:val="auto"/>
                <w:lang w:val="en-US" w:eastAsia="zh-CN"/>
              </w:rPr>
              <w:t>，可产生0.0031g的NH</w:t>
            </w:r>
            <w:r>
              <w:rPr>
                <w:rFonts w:hint="eastAsia" w:ascii="Times New Roman" w:hAnsi="Times New Roman" w:eastAsia="宋体" w:cs="Times New Roman"/>
                <w:b w:val="0"/>
                <w:bCs w:val="0"/>
                <w:color w:val="auto"/>
                <w:vertAlign w:val="subscript"/>
                <w:lang w:val="en-US" w:eastAsia="zh-CN"/>
              </w:rPr>
              <w:t>3</w:t>
            </w:r>
            <w:r>
              <w:rPr>
                <w:rFonts w:hint="eastAsia" w:ascii="Times New Roman" w:hAnsi="Times New Roman" w:eastAsia="宋体" w:cs="Times New Roman"/>
                <w:b w:val="0"/>
                <w:bCs w:val="0"/>
                <w:color w:val="auto"/>
                <w:lang w:val="en-US" w:eastAsia="zh-CN"/>
              </w:rPr>
              <w:t>、0.00012g的H</w:t>
            </w:r>
            <w:r>
              <w:rPr>
                <w:rFonts w:hint="eastAsia" w:ascii="Times New Roman" w:hAnsi="Times New Roman" w:eastAsia="宋体" w:cs="Times New Roman"/>
                <w:b w:val="0"/>
                <w:bCs w:val="0"/>
                <w:color w:val="auto"/>
                <w:vertAlign w:val="subscript"/>
                <w:lang w:val="en-US" w:eastAsia="zh-CN"/>
              </w:rPr>
              <w:t>2</w:t>
            </w:r>
            <w:r>
              <w:rPr>
                <w:rFonts w:hint="eastAsia" w:ascii="Times New Roman" w:hAnsi="Times New Roman" w:eastAsia="宋体" w:cs="Times New Roman"/>
                <w:b w:val="0"/>
                <w:bCs w:val="0"/>
                <w:color w:val="auto"/>
                <w:lang w:val="en-US" w:eastAsia="zh-CN"/>
              </w:rPr>
              <w:t>S。</w:t>
            </w:r>
          </w:p>
          <w:p w14:paraId="00040776">
            <w:pPr>
              <w:widowControl/>
              <w:ind w:firstLine="480" w:firstLineChars="200"/>
              <w:jc w:val="both"/>
              <w:rPr>
                <w:rFonts w:hint="eastAsia"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根据核算项目一体化污水处理站年处理污水</w:t>
            </w:r>
            <w:r>
              <w:rPr>
                <w:rFonts w:hint="eastAsia" w:cs="Times New Roman"/>
                <w:b w:val="0"/>
                <w:bCs w:val="0"/>
                <w:color w:val="auto"/>
                <w:lang w:val="en-US" w:eastAsia="zh-CN"/>
              </w:rPr>
              <w:t>3804.7265</w:t>
            </w:r>
            <w:r>
              <w:rPr>
                <w:rFonts w:hint="eastAsia" w:ascii="Times New Roman" w:hAnsi="Times New Roman" w:eastAsia="宋体" w:cs="Times New Roman"/>
                <w:b w:val="0"/>
                <w:bCs w:val="0"/>
                <w:color w:val="auto"/>
                <w:lang w:val="en-US" w:eastAsia="zh-CN"/>
              </w:rPr>
              <w:t>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，BOD</w:t>
            </w:r>
            <w:r>
              <w:rPr>
                <w:rFonts w:hint="eastAsia" w:ascii="Times New Roman" w:hAnsi="Times New Roman" w:eastAsia="宋体" w:cs="Times New Roman"/>
                <w:b w:val="0"/>
                <w:bCs w:val="0"/>
                <w:color w:val="auto"/>
                <w:vertAlign w:val="subscript"/>
                <w:lang w:val="en-US" w:eastAsia="zh-CN"/>
              </w:rPr>
              <w:t>5</w:t>
            </w:r>
            <w:r>
              <w:rPr>
                <w:rFonts w:hint="eastAsia" w:ascii="Times New Roman" w:hAnsi="Times New Roman" w:eastAsia="宋体" w:cs="Times New Roman"/>
                <w:b w:val="0"/>
                <w:bCs w:val="0"/>
                <w:color w:val="auto"/>
                <w:lang w:val="en-US" w:eastAsia="zh-CN"/>
              </w:rPr>
              <w:t>的去除量为</w:t>
            </w:r>
            <w:r>
              <w:rPr>
                <w:rFonts w:hint="eastAsia" w:cs="Times New Roman"/>
                <w:b w:val="0"/>
                <w:bCs w:val="0"/>
                <w:color w:val="auto"/>
                <w:lang w:val="en-US" w:eastAsia="zh-CN"/>
              </w:rPr>
              <w:t>5.308</w:t>
            </w:r>
            <w:r>
              <w:rPr>
                <w:rFonts w:hint="eastAsia" w:ascii="Times New Roman" w:hAnsi="Times New Roman" w:eastAsia="宋体" w:cs="Times New Roman"/>
                <w:b w:val="0"/>
                <w:bCs w:val="0"/>
                <w:color w:val="auto"/>
                <w:lang w:val="en-US" w:eastAsia="zh-CN"/>
              </w:rPr>
              <w:t>t/a，NH</w:t>
            </w:r>
            <w:r>
              <w:rPr>
                <w:rFonts w:hint="eastAsia" w:ascii="Times New Roman" w:hAnsi="Times New Roman" w:eastAsia="宋体" w:cs="Times New Roman"/>
                <w:b w:val="0"/>
                <w:bCs w:val="0"/>
                <w:color w:val="auto"/>
                <w:vertAlign w:val="subscript"/>
                <w:lang w:val="en-US" w:eastAsia="zh-CN"/>
              </w:rPr>
              <w:t>3</w:t>
            </w:r>
            <w:r>
              <w:rPr>
                <w:rFonts w:hint="eastAsia" w:ascii="Times New Roman" w:hAnsi="Times New Roman" w:eastAsia="宋体" w:cs="Times New Roman"/>
                <w:b w:val="0"/>
                <w:bCs w:val="0"/>
                <w:color w:val="auto"/>
                <w:lang w:val="en-US" w:eastAsia="zh-CN"/>
              </w:rPr>
              <w:t>及H</w:t>
            </w:r>
            <w:r>
              <w:rPr>
                <w:rFonts w:hint="eastAsia" w:ascii="Times New Roman" w:hAnsi="Times New Roman" w:eastAsia="宋体" w:cs="Times New Roman"/>
                <w:b w:val="0"/>
                <w:bCs w:val="0"/>
                <w:color w:val="auto"/>
                <w:vertAlign w:val="subscript"/>
                <w:lang w:val="en-US" w:eastAsia="zh-CN"/>
              </w:rPr>
              <w:t>2</w:t>
            </w:r>
            <w:r>
              <w:rPr>
                <w:rFonts w:hint="eastAsia" w:ascii="Times New Roman" w:hAnsi="Times New Roman" w:eastAsia="宋体" w:cs="Times New Roman"/>
                <w:b w:val="0"/>
                <w:bCs w:val="0"/>
                <w:color w:val="auto"/>
                <w:lang w:val="en-US" w:eastAsia="zh-CN"/>
              </w:rPr>
              <w:t>S产生速率及量见</w:t>
            </w:r>
            <w:r>
              <w:rPr>
                <w:rFonts w:hint="eastAsia" w:cs="Times New Roman"/>
                <w:b w:val="0"/>
                <w:bCs w:val="0"/>
                <w:color w:val="auto"/>
                <w:lang w:val="en-US" w:eastAsia="zh-CN"/>
              </w:rPr>
              <w:t>下</w:t>
            </w:r>
            <w:r>
              <w:rPr>
                <w:rFonts w:hint="eastAsia" w:ascii="Times New Roman" w:hAnsi="Times New Roman" w:eastAsia="宋体" w:cs="Times New Roman"/>
                <w:b w:val="0"/>
                <w:bCs w:val="0"/>
                <w:color w:val="auto"/>
                <w:lang w:val="en-US" w:eastAsia="zh-CN"/>
              </w:rPr>
              <w:t>表。</w:t>
            </w:r>
          </w:p>
          <w:p w14:paraId="54B2C54D">
            <w:pPr>
              <w:pStyle w:val="30"/>
              <w:bidi w:val="0"/>
              <w:rPr>
                <w:rFonts w:hint="eastAsia"/>
                <w:color w:val="auto"/>
                <w:lang w:eastAsia="zh-CN"/>
              </w:rPr>
            </w:pPr>
            <w:r>
              <w:rPr>
                <w:rFonts w:hint="eastAsia"/>
                <w:color w:val="auto"/>
                <w:lang w:val="en-US" w:eastAsia="zh-CN"/>
              </w:rPr>
              <w:t>表4-3项目运营期废气排放情况表</w:t>
            </w:r>
          </w:p>
          <w:tbl>
            <w:tblPr>
              <w:tblStyle w:val="24"/>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56"/>
              <w:gridCol w:w="1560"/>
              <w:gridCol w:w="1583"/>
              <w:gridCol w:w="1572"/>
              <w:gridCol w:w="1569"/>
            </w:tblGrid>
            <w:tr w14:paraId="5B62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587" w:type="dxa"/>
                  <w:tcBorders>
                    <w:top w:val="single" w:color="000000" w:sz="4" w:space="0"/>
                    <w:left w:val="single" w:color="000000" w:sz="4" w:space="0"/>
                    <w:bottom w:val="single" w:color="000000" w:sz="4" w:space="0"/>
                    <w:right w:val="single" w:color="000000" w:sz="4" w:space="0"/>
                    <w:tl2br w:val="nil"/>
                  </w:tcBorders>
                  <w:shd w:val="clear" w:color="auto" w:fill="auto"/>
                  <w:noWrap w:val="0"/>
                  <w:vAlign w:val="center"/>
                </w:tcPr>
                <w:p w14:paraId="47B23D3D">
                  <w:pPr>
                    <w:pStyle w:val="29"/>
                    <w:bidi w:val="0"/>
                    <w:rPr>
                      <w:rFonts w:hint="eastAsia"/>
                      <w:color w:val="auto"/>
                      <w:lang w:eastAsia="zh-CN"/>
                    </w:rPr>
                  </w:pPr>
                  <w:r>
                    <w:rPr>
                      <w:rFonts w:hint="eastAsia"/>
                      <w:color w:val="auto"/>
                      <w:lang w:eastAsia="zh-CN"/>
                    </w:rPr>
                    <w:t>产污点</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F88FE">
                  <w:pPr>
                    <w:pStyle w:val="29"/>
                    <w:bidi w:val="0"/>
                    <w:rPr>
                      <w:rFonts w:hint="eastAsia"/>
                      <w:color w:val="auto"/>
                      <w:lang w:eastAsia="zh-CN"/>
                    </w:rPr>
                  </w:pPr>
                  <w:r>
                    <w:rPr>
                      <w:rFonts w:hint="eastAsia"/>
                      <w:color w:val="auto"/>
                      <w:lang w:eastAsia="zh-CN"/>
                    </w:rPr>
                    <w:t>污染物名称</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685EE">
                  <w:pPr>
                    <w:pStyle w:val="29"/>
                    <w:bidi w:val="0"/>
                    <w:rPr>
                      <w:rFonts w:hint="eastAsia"/>
                      <w:color w:val="auto"/>
                      <w:lang w:eastAsia="zh-CN"/>
                    </w:rPr>
                  </w:pPr>
                  <w:r>
                    <w:rPr>
                      <w:rFonts w:hint="eastAsia"/>
                      <w:color w:val="auto"/>
                      <w:lang w:eastAsia="zh-CN"/>
                    </w:rPr>
                    <w:t>产污系数</w:t>
                  </w:r>
                </w:p>
                <w:p w14:paraId="76547E09">
                  <w:pPr>
                    <w:pStyle w:val="29"/>
                    <w:bidi w:val="0"/>
                    <w:rPr>
                      <w:rFonts w:hint="eastAsia"/>
                      <w:color w:val="auto"/>
                      <w:lang w:eastAsia="zh-CN"/>
                    </w:rPr>
                  </w:pPr>
                  <w:r>
                    <w:rPr>
                      <w:rFonts w:hint="eastAsia"/>
                      <w:color w:val="auto"/>
                      <w:lang w:val="en-US" w:eastAsia="zh-CN"/>
                    </w:rPr>
                    <w:t>（g/gBOD</w:t>
                  </w:r>
                  <w:r>
                    <w:rPr>
                      <w:rFonts w:hint="eastAsia"/>
                      <w:color w:val="auto"/>
                      <w:vertAlign w:val="subscript"/>
                      <w:lang w:val="en-US" w:eastAsia="zh-CN"/>
                    </w:rPr>
                    <w:t>5</w:t>
                  </w:r>
                  <w:r>
                    <w:rPr>
                      <w:rFonts w:hint="eastAsia"/>
                      <w:color w:val="auto"/>
                      <w:lang w:val="en-US" w:eastAsia="zh-CN"/>
                    </w:rPr>
                    <w:t>）</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26398">
                  <w:pPr>
                    <w:pStyle w:val="29"/>
                    <w:bidi w:val="0"/>
                    <w:rPr>
                      <w:rFonts w:hint="eastAsia"/>
                      <w:color w:val="auto"/>
                      <w:lang w:eastAsia="zh-CN"/>
                    </w:rPr>
                  </w:pPr>
                  <w:r>
                    <w:rPr>
                      <w:rFonts w:hint="eastAsia"/>
                      <w:color w:val="auto"/>
                      <w:lang w:eastAsia="zh-CN"/>
                    </w:rPr>
                    <w:t>产生速率</w:t>
                  </w:r>
                </w:p>
                <w:p w14:paraId="5E0B1BF6">
                  <w:pPr>
                    <w:pStyle w:val="29"/>
                    <w:bidi w:val="0"/>
                    <w:rPr>
                      <w:rFonts w:hint="eastAsia"/>
                      <w:color w:val="auto"/>
                      <w:lang w:eastAsia="zh-CN"/>
                    </w:rPr>
                  </w:pPr>
                  <w:r>
                    <w:rPr>
                      <w:rFonts w:hint="eastAsia"/>
                      <w:color w:val="auto"/>
                      <w:lang w:val="en-US" w:eastAsia="zh-CN"/>
                    </w:rPr>
                    <w:t>（kg/h）</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E96D2">
                  <w:pPr>
                    <w:pStyle w:val="29"/>
                    <w:bidi w:val="0"/>
                    <w:rPr>
                      <w:rFonts w:hint="eastAsia"/>
                      <w:color w:val="auto"/>
                      <w:lang w:eastAsia="zh-CN"/>
                    </w:rPr>
                  </w:pPr>
                  <w:r>
                    <w:rPr>
                      <w:rFonts w:hint="eastAsia"/>
                      <w:color w:val="auto"/>
                      <w:lang w:eastAsia="zh-CN"/>
                    </w:rPr>
                    <w:t>产生量</w:t>
                  </w:r>
                </w:p>
                <w:p w14:paraId="0594F41A">
                  <w:pPr>
                    <w:pStyle w:val="29"/>
                    <w:bidi w:val="0"/>
                    <w:rPr>
                      <w:rFonts w:hint="eastAsia"/>
                      <w:color w:val="auto"/>
                      <w:lang w:eastAsia="zh-CN"/>
                    </w:rPr>
                  </w:pPr>
                  <w:r>
                    <w:rPr>
                      <w:rFonts w:hint="eastAsia"/>
                      <w:color w:val="auto"/>
                      <w:lang w:val="en-US" w:eastAsia="zh-CN"/>
                    </w:rPr>
                    <w:t>（t/a）</w:t>
                  </w:r>
                </w:p>
              </w:tc>
            </w:tr>
            <w:tr w14:paraId="31F1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7"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1875D">
                  <w:pPr>
                    <w:pStyle w:val="29"/>
                    <w:bidi w:val="0"/>
                    <w:rPr>
                      <w:rFonts w:hint="eastAsia"/>
                      <w:color w:val="auto"/>
                      <w:lang w:eastAsia="zh-CN"/>
                    </w:rPr>
                  </w:pPr>
                  <w:r>
                    <w:rPr>
                      <w:rFonts w:hint="eastAsia"/>
                      <w:color w:val="auto"/>
                      <w:lang w:eastAsia="zh-CN"/>
                    </w:rPr>
                    <w:t>污水处理站</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2D8D9">
                  <w:pPr>
                    <w:pStyle w:val="29"/>
                    <w:bidi w:val="0"/>
                    <w:rPr>
                      <w:rFonts w:hint="eastAsia"/>
                      <w:color w:val="auto"/>
                      <w:lang w:eastAsia="zh-CN"/>
                    </w:rPr>
                  </w:pPr>
                  <w:r>
                    <w:rPr>
                      <w:rFonts w:hint="eastAsia"/>
                      <w:color w:val="auto"/>
                      <w:lang w:val="en-US" w:eastAsia="zh-CN"/>
                    </w:rPr>
                    <w:t>NH</w:t>
                  </w:r>
                  <w:r>
                    <w:rPr>
                      <w:rFonts w:hint="eastAsia"/>
                      <w:color w:val="auto"/>
                      <w:vertAlign w:val="subscript"/>
                      <w:lang w:val="en-US" w:eastAsia="zh-CN"/>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BA907">
                  <w:pPr>
                    <w:pStyle w:val="29"/>
                    <w:bidi w:val="0"/>
                    <w:rPr>
                      <w:rFonts w:hint="eastAsia"/>
                      <w:color w:val="auto"/>
                      <w:lang w:val="en-US" w:eastAsia="zh-CN"/>
                    </w:rPr>
                  </w:pPr>
                  <w:r>
                    <w:rPr>
                      <w:rFonts w:hint="eastAsia"/>
                      <w:color w:val="auto"/>
                      <w:lang w:val="en-US" w:eastAsia="zh-CN"/>
                    </w:rPr>
                    <w:t>0.0031</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E7B76">
                  <w:pPr>
                    <w:pStyle w:val="29"/>
                    <w:bidi w:val="0"/>
                    <w:rPr>
                      <w:rFonts w:hint="default"/>
                      <w:color w:val="auto"/>
                      <w:lang w:val="en-US" w:eastAsia="zh-CN"/>
                    </w:rPr>
                  </w:pPr>
                  <w:r>
                    <w:rPr>
                      <w:rFonts w:hint="eastAsia"/>
                      <w:color w:val="auto"/>
                      <w:lang w:val="en-US" w:eastAsia="zh-CN"/>
                    </w:rPr>
                    <w:t>0.007</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874CF">
                  <w:pPr>
                    <w:pStyle w:val="29"/>
                    <w:bidi w:val="0"/>
                    <w:rPr>
                      <w:rFonts w:hint="default"/>
                      <w:color w:val="auto"/>
                      <w:lang w:val="en-US" w:eastAsia="zh-CN"/>
                    </w:rPr>
                  </w:pPr>
                  <w:r>
                    <w:rPr>
                      <w:rFonts w:hint="eastAsia"/>
                      <w:color w:val="auto"/>
                      <w:lang w:val="en-US" w:eastAsia="zh-CN"/>
                    </w:rPr>
                    <w:t>0.016</w:t>
                  </w:r>
                </w:p>
              </w:tc>
            </w:tr>
            <w:tr w14:paraId="4106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7"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72442">
                  <w:pPr>
                    <w:pStyle w:val="29"/>
                    <w:bidi w:val="0"/>
                    <w:rPr>
                      <w:rFonts w:hint="eastAsia"/>
                      <w:color w:val="auto"/>
                      <w:lang w:eastAsia="zh-CN"/>
                    </w:rPr>
                  </w:pP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C80DF">
                  <w:pPr>
                    <w:pStyle w:val="29"/>
                    <w:bidi w:val="0"/>
                    <w:rPr>
                      <w:rFonts w:hint="eastAsia"/>
                      <w:color w:val="auto"/>
                      <w:lang w:eastAsia="zh-CN"/>
                    </w:rPr>
                  </w:pPr>
                  <w:r>
                    <w:rPr>
                      <w:rFonts w:hint="eastAsia"/>
                      <w:color w:val="auto"/>
                      <w:lang w:val="en-US" w:eastAsia="zh-CN"/>
                    </w:rPr>
                    <w:t>H</w:t>
                  </w:r>
                  <w:r>
                    <w:rPr>
                      <w:rFonts w:hint="eastAsia"/>
                      <w:color w:val="auto"/>
                      <w:vertAlign w:val="subscript"/>
                      <w:lang w:val="en-US" w:eastAsia="zh-CN"/>
                    </w:rPr>
                    <w:t>2</w:t>
                  </w:r>
                  <w:r>
                    <w:rPr>
                      <w:rFonts w:hint="eastAsia"/>
                      <w:color w:val="auto"/>
                      <w:lang w:val="en-US" w:eastAsia="zh-CN"/>
                    </w:rPr>
                    <w:t>S</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9F396">
                  <w:pPr>
                    <w:pStyle w:val="29"/>
                    <w:bidi w:val="0"/>
                    <w:rPr>
                      <w:rFonts w:hint="eastAsia"/>
                      <w:color w:val="auto"/>
                      <w:lang w:val="en-US" w:eastAsia="zh-CN"/>
                    </w:rPr>
                  </w:pPr>
                  <w:r>
                    <w:rPr>
                      <w:rFonts w:hint="eastAsia"/>
                      <w:color w:val="auto"/>
                      <w:lang w:val="en-US" w:eastAsia="zh-CN"/>
                    </w:rPr>
                    <w:t>0.00012</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0D38">
                  <w:pPr>
                    <w:pStyle w:val="29"/>
                    <w:bidi w:val="0"/>
                    <w:rPr>
                      <w:rFonts w:hint="default"/>
                      <w:color w:val="auto"/>
                      <w:lang w:val="en-US" w:eastAsia="zh-CN"/>
                    </w:rPr>
                  </w:pPr>
                  <w:r>
                    <w:rPr>
                      <w:rFonts w:hint="eastAsia"/>
                      <w:color w:val="auto"/>
                      <w:lang w:val="en-US" w:eastAsia="zh-CN"/>
                    </w:rPr>
                    <w:t>0.0003</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3B870">
                  <w:pPr>
                    <w:pStyle w:val="29"/>
                    <w:bidi w:val="0"/>
                    <w:rPr>
                      <w:rFonts w:hint="eastAsia"/>
                      <w:color w:val="auto"/>
                      <w:lang w:val="en-US" w:eastAsia="zh-CN"/>
                    </w:rPr>
                  </w:pPr>
                  <w:r>
                    <w:rPr>
                      <w:rFonts w:hint="eastAsia"/>
                      <w:color w:val="auto"/>
                      <w:lang w:val="en-US" w:eastAsia="zh-CN"/>
                    </w:rPr>
                    <w:t>0.0006</w:t>
                  </w:r>
                </w:p>
              </w:tc>
            </w:tr>
          </w:tbl>
          <w:p w14:paraId="091B4114">
            <w:pPr>
              <w:bidi w:val="0"/>
              <w:rPr>
                <w:rFonts w:hint="eastAsia"/>
                <w:b w:val="0"/>
                <w:bCs w:val="0"/>
                <w:color w:val="auto"/>
                <w:lang w:val="en-GB" w:eastAsia="zh-CN"/>
              </w:rPr>
            </w:pPr>
            <w:r>
              <w:rPr>
                <w:rFonts w:hint="eastAsia"/>
                <w:b w:val="0"/>
                <w:bCs w:val="0"/>
                <w:color w:val="auto"/>
                <w:lang w:val="en-US" w:eastAsia="zh-CN"/>
              </w:rPr>
              <w:t>由表4-3可知，项目污水处理NH</w:t>
            </w:r>
            <w:r>
              <w:rPr>
                <w:rFonts w:hint="eastAsia"/>
                <w:b w:val="0"/>
                <w:bCs w:val="0"/>
                <w:color w:val="auto"/>
                <w:vertAlign w:val="subscript"/>
                <w:lang w:val="en-US" w:eastAsia="zh-CN"/>
              </w:rPr>
              <w:t>3</w:t>
            </w:r>
            <w:r>
              <w:rPr>
                <w:rFonts w:hint="eastAsia"/>
                <w:b w:val="0"/>
                <w:bCs w:val="0"/>
                <w:color w:val="auto"/>
                <w:lang w:val="en-US" w:eastAsia="zh-CN"/>
              </w:rPr>
              <w:t>、H</w:t>
            </w:r>
            <w:r>
              <w:rPr>
                <w:rFonts w:hint="eastAsia"/>
                <w:b w:val="0"/>
                <w:bCs w:val="0"/>
                <w:color w:val="auto"/>
                <w:vertAlign w:val="subscript"/>
                <w:lang w:val="en-US" w:eastAsia="zh-CN"/>
              </w:rPr>
              <w:t>2</w:t>
            </w:r>
            <w:r>
              <w:rPr>
                <w:rFonts w:hint="eastAsia"/>
                <w:b w:val="0"/>
                <w:bCs w:val="0"/>
                <w:color w:val="auto"/>
                <w:lang w:val="en-US" w:eastAsia="zh-CN"/>
              </w:rPr>
              <w:t>S的产生速率较小，在运营过程中建设单位应加强对污水处理站的维护保养，定期喷洒除臭剂，采取上述措施后对环境影响大不。</w:t>
            </w:r>
          </w:p>
          <w:p w14:paraId="6484AD56">
            <w:pPr>
              <w:bidi w:val="0"/>
              <w:rPr>
                <w:rFonts w:hint="eastAsia"/>
                <w:b/>
                <w:bCs/>
                <w:color w:val="auto"/>
                <w:lang w:eastAsia="zh-CN"/>
              </w:rPr>
            </w:pPr>
            <w:r>
              <w:rPr>
                <w:rFonts w:hint="eastAsia"/>
                <w:b/>
                <w:bCs/>
                <w:color w:val="auto"/>
                <w:lang w:eastAsia="zh-CN"/>
              </w:rPr>
              <w:fldChar w:fldCharType="begin"/>
            </w:r>
            <w:r>
              <w:rPr>
                <w:rFonts w:hint="eastAsia"/>
                <w:b/>
                <w:bCs/>
                <w:color w:val="auto"/>
                <w:lang w:eastAsia="zh-CN"/>
              </w:rPr>
              <w:instrText xml:space="preserve"> = 4 \* GB3 \* MERGEFORMAT </w:instrText>
            </w:r>
            <w:r>
              <w:rPr>
                <w:rFonts w:hint="eastAsia"/>
                <w:b/>
                <w:bCs/>
                <w:color w:val="auto"/>
                <w:lang w:eastAsia="zh-CN"/>
              </w:rPr>
              <w:fldChar w:fldCharType="separate"/>
            </w:r>
            <w:r>
              <w:rPr>
                <w:rFonts w:hint="eastAsia"/>
                <w:b/>
                <w:bCs/>
                <w:color w:val="auto"/>
                <w:lang w:eastAsia="zh-CN"/>
              </w:rPr>
              <w:t>④</w:t>
            </w:r>
            <w:r>
              <w:rPr>
                <w:rFonts w:hint="eastAsia"/>
                <w:b/>
                <w:bCs/>
                <w:color w:val="auto"/>
                <w:lang w:eastAsia="zh-CN"/>
              </w:rPr>
              <w:fldChar w:fldCharType="end"/>
            </w:r>
            <w:r>
              <w:rPr>
                <w:rFonts w:hint="eastAsia"/>
                <w:b/>
                <w:bCs/>
                <w:color w:val="auto"/>
                <w:lang w:eastAsia="zh-CN"/>
              </w:rPr>
              <w:t>车辆运输扬尘</w:t>
            </w:r>
          </w:p>
          <w:p w14:paraId="5383CBAC">
            <w:pPr>
              <w:ind w:firstLine="480"/>
              <w:rPr>
                <w:color w:val="auto"/>
              </w:rPr>
            </w:pPr>
            <w:r>
              <w:rPr>
                <w:rFonts w:hint="eastAsia"/>
                <w:color w:val="auto"/>
                <w:lang w:val="en-US" w:eastAsia="zh-CN"/>
              </w:rPr>
              <w:t>本项目原料、产品均通过运输车辆将</w:t>
            </w:r>
            <w:r>
              <w:rPr>
                <w:color w:val="auto"/>
              </w:rPr>
              <w:t>原料运</w:t>
            </w:r>
            <w:r>
              <w:rPr>
                <w:rFonts w:hint="eastAsia"/>
                <w:color w:val="auto"/>
                <w:lang w:val="en-US" w:eastAsia="zh-CN"/>
              </w:rPr>
              <w:t>至场内车间内堆存。</w:t>
            </w:r>
            <w:r>
              <w:rPr>
                <w:color w:val="auto"/>
              </w:rPr>
              <w:t>运输过程中路面起尘量采用经验公式：</w:t>
            </w:r>
          </w:p>
          <w:p w14:paraId="4FB16A1E">
            <w:pPr>
              <w:ind w:firstLine="480"/>
              <w:rPr>
                <w:color w:val="auto"/>
              </w:rPr>
            </w:pPr>
            <w:r>
              <w:rPr>
                <w:color w:val="auto"/>
                <w:szCs w:val="28"/>
              </w:rPr>
              <w:t>Q=0.0079·v·w</w:t>
            </w:r>
            <w:r>
              <w:rPr>
                <w:color w:val="auto"/>
                <w:szCs w:val="28"/>
                <w:vertAlign w:val="superscript"/>
              </w:rPr>
              <w:t>0.85</w:t>
            </w:r>
            <w:r>
              <w:rPr>
                <w:color w:val="auto"/>
                <w:szCs w:val="28"/>
              </w:rPr>
              <w:t>·p</w:t>
            </w:r>
            <w:r>
              <w:rPr>
                <w:color w:val="auto"/>
                <w:szCs w:val="28"/>
                <w:vertAlign w:val="superscript"/>
              </w:rPr>
              <w:t>0.72</w:t>
            </w:r>
          </w:p>
          <w:p w14:paraId="678E3017">
            <w:pPr>
              <w:ind w:firstLine="480"/>
              <w:rPr>
                <w:color w:val="auto"/>
                <w:szCs w:val="28"/>
              </w:rPr>
            </w:pPr>
            <w:r>
              <w:rPr>
                <w:color w:val="auto"/>
              </w:rPr>
              <w:t>其中：</w:t>
            </w:r>
          </w:p>
          <w:p w14:paraId="7768483C">
            <w:pPr>
              <w:ind w:firstLine="480"/>
              <w:rPr>
                <w:color w:val="auto"/>
                <w:szCs w:val="28"/>
              </w:rPr>
            </w:pPr>
            <w:r>
              <w:rPr>
                <w:color w:val="auto"/>
                <w:szCs w:val="28"/>
              </w:rPr>
              <w:t>Q—每辆汽车行</w:t>
            </w:r>
            <w:r>
              <w:rPr>
                <w:rFonts w:hint="eastAsia"/>
                <w:color w:val="auto"/>
                <w:szCs w:val="28"/>
                <w:lang w:eastAsia="zh-CN"/>
              </w:rPr>
              <w:t>驶</w:t>
            </w:r>
            <w:r>
              <w:rPr>
                <w:color w:val="auto"/>
                <w:szCs w:val="28"/>
              </w:rPr>
              <w:t>扬尘量，Kg/Km.辆；</w:t>
            </w:r>
          </w:p>
          <w:p w14:paraId="6290E31D">
            <w:pPr>
              <w:ind w:firstLine="480"/>
              <w:rPr>
                <w:color w:val="auto"/>
                <w:szCs w:val="28"/>
              </w:rPr>
            </w:pPr>
            <w:r>
              <w:rPr>
                <w:color w:val="auto"/>
                <w:szCs w:val="28"/>
              </w:rPr>
              <w:t>V—汽车行</w:t>
            </w:r>
            <w:r>
              <w:rPr>
                <w:rFonts w:hint="eastAsia"/>
                <w:color w:val="auto"/>
                <w:szCs w:val="28"/>
                <w:lang w:eastAsia="zh-CN"/>
              </w:rPr>
              <w:t>驶</w:t>
            </w:r>
            <w:r>
              <w:rPr>
                <w:color w:val="auto"/>
                <w:szCs w:val="28"/>
              </w:rPr>
              <w:t>速度，km/h；</w:t>
            </w:r>
          </w:p>
          <w:p w14:paraId="1859B3EF">
            <w:pPr>
              <w:ind w:firstLine="439" w:firstLineChars="183"/>
              <w:rPr>
                <w:color w:val="auto"/>
                <w:szCs w:val="28"/>
              </w:rPr>
            </w:pPr>
            <w:r>
              <w:rPr>
                <w:color w:val="auto"/>
                <w:szCs w:val="28"/>
              </w:rPr>
              <w:t>W—汽车重量，t；</w:t>
            </w:r>
          </w:p>
          <w:p w14:paraId="551DC96D">
            <w:pPr>
              <w:ind w:firstLine="439" w:firstLineChars="183"/>
              <w:rPr>
                <w:color w:val="auto"/>
                <w:szCs w:val="28"/>
              </w:rPr>
            </w:pPr>
            <w:r>
              <w:rPr>
                <w:color w:val="auto"/>
                <w:szCs w:val="28"/>
              </w:rPr>
              <w:t>P—道路表面粉尘量，kg/m</w:t>
            </w:r>
            <w:r>
              <w:rPr>
                <w:color w:val="auto"/>
                <w:szCs w:val="28"/>
                <w:vertAlign w:val="superscript"/>
              </w:rPr>
              <w:t>2</w:t>
            </w:r>
            <w:r>
              <w:rPr>
                <w:color w:val="auto"/>
                <w:szCs w:val="28"/>
              </w:rPr>
              <w:t>；</w:t>
            </w:r>
          </w:p>
          <w:p w14:paraId="6847C6F7">
            <w:pPr>
              <w:ind w:firstLine="439" w:firstLineChars="183"/>
              <w:rPr>
                <w:rFonts w:hint="eastAsia"/>
                <w:color w:val="auto"/>
              </w:rPr>
            </w:pPr>
            <w:r>
              <w:rPr>
                <w:color w:val="auto"/>
              </w:rPr>
              <w:t>本项目场内运输</w:t>
            </w:r>
            <w:r>
              <w:rPr>
                <w:rFonts w:hint="eastAsia"/>
                <w:color w:val="auto"/>
                <w:lang w:val="en-US" w:eastAsia="zh-CN"/>
              </w:rPr>
              <w:t>车</w:t>
            </w:r>
            <w:r>
              <w:rPr>
                <w:color w:val="auto"/>
              </w:rPr>
              <w:t>行驶速度以20km/h行驶，本环评对道路路况以0.2kg/m</w:t>
            </w:r>
            <w:r>
              <w:rPr>
                <w:color w:val="auto"/>
                <w:vertAlign w:val="superscript"/>
              </w:rPr>
              <w:t>2</w:t>
            </w:r>
            <w:r>
              <w:rPr>
                <w:color w:val="auto"/>
              </w:rPr>
              <w:t>计</w:t>
            </w:r>
            <w:r>
              <w:rPr>
                <w:rFonts w:hint="eastAsia"/>
                <w:color w:val="auto"/>
                <w:lang w:eastAsia="zh-CN"/>
              </w:rPr>
              <w:t>，</w:t>
            </w:r>
            <w:r>
              <w:rPr>
                <w:rFonts w:hint="eastAsia"/>
                <w:color w:val="auto"/>
                <w:lang w:val="en-US" w:eastAsia="zh-CN"/>
              </w:rPr>
              <w:t>运输过程中扬尘产排情况见下表</w:t>
            </w:r>
            <w:r>
              <w:rPr>
                <w:rFonts w:hint="eastAsia"/>
                <w:color w:val="auto"/>
              </w:rPr>
              <w:t>。</w:t>
            </w:r>
          </w:p>
          <w:p w14:paraId="60BD6DC6">
            <w:pPr>
              <w:pStyle w:val="30"/>
              <w:bidi w:val="0"/>
              <w:rPr>
                <w:color w:val="auto"/>
              </w:rPr>
            </w:pPr>
            <w:r>
              <w:rPr>
                <w:color w:val="auto"/>
              </w:rPr>
              <w:t>表</w:t>
            </w:r>
            <w:r>
              <w:rPr>
                <w:rFonts w:hint="eastAsia"/>
                <w:color w:val="auto"/>
                <w:lang w:val="en-US" w:eastAsia="zh-CN"/>
              </w:rPr>
              <w:t>4-4</w:t>
            </w:r>
            <w:r>
              <w:rPr>
                <w:color w:val="auto"/>
              </w:rPr>
              <w:t xml:space="preserve"> 本项目运输扬尘产排情况一览表</w:t>
            </w:r>
          </w:p>
          <w:tbl>
            <w:tblPr>
              <w:tblStyle w:val="2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3006"/>
              <w:gridCol w:w="3588"/>
            </w:tblGrid>
            <w:tr w14:paraId="41F7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0072393">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运输扬尘</w:t>
                  </w:r>
                </w:p>
              </w:tc>
              <w:tc>
                <w:tcPr>
                  <w:tcW w:w="1917" w:type="pct"/>
                  <w:vAlign w:val="center"/>
                </w:tcPr>
                <w:p w14:paraId="5E9FC8BE">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原料</w:t>
                  </w:r>
                  <w:r>
                    <w:rPr>
                      <w:rFonts w:hint="eastAsia" w:ascii="Times New Roman" w:hAnsi="Times New Roman" w:eastAsia="宋体" w:cs="Times New Roman"/>
                      <w:color w:val="auto"/>
                      <w:lang w:val="en-US" w:eastAsia="zh-CN"/>
                    </w:rPr>
                    <w:t>进场</w:t>
                  </w:r>
                  <w:r>
                    <w:rPr>
                      <w:rFonts w:hint="eastAsia" w:ascii="Times New Roman" w:hAnsi="Times New Roman" w:eastAsia="宋体" w:cs="Times New Roman"/>
                      <w:color w:val="auto"/>
                      <w:lang w:eastAsia="zh-CN"/>
                    </w:rPr>
                    <w:t>运输</w:t>
                  </w:r>
                </w:p>
              </w:tc>
              <w:tc>
                <w:tcPr>
                  <w:tcW w:w="2287" w:type="pct"/>
                  <w:vAlign w:val="center"/>
                </w:tcPr>
                <w:p w14:paraId="313C50A0">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产品出场运输</w:t>
                  </w:r>
                </w:p>
              </w:tc>
            </w:tr>
            <w:tr w14:paraId="7EEB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89FD3EE">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运输量（t）</w:t>
                  </w:r>
                </w:p>
              </w:tc>
              <w:tc>
                <w:tcPr>
                  <w:tcW w:w="1917" w:type="pct"/>
                  <w:vAlign w:val="center"/>
                </w:tcPr>
                <w:p w14:paraId="015E406A">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300</w:t>
                  </w:r>
                </w:p>
              </w:tc>
              <w:tc>
                <w:tcPr>
                  <w:tcW w:w="2287" w:type="pct"/>
                  <w:vAlign w:val="center"/>
                </w:tcPr>
                <w:p w14:paraId="7CC7C09A">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900</w:t>
                  </w:r>
                </w:p>
              </w:tc>
            </w:tr>
            <w:tr w14:paraId="2226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49E72F0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运输车辆</w:t>
                  </w:r>
                </w:p>
              </w:tc>
              <w:tc>
                <w:tcPr>
                  <w:tcW w:w="1917" w:type="pct"/>
                  <w:vAlign w:val="center"/>
                </w:tcPr>
                <w:p w14:paraId="328DDCC1">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汽车</w:t>
                  </w:r>
                </w:p>
              </w:tc>
              <w:tc>
                <w:tcPr>
                  <w:tcW w:w="2287" w:type="pct"/>
                  <w:vAlign w:val="center"/>
                </w:tcPr>
                <w:p w14:paraId="258E8DD6">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汽车</w:t>
                  </w:r>
                </w:p>
              </w:tc>
            </w:tr>
            <w:tr w14:paraId="7AF1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4" w:type="pct"/>
                  <w:vAlign w:val="center"/>
                </w:tcPr>
                <w:p w14:paraId="6663C2AF">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空车（t）</w:t>
                  </w:r>
                </w:p>
              </w:tc>
              <w:tc>
                <w:tcPr>
                  <w:tcW w:w="1917" w:type="pct"/>
                  <w:vAlign w:val="center"/>
                </w:tcPr>
                <w:p w14:paraId="30475674">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w:t>
                  </w:r>
                </w:p>
              </w:tc>
              <w:tc>
                <w:tcPr>
                  <w:tcW w:w="2287" w:type="pct"/>
                  <w:vAlign w:val="center"/>
                </w:tcPr>
                <w:p w14:paraId="4D39C4AF">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w:t>
                  </w:r>
                </w:p>
              </w:tc>
            </w:tr>
            <w:tr w14:paraId="6CF57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4" w:type="pct"/>
                  <w:vAlign w:val="center"/>
                </w:tcPr>
                <w:p w14:paraId="46D35412">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重车（t）</w:t>
                  </w:r>
                </w:p>
              </w:tc>
              <w:tc>
                <w:tcPr>
                  <w:tcW w:w="1917" w:type="pct"/>
                  <w:vAlign w:val="center"/>
                </w:tcPr>
                <w:p w14:paraId="6B47C29C">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w:t>
                  </w:r>
                </w:p>
              </w:tc>
              <w:tc>
                <w:tcPr>
                  <w:tcW w:w="2287" w:type="pct"/>
                  <w:vAlign w:val="center"/>
                </w:tcPr>
                <w:p w14:paraId="0464A972">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25</w:t>
                  </w:r>
                </w:p>
              </w:tc>
            </w:tr>
            <w:tr w14:paraId="6DF0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B6C367C">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空车、载重车次（</w:t>
                  </w:r>
                  <w:r>
                    <w:rPr>
                      <w:rFonts w:hint="eastAsia" w:ascii="Times New Roman" w:hAnsi="Times New Roman" w:eastAsia="宋体" w:cs="Times New Roman"/>
                      <w:color w:val="auto"/>
                      <w:lang w:val="en-US" w:eastAsia="zh-CN"/>
                    </w:rPr>
                    <w:t>次</w:t>
                  </w:r>
                  <w:r>
                    <w:rPr>
                      <w:rFonts w:hint="eastAsia" w:ascii="Times New Roman" w:hAnsi="Times New Roman" w:eastAsia="宋体" w:cs="Times New Roman"/>
                      <w:color w:val="auto"/>
                      <w:lang w:eastAsia="zh-CN"/>
                    </w:rPr>
                    <w:t>）</w:t>
                  </w:r>
                </w:p>
              </w:tc>
              <w:tc>
                <w:tcPr>
                  <w:tcW w:w="1917" w:type="pct"/>
                  <w:vAlign w:val="center"/>
                </w:tcPr>
                <w:p w14:paraId="34D542E6">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20</w:t>
                  </w:r>
                </w:p>
              </w:tc>
              <w:tc>
                <w:tcPr>
                  <w:tcW w:w="2287" w:type="pct"/>
                  <w:vAlign w:val="center"/>
                </w:tcPr>
                <w:p w14:paraId="0F9BBB33">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60</w:t>
                  </w:r>
                </w:p>
              </w:tc>
            </w:tr>
            <w:tr w14:paraId="1ECC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0E67FA03">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扬尘量（空车）Kg/Km.辆</w:t>
                  </w:r>
                </w:p>
              </w:tc>
              <w:tc>
                <w:tcPr>
                  <w:tcW w:w="1917" w:type="pct"/>
                  <w:vAlign w:val="center"/>
                </w:tcPr>
                <w:p w14:paraId="5E16556F">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0.351</w:t>
                  </w:r>
                </w:p>
              </w:tc>
              <w:tc>
                <w:tcPr>
                  <w:tcW w:w="2287" w:type="pct"/>
                  <w:vAlign w:val="center"/>
                </w:tcPr>
                <w:p w14:paraId="454E09C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0.351</w:t>
                  </w:r>
                </w:p>
              </w:tc>
            </w:tr>
            <w:tr w14:paraId="0A32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6243636">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扬尘量（重车）Kg/Km.辆</w:t>
                  </w:r>
                </w:p>
              </w:tc>
              <w:tc>
                <w:tcPr>
                  <w:tcW w:w="1917" w:type="pct"/>
                  <w:vAlign w:val="center"/>
                </w:tcPr>
                <w:p w14:paraId="667BC567">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0.765</w:t>
                  </w:r>
                </w:p>
              </w:tc>
              <w:tc>
                <w:tcPr>
                  <w:tcW w:w="2287" w:type="pct"/>
                  <w:vAlign w:val="center"/>
                </w:tcPr>
                <w:p w14:paraId="6B6DE41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0.765</w:t>
                  </w:r>
                </w:p>
              </w:tc>
            </w:tr>
            <w:tr w14:paraId="4028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FF82B50">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运输距离（m）</w:t>
                  </w:r>
                </w:p>
              </w:tc>
              <w:tc>
                <w:tcPr>
                  <w:tcW w:w="1917" w:type="pct"/>
                  <w:vAlign w:val="center"/>
                </w:tcPr>
                <w:p w14:paraId="4F11AE57">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150</w:t>
                  </w:r>
                </w:p>
              </w:tc>
              <w:tc>
                <w:tcPr>
                  <w:tcW w:w="2287" w:type="pct"/>
                  <w:vAlign w:val="center"/>
                </w:tcPr>
                <w:p w14:paraId="262FF0C9">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110</w:t>
                  </w:r>
                </w:p>
              </w:tc>
            </w:tr>
            <w:tr w14:paraId="4024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E1AB8CD">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产生量（t/a）</w:t>
                  </w:r>
                </w:p>
              </w:tc>
              <w:tc>
                <w:tcPr>
                  <w:tcW w:w="1917" w:type="pct"/>
                  <w:vAlign w:val="center"/>
                </w:tcPr>
                <w:p w14:paraId="36B1770F">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0.003</w:t>
                  </w:r>
                </w:p>
              </w:tc>
              <w:tc>
                <w:tcPr>
                  <w:tcW w:w="2287" w:type="pct"/>
                  <w:vAlign w:val="center"/>
                </w:tcPr>
                <w:p w14:paraId="4BC4189D">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0.007</w:t>
                  </w:r>
                </w:p>
              </w:tc>
            </w:tr>
            <w:tr w14:paraId="3DC3E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1A6DF038">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产生速率（</w:t>
                  </w:r>
                  <w:r>
                    <w:rPr>
                      <w:rFonts w:hint="eastAsia" w:ascii="Times New Roman" w:hAnsi="Times New Roman" w:eastAsia="宋体" w:cs="Times New Roman"/>
                      <w:color w:val="auto"/>
                      <w:lang w:val="en-US" w:eastAsia="zh-CN"/>
                    </w:rPr>
                    <w:t>kg/h</w:t>
                  </w:r>
                  <w:r>
                    <w:rPr>
                      <w:rFonts w:hint="eastAsia" w:ascii="Times New Roman" w:hAnsi="Times New Roman" w:eastAsia="宋体" w:cs="Times New Roman"/>
                      <w:color w:val="auto"/>
                      <w:lang w:eastAsia="zh-CN"/>
                    </w:rPr>
                    <w:t>）</w:t>
                  </w:r>
                </w:p>
              </w:tc>
              <w:tc>
                <w:tcPr>
                  <w:tcW w:w="1917" w:type="pct"/>
                  <w:vAlign w:val="center"/>
                </w:tcPr>
                <w:p w14:paraId="6D740920">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0.001</w:t>
                  </w:r>
                </w:p>
              </w:tc>
              <w:tc>
                <w:tcPr>
                  <w:tcW w:w="2287" w:type="pct"/>
                  <w:vAlign w:val="center"/>
                </w:tcPr>
                <w:p w14:paraId="766DDA8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0.0</w:t>
                  </w:r>
                  <w:r>
                    <w:rPr>
                      <w:rFonts w:hint="eastAsia" w:cs="Times New Roman"/>
                      <w:color w:val="auto"/>
                      <w:lang w:val="en-US" w:eastAsia="zh-CN"/>
                    </w:rPr>
                    <w:t>03</w:t>
                  </w:r>
                </w:p>
              </w:tc>
            </w:tr>
            <w:tr w14:paraId="364D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7BF22AE3">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治理措施</w:t>
                  </w:r>
                </w:p>
              </w:tc>
              <w:tc>
                <w:tcPr>
                  <w:tcW w:w="4205" w:type="pct"/>
                  <w:gridSpan w:val="2"/>
                  <w:vAlign w:val="center"/>
                </w:tcPr>
                <w:p w14:paraId="609855AD">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运输道路硬化，控制车速、运输车辆进行遮盖，路面遗撒及时清扫并采用洒水车进行洒水降尘，大约能减少</w:t>
                  </w:r>
                  <w:r>
                    <w:rPr>
                      <w:rFonts w:hint="eastAsia" w:ascii="Times New Roman" w:hAnsi="Times New Roman" w:eastAsia="宋体" w:cs="Times New Roman"/>
                      <w:color w:val="auto"/>
                      <w:lang w:val="en-US" w:eastAsia="zh-CN"/>
                    </w:rPr>
                    <w:t>70%的扬尘</w:t>
                  </w:r>
                </w:p>
              </w:tc>
            </w:tr>
            <w:tr w14:paraId="005B0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2ACBA9F4">
                  <w:pPr>
                    <w:pStyle w:val="29"/>
                    <w:bidi w:val="0"/>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排放量（t/a）</w:t>
                  </w:r>
                </w:p>
              </w:tc>
              <w:tc>
                <w:tcPr>
                  <w:tcW w:w="1917" w:type="pct"/>
                  <w:vAlign w:val="center"/>
                </w:tcPr>
                <w:p w14:paraId="47DF4809">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0.001</w:t>
                  </w:r>
                </w:p>
              </w:tc>
              <w:tc>
                <w:tcPr>
                  <w:tcW w:w="2287" w:type="pct"/>
                  <w:vAlign w:val="center"/>
                </w:tcPr>
                <w:p w14:paraId="25C39473">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0.002</w:t>
                  </w:r>
                </w:p>
              </w:tc>
            </w:tr>
            <w:tr w14:paraId="4D82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4" w:type="pct"/>
                  <w:vAlign w:val="center"/>
                </w:tcPr>
                <w:p w14:paraId="370D27E5">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排放速率（kg/h）</w:t>
                  </w:r>
                </w:p>
              </w:tc>
              <w:tc>
                <w:tcPr>
                  <w:tcW w:w="1917" w:type="pct"/>
                  <w:vAlign w:val="center"/>
                </w:tcPr>
                <w:p w14:paraId="2B7D3020">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0.0004</w:t>
                  </w:r>
                </w:p>
              </w:tc>
              <w:tc>
                <w:tcPr>
                  <w:tcW w:w="2287" w:type="pct"/>
                  <w:vAlign w:val="center"/>
                </w:tcPr>
                <w:p w14:paraId="1B12D54A">
                  <w:pPr>
                    <w:pStyle w:val="29"/>
                    <w:bidi w:val="0"/>
                    <w:rPr>
                      <w:rFonts w:hint="default" w:ascii="Times New Roman" w:hAnsi="Times New Roman" w:eastAsia="宋体" w:cs="Times New Roman"/>
                      <w:color w:val="auto"/>
                      <w:lang w:val="en-US" w:eastAsia="zh-CN"/>
                    </w:rPr>
                  </w:pPr>
                  <w:r>
                    <w:rPr>
                      <w:rFonts w:hint="eastAsia" w:cs="Times New Roman"/>
                      <w:color w:val="auto"/>
                      <w:lang w:val="en-US" w:eastAsia="zh-CN"/>
                    </w:rPr>
                    <w:t>0.001</w:t>
                  </w:r>
                </w:p>
              </w:tc>
            </w:tr>
          </w:tbl>
          <w:p w14:paraId="070129F1">
            <w:pPr>
              <w:bidi w:val="0"/>
              <w:rPr>
                <w:rFonts w:hint="default"/>
                <w:color w:val="auto"/>
                <w:lang w:val="en-US" w:eastAsia="zh-CN"/>
              </w:rPr>
            </w:pPr>
            <w:r>
              <w:rPr>
                <w:rFonts w:hint="eastAsia"/>
                <w:color w:val="auto"/>
                <w:lang w:val="en-US" w:eastAsia="zh-CN"/>
              </w:rPr>
              <w:t>综上，本项目运营期运输道路扬尘总产生量为0.01t/a，产生速率为0.004kg/h，排放量为0.003t/a，排放速率为0.0014kg/h。</w:t>
            </w:r>
          </w:p>
          <w:p w14:paraId="15766B69">
            <w:pPr>
              <w:ind w:firstLine="482"/>
              <w:rPr>
                <w:rFonts w:hint="eastAsia"/>
                <w:b/>
                <w:bCs/>
                <w:color w:val="auto"/>
                <w:lang w:eastAsia="zh-CN"/>
              </w:rPr>
            </w:pPr>
            <w:r>
              <w:rPr>
                <w:rFonts w:hint="eastAsia"/>
                <w:b/>
                <w:bCs/>
                <w:color w:val="auto"/>
              </w:rPr>
              <w:fldChar w:fldCharType="begin"/>
            </w:r>
            <w:r>
              <w:rPr>
                <w:rFonts w:hint="eastAsia"/>
                <w:b/>
                <w:bCs/>
                <w:color w:val="auto"/>
              </w:rPr>
              <w:instrText xml:space="preserve"> = 5 \* GB3 \* MERGEFORMAT </w:instrText>
            </w:r>
            <w:r>
              <w:rPr>
                <w:rFonts w:hint="eastAsia"/>
                <w:b/>
                <w:bCs/>
                <w:color w:val="auto"/>
              </w:rPr>
              <w:fldChar w:fldCharType="separate"/>
            </w:r>
            <w:r>
              <w:rPr>
                <w:b/>
                <w:bCs/>
                <w:color w:val="auto"/>
              </w:rPr>
              <w:t>⑤</w:t>
            </w:r>
            <w:r>
              <w:rPr>
                <w:rFonts w:hint="eastAsia"/>
                <w:b/>
                <w:bCs/>
                <w:color w:val="auto"/>
              </w:rPr>
              <w:fldChar w:fldCharType="end"/>
            </w:r>
            <w:r>
              <w:rPr>
                <w:rFonts w:hint="eastAsia"/>
                <w:b/>
                <w:bCs/>
                <w:color w:val="auto"/>
                <w:lang w:eastAsia="zh-CN"/>
              </w:rPr>
              <w:t>未捕集粉尘</w:t>
            </w:r>
          </w:p>
          <w:p w14:paraId="7D9E9484">
            <w:pPr>
              <w:ind w:firstLine="482"/>
              <w:rPr>
                <w:rFonts w:hint="eastAsia"/>
                <w:b w:val="0"/>
                <w:bCs w:val="0"/>
                <w:color w:val="auto"/>
                <w:lang w:eastAsia="zh-CN"/>
              </w:rPr>
            </w:pPr>
            <w:r>
              <w:rPr>
                <w:rFonts w:hint="eastAsia"/>
                <w:b w:val="0"/>
                <w:bCs w:val="0"/>
                <w:color w:val="auto"/>
                <w:lang w:eastAsia="zh-CN"/>
              </w:rPr>
              <w:t>根据有组织计算可知，集气罩未被收集的粉尘产生量为</w:t>
            </w:r>
            <w:r>
              <w:rPr>
                <w:rFonts w:hint="eastAsia"/>
                <w:b w:val="0"/>
                <w:bCs w:val="0"/>
                <w:color w:val="auto"/>
                <w:lang w:val="en-US" w:eastAsia="zh-CN"/>
              </w:rPr>
              <w:t>0.0018</w:t>
            </w:r>
            <w:r>
              <w:rPr>
                <w:rFonts w:hint="eastAsia"/>
                <w:b w:val="0"/>
                <w:bCs w:val="0"/>
                <w:color w:val="auto"/>
                <w:lang w:eastAsia="zh-CN"/>
              </w:rPr>
              <w:t>t/a，</w:t>
            </w:r>
            <w:r>
              <w:rPr>
                <w:rFonts w:hint="eastAsia"/>
                <w:b w:val="0"/>
                <w:bCs w:val="0"/>
                <w:color w:val="auto"/>
                <w:lang w:val="en-US" w:eastAsia="zh-CN"/>
              </w:rPr>
              <w:t>0.0008</w:t>
            </w:r>
            <w:r>
              <w:rPr>
                <w:rFonts w:hint="eastAsia"/>
                <w:b w:val="0"/>
                <w:bCs w:val="0"/>
                <w:color w:val="auto"/>
                <w:lang w:eastAsia="zh-CN"/>
              </w:rPr>
              <w:t>kg/h。本项目通过</w:t>
            </w:r>
            <w:r>
              <w:rPr>
                <w:rFonts w:hint="eastAsia"/>
                <w:b w:val="0"/>
                <w:bCs w:val="0"/>
                <w:color w:val="auto"/>
                <w:lang w:val="en-US" w:eastAsia="zh-CN"/>
              </w:rPr>
              <w:t>厂房阻隔沉降</w:t>
            </w:r>
            <w:r>
              <w:rPr>
                <w:rFonts w:hint="eastAsia"/>
                <w:b w:val="0"/>
                <w:bCs w:val="0"/>
                <w:color w:val="auto"/>
                <w:lang w:eastAsia="zh-CN"/>
              </w:rPr>
              <w:t>，抑尘率可达70%，则粉尘排放量为</w:t>
            </w:r>
            <w:r>
              <w:rPr>
                <w:rFonts w:hint="eastAsia"/>
                <w:b w:val="0"/>
                <w:bCs w:val="0"/>
                <w:color w:val="auto"/>
                <w:lang w:val="en-US" w:eastAsia="zh-CN"/>
              </w:rPr>
              <w:t>0.0005</w:t>
            </w:r>
            <w:r>
              <w:rPr>
                <w:rFonts w:hint="eastAsia"/>
                <w:b w:val="0"/>
                <w:bCs w:val="0"/>
                <w:color w:val="auto"/>
                <w:lang w:eastAsia="zh-CN"/>
              </w:rPr>
              <w:t>t/a，</w:t>
            </w:r>
            <w:r>
              <w:rPr>
                <w:rFonts w:hint="eastAsia"/>
                <w:b w:val="0"/>
                <w:bCs w:val="0"/>
                <w:color w:val="auto"/>
                <w:lang w:val="en-US" w:eastAsia="zh-CN"/>
              </w:rPr>
              <w:t>0.0005</w:t>
            </w:r>
            <w:r>
              <w:rPr>
                <w:rFonts w:hint="eastAsia"/>
                <w:b w:val="0"/>
                <w:bCs w:val="0"/>
                <w:color w:val="auto"/>
                <w:lang w:eastAsia="zh-CN"/>
              </w:rPr>
              <w:t>kg/h。</w:t>
            </w:r>
          </w:p>
          <w:p w14:paraId="5535DBD6">
            <w:pPr>
              <w:ind w:firstLine="482"/>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eastAsia="zh-CN"/>
              </w:rPr>
              <w:fldChar w:fldCharType="begin"/>
            </w:r>
            <w:r>
              <w:rPr>
                <w:rFonts w:hint="eastAsia" w:ascii="Times New Roman" w:hAnsi="Times New Roman" w:eastAsia="宋体" w:cs="Times New Roman"/>
                <w:b/>
                <w:bCs/>
                <w:color w:val="auto"/>
                <w:lang w:eastAsia="zh-CN"/>
              </w:rPr>
              <w:instrText xml:space="preserve"> = 6 \* GB3 \* MERGEFORMAT </w:instrText>
            </w:r>
            <w:r>
              <w:rPr>
                <w:rFonts w:hint="eastAsia" w:ascii="Times New Roman" w:hAnsi="Times New Roman" w:eastAsia="宋体" w:cs="Times New Roman"/>
                <w:b/>
                <w:bCs/>
                <w:color w:val="auto"/>
                <w:lang w:eastAsia="zh-CN"/>
              </w:rPr>
              <w:fldChar w:fldCharType="separate"/>
            </w:r>
            <w:r>
              <w:rPr>
                <w:rFonts w:hint="eastAsia" w:ascii="Times New Roman" w:hAnsi="Times New Roman" w:eastAsia="宋体" w:cs="Times New Roman"/>
                <w:b/>
                <w:bCs/>
                <w:color w:val="auto"/>
              </w:rPr>
              <w:t>⑥</w:t>
            </w:r>
            <w:r>
              <w:rPr>
                <w:rFonts w:hint="eastAsia" w:ascii="Times New Roman" w:hAnsi="Times New Roman" w:eastAsia="宋体" w:cs="Times New Roman"/>
                <w:b/>
                <w:bCs/>
                <w:color w:val="auto"/>
                <w:lang w:eastAsia="zh-CN"/>
              </w:rPr>
              <w:fldChar w:fldCharType="end"/>
            </w:r>
            <w:r>
              <w:rPr>
                <w:rFonts w:hint="eastAsia" w:ascii="Times New Roman" w:hAnsi="Times New Roman" w:eastAsia="宋体" w:cs="Times New Roman"/>
                <w:b/>
                <w:bCs/>
                <w:color w:val="auto"/>
                <w:lang w:val="en-US" w:eastAsia="zh-CN"/>
              </w:rPr>
              <w:t>制冷废气</w:t>
            </w:r>
          </w:p>
          <w:p w14:paraId="0D79615B">
            <w:pPr>
              <w:bidi w:val="0"/>
              <w:rPr>
                <w:rFonts w:hint="default"/>
                <w:color w:val="auto"/>
                <w:lang w:val="en-US" w:eastAsia="zh-CN"/>
              </w:rPr>
            </w:pPr>
            <w:r>
              <w:rPr>
                <w:rFonts w:hint="default"/>
                <w:color w:val="auto"/>
                <w:lang w:val="en-US" w:eastAsia="zh-CN"/>
              </w:rPr>
              <w:t>本项目制冷剂为R22（二氟一氯甲烷，属于典型的含氟氯烃类制冷剂），全部外购，年使用量为3t，分别供给成品冷库、麦汁制冷系统使用。</w:t>
            </w:r>
          </w:p>
          <w:p w14:paraId="7975D610">
            <w:pPr>
              <w:bidi w:val="0"/>
              <w:rPr>
                <w:rFonts w:hint="default"/>
                <w:color w:val="auto"/>
                <w:lang w:val="en-US" w:eastAsia="zh-CN"/>
              </w:rPr>
            </w:pPr>
            <w:r>
              <w:rPr>
                <w:rFonts w:hint="default"/>
                <w:color w:val="auto"/>
                <w:lang w:val="en-US" w:eastAsia="zh-CN"/>
              </w:rPr>
              <w:t>本项目制冷系统采用全密闭循环设计，正常连续生产工况下几乎不会出现持续性泄漏，仅会产生少量氟氯烃类制冷剂的无组织挥发。参考小型螺杆式制冷机组行业常规运行泄漏率，取年泄漏率1%进行核算：</w:t>
            </w:r>
          </w:p>
          <w:p w14:paraId="1AD4A263">
            <w:pPr>
              <w:bidi w:val="0"/>
              <w:rPr>
                <w:rFonts w:hint="default"/>
                <w:color w:val="auto"/>
                <w:lang w:val="en-US" w:eastAsia="zh-CN"/>
              </w:rPr>
            </w:pPr>
            <w:r>
              <w:rPr>
                <w:rFonts w:hint="default"/>
                <w:color w:val="auto"/>
                <w:lang w:val="en-US" w:eastAsia="zh-CN"/>
              </w:rPr>
              <w:t>R22氟氯烃类年无组织挥发排放量计算过程：3t×1%=0.03t/a，0.013kg/h该部分排放仅在设备年度检修更换密封件、系统维护补充制冷剂时，产生少量短时一次性排放。R22属于《蒙特利尔议定书》管控的臭氧层消耗物质，挥发排放会对臭氧层产生破坏作用；本项目年氟氯烃排放总量仅30kg，排放规模极低，对区域臭氧层的影响处于可接受水平。</w:t>
            </w:r>
          </w:p>
          <w:p w14:paraId="1A927D91">
            <w:pPr>
              <w:ind w:firstLine="482"/>
              <w:rPr>
                <w:b/>
                <w:bCs/>
                <w:color w:val="auto"/>
              </w:rPr>
            </w:pPr>
            <w:r>
              <w:rPr>
                <w:rFonts w:hint="eastAsia"/>
                <w:b/>
                <w:bCs/>
                <w:color w:val="auto"/>
              </w:rPr>
              <w:t>（</w:t>
            </w:r>
            <w:r>
              <w:rPr>
                <w:rFonts w:hint="eastAsia"/>
                <w:b/>
                <w:bCs/>
                <w:color w:val="auto"/>
                <w:lang w:val="en-US" w:eastAsia="zh-CN"/>
              </w:rPr>
              <w:t>2</w:t>
            </w:r>
            <w:r>
              <w:rPr>
                <w:rFonts w:hint="eastAsia"/>
                <w:b/>
                <w:bCs/>
                <w:color w:val="auto"/>
              </w:rPr>
              <w:t>）达标分析</w:t>
            </w:r>
          </w:p>
          <w:p w14:paraId="3AE378CF">
            <w:pPr>
              <w:ind w:firstLine="480"/>
              <w:rPr>
                <w:rFonts w:hint="eastAsia"/>
                <w:color w:val="auto"/>
                <w:lang w:val="en-US" w:eastAsia="zh-CN"/>
              </w:rPr>
            </w:pPr>
            <w:r>
              <w:rPr>
                <w:rFonts w:hint="eastAsia"/>
                <w:color w:val="auto"/>
              </w:rPr>
              <w:t>根据表4-1分析数据可知，正常工况下，</w:t>
            </w:r>
            <w:r>
              <w:rPr>
                <w:rFonts w:hint="eastAsia"/>
                <w:color w:val="auto"/>
                <w:lang w:val="en-US" w:eastAsia="zh-CN"/>
              </w:rPr>
              <w:t>项目燃烧废气通过采用低氮燃烧技术脱氮后经锅炉上密封管道进行收集由引风机引入高度为18m（内径0.3m）的1根烟囱排放（排放口编号DA001），污染物排放浓度可以达到《锅炉大气污染物排放标准》（GB13271-2014）表2标准限值（燃气锅炉执行，即颗粒物 30mg/m</w:t>
            </w:r>
            <w:r>
              <w:rPr>
                <w:rFonts w:hint="eastAsia"/>
                <w:color w:val="auto"/>
                <w:vertAlign w:val="superscript"/>
                <w:lang w:val="en-US" w:eastAsia="zh-CN"/>
              </w:rPr>
              <w:t>3</w:t>
            </w:r>
            <w:r>
              <w:rPr>
                <w:rFonts w:hint="eastAsia"/>
                <w:color w:val="auto"/>
                <w:lang w:val="en-US" w:eastAsia="zh-CN"/>
              </w:rPr>
              <w:t>，SO</w:t>
            </w:r>
            <w:r>
              <w:rPr>
                <w:rFonts w:hint="eastAsia"/>
                <w:color w:val="auto"/>
                <w:vertAlign w:val="subscript"/>
                <w:lang w:val="en-US" w:eastAsia="zh-CN"/>
              </w:rPr>
              <w:t>2</w:t>
            </w:r>
            <w:r>
              <w:rPr>
                <w:rFonts w:hint="eastAsia"/>
                <w:color w:val="auto"/>
                <w:lang w:val="en-US" w:eastAsia="zh-CN"/>
              </w:rPr>
              <w:t xml:space="preserve"> 50mg/m</w:t>
            </w:r>
            <w:r>
              <w:rPr>
                <w:rFonts w:hint="eastAsia"/>
                <w:color w:val="auto"/>
                <w:vertAlign w:val="superscript"/>
                <w:lang w:val="en-US" w:eastAsia="zh-CN"/>
              </w:rPr>
              <w:t>3</w:t>
            </w:r>
            <w:r>
              <w:rPr>
                <w:rFonts w:hint="eastAsia"/>
                <w:color w:val="auto"/>
                <w:lang w:val="en-US" w:eastAsia="zh-CN"/>
              </w:rPr>
              <w:t>、NO</w:t>
            </w:r>
            <w:r>
              <w:rPr>
                <w:rFonts w:hint="eastAsia"/>
                <w:color w:val="auto"/>
                <w:vertAlign w:val="subscript"/>
                <w:lang w:val="en-US" w:eastAsia="zh-CN"/>
              </w:rPr>
              <w:t>x</w:t>
            </w:r>
            <w:r>
              <w:rPr>
                <w:rFonts w:hint="eastAsia"/>
                <w:color w:val="auto"/>
                <w:lang w:val="en-US" w:eastAsia="zh-CN"/>
              </w:rPr>
              <w:t xml:space="preserve"> 200mg/m</w:t>
            </w:r>
            <w:r>
              <w:rPr>
                <w:rFonts w:hint="eastAsia"/>
                <w:color w:val="auto"/>
                <w:vertAlign w:val="superscript"/>
                <w:lang w:val="en-US" w:eastAsia="zh-CN"/>
              </w:rPr>
              <w:t>3</w:t>
            </w:r>
            <w:r>
              <w:rPr>
                <w:rFonts w:hint="eastAsia"/>
                <w:color w:val="auto"/>
                <w:lang w:val="en-US" w:eastAsia="zh-CN"/>
              </w:rPr>
              <w:t>）；麦芽破碎粉尘经集气罩收集后由引风机（风量为3000m</w:t>
            </w:r>
            <w:r>
              <w:rPr>
                <w:rFonts w:hint="eastAsia"/>
                <w:color w:val="auto"/>
                <w:vertAlign w:val="superscript"/>
                <w:lang w:val="en-US" w:eastAsia="zh-CN"/>
              </w:rPr>
              <w:t>3</w:t>
            </w:r>
            <w:r>
              <w:rPr>
                <w:rFonts w:hint="eastAsia"/>
                <w:color w:val="auto"/>
                <w:lang w:val="en-US" w:eastAsia="zh-CN"/>
              </w:rPr>
              <w:t>/h）引入布袋除尘器处理装置（处理效率为99%）处置后经高度为20m的1根烟囱排放（排放口编号DA002），颗粒物排放浓度能达到《大气污染物综合排放标准》（GB16297-1996）表2中二级标准限值（颗粒物：120mg/m</w:t>
            </w:r>
            <w:r>
              <w:rPr>
                <w:rFonts w:hint="eastAsia"/>
                <w:color w:val="auto"/>
                <w:vertAlign w:val="superscript"/>
                <w:lang w:val="en-US" w:eastAsia="zh-CN"/>
              </w:rPr>
              <w:t>3</w:t>
            </w:r>
            <w:r>
              <w:rPr>
                <w:rFonts w:hint="eastAsia"/>
                <w:color w:val="auto"/>
                <w:lang w:val="en-US" w:eastAsia="zh-CN"/>
              </w:rPr>
              <w:t>）。</w:t>
            </w:r>
          </w:p>
          <w:p w14:paraId="69A5BFD5">
            <w:pPr>
              <w:ind w:firstLine="480"/>
              <w:rPr>
                <w:rFonts w:hint="eastAsia"/>
                <w:color w:val="auto"/>
                <w:lang w:val="en-US" w:eastAsia="zh-CN"/>
              </w:rPr>
            </w:pPr>
            <w:r>
              <w:rPr>
                <w:rFonts w:hint="eastAsia"/>
                <w:color w:val="auto"/>
              </w:rPr>
              <w:t>项目无组织排放源主要为</w:t>
            </w:r>
            <w:r>
              <w:rPr>
                <w:rFonts w:hint="eastAsia"/>
                <w:color w:val="auto"/>
                <w:lang w:val="en-US" w:eastAsia="zh-CN"/>
              </w:rPr>
              <w:t>麦芽破碎未收集粉尘、</w:t>
            </w:r>
            <w:r>
              <w:rPr>
                <w:rFonts w:hint="eastAsia"/>
                <w:color w:val="auto"/>
                <w:lang w:eastAsia="zh-CN"/>
              </w:rPr>
              <w:t>发酵废气、</w:t>
            </w:r>
            <w:r>
              <w:rPr>
                <w:rFonts w:hint="eastAsia"/>
                <w:color w:val="auto"/>
                <w:lang w:val="en-US" w:eastAsia="zh-CN"/>
              </w:rPr>
              <w:t>固废暂存废气、污水处理恶臭、</w:t>
            </w:r>
            <w:r>
              <w:rPr>
                <w:rFonts w:hint="eastAsia"/>
                <w:color w:val="auto"/>
                <w:lang w:eastAsia="zh-CN"/>
              </w:rPr>
              <w:t>车辆运输扬尘</w:t>
            </w:r>
            <w:r>
              <w:rPr>
                <w:rFonts w:hint="eastAsia"/>
                <w:color w:val="auto"/>
                <w:lang w:val="en-US" w:eastAsia="zh-CN"/>
              </w:rPr>
              <w:t>和制冷废气，</w:t>
            </w:r>
            <w:r>
              <w:rPr>
                <w:rFonts w:hint="eastAsia"/>
                <w:color w:val="auto"/>
              </w:rPr>
              <w:t>为降低无组织</w:t>
            </w:r>
            <w:r>
              <w:rPr>
                <w:rFonts w:hint="eastAsia"/>
                <w:color w:val="auto"/>
                <w:lang w:val="en-US" w:eastAsia="zh-CN"/>
              </w:rPr>
              <w:t>废气</w:t>
            </w:r>
            <w:r>
              <w:rPr>
                <w:rFonts w:hint="eastAsia"/>
                <w:color w:val="auto"/>
              </w:rPr>
              <w:t>排放量，项目</w:t>
            </w:r>
            <w:r>
              <w:rPr>
                <w:rFonts w:hint="eastAsia"/>
                <w:color w:val="auto"/>
                <w:lang w:val="en-US" w:eastAsia="zh-CN"/>
              </w:rPr>
              <w:t>做出以下管理要求：</w:t>
            </w:r>
          </w:p>
          <w:p w14:paraId="17CEBA5E">
            <w:pPr>
              <w:numPr>
                <w:ilvl w:val="2"/>
                <w:numId w:val="0"/>
              </w:numPr>
              <w:ind w:firstLine="480" w:firstLineChars="200"/>
              <w:rPr>
                <w:rFonts w:hint="eastAsia"/>
                <w:color w:val="auto"/>
                <w:lang w:val="en-US" w:eastAsia="zh-CN"/>
              </w:rPr>
            </w:pPr>
            <w:r>
              <w:rPr>
                <w:rFonts w:hint="default" w:ascii="Times New Roman" w:hAnsi="Times New Roman" w:eastAsia="宋体" w:cs="Times New Roman"/>
                <w:color w:val="auto"/>
                <w:kern w:val="2"/>
                <w:sz w:val="24"/>
                <w:szCs w:val="24"/>
                <w:lang w:val="en-US" w:eastAsia="zh-CN" w:bidi="ar-SA"/>
              </w:rPr>
              <w:t>①</w:t>
            </w:r>
            <w:r>
              <w:rPr>
                <w:rFonts w:hint="eastAsia"/>
                <w:color w:val="auto"/>
                <w:lang w:val="en-US" w:eastAsia="zh-CN"/>
              </w:rPr>
              <w:t>麦芽破碎过程加强布袋除尘器维护检修，保证收尘效果；</w:t>
            </w:r>
          </w:p>
          <w:p w14:paraId="2A36E236">
            <w:pPr>
              <w:pStyle w:val="16"/>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fldChar w:fldCharType="begin"/>
            </w:r>
            <w:r>
              <w:rPr>
                <w:rFonts w:hint="eastAsia" w:ascii="Times New Roman" w:hAnsi="Times New Roman" w:eastAsia="宋体" w:cs="Times New Roman"/>
                <w:color w:val="auto"/>
                <w:kern w:val="2"/>
                <w:sz w:val="24"/>
                <w:szCs w:val="24"/>
                <w:lang w:val="en-US" w:eastAsia="zh-CN" w:bidi="ar-SA"/>
              </w:rPr>
              <w:instrText xml:space="preserve"> = 2 \* GB3 \* MERGEFORMAT </w:instrText>
            </w:r>
            <w:r>
              <w:rPr>
                <w:rFonts w:hint="eastAsia" w:ascii="Times New Roman" w:hAnsi="Times New Roman" w:eastAsia="宋体" w:cs="Times New Roman"/>
                <w:color w:val="auto"/>
                <w:kern w:val="2"/>
                <w:sz w:val="24"/>
                <w:szCs w:val="24"/>
                <w:lang w:val="en-US" w:eastAsia="zh-CN" w:bidi="ar-SA"/>
              </w:rPr>
              <w:fldChar w:fldCharType="separate"/>
            </w:r>
            <w:r>
              <w:rPr>
                <w:rFonts w:hint="eastAsia" w:ascii="Times New Roman" w:hAnsi="Times New Roman" w:eastAsia="宋体" w:cs="Times New Roman"/>
                <w:color w:val="auto"/>
                <w:kern w:val="2"/>
                <w:sz w:val="24"/>
                <w:szCs w:val="24"/>
                <w:lang w:val="en-US" w:eastAsia="zh-CN" w:bidi="ar-SA"/>
              </w:rPr>
              <w:t>②</w:t>
            </w:r>
            <w:r>
              <w:rPr>
                <w:rFonts w:hint="eastAsia" w:ascii="Times New Roman" w:hAnsi="Times New Roman" w:eastAsia="宋体" w:cs="Times New Roman"/>
                <w:color w:val="auto"/>
                <w:kern w:val="2"/>
                <w:sz w:val="24"/>
                <w:szCs w:val="24"/>
                <w:lang w:val="en-US" w:eastAsia="zh-CN" w:bidi="ar-SA"/>
              </w:rPr>
              <w:fldChar w:fldCharType="end"/>
            </w:r>
            <w:r>
              <w:rPr>
                <w:rFonts w:hint="eastAsia" w:ascii="Times New Roman" w:hAnsi="Times New Roman" w:eastAsia="宋体" w:cs="Times New Roman"/>
                <w:color w:val="auto"/>
                <w:kern w:val="2"/>
                <w:sz w:val="24"/>
                <w:szCs w:val="24"/>
                <w:lang w:val="en-US" w:eastAsia="zh-CN" w:bidi="ar-SA"/>
              </w:rPr>
              <w:t>保持破碎车间门窗密闭，减少破碎粉尘外溢对周边大气造成影响；</w:t>
            </w:r>
          </w:p>
          <w:p w14:paraId="0AE75D6C">
            <w:pPr>
              <w:numPr>
                <w:ilvl w:val="0"/>
                <w:numId w:val="0"/>
              </w:numPr>
              <w:ind w:firstLine="480" w:firstLineChars="200"/>
              <w:rPr>
                <w:rFonts w:hint="default"/>
                <w:color w:val="auto"/>
                <w:lang w:val="en-US"/>
              </w:rPr>
            </w:pPr>
            <w:r>
              <w:rPr>
                <w:rFonts w:hint="eastAsia"/>
                <w:color w:val="auto"/>
              </w:rPr>
              <w:fldChar w:fldCharType="begin"/>
            </w:r>
            <w:r>
              <w:rPr>
                <w:rFonts w:hint="eastAsia"/>
                <w:color w:val="auto"/>
              </w:rPr>
              <w:instrText xml:space="preserve"> = 3 \* GB3 \* MERGEFORMAT </w:instrText>
            </w:r>
            <w:r>
              <w:rPr>
                <w:rFonts w:hint="eastAsia"/>
                <w:color w:val="auto"/>
              </w:rPr>
              <w:fldChar w:fldCharType="separate"/>
            </w:r>
            <w:r>
              <w:rPr>
                <w:color w:val="auto"/>
              </w:rPr>
              <w:t>③</w:t>
            </w:r>
            <w:r>
              <w:rPr>
                <w:rFonts w:hint="eastAsia"/>
                <w:color w:val="auto"/>
              </w:rPr>
              <w:fldChar w:fldCharType="end"/>
            </w:r>
            <w:r>
              <w:rPr>
                <w:rFonts w:hint="eastAsia"/>
                <w:color w:val="auto"/>
                <w:lang w:eastAsia="zh-CN"/>
              </w:rPr>
              <w:t>废酒糟、</w:t>
            </w:r>
            <w:r>
              <w:rPr>
                <w:rFonts w:hint="eastAsia"/>
                <w:color w:val="auto"/>
                <w:lang w:val="en-US" w:eastAsia="zh-CN"/>
              </w:rPr>
              <w:t>废酵母、</w:t>
            </w:r>
            <w:r>
              <w:rPr>
                <w:rFonts w:hint="eastAsia"/>
                <w:color w:val="auto"/>
                <w:lang w:eastAsia="zh-CN"/>
              </w:rPr>
              <w:t>废酒花、</w:t>
            </w:r>
            <w:r>
              <w:rPr>
                <w:rFonts w:hint="eastAsia"/>
                <w:color w:val="auto"/>
                <w:lang w:val="en-US" w:eastAsia="zh-CN"/>
              </w:rPr>
              <w:t>沉淀渣</w:t>
            </w:r>
            <w:r>
              <w:rPr>
                <w:rFonts w:hint="eastAsia"/>
                <w:color w:val="auto"/>
                <w:lang w:eastAsia="zh-CN"/>
              </w:rPr>
              <w:t>等</w:t>
            </w:r>
            <w:r>
              <w:rPr>
                <w:rFonts w:hint="eastAsia"/>
                <w:color w:val="auto"/>
                <w:lang w:val="en-US" w:eastAsia="zh-CN"/>
              </w:rPr>
              <w:t>产生后立即用密闭收集桶收集暂存，及时通知回收单位清运，做到日产日清，减少在厂区内的存放时间；</w:t>
            </w:r>
          </w:p>
          <w:p w14:paraId="639AD140">
            <w:pPr>
              <w:numPr>
                <w:ilvl w:val="0"/>
                <w:numId w:val="0"/>
              </w:numPr>
              <w:ind w:firstLine="480" w:firstLineChars="200"/>
              <w:rPr>
                <w:rFonts w:hint="default" w:eastAsia="宋体"/>
                <w:color w:val="auto"/>
                <w:lang w:val="en-US" w:eastAsia="zh-CN"/>
              </w:rPr>
            </w:pPr>
            <w:r>
              <w:rPr>
                <w:rFonts w:hint="eastAsia"/>
                <w:color w:val="auto"/>
              </w:rPr>
              <w:fldChar w:fldCharType="begin"/>
            </w:r>
            <w:r>
              <w:rPr>
                <w:rFonts w:hint="eastAsia"/>
                <w:color w:val="auto"/>
              </w:rPr>
              <w:instrText xml:space="preserve"> = 4 \* GB3 \* MERGEFORMAT </w:instrText>
            </w:r>
            <w:r>
              <w:rPr>
                <w:rFonts w:hint="eastAsia"/>
                <w:color w:val="auto"/>
              </w:rPr>
              <w:fldChar w:fldCharType="separate"/>
            </w:r>
            <w:r>
              <w:rPr>
                <w:rFonts w:hint="eastAsia"/>
                <w:color w:val="auto"/>
              </w:rPr>
              <w:t>④</w:t>
            </w:r>
            <w:r>
              <w:rPr>
                <w:rFonts w:hint="eastAsia"/>
                <w:color w:val="auto"/>
              </w:rPr>
              <w:fldChar w:fldCharType="end"/>
            </w:r>
            <w:r>
              <w:rPr>
                <w:rFonts w:hint="eastAsia"/>
                <w:color w:val="auto"/>
                <w:lang w:val="en-US" w:eastAsia="zh-CN"/>
              </w:rPr>
              <w:t>加强一体化污水处理设施的运维管理，污泥定期清掏，减少设施恶臭气体的不利影响；</w:t>
            </w:r>
          </w:p>
          <w:p w14:paraId="502BBA8E">
            <w:pPr>
              <w:numPr>
                <w:ilvl w:val="0"/>
                <w:numId w:val="0"/>
              </w:numPr>
              <w:ind w:firstLine="480" w:firstLineChars="200"/>
              <w:rPr>
                <w:rFonts w:hint="eastAsia" w:eastAsia="宋体"/>
                <w:color w:val="auto"/>
                <w:lang w:eastAsia="zh-CN"/>
              </w:rPr>
            </w:pPr>
            <w:r>
              <w:rPr>
                <w:rFonts w:hint="eastAsia"/>
                <w:color w:val="auto"/>
              </w:rPr>
              <w:fldChar w:fldCharType="begin"/>
            </w:r>
            <w:r>
              <w:rPr>
                <w:rFonts w:hint="eastAsia"/>
                <w:color w:val="auto"/>
              </w:rPr>
              <w:instrText xml:space="preserve"> = 5 \* GB3 \* MERGEFORMAT </w:instrText>
            </w:r>
            <w:r>
              <w:rPr>
                <w:rFonts w:hint="eastAsia"/>
                <w:color w:val="auto"/>
              </w:rPr>
              <w:fldChar w:fldCharType="separate"/>
            </w:r>
            <w:r>
              <w:rPr>
                <w:color w:val="auto"/>
              </w:rPr>
              <w:t>⑤</w:t>
            </w:r>
            <w:r>
              <w:rPr>
                <w:rFonts w:hint="eastAsia"/>
                <w:color w:val="auto"/>
              </w:rPr>
              <w:fldChar w:fldCharType="end"/>
            </w:r>
            <w:r>
              <w:rPr>
                <w:rFonts w:hint="eastAsia"/>
                <w:color w:val="auto"/>
              </w:rPr>
              <w:t>厂区内运输</w:t>
            </w:r>
            <w:r>
              <w:rPr>
                <w:rFonts w:hint="eastAsia"/>
                <w:color w:val="auto"/>
                <w:lang w:val="en-US" w:eastAsia="zh-CN"/>
              </w:rPr>
              <w:t>道路</w:t>
            </w:r>
            <w:r>
              <w:rPr>
                <w:rFonts w:hint="eastAsia"/>
                <w:color w:val="auto"/>
              </w:rPr>
              <w:t>定期洒水，定期清扫</w:t>
            </w:r>
            <w:r>
              <w:rPr>
                <w:rFonts w:hint="eastAsia"/>
                <w:color w:val="auto"/>
                <w:lang w:eastAsia="zh-CN"/>
              </w:rPr>
              <w:t>等措施。</w:t>
            </w:r>
          </w:p>
          <w:p w14:paraId="3D9654D3">
            <w:pPr>
              <w:ind w:firstLine="480"/>
              <w:rPr>
                <w:rFonts w:hint="eastAsia"/>
                <w:b/>
                <w:bCs/>
                <w:color w:val="auto"/>
                <w:lang w:val="en-US" w:eastAsia="zh-CN"/>
              </w:rPr>
            </w:pPr>
            <w:r>
              <w:rPr>
                <w:rFonts w:hint="eastAsia"/>
                <w:b/>
                <w:bCs/>
                <w:color w:val="auto"/>
                <w:lang w:val="en-US" w:eastAsia="zh-CN"/>
              </w:rPr>
              <w:t>（3）厂界预测结果</w:t>
            </w:r>
          </w:p>
          <w:p w14:paraId="01EF6F2E">
            <w:pPr>
              <w:ind w:firstLine="480"/>
              <w:rPr>
                <w:rFonts w:hint="eastAsia"/>
                <w:color w:val="auto"/>
                <w:lang w:val="en-US" w:eastAsia="zh-CN"/>
              </w:rPr>
            </w:pPr>
            <w:r>
              <w:rPr>
                <w:rFonts w:hint="eastAsia"/>
                <w:color w:val="auto"/>
                <w:lang w:val="en-US" w:eastAsia="zh-CN"/>
              </w:rPr>
              <w:t>本项目无组织预测采用“环安科技在线模型计算平台”中的“AERSCREEN模式”，该系统是根据《环境影响评价技术导则-大气环境》(HJ2.2-2018)中5.3节工作等级的确定方法，结合项目工程分析结果，选择正常排放的主要污染物及排放参数。项目无组织排放浓度预测结果见下表：</w:t>
            </w:r>
          </w:p>
          <w:p w14:paraId="356F31DC">
            <w:pPr>
              <w:pStyle w:val="30"/>
              <w:bidi w:val="0"/>
              <w:rPr>
                <w:rFonts w:hint="default"/>
                <w:b/>
                <w:bCs w:val="0"/>
                <w:color w:val="auto"/>
                <w:lang w:val="en-US" w:eastAsia="zh-CN"/>
              </w:rPr>
            </w:pPr>
            <w:r>
              <w:rPr>
                <w:rFonts w:hint="eastAsia"/>
                <w:color w:val="auto"/>
                <w:lang w:val="en-US" w:eastAsia="zh-CN"/>
              </w:rPr>
              <w:t>表4-5 无组织废气排放浓度预测结果一览表   单位：</w:t>
            </w:r>
            <w:r>
              <w:rPr>
                <w:rFonts w:hint="eastAsia" w:ascii="微软雅黑" w:hAnsi="微软雅黑" w:eastAsia="微软雅黑" w:cs="微软雅黑"/>
                <w:b/>
                <w:bCs w:val="0"/>
                <w:color w:val="auto"/>
                <w:lang w:val="en-US" w:eastAsia="zh-CN"/>
              </w:rPr>
              <w:t>μ</w:t>
            </w:r>
            <w:r>
              <w:rPr>
                <w:rFonts w:hint="eastAsia"/>
                <w:b/>
                <w:bCs w:val="0"/>
                <w:color w:val="auto"/>
                <w:lang w:val="en-US" w:eastAsia="zh-CN"/>
              </w:rPr>
              <w:t>g/m</w:t>
            </w:r>
            <w:r>
              <w:rPr>
                <w:rFonts w:hint="eastAsia"/>
                <w:b/>
                <w:bCs w:val="0"/>
                <w:color w:val="auto"/>
                <w:vertAlign w:val="superscript"/>
                <w:lang w:val="en-US" w:eastAsia="zh-CN"/>
              </w:rPr>
              <w:t>3</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14"/>
              <w:gridCol w:w="1109"/>
              <w:gridCol w:w="794"/>
              <w:gridCol w:w="689"/>
              <w:gridCol w:w="1111"/>
              <w:gridCol w:w="899"/>
              <w:gridCol w:w="804"/>
              <w:gridCol w:w="794"/>
            </w:tblGrid>
            <w:tr w14:paraId="1A78B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2" w:type="dxa"/>
                  <w:gridSpan w:val="5"/>
                  <w:vAlign w:val="center"/>
                </w:tcPr>
                <w:p w14:paraId="69367AA6">
                  <w:pPr>
                    <w:pStyle w:val="29"/>
                    <w:bidi w:val="0"/>
                    <w:rPr>
                      <w:rFonts w:hint="default"/>
                      <w:color w:val="auto"/>
                      <w:lang w:val="en-US" w:eastAsia="zh-CN"/>
                    </w:rPr>
                  </w:pPr>
                  <w:r>
                    <w:rPr>
                      <w:rFonts w:hint="default"/>
                      <w:color w:val="auto"/>
                    </w:rPr>
                    <w:t>离散点信息</w:t>
                  </w:r>
                </w:p>
              </w:tc>
              <w:tc>
                <w:tcPr>
                  <w:tcW w:w="3608" w:type="dxa"/>
                  <w:gridSpan w:val="4"/>
                  <w:vAlign w:val="center"/>
                </w:tcPr>
                <w:p w14:paraId="7796B2CF">
                  <w:pPr>
                    <w:pStyle w:val="29"/>
                    <w:bidi w:val="0"/>
                    <w:rPr>
                      <w:rFonts w:hint="default"/>
                      <w:color w:val="auto"/>
                    </w:rPr>
                  </w:pPr>
                  <w:r>
                    <w:rPr>
                      <w:rFonts w:hint="default"/>
                      <w:color w:val="auto"/>
                    </w:rPr>
                    <w:t>矩形面源</w:t>
                  </w:r>
                </w:p>
              </w:tc>
            </w:tr>
            <w:tr w14:paraId="48AF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6" w:type="dxa"/>
                  <w:vAlign w:val="center"/>
                </w:tcPr>
                <w:p w14:paraId="70207EC9">
                  <w:pPr>
                    <w:pStyle w:val="29"/>
                    <w:bidi w:val="0"/>
                    <w:rPr>
                      <w:rFonts w:hint="default"/>
                      <w:color w:val="auto"/>
                      <w:lang w:val="en-US" w:eastAsia="zh-CN"/>
                    </w:rPr>
                  </w:pPr>
                  <w:r>
                    <w:rPr>
                      <w:rFonts w:hint="eastAsia"/>
                      <w:color w:val="auto"/>
                      <w:lang w:val="en-US" w:eastAsia="zh-CN"/>
                    </w:rPr>
                    <w:t>预测点</w:t>
                  </w:r>
                </w:p>
              </w:tc>
              <w:tc>
                <w:tcPr>
                  <w:tcW w:w="1214" w:type="dxa"/>
                  <w:vAlign w:val="center"/>
                </w:tcPr>
                <w:p w14:paraId="2F973C9C">
                  <w:pPr>
                    <w:pStyle w:val="29"/>
                    <w:bidi w:val="0"/>
                    <w:rPr>
                      <w:rFonts w:hint="default"/>
                      <w:color w:val="auto"/>
                      <w:lang w:val="en-US" w:eastAsia="zh-CN"/>
                    </w:rPr>
                  </w:pPr>
                  <w:r>
                    <w:rPr>
                      <w:rFonts w:hint="default"/>
                      <w:color w:val="auto"/>
                    </w:rPr>
                    <w:t>经度(度)</w:t>
                  </w:r>
                </w:p>
              </w:tc>
              <w:tc>
                <w:tcPr>
                  <w:tcW w:w="1109" w:type="dxa"/>
                  <w:vAlign w:val="center"/>
                </w:tcPr>
                <w:p w14:paraId="6324AE5F">
                  <w:pPr>
                    <w:pStyle w:val="29"/>
                    <w:bidi w:val="0"/>
                    <w:rPr>
                      <w:rFonts w:hint="default"/>
                      <w:color w:val="auto"/>
                      <w:lang w:val="en-US" w:eastAsia="zh-CN"/>
                    </w:rPr>
                  </w:pPr>
                  <w:r>
                    <w:rPr>
                      <w:rFonts w:hint="default"/>
                      <w:color w:val="auto"/>
                    </w:rPr>
                    <w:t>纬度(度)</w:t>
                  </w:r>
                </w:p>
              </w:tc>
              <w:tc>
                <w:tcPr>
                  <w:tcW w:w="794" w:type="dxa"/>
                  <w:vAlign w:val="center"/>
                </w:tcPr>
                <w:p w14:paraId="0B2A6CBD">
                  <w:pPr>
                    <w:pStyle w:val="29"/>
                    <w:bidi w:val="0"/>
                    <w:rPr>
                      <w:rFonts w:hint="default"/>
                      <w:color w:val="auto"/>
                      <w:lang w:val="en-US" w:eastAsia="zh-CN"/>
                    </w:rPr>
                  </w:pPr>
                  <w:r>
                    <w:rPr>
                      <w:rFonts w:hint="default"/>
                      <w:color w:val="auto"/>
                    </w:rPr>
                    <w:t>海拔(m)</w:t>
                  </w:r>
                </w:p>
              </w:tc>
              <w:tc>
                <w:tcPr>
                  <w:tcW w:w="689" w:type="dxa"/>
                  <w:vAlign w:val="center"/>
                </w:tcPr>
                <w:p w14:paraId="7B274A09">
                  <w:pPr>
                    <w:pStyle w:val="29"/>
                    <w:bidi w:val="0"/>
                    <w:rPr>
                      <w:rFonts w:hint="default"/>
                      <w:color w:val="auto"/>
                      <w:lang w:val="en-US" w:eastAsia="zh-CN"/>
                    </w:rPr>
                  </w:pPr>
                  <w:r>
                    <w:rPr>
                      <w:rFonts w:hint="default"/>
                      <w:color w:val="auto"/>
                    </w:rPr>
                    <w:t>下风向距离(m)</w:t>
                  </w:r>
                </w:p>
              </w:tc>
              <w:tc>
                <w:tcPr>
                  <w:tcW w:w="1220" w:type="dxa"/>
                  <w:vAlign w:val="center"/>
                </w:tcPr>
                <w:p w14:paraId="7F2364BF">
                  <w:pPr>
                    <w:pStyle w:val="29"/>
                    <w:bidi w:val="0"/>
                    <w:rPr>
                      <w:rFonts w:hint="default"/>
                      <w:color w:val="auto"/>
                      <w:lang w:val="en-US" w:eastAsia="zh-CN"/>
                    </w:rPr>
                  </w:pPr>
                  <w:r>
                    <w:rPr>
                      <w:rFonts w:hint="eastAsia"/>
                      <w:color w:val="auto"/>
                      <w:lang w:val="en-US" w:eastAsia="zh-CN"/>
                    </w:rPr>
                    <w:t>TSP</w:t>
                  </w:r>
                </w:p>
              </w:tc>
              <w:tc>
                <w:tcPr>
                  <w:tcW w:w="898" w:type="dxa"/>
                  <w:shd w:val="clear" w:color="auto" w:fill="auto"/>
                  <w:vAlign w:val="center"/>
                </w:tcPr>
                <w:p w14:paraId="37EF849E">
                  <w:pPr>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NMHC</w:t>
                  </w:r>
                </w:p>
              </w:tc>
              <w:tc>
                <w:tcPr>
                  <w:tcW w:w="808" w:type="dxa"/>
                  <w:shd w:val="clear" w:color="auto" w:fill="auto"/>
                  <w:vAlign w:val="center"/>
                </w:tcPr>
                <w:p w14:paraId="6C5DF6A1">
                  <w:pPr>
                    <w:ind w:left="0" w:leftChars="0"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NH</w:t>
                  </w:r>
                  <w:r>
                    <w:rPr>
                      <w:rFonts w:hint="eastAsia" w:ascii="Times New Roman" w:hAnsi="Times New Roman" w:eastAsia="宋体" w:cs="Times New Roman"/>
                      <w:b w:val="0"/>
                      <w:color w:val="auto"/>
                      <w:kern w:val="2"/>
                      <w:sz w:val="21"/>
                      <w:szCs w:val="21"/>
                      <w:vertAlign w:val="subscript"/>
                      <w:lang w:val="en-US" w:eastAsia="zh-CN" w:bidi="ar-SA"/>
                    </w:rPr>
                    <w:t>3</w:t>
                  </w:r>
                </w:p>
              </w:tc>
              <w:tc>
                <w:tcPr>
                  <w:tcW w:w="682" w:type="dxa"/>
                  <w:shd w:val="clear" w:color="auto" w:fill="auto"/>
                  <w:vAlign w:val="center"/>
                </w:tcPr>
                <w:p w14:paraId="4A7DF000">
                  <w:pPr>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H</w:t>
                  </w:r>
                  <w:r>
                    <w:rPr>
                      <w:rFonts w:hint="eastAsia" w:ascii="Times New Roman" w:hAnsi="Times New Roman" w:eastAsia="宋体" w:cs="Times New Roman"/>
                      <w:b w:val="0"/>
                      <w:color w:val="auto"/>
                      <w:kern w:val="2"/>
                      <w:sz w:val="21"/>
                      <w:szCs w:val="21"/>
                      <w:vertAlign w:val="subscript"/>
                      <w:lang w:val="en-US" w:eastAsia="zh-CN" w:bidi="ar-SA"/>
                    </w:rPr>
                    <w:t>2</w:t>
                  </w:r>
                  <w:r>
                    <w:rPr>
                      <w:rFonts w:hint="eastAsia" w:ascii="Times New Roman" w:hAnsi="Times New Roman" w:eastAsia="宋体" w:cs="Times New Roman"/>
                      <w:b w:val="0"/>
                      <w:color w:val="auto"/>
                      <w:kern w:val="2"/>
                      <w:sz w:val="21"/>
                      <w:szCs w:val="21"/>
                      <w:lang w:val="en-US" w:eastAsia="zh-CN" w:bidi="ar-SA"/>
                    </w:rPr>
                    <w:t>S</w:t>
                  </w:r>
                </w:p>
              </w:tc>
            </w:tr>
            <w:tr w14:paraId="77BF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14:paraId="00B10396">
                  <w:pPr>
                    <w:pStyle w:val="29"/>
                    <w:bidi w:val="0"/>
                    <w:rPr>
                      <w:rFonts w:hint="default"/>
                      <w:color w:val="auto"/>
                      <w:lang w:val="en-US" w:eastAsia="zh-CN"/>
                    </w:rPr>
                  </w:pPr>
                  <w:r>
                    <w:rPr>
                      <w:rFonts w:hint="eastAsia"/>
                      <w:color w:val="auto"/>
                      <w:lang w:val="en-US" w:eastAsia="zh-CN"/>
                    </w:rPr>
                    <w:t>南厂界</w:t>
                  </w:r>
                </w:p>
              </w:tc>
              <w:tc>
                <w:tcPr>
                  <w:tcW w:w="1214" w:type="dxa"/>
                  <w:shd w:val="clear" w:color="auto" w:fill="auto"/>
                  <w:vAlign w:val="center"/>
                </w:tcPr>
                <w:p w14:paraId="48D7159F">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102.529825</w:t>
                  </w:r>
                </w:p>
              </w:tc>
              <w:tc>
                <w:tcPr>
                  <w:tcW w:w="1109" w:type="dxa"/>
                  <w:shd w:val="clear" w:color="auto" w:fill="auto"/>
                  <w:vAlign w:val="center"/>
                </w:tcPr>
                <w:p w14:paraId="7BC3C70A">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24.418865</w:t>
                  </w:r>
                </w:p>
              </w:tc>
              <w:tc>
                <w:tcPr>
                  <w:tcW w:w="794" w:type="dxa"/>
                  <w:shd w:val="clear" w:color="auto" w:fill="auto"/>
                  <w:vAlign w:val="center"/>
                </w:tcPr>
                <w:p w14:paraId="4AEB12B6">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1644.0</w:t>
                  </w:r>
                </w:p>
              </w:tc>
              <w:tc>
                <w:tcPr>
                  <w:tcW w:w="689" w:type="dxa"/>
                  <w:shd w:val="clear" w:color="auto" w:fill="auto"/>
                  <w:vAlign w:val="center"/>
                </w:tcPr>
                <w:p w14:paraId="222FD740">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21.42</w:t>
                  </w:r>
                </w:p>
              </w:tc>
              <w:tc>
                <w:tcPr>
                  <w:tcW w:w="1220" w:type="dxa"/>
                  <w:shd w:val="clear" w:color="auto" w:fill="auto"/>
                  <w:vAlign w:val="center"/>
                </w:tcPr>
                <w:p w14:paraId="0AD862F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1.9683</w:t>
                  </w:r>
                </w:p>
              </w:tc>
              <w:tc>
                <w:tcPr>
                  <w:tcW w:w="898" w:type="dxa"/>
                  <w:shd w:val="clear" w:color="auto" w:fill="auto"/>
                  <w:vAlign w:val="center"/>
                </w:tcPr>
                <w:p w14:paraId="6D5E6634">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12.2381</w:t>
                  </w:r>
                </w:p>
              </w:tc>
              <w:tc>
                <w:tcPr>
                  <w:tcW w:w="808" w:type="dxa"/>
                  <w:shd w:val="clear" w:color="auto" w:fill="auto"/>
                  <w:vAlign w:val="center"/>
                </w:tcPr>
                <w:p w14:paraId="1FFC4F17">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4.5893</w:t>
                  </w:r>
                </w:p>
              </w:tc>
              <w:tc>
                <w:tcPr>
                  <w:tcW w:w="682" w:type="dxa"/>
                  <w:shd w:val="clear" w:color="auto" w:fill="auto"/>
                  <w:vAlign w:val="center"/>
                </w:tcPr>
                <w:p w14:paraId="709DAF1C">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0.2040</w:t>
                  </w:r>
                </w:p>
              </w:tc>
            </w:tr>
            <w:tr w14:paraId="77F5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426" w:type="dxa"/>
                  <w:vAlign w:val="center"/>
                </w:tcPr>
                <w:p w14:paraId="52C250C0">
                  <w:pPr>
                    <w:pStyle w:val="29"/>
                    <w:bidi w:val="0"/>
                    <w:rPr>
                      <w:rFonts w:hint="default"/>
                      <w:color w:val="auto"/>
                      <w:lang w:val="en-US" w:eastAsia="zh-CN"/>
                    </w:rPr>
                  </w:pPr>
                  <w:r>
                    <w:rPr>
                      <w:rFonts w:hint="eastAsia"/>
                      <w:color w:val="auto"/>
                      <w:lang w:val="en-US" w:eastAsia="zh-CN"/>
                    </w:rPr>
                    <w:t>北厂界</w:t>
                  </w:r>
                </w:p>
              </w:tc>
              <w:tc>
                <w:tcPr>
                  <w:tcW w:w="1214" w:type="dxa"/>
                  <w:shd w:val="clear" w:color="auto" w:fill="auto"/>
                  <w:vAlign w:val="center"/>
                </w:tcPr>
                <w:p w14:paraId="3D796F61">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102.529868</w:t>
                  </w:r>
                </w:p>
              </w:tc>
              <w:tc>
                <w:tcPr>
                  <w:tcW w:w="1109" w:type="dxa"/>
                  <w:shd w:val="clear" w:color="auto" w:fill="auto"/>
                  <w:vAlign w:val="center"/>
                </w:tcPr>
                <w:p w14:paraId="38218440">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24.418607</w:t>
                  </w:r>
                </w:p>
              </w:tc>
              <w:tc>
                <w:tcPr>
                  <w:tcW w:w="794" w:type="dxa"/>
                  <w:shd w:val="clear" w:color="auto" w:fill="auto"/>
                  <w:vAlign w:val="center"/>
                </w:tcPr>
                <w:p w14:paraId="53408E77">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1644.0</w:t>
                  </w:r>
                </w:p>
              </w:tc>
              <w:tc>
                <w:tcPr>
                  <w:tcW w:w="689" w:type="dxa"/>
                  <w:shd w:val="clear" w:color="auto" w:fill="auto"/>
                  <w:vAlign w:val="center"/>
                </w:tcPr>
                <w:p w14:paraId="5AB1B2B8">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48.63</w:t>
                  </w:r>
                </w:p>
              </w:tc>
              <w:tc>
                <w:tcPr>
                  <w:tcW w:w="1220" w:type="dxa"/>
                  <w:shd w:val="clear" w:color="auto" w:fill="auto"/>
                  <w:vAlign w:val="center"/>
                </w:tcPr>
                <w:p w14:paraId="192B807B">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1.5113</w:t>
                  </w:r>
                </w:p>
              </w:tc>
              <w:tc>
                <w:tcPr>
                  <w:tcW w:w="898" w:type="dxa"/>
                  <w:shd w:val="clear" w:color="auto" w:fill="auto"/>
                  <w:vAlign w:val="center"/>
                </w:tcPr>
                <w:p w14:paraId="08968A02">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9.3967</w:t>
                  </w:r>
                </w:p>
              </w:tc>
              <w:tc>
                <w:tcPr>
                  <w:tcW w:w="808" w:type="dxa"/>
                  <w:shd w:val="clear" w:color="auto" w:fill="auto"/>
                  <w:vAlign w:val="center"/>
                </w:tcPr>
                <w:p w14:paraId="0A8BEF24">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3.5238</w:t>
                  </w:r>
                </w:p>
              </w:tc>
              <w:tc>
                <w:tcPr>
                  <w:tcW w:w="682" w:type="dxa"/>
                  <w:shd w:val="clear" w:color="auto" w:fill="auto"/>
                  <w:vAlign w:val="center"/>
                </w:tcPr>
                <w:p w14:paraId="7C8CBC63">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0.1566</w:t>
                  </w:r>
                </w:p>
              </w:tc>
            </w:tr>
            <w:tr w14:paraId="3D60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14:paraId="55AB0254">
                  <w:pPr>
                    <w:pStyle w:val="29"/>
                    <w:bidi w:val="0"/>
                    <w:rPr>
                      <w:rFonts w:hint="default"/>
                      <w:color w:val="auto"/>
                      <w:lang w:val="en-US" w:eastAsia="zh-CN"/>
                    </w:rPr>
                  </w:pPr>
                  <w:r>
                    <w:rPr>
                      <w:rFonts w:hint="eastAsia"/>
                      <w:color w:val="auto"/>
                      <w:lang w:val="en-US" w:eastAsia="zh-CN"/>
                    </w:rPr>
                    <w:t>西厂界</w:t>
                  </w:r>
                </w:p>
              </w:tc>
              <w:tc>
                <w:tcPr>
                  <w:tcW w:w="1214" w:type="dxa"/>
                  <w:shd w:val="clear" w:color="auto" w:fill="auto"/>
                  <w:vAlign w:val="center"/>
                </w:tcPr>
                <w:p w14:paraId="03EE2C25">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102.530005</w:t>
                  </w:r>
                </w:p>
              </w:tc>
              <w:tc>
                <w:tcPr>
                  <w:tcW w:w="1109" w:type="dxa"/>
                  <w:shd w:val="clear" w:color="auto" w:fill="auto"/>
                  <w:vAlign w:val="center"/>
                </w:tcPr>
                <w:p w14:paraId="3C73AF97">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24.419034</w:t>
                  </w:r>
                </w:p>
              </w:tc>
              <w:tc>
                <w:tcPr>
                  <w:tcW w:w="794" w:type="dxa"/>
                  <w:shd w:val="clear" w:color="auto" w:fill="auto"/>
                  <w:vAlign w:val="center"/>
                </w:tcPr>
                <w:p w14:paraId="6455DF6D">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1644.0</w:t>
                  </w:r>
                </w:p>
              </w:tc>
              <w:tc>
                <w:tcPr>
                  <w:tcW w:w="689" w:type="dxa"/>
                  <w:shd w:val="clear" w:color="auto" w:fill="auto"/>
                  <w:vAlign w:val="center"/>
                </w:tcPr>
                <w:p w14:paraId="7F489166">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10.07</w:t>
                  </w:r>
                </w:p>
              </w:tc>
              <w:tc>
                <w:tcPr>
                  <w:tcW w:w="1220" w:type="dxa"/>
                  <w:shd w:val="clear" w:color="auto" w:fill="auto"/>
                  <w:vAlign w:val="center"/>
                </w:tcPr>
                <w:p w14:paraId="6D6D03E3">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1.6098</w:t>
                  </w:r>
                </w:p>
              </w:tc>
              <w:tc>
                <w:tcPr>
                  <w:tcW w:w="898" w:type="dxa"/>
                  <w:shd w:val="clear" w:color="auto" w:fill="auto"/>
                  <w:vAlign w:val="center"/>
                </w:tcPr>
                <w:p w14:paraId="32983CEA">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10.0091</w:t>
                  </w:r>
                </w:p>
              </w:tc>
              <w:tc>
                <w:tcPr>
                  <w:tcW w:w="808" w:type="dxa"/>
                  <w:shd w:val="clear" w:color="auto" w:fill="auto"/>
                  <w:vAlign w:val="center"/>
                </w:tcPr>
                <w:p w14:paraId="4F3BA633">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3.7534</w:t>
                  </w:r>
                </w:p>
              </w:tc>
              <w:tc>
                <w:tcPr>
                  <w:tcW w:w="682" w:type="dxa"/>
                  <w:shd w:val="clear" w:color="auto" w:fill="auto"/>
                  <w:vAlign w:val="center"/>
                </w:tcPr>
                <w:p w14:paraId="45210EC2">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0.1668</w:t>
                  </w:r>
                </w:p>
              </w:tc>
            </w:tr>
            <w:tr w14:paraId="6967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 w:type="dxa"/>
                  <w:vAlign w:val="center"/>
                </w:tcPr>
                <w:p w14:paraId="3A2F3026">
                  <w:pPr>
                    <w:pStyle w:val="29"/>
                    <w:bidi w:val="0"/>
                    <w:rPr>
                      <w:rFonts w:hint="default"/>
                      <w:color w:val="auto"/>
                      <w:lang w:val="en-US" w:eastAsia="zh-CN"/>
                    </w:rPr>
                  </w:pPr>
                  <w:r>
                    <w:rPr>
                      <w:rFonts w:hint="eastAsia"/>
                      <w:color w:val="auto"/>
                      <w:lang w:val="en-US" w:eastAsia="zh-CN"/>
                    </w:rPr>
                    <w:t>东厂界</w:t>
                  </w:r>
                </w:p>
              </w:tc>
              <w:tc>
                <w:tcPr>
                  <w:tcW w:w="1214" w:type="dxa"/>
                  <w:shd w:val="clear" w:color="auto" w:fill="auto"/>
                  <w:vAlign w:val="center"/>
                </w:tcPr>
                <w:p w14:paraId="0D7B0CAE">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102.530068</w:t>
                  </w:r>
                </w:p>
              </w:tc>
              <w:tc>
                <w:tcPr>
                  <w:tcW w:w="1109" w:type="dxa"/>
                  <w:shd w:val="clear" w:color="auto" w:fill="auto"/>
                  <w:vAlign w:val="center"/>
                </w:tcPr>
                <w:p w14:paraId="2E0C1A70">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24.418811</w:t>
                  </w:r>
                </w:p>
              </w:tc>
              <w:tc>
                <w:tcPr>
                  <w:tcW w:w="794" w:type="dxa"/>
                  <w:shd w:val="clear" w:color="auto" w:fill="auto"/>
                  <w:vAlign w:val="center"/>
                </w:tcPr>
                <w:p w14:paraId="35C3C00E">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1644.0</w:t>
                  </w:r>
                </w:p>
              </w:tc>
              <w:tc>
                <w:tcPr>
                  <w:tcW w:w="689" w:type="dxa"/>
                  <w:shd w:val="clear" w:color="auto" w:fill="auto"/>
                  <w:vAlign w:val="center"/>
                </w:tcPr>
                <w:p w14:paraId="310B35C2">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30.57</w:t>
                  </w:r>
                </w:p>
              </w:tc>
              <w:tc>
                <w:tcPr>
                  <w:tcW w:w="1220" w:type="dxa"/>
                  <w:shd w:val="clear" w:color="auto" w:fill="auto"/>
                  <w:vAlign w:val="center"/>
                </w:tcPr>
                <w:p w14:paraId="31E372AF">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1.9580</w:t>
                  </w:r>
                </w:p>
              </w:tc>
              <w:tc>
                <w:tcPr>
                  <w:tcW w:w="898" w:type="dxa"/>
                  <w:shd w:val="clear" w:color="auto" w:fill="auto"/>
                  <w:vAlign w:val="center"/>
                </w:tcPr>
                <w:p w14:paraId="21B8F887">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12.1741</w:t>
                  </w:r>
                </w:p>
              </w:tc>
              <w:tc>
                <w:tcPr>
                  <w:tcW w:w="808" w:type="dxa"/>
                  <w:shd w:val="clear" w:color="auto" w:fill="auto"/>
                  <w:vAlign w:val="center"/>
                </w:tcPr>
                <w:p w14:paraId="11D35886">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4.5653</w:t>
                  </w:r>
                </w:p>
              </w:tc>
              <w:tc>
                <w:tcPr>
                  <w:tcW w:w="682" w:type="dxa"/>
                  <w:shd w:val="clear" w:color="auto" w:fill="auto"/>
                  <w:vAlign w:val="center"/>
                </w:tcPr>
                <w:p w14:paraId="6BC3B637">
                  <w:pPr>
                    <w:pStyle w:val="29"/>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0.2029</w:t>
                  </w:r>
                </w:p>
              </w:tc>
            </w:tr>
            <w:tr w14:paraId="767D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2" w:type="dxa"/>
                  <w:gridSpan w:val="5"/>
                  <w:vAlign w:val="center"/>
                </w:tcPr>
                <w:p w14:paraId="75FB6B02">
                  <w:pPr>
                    <w:pStyle w:val="29"/>
                    <w:bidi w:val="0"/>
                    <w:rPr>
                      <w:color w:val="auto"/>
                    </w:rPr>
                  </w:pPr>
                  <w:r>
                    <w:rPr>
                      <w:rFonts w:hint="eastAsia"/>
                      <w:color w:val="auto"/>
                      <w:lang w:val="en-US" w:eastAsia="zh-CN"/>
                    </w:rPr>
                    <w:t>排放标准</w:t>
                  </w:r>
                  <w:r>
                    <w:rPr>
                      <w:rFonts w:hint="default"/>
                      <w:color w:val="auto"/>
                    </w:rPr>
                    <w:t>(μg/m³)</w:t>
                  </w:r>
                </w:p>
              </w:tc>
              <w:tc>
                <w:tcPr>
                  <w:tcW w:w="1220" w:type="dxa"/>
                  <w:vAlign w:val="center"/>
                </w:tcPr>
                <w:p w14:paraId="6F18523C">
                  <w:pPr>
                    <w:pStyle w:val="29"/>
                    <w:bidi w:val="0"/>
                    <w:rPr>
                      <w:rFonts w:hint="default"/>
                      <w:color w:val="auto"/>
                      <w:lang w:val="en-US" w:eastAsia="zh-CN"/>
                    </w:rPr>
                  </w:pPr>
                  <w:r>
                    <w:rPr>
                      <w:rFonts w:hint="eastAsia"/>
                      <w:color w:val="auto"/>
                      <w:lang w:val="en-US" w:eastAsia="zh-CN"/>
                    </w:rPr>
                    <w:t>1000</w:t>
                  </w:r>
                </w:p>
              </w:tc>
              <w:tc>
                <w:tcPr>
                  <w:tcW w:w="898" w:type="dxa"/>
                  <w:vAlign w:val="center"/>
                </w:tcPr>
                <w:p w14:paraId="35789AF0">
                  <w:pPr>
                    <w:pStyle w:val="29"/>
                    <w:bidi w:val="0"/>
                    <w:rPr>
                      <w:rFonts w:hint="default"/>
                      <w:color w:val="auto"/>
                      <w:lang w:val="en-US" w:eastAsia="zh-CN"/>
                    </w:rPr>
                  </w:pPr>
                  <w:r>
                    <w:rPr>
                      <w:rFonts w:hint="eastAsia"/>
                      <w:color w:val="auto"/>
                      <w:lang w:val="en-US" w:eastAsia="zh-CN"/>
                    </w:rPr>
                    <w:t>4000</w:t>
                  </w:r>
                </w:p>
              </w:tc>
              <w:tc>
                <w:tcPr>
                  <w:tcW w:w="808" w:type="dxa"/>
                  <w:vAlign w:val="center"/>
                </w:tcPr>
                <w:p w14:paraId="5F0AF4AD">
                  <w:pPr>
                    <w:pStyle w:val="29"/>
                    <w:bidi w:val="0"/>
                    <w:rPr>
                      <w:rFonts w:hint="default"/>
                      <w:color w:val="auto"/>
                      <w:lang w:val="en-US" w:eastAsia="zh-CN"/>
                    </w:rPr>
                  </w:pPr>
                  <w:r>
                    <w:rPr>
                      <w:rFonts w:hint="eastAsia"/>
                      <w:color w:val="auto"/>
                      <w:lang w:val="en-US" w:eastAsia="zh-CN"/>
                    </w:rPr>
                    <w:t>1500</w:t>
                  </w:r>
                </w:p>
              </w:tc>
              <w:tc>
                <w:tcPr>
                  <w:tcW w:w="682" w:type="dxa"/>
                  <w:vAlign w:val="center"/>
                </w:tcPr>
                <w:p w14:paraId="106C7585">
                  <w:pPr>
                    <w:pStyle w:val="29"/>
                    <w:bidi w:val="0"/>
                    <w:rPr>
                      <w:rFonts w:hint="default"/>
                      <w:color w:val="auto"/>
                      <w:lang w:val="en-US" w:eastAsia="zh-CN"/>
                    </w:rPr>
                  </w:pPr>
                  <w:r>
                    <w:rPr>
                      <w:rFonts w:hint="eastAsia"/>
                      <w:color w:val="auto"/>
                      <w:lang w:val="en-US" w:eastAsia="zh-CN"/>
                    </w:rPr>
                    <w:t>60</w:t>
                  </w:r>
                </w:p>
              </w:tc>
            </w:tr>
            <w:tr w14:paraId="7DAB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2" w:type="dxa"/>
                  <w:gridSpan w:val="5"/>
                  <w:vAlign w:val="center"/>
                </w:tcPr>
                <w:p w14:paraId="3FD745AD">
                  <w:pPr>
                    <w:pStyle w:val="29"/>
                    <w:bidi w:val="0"/>
                    <w:rPr>
                      <w:color w:val="auto"/>
                    </w:rPr>
                  </w:pPr>
                  <w:r>
                    <w:rPr>
                      <w:rFonts w:hint="eastAsia"/>
                      <w:color w:val="auto"/>
                      <w:lang w:val="en-US" w:eastAsia="zh-CN"/>
                    </w:rPr>
                    <w:t>达标情况</w:t>
                  </w:r>
                </w:p>
              </w:tc>
              <w:tc>
                <w:tcPr>
                  <w:tcW w:w="1220" w:type="dxa"/>
                  <w:vAlign w:val="center"/>
                </w:tcPr>
                <w:p w14:paraId="626EB140">
                  <w:pPr>
                    <w:pStyle w:val="29"/>
                    <w:bidi w:val="0"/>
                    <w:rPr>
                      <w:rFonts w:hint="eastAsia"/>
                      <w:color w:val="auto"/>
                      <w:lang w:eastAsia="zh-CN"/>
                    </w:rPr>
                  </w:pPr>
                  <w:r>
                    <w:rPr>
                      <w:rFonts w:hint="eastAsia"/>
                      <w:color w:val="auto"/>
                      <w:lang w:eastAsia="zh-CN"/>
                    </w:rPr>
                    <w:t>达标</w:t>
                  </w:r>
                </w:p>
              </w:tc>
              <w:tc>
                <w:tcPr>
                  <w:tcW w:w="898" w:type="dxa"/>
                  <w:vAlign w:val="center"/>
                </w:tcPr>
                <w:p w14:paraId="157F1894">
                  <w:pPr>
                    <w:pStyle w:val="29"/>
                    <w:bidi w:val="0"/>
                    <w:rPr>
                      <w:rFonts w:hint="eastAsia"/>
                      <w:color w:val="auto"/>
                      <w:lang w:eastAsia="zh-CN"/>
                    </w:rPr>
                  </w:pPr>
                  <w:r>
                    <w:rPr>
                      <w:rFonts w:hint="eastAsia"/>
                      <w:color w:val="auto"/>
                      <w:lang w:eastAsia="zh-CN"/>
                    </w:rPr>
                    <w:t>达标</w:t>
                  </w:r>
                </w:p>
              </w:tc>
              <w:tc>
                <w:tcPr>
                  <w:tcW w:w="808" w:type="dxa"/>
                  <w:vAlign w:val="center"/>
                </w:tcPr>
                <w:p w14:paraId="3B6C44F3">
                  <w:pPr>
                    <w:pStyle w:val="29"/>
                    <w:bidi w:val="0"/>
                    <w:rPr>
                      <w:rFonts w:hint="eastAsia"/>
                      <w:color w:val="auto"/>
                      <w:lang w:eastAsia="zh-CN"/>
                    </w:rPr>
                  </w:pPr>
                  <w:r>
                    <w:rPr>
                      <w:rFonts w:hint="eastAsia"/>
                      <w:color w:val="auto"/>
                      <w:lang w:eastAsia="zh-CN"/>
                    </w:rPr>
                    <w:t>达标</w:t>
                  </w:r>
                </w:p>
              </w:tc>
              <w:tc>
                <w:tcPr>
                  <w:tcW w:w="682" w:type="dxa"/>
                  <w:vAlign w:val="center"/>
                </w:tcPr>
                <w:p w14:paraId="0D279803">
                  <w:pPr>
                    <w:pStyle w:val="29"/>
                    <w:bidi w:val="0"/>
                    <w:rPr>
                      <w:rFonts w:hint="eastAsia"/>
                      <w:color w:val="auto"/>
                      <w:lang w:eastAsia="zh-CN"/>
                    </w:rPr>
                  </w:pPr>
                  <w:r>
                    <w:rPr>
                      <w:rFonts w:hint="eastAsia"/>
                      <w:color w:val="auto"/>
                      <w:lang w:eastAsia="zh-CN"/>
                    </w:rPr>
                    <w:t>达标</w:t>
                  </w:r>
                </w:p>
              </w:tc>
            </w:tr>
          </w:tbl>
          <w:p w14:paraId="66519D77">
            <w:pPr>
              <w:ind w:firstLine="480"/>
              <w:rPr>
                <w:rFonts w:hint="eastAsia"/>
                <w:color w:val="auto"/>
                <w:lang w:val="en-US" w:eastAsia="zh-CN"/>
              </w:rPr>
            </w:pPr>
            <w:r>
              <w:rPr>
                <w:rFonts w:hint="eastAsia"/>
                <w:color w:val="auto"/>
                <w:lang w:val="en-US" w:eastAsia="zh-CN"/>
              </w:rPr>
              <w:t>根据表4-5可知，本项目厂界无组织废气TSP、非甲烷总烃厂界浓度满足《大气污染物综合排放标准》（GB16297-1996）表2无组织排放监控浓度限值要求；NH</w:t>
            </w:r>
            <w:r>
              <w:rPr>
                <w:rFonts w:hint="eastAsia"/>
                <w:color w:val="auto"/>
                <w:vertAlign w:val="subscript"/>
                <w:lang w:val="en-US" w:eastAsia="zh-CN"/>
              </w:rPr>
              <w:t>3</w:t>
            </w:r>
            <w:r>
              <w:rPr>
                <w:rFonts w:hint="eastAsia"/>
                <w:color w:val="auto"/>
                <w:lang w:val="en-US" w:eastAsia="zh-CN"/>
              </w:rPr>
              <w:t>、H</w:t>
            </w:r>
            <w:r>
              <w:rPr>
                <w:rFonts w:hint="eastAsia"/>
                <w:color w:val="auto"/>
                <w:vertAlign w:val="subscript"/>
                <w:lang w:val="en-US" w:eastAsia="zh-CN"/>
              </w:rPr>
              <w:t>2</w:t>
            </w:r>
            <w:r>
              <w:rPr>
                <w:rFonts w:hint="eastAsia"/>
                <w:color w:val="auto"/>
                <w:lang w:val="en-US" w:eastAsia="zh-CN"/>
              </w:rPr>
              <w:t>S厂界浓度满足NH</w:t>
            </w:r>
            <w:r>
              <w:rPr>
                <w:rFonts w:hint="eastAsia"/>
                <w:color w:val="auto"/>
                <w:vertAlign w:val="subscript"/>
                <w:lang w:val="en-US" w:eastAsia="zh-CN"/>
              </w:rPr>
              <w:t>3</w:t>
            </w:r>
            <w:r>
              <w:rPr>
                <w:rFonts w:hint="eastAsia"/>
                <w:color w:val="auto"/>
                <w:lang w:val="en-US" w:eastAsia="zh-CN"/>
              </w:rPr>
              <w:t>、H</w:t>
            </w:r>
            <w:r>
              <w:rPr>
                <w:rFonts w:hint="eastAsia"/>
                <w:color w:val="auto"/>
                <w:vertAlign w:val="subscript"/>
                <w:lang w:val="en-US" w:eastAsia="zh-CN"/>
              </w:rPr>
              <w:t>2</w:t>
            </w:r>
            <w:r>
              <w:rPr>
                <w:rFonts w:hint="eastAsia"/>
                <w:color w:val="auto"/>
                <w:lang w:val="en-US" w:eastAsia="zh-CN"/>
              </w:rPr>
              <w:t>S和臭气浓度执行《恶臭污染物排放标准》（GB14554-93）表1二级新改扩建厂界限值要求。</w:t>
            </w:r>
          </w:p>
          <w:p w14:paraId="631BCBC5">
            <w:pPr>
              <w:ind w:firstLine="480"/>
              <w:rPr>
                <w:color w:val="auto"/>
              </w:rPr>
            </w:pPr>
            <w:r>
              <w:rPr>
                <w:rFonts w:hint="eastAsia"/>
                <w:color w:val="auto"/>
                <w:lang w:eastAsia="zh-CN"/>
              </w:rPr>
              <w:t>综上，</w:t>
            </w:r>
            <w:r>
              <w:rPr>
                <w:rFonts w:hint="eastAsia"/>
                <w:color w:val="auto"/>
              </w:rPr>
              <w:t>通过采取以上措施，本项目污染物不会对周边大气环境造成太大的影响。</w:t>
            </w:r>
          </w:p>
          <w:p w14:paraId="0493A617">
            <w:pPr>
              <w:ind w:firstLine="482"/>
              <w:rPr>
                <w:rFonts w:hint="eastAsia"/>
                <w:b/>
                <w:bCs/>
                <w:color w:val="auto"/>
                <w:lang w:eastAsia="zh-CN"/>
              </w:rPr>
            </w:pPr>
            <w:r>
              <w:rPr>
                <w:rFonts w:hint="eastAsia"/>
                <w:b/>
                <w:bCs/>
                <w:color w:val="auto"/>
                <w:lang w:eastAsia="zh-CN"/>
              </w:rPr>
              <w:t>（</w:t>
            </w:r>
            <w:r>
              <w:rPr>
                <w:rFonts w:hint="eastAsia"/>
                <w:b/>
                <w:bCs/>
                <w:color w:val="auto"/>
                <w:lang w:val="en-US" w:eastAsia="zh-CN"/>
              </w:rPr>
              <w:t>4</w:t>
            </w:r>
            <w:r>
              <w:rPr>
                <w:rFonts w:hint="eastAsia"/>
                <w:b/>
                <w:bCs/>
                <w:color w:val="auto"/>
                <w:lang w:eastAsia="zh-CN"/>
              </w:rPr>
              <w:t>）大气环境防护距离</w:t>
            </w:r>
          </w:p>
          <w:p w14:paraId="15278B4B">
            <w:pPr>
              <w:ind w:firstLine="482"/>
              <w:rPr>
                <w:rFonts w:hint="eastAsia"/>
                <w:b w:val="0"/>
                <w:bCs w:val="0"/>
                <w:color w:val="auto"/>
                <w:lang w:eastAsia="zh-CN"/>
              </w:rPr>
            </w:pPr>
            <w:r>
              <w:rPr>
                <w:rFonts w:hint="eastAsia"/>
                <w:b w:val="0"/>
                <w:bCs w:val="0"/>
                <w:color w:val="auto"/>
                <w:lang w:eastAsia="zh-CN"/>
              </w:rPr>
              <w:t>按照《环境影响评价技术导则  大气环境》（HJ2.2-2018）规定 8.7.5 要求“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6D4E404B">
            <w:pPr>
              <w:ind w:firstLine="482"/>
              <w:rPr>
                <w:rFonts w:hint="eastAsia"/>
                <w:b w:val="0"/>
                <w:bCs w:val="0"/>
                <w:color w:val="auto"/>
                <w:lang w:eastAsia="zh-CN"/>
              </w:rPr>
            </w:pPr>
            <w:r>
              <w:rPr>
                <w:rFonts w:hint="eastAsia"/>
                <w:b w:val="0"/>
                <w:bCs w:val="0"/>
                <w:color w:val="auto"/>
                <w:lang w:eastAsia="zh-CN"/>
              </w:rPr>
              <w:t>据表</w:t>
            </w:r>
            <w:r>
              <w:rPr>
                <w:rFonts w:hint="eastAsia"/>
                <w:b w:val="0"/>
                <w:bCs w:val="0"/>
                <w:color w:val="auto"/>
                <w:lang w:val="en-US" w:eastAsia="zh-CN"/>
              </w:rPr>
              <w:t>4</w:t>
            </w:r>
            <w:r>
              <w:rPr>
                <w:rFonts w:hint="eastAsia"/>
                <w:b w:val="0"/>
                <w:bCs w:val="0"/>
                <w:color w:val="auto"/>
                <w:lang w:eastAsia="zh-CN"/>
              </w:rPr>
              <w:t>-</w:t>
            </w:r>
            <w:r>
              <w:rPr>
                <w:rFonts w:hint="eastAsia"/>
                <w:b w:val="0"/>
                <w:bCs w:val="0"/>
                <w:color w:val="auto"/>
                <w:lang w:val="en-US" w:eastAsia="zh-CN"/>
              </w:rPr>
              <w:t>5</w:t>
            </w:r>
            <w:r>
              <w:rPr>
                <w:rFonts w:hint="eastAsia"/>
                <w:b w:val="0"/>
                <w:bCs w:val="0"/>
                <w:color w:val="auto"/>
                <w:lang w:eastAsia="zh-CN"/>
              </w:rPr>
              <w:t>AERSCREEN模型输出结果一览表，生产车间无组织排放的乙醇废气（NMHC）在厂界无超标，不设大气环境防护距离。</w:t>
            </w:r>
          </w:p>
          <w:p w14:paraId="72C348CF">
            <w:pPr>
              <w:ind w:firstLine="482"/>
              <w:rPr>
                <w:rFonts w:hint="eastAsia"/>
                <w:b w:val="0"/>
                <w:bCs w:val="0"/>
                <w:color w:val="auto"/>
                <w:lang w:eastAsia="zh-CN"/>
              </w:rPr>
            </w:pPr>
            <w:r>
              <w:rPr>
                <w:rFonts w:hint="eastAsia"/>
                <w:b w:val="0"/>
                <w:bCs w:val="0"/>
                <w:color w:val="auto"/>
                <w:lang w:eastAsia="zh-CN"/>
              </w:rPr>
              <w:t>据</w:t>
            </w:r>
            <w:r>
              <w:rPr>
                <w:rFonts w:hint="eastAsia"/>
                <w:b w:val="0"/>
                <w:bCs w:val="0"/>
                <w:color w:val="auto"/>
                <w:lang w:val="en-US" w:eastAsia="zh-CN"/>
              </w:rPr>
              <w:t>表4</w:t>
            </w:r>
            <w:r>
              <w:rPr>
                <w:rFonts w:hint="eastAsia"/>
                <w:b w:val="0"/>
                <w:bCs w:val="0"/>
                <w:color w:val="auto"/>
                <w:lang w:eastAsia="zh-CN"/>
              </w:rPr>
              <w:t>-</w:t>
            </w:r>
            <w:r>
              <w:rPr>
                <w:rFonts w:hint="eastAsia"/>
                <w:b w:val="0"/>
                <w:bCs w:val="0"/>
                <w:color w:val="auto"/>
                <w:lang w:val="en-US" w:eastAsia="zh-CN"/>
              </w:rPr>
              <w:t>5</w:t>
            </w:r>
            <w:r>
              <w:rPr>
                <w:rFonts w:hint="eastAsia"/>
                <w:b w:val="0"/>
                <w:bCs w:val="0"/>
                <w:color w:val="auto"/>
                <w:lang w:eastAsia="zh-CN"/>
              </w:rPr>
              <w:t>AERSCREEN模型输出结果一览表，污水处理站无组织排放的氨和硫化氢在厂界无超标，不设大气环境防护距离。</w:t>
            </w:r>
          </w:p>
          <w:p w14:paraId="690AB15E">
            <w:pPr>
              <w:ind w:firstLine="482"/>
              <w:rPr>
                <w:rFonts w:hint="eastAsia"/>
                <w:b/>
                <w:bCs/>
                <w:color w:val="auto"/>
                <w:lang w:eastAsia="zh-CN"/>
              </w:rPr>
            </w:pPr>
            <w:r>
              <w:rPr>
                <w:rFonts w:hint="eastAsia"/>
                <w:b/>
                <w:bCs/>
                <w:color w:val="auto"/>
                <w:lang w:eastAsia="zh-CN"/>
              </w:rPr>
              <w:t>（</w:t>
            </w:r>
            <w:r>
              <w:rPr>
                <w:rFonts w:hint="eastAsia"/>
                <w:b/>
                <w:bCs/>
                <w:color w:val="auto"/>
                <w:lang w:val="en-US" w:eastAsia="zh-CN"/>
              </w:rPr>
              <w:t>5</w:t>
            </w:r>
            <w:r>
              <w:rPr>
                <w:rFonts w:hint="eastAsia"/>
                <w:b/>
                <w:bCs/>
                <w:color w:val="auto"/>
                <w:lang w:eastAsia="zh-CN"/>
              </w:rPr>
              <w:t>）可行性技术分析</w:t>
            </w:r>
          </w:p>
          <w:p w14:paraId="1CC15FD4">
            <w:pPr>
              <w:pStyle w:val="43"/>
              <w:rPr>
                <w:rFonts w:hint="eastAsia"/>
                <w:b/>
                <w:bCs/>
                <w:color w:val="auto"/>
                <w:lang w:val="en-US" w:eastAsia="zh-CN"/>
              </w:rPr>
            </w:pPr>
            <w:r>
              <w:rPr>
                <w:rFonts w:hint="eastAsia"/>
                <w:b/>
                <w:bCs/>
                <w:color w:val="auto"/>
                <w:lang w:val="en-US" w:eastAsia="zh-CN"/>
              </w:rPr>
              <w:t>1）有组织废气治理措施可行性分析</w:t>
            </w:r>
          </w:p>
          <w:p w14:paraId="70EF4E9B">
            <w:pPr>
              <w:pStyle w:val="43"/>
              <w:rPr>
                <w:rFonts w:hint="eastAsia"/>
                <w:color w:val="auto"/>
                <w:lang w:val="en-US" w:eastAsia="zh-CN"/>
              </w:rPr>
            </w:pPr>
            <w:r>
              <w:rPr>
                <w:rFonts w:hint="eastAsia"/>
                <w:b w:val="0"/>
                <w:bCs w:val="0"/>
                <w:color w:val="auto"/>
                <w:lang w:val="en-US" w:eastAsia="zh-CN"/>
              </w:rPr>
              <w:t>本项目锅炉废气治理措施可行技术参考对照《排污许可证申请与核发技术规范 锅炉》（HJ953—2018）中“表7锅炉烟气污染防治可行技术”，和《排污许可证申请与核发技术规范酒、饮料制造工业》（HJ1028—2019）表7中可行技术，废气治理措施对照可行技术情况见表4-6所示。</w:t>
            </w:r>
          </w:p>
          <w:p w14:paraId="4356ACB3">
            <w:pPr>
              <w:pStyle w:val="30"/>
              <w:bidi w:val="0"/>
              <w:rPr>
                <w:rFonts w:hint="eastAsia"/>
                <w:color w:val="auto"/>
                <w:lang w:val="en-US" w:eastAsia="zh-CN"/>
              </w:rPr>
            </w:pPr>
            <w:r>
              <w:rPr>
                <w:rFonts w:hint="eastAsia"/>
                <w:color w:val="auto"/>
                <w:lang w:val="en-US" w:eastAsia="zh-CN"/>
              </w:rPr>
              <w:t>表4-6 废气治理措施可行性技术对照表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865"/>
              <w:gridCol w:w="1062"/>
              <w:gridCol w:w="1465"/>
              <w:gridCol w:w="2585"/>
              <w:gridCol w:w="1179"/>
            </w:tblGrid>
            <w:tr w14:paraId="0D06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84" w:type="dxa"/>
                  <w:vAlign w:val="center"/>
                </w:tcPr>
                <w:p w14:paraId="677A7759">
                  <w:pPr>
                    <w:pStyle w:val="29"/>
                    <w:bidi w:val="0"/>
                    <w:rPr>
                      <w:rFonts w:hint="default"/>
                      <w:color w:val="auto"/>
                      <w:vertAlign w:val="baseline"/>
                      <w:lang w:val="en-US" w:eastAsia="zh-CN"/>
                    </w:rPr>
                  </w:pPr>
                  <w:r>
                    <w:rPr>
                      <w:rFonts w:hint="eastAsia"/>
                      <w:color w:val="auto"/>
                      <w:vertAlign w:val="baseline"/>
                      <w:lang w:val="en-US" w:eastAsia="zh-CN"/>
                    </w:rPr>
                    <w:t>燃料类型</w:t>
                  </w:r>
                </w:p>
              </w:tc>
              <w:tc>
                <w:tcPr>
                  <w:tcW w:w="865" w:type="dxa"/>
                  <w:vAlign w:val="center"/>
                </w:tcPr>
                <w:p w14:paraId="3D25031E">
                  <w:pPr>
                    <w:pStyle w:val="29"/>
                    <w:bidi w:val="0"/>
                    <w:rPr>
                      <w:rFonts w:hint="default"/>
                      <w:color w:val="auto"/>
                      <w:vertAlign w:val="baseline"/>
                      <w:lang w:val="en-US" w:eastAsia="zh-CN"/>
                    </w:rPr>
                  </w:pPr>
                  <w:r>
                    <w:rPr>
                      <w:rFonts w:hint="eastAsia"/>
                      <w:color w:val="auto"/>
                      <w:vertAlign w:val="baseline"/>
                      <w:lang w:val="en-US" w:eastAsia="zh-CN"/>
                    </w:rPr>
                    <w:t>炉型</w:t>
                  </w:r>
                </w:p>
              </w:tc>
              <w:tc>
                <w:tcPr>
                  <w:tcW w:w="1062" w:type="dxa"/>
                  <w:vAlign w:val="center"/>
                </w:tcPr>
                <w:p w14:paraId="5EFBC302">
                  <w:pPr>
                    <w:pStyle w:val="29"/>
                    <w:bidi w:val="0"/>
                    <w:rPr>
                      <w:rFonts w:hint="default"/>
                      <w:color w:val="auto"/>
                      <w:vertAlign w:val="baseline"/>
                      <w:lang w:val="en-US" w:eastAsia="zh-CN"/>
                    </w:rPr>
                  </w:pPr>
                  <w:r>
                    <w:rPr>
                      <w:rFonts w:hint="eastAsia"/>
                      <w:color w:val="auto"/>
                      <w:vertAlign w:val="baseline"/>
                      <w:lang w:val="en-US" w:eastAsia="zh-CN"/>
                    </w:rPr>
                    <w:t>污染物名称</w:t>
                  </w:r>
                </w:p>
              </w:tc>
              <w:tc>
                <w:tcPr>
                  <w:tcW w:w="1465" w:type="dxa"/>
                  <w:vAlign w:val="center"/>
                </w:tcPr>
                <w:p w14:paraId="776194D4">
                  <w:pPr>
                    <w:pStyle w:val="29"/>
                    <w:bidi w:val="0"/>
                    <w:rPr>
                      <w:rFonts w:hint="default"/>
                      <w:color w:val="auto"/>
                      <w:vertAlign w:val="baseline"/>
                      <w:lang w:val="en-US" w:eastAsia="zh-CN"/>
                    </w:rPr>
                  </w:pPr>
                  <w:r>
                    <w:rPr>
                      <w:rFonts w:hint="eastAsia"/>
                      <w:color w:val="auto"/>
                      <w:vertAlign w:val="baseline"/>
                      <w:lang w:val="en-US" w:eastAsia="zh-CN"/>
                    </w:rPr>
                    <w:t>可行技术</w:t>
                  </w:r>
                </w:p>
              </w:tc>
              <w:tc>
                <w:tcPr>
                  <w:tcW w:w="2585" w:type="dxa"/>
                  <w:vAlign w:val="center"/>
                </w:tcPr>
                <w:p w14:paraId="423BDD1E">
                  <w:pPr>
                    <w:pStyle w:val="29"/>
                    <w:bidi w:val="0"/>
                    <w:rPr>
                      <w:rFonts w:hint="default"/>
                      <w:color w:val="auto"/>
                      <w:vertAlign w:val="baseline"/>
                      <w:lang w:val="en-US" w:eastAsia="zh-CN"/>
                    </w:rPr>
                  </w:pPr>
                  <w:r>
                    <w:rPr>
                      <w:rFonts w:hint="eastAsia"/>
                      <w:color w:val="auto"/>
                      <w:vertAlign w:val="baseline"/>
                      <w:lang w:val="en-US" w:eastAsia="zh-CN"/>
                    </w:rPr>
                    <w:t>本项目</w:t>
                  </w:r>
                </w:p>
              </w:tc>
              <w:tc>
                <w:tcPr>
                  <w:tcW w:w="1179" w:type="dxa"/>
                  <w:vAlign w:val="center"/>
                </w:tcPr>
                <w:p w14:paraId="17CF057B">
                  <w:pPr>
                    <w:pStyle w:val="29"/>
                    <w:bidi w:val="0"/>
                    <w:rPr>
                      <w:rFonts w:hint="default"/>
                      <w:color w:val="auto"/>
                      <w:vertAlign w:val="baseline"/>
                      <w:lang w:val="en-US" w:eastAsia="zh-CN"/>
                    </w:rPr>
                  </w:pPr>
                  <w:r>
                    <w:rPr>
                      <w:rFonts w:hint="eastAsia"/>
                      <w:color w:val="auto"/>
                      <w:vertAlign w:val="baseline"/>
                      <w:lang w:val="en-US" w:eastAsia="zh-CN"/>
                    </w:rPr>
                    <w:t>是否为可行技术</w:t>
                  </w:r>
                </w:p>
              </w:tc>
            </w:tr>
            <w:tr w14:paraId="4343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restart"/>
                  <w:vAlign w:val="center"/>
                </w:tcPr>
                <w:p w14:paraId="403CBEC1">
                  <w:pPr>
                    <w:pStyle w:val="29"/>
                    <w:bidi w:val="0"/>
                    <w:jc w:val="center"/>
                    <w:rPr>
                      <w:rFonts w:hint="default"/>
                      <w:color w:val="auto"/>
                      <w:vertAlign w:val="baseline"/>
                      <w:lang w:val="en-US" w:eastAsia="zh-CN"/>
                    </w:rPr>
                  </w:pPr>
                  <w:r>
                    <w:rPr>
                      <w:rFonts w:hint="eastAsia"/>
                      <w:color w:val="auto"/>
                      <w:vertAlign w:val="baseline"/>
                      <w:lang w:val="en-US" w:eastAsia="zh-CN"/>
                    </w:rPr>
                    <w:t>燃气</w:t>
                  </w:r>
                </w:p>
              </w:tc>
              <w:tc>
                <w:tcPr>
                  <w:tcW w:w="865" w:type="dxa"/>
                  <w:vMerge w:val="restart"/>
                  <w:vAlign w:val="center"/>
                </w:tcPr>
                <w:p w14:paraId="3B685A11">
                  <w:pPr>
                    <w:pStyle w:val="29"/>
                    <w:bidi w:val="0"/>
                    <w:jc w:val="center"/>
                    <w:rPr>
                      <w:rFonts w:hint="default"/>
                      <w:color w:val="auto"/>
                      <w:vertAlign w:val="baseline"/>
                      <w:lang w:val="en-US" w:eastAsia="zh-CN"/>
                    </w:rPr>
                  </w:pPr>
                  <w:r>
                    <w:rPr>
                      <w:rFonts w:hint="eastAsia"/>
                      <w:color w:val="auto"/>
                      <w:vertAlign w:val="baseline"/>
                      <w:lang w:val="en-US" w:eastAsia="zh-CN"/>
                    </w:rPr>
                    <w:t>室燃炉</w:t>
                  </w:r>
                </w:p>
              </w:tc>
              <w:tc>
                <w:tcPr>
                  <w:tcW w:w="1062" w:type="dxa"/>
                  <w:shd w:val="clear" w:color="auto" w:fill="auto"/>
                  <w:vAlign w:val="center"/>
                </w:tcPr>
                <w:p w14:paraId="2F5D4D1E">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SO</w:t>
                  </w:r>
                  <w:r>
                    <w:rPr>
                      <w:rFonts w:hint="eastAsia"/>
                      <w:color w:val="auto"/>
                      <w:vertAlign w:val="subscript"/>
                      <w:lang w:val="en-US" w:eastAsia="zh-CN"/>
                    </w:rPr>
                    <w:t>2</w:t>
                  </w:r>
                </w:p>
              </w:tc>
              <w:tc>
                <w:tcPr>
                  <w:tcW w:w="1465" w:type="dxa"/>
                  <w:shd w:val="clear" w:color="auto" w:fill="auto"/>
                  <w:vAlign w:val="center"/>
                </w:tcPr>
                <w:p w14:paraId="223EF90A">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w:t>
                  </w:r>
                </w:p>
              </w:tc>
              <w:tc>
                <w:tcPr>
                  <w:tcW w:w="2585" w:type="dxa"/>
                  <w:shd w:val="clear" w:color="auto" w:fill="auto"/>
                  <w:vAlign w:val="center"/>
                </w:tcPr>
                <w:p w14:paraId="2FC1BE01">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default" w:ascii="Times New Roman" w:hAnsi="Times New Roman" w:eastAsia="宋体" w:cs="Times New Roman"/>
                      <w:b w:val="0"/>
                      <w:color w:val="auto"/>
                      <w:kern w:val="2"/>
                      <w:sz w:val="21"/>
                      <w:szCs w:val="21"/>
                      <w:vertAlign w:val="baseline"/>
                      <w:lang w:val="en-US" w:eastAsia="zh-CN" w:bidi="ar-SA"/>
                    </w:rPr>
                    <w:t>本项目使用清洁能源天然气作为燃料，燃气本身含硫量极低，燃烧过程中SO₂生成量极少，无需额外配套专门的脱硫治理设施，仅通过燃料清洁替代即可实现SO₂稳定达标排放。</w:t>
                  </w:r>
                </w:p>
              </w:tc>
              <w:tc>
                <w:tcPr>
                  <w:tcW w:w="1179" w:type="dxa"/>
                  <w:shd w:val="clear" w:color="auto" w:fill="auto"/>
                  <w:vAlign w:val="center"/>
                </w:tcPr>
                <w:p w14:paraId="0E9D16D9">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是</w:t>
                  </w:r>
                </w:p>
              </w:tc>
            </w:tr>
            <w:tr w14:paraId="619E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Merge w:val="continue"/>
                  <w:vAlign w:val="center"/>
                </w:tcPr>
                <w:p w14:paraId="7BEC6EA1">
                  <w:pPr>
                    <w:pStyle w:val="29"/>
                    <w:bidi w:val="0"/>
                    <w:jc w:val="center"/>
                    <w:rPr>
                      <w:rFonts w:hint="eastAsia"/>
                      <w:color w:val="auto"/>
                      <w:vertAlign w:val="baseline"/>
                      <w:lang w:val="en-US" w:eastAsia="zh-CN"/>
                    </w:rPr>
                  </w:pPr>
                </w:p>
              </w:tc>
              <w:tc>
                <w:tcPr>
                  <w:tcW w:w="865" w:type="dxa"/>
                  <w:vMerge w:val="continue"/>
                  <w:vAlign w:val="center"/>
                </w:tcPr>
                <w:p w14:paraId="2C5404DD">
                  <w:pPr>
                    <w:pStyle w:val="29"/>
                    <w:bidi w:val="0"/>
                    <w:jc w:val="center"/>
                    <w:rPr>
                      <w:rFonts w:hint="eastAsia"/>
                      <w:color w:val="auto"/>
                      <w:vertAlign w:val="baseline"/>
                      <w:lang w:val="en-US" w:eastAsia="zh-CN"/>
                    </w:rPr>
                  </w:pPr>
                </w:p>
              </w:tc>
              <w:tc>
                <w:tcPr>
                  <w:tcW w:w="1062" w:type="dxa"/>
                  <w:shd w:val="clear" w:color="auto" w:fill="auto"/>
                  <w:vAlign w:val="center"/>
                </w:tcPr>
                <w:p w14:paraId="77F41084">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NO</w:t>
                  </w:r>
                  <w:r>
                    <w:rPr>
                      <w:rFonts w:hint="eastAsia"/>
                      <w:color w:val="auto"/>
                      <w:vertAlign w:val="subscript"/>
                      <w:lang w:val="en-US" w:eastAsia="zh-CN"/>
                    </w:rPr>
                    <w:t>x</w:t>
                  </w:r>
                </w:p>
              </w:tc>
              <w:tc>
                <w:tcPr>
                  <w:tcW w:w="1465" w:type="dxa"/>
                  <w:shd w:val="clear" w:color="auto" w:fill="auto"/>
                  <w:vAlign w:val="center"/>
                </w:tcPr>
                <w:p w14:paraId="05007B9B">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低氮燃烧技术、低氮燃烧+SCR脱硝技术</w:t>
                  </w:r>
                </w:p>
              </w:tc>
              <w:tc>
                <w:tcPr>
                  <w:tcW w:w="2585" w:type="dxa"/>
                  <w:shd w:val="clear" w:color="auto" w:fill="auto"/>
                  <w:vAlign w:val="center"/>
                </w:tcPr>
                <w:p w14:paraId="3CB0F84A">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采用低氮燃烧</w:t>
                  </w:r>
                </w:p>
              </w:tc>
              <w:tc>
                <w:tcPr>
                  <w:tcW w:w="1179" w:type="dxa"/>
                  <w:shd w:val="clear" w:color="auto" w:fill="auto"/>
                  <w:vAlign w:val="center"/>
                </w:tcPr>
                <w:p w14:paraId="39E66E93">
                  <w:pPr>
                    <w:pStyle w:val="29"/>
                    <w:bidi w:val="0"/>
                    <w:ind w:firstLine="0" w:firstLineChars="0"/>
                    <w:rPr>
                      <w:rFonts w:hint="default" w:ascii="Times New Roman" w:hAnsi="Times New Roman" w:eastAsia="宋体" w:cs="Times New Roman"/>
                      <w:b w:val="0"/>
                      <w:color w:val="auto"/>
                      <w:kern w:val="2"/>
                      <w:sz w:val="21"/>
                      <w:szCs w:val="21"/>
                      <w:vertAlign w:val="baseline"/>
                      <w:lang w:val="en-US" w:eastAsia="zh-CN" w:bidi="ar-SA"/>
                    </w:rPr>
                  </w:pPr>
                  <w:r>
                    <w:rPr>
                      <w:rFonts w:hint="eastAsia"/>
                      <w:color w:val="auto"/>
                      <w:vertAlign w:val="baseline"/>
                      <w:lang w:val="en-US" w:eastAsia="zh-CN"/>
                    </w:rPr>
                    <w:t>是</w:t>
                  </w:r>
                </w:p>
              </w:tc>
            </w:tr>
            <w:tr w14:paraId="49EC5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shd w:val="clear" w:color="auto" w:fill="auto"/>
                  <w:vAlign w:val="center"/>
                </w:tcPr>
                <w:p w14:paraId="595E42C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原料粉碎系统</w:t>
                  </w:r>
                </w:p>
              </w:tc>
              <w:tc>
                <w:tcPr>
                  <w:tcW w:w="865" w:type="dxa"/>
                  <w:shd w:val="clear" w:color="auto" w:fill="auto"/>
                  <w:vAlign w:val="center"/>
                </w:tcPr>
                <w:p w14:paraId="4EA55D6E">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1062" w:type="dxa"/>
                  <w:shd w:val="clear" w:color="auto" w:fill="auto"/>
                  <w:vAlign w:val="center"/>
                </w:tcPr>
                <w:p w14:paraId="6C68432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465" w:type="dxa"/>
                  <w:shd w:val="clear" w:color="auto" w:fill="auto"/>
                  <w:vAlign w:val="center"/>
                </w:tcPr>
                <w:p w14:paraId="4FE430C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旋风除尘技术、袋式除尘技术、湿式除尘技术</w:t>
                  </w:r>
                </w:p>
              </w:tc>
              <w:tc>
                <w:tcPr>
                  <w:tcW w:w="2585" w:type="dxa"/>
                  <w:shd w:val="clear" w:color="auto" w:fill="auto"/>
                  <w:vAlign w:val="center"/>
                </w:tcPr>
                <w:p w14:paraId="2A4DF1C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本项目破碎机机处设置集气罩收集后采用布袋除尘器除尘+20m高排气筒。</w:t>
                  </w:r>
                </w:p>
              </w:tc>
              <w:tc>
                <w:tcPr>
                  <w:tcW w:w="1179" w:type="dxa"/>
                  <w:vAlign w:val="center"/>
                </w:tcPr>
                <w:p w14:paraId="3F25972F">
                  <w:pPr>
                    <w:pStyle w:val="29"/>
                    <w:bidi w:val="0"/>
                    <w:rPr>
                      <w:rFonts w:hint="default"/>
                      <w:color w:val="auto"/>
                      <w:vertAlign w:val="baseline"/>
                      <w:lang w:val="en-US" w:eastAsia="zh-CN"/>
                    </w:rPr>
                  </w:pPr>
                  <w:r>
                    <w:rPr>
                      <w:rFonts w:hint="eastAsia"/>
                      <w:color w:val="auto"/>
                      <w:vertAlign w:val="baseline"/>
                      <w:lang w:val="en-US" w:eastAsia="zh-CN"/>
                    </w:rPr>
                    <w:t>是</w:t>
                  </w:r>
                </w:p>
              </w:tc>
            </w:tr>
          </w:tbl>
          <w:p w14:paraId="000B9041">
            <w:pPr>
              <w:ind w:firstLine="482"/>
              <w:rPr>
                <w:rFonts w:hint="eastAsia"/>
                <w:b/>
                <w:bCs/>
                <w:color w:val="auto"/>
                <w:lang w:val="en-US" w:eastAsia="zh-CN"/>
              </w:rPr>
            </w:pPr>
            <w:r>
              <w:rPr>
                <w:rFonts w:hint="eastAsia"/>
                <w:b/>
                <w:bCs/>
                <w:color w:val="auto"/>
                <w:lang w:val="en-US" w:eastAsia="zh-CN"/>
              </w:rPr>
              <w:t>2）排气筒高度合理性论证</w:t>
            </w:r>
          </w:p>
          <w:p w14:paraId="43D1F696">
            <w:pPr>
              <w:ind w:firstLine="482"/>
              <w:rPr>
                <w:rFonts w:hint="eastAsia"/>
                <w:b w:val="0"/>
                <w:bCs w:val="0"/>
                <w:color w:val="auto"/>
                <w:lang w:val="en-US" w:eastAsia="zh-CN"/>
              </w:rPr>
            </w:pPr>
            <w:r>
              <w:rPr>
                <w:rFonts w:hint="eastAsia"/>
                <w:b w:val="0"/>
                <w:bCs w:val="0"/>
                <w:color w:val="auto"/>
                <w:lang w:val="en-US" w:eastAsia="zh-CN"/>
              </w:rPr>
              <w:t>根据《锅炉大气污染物排放标准》（GB13271—2014）可知，锅炉废气排气筒须高出周围半径200米范围内的最高建筑3米以上。项目周围半径200米范围内最高建筑约为15米，拟建排气筒高度为18m，满足烟囱应高于最高建筑物3m以上要求。根据《大气污染物综合排放标准》（GB16297-1996）可知，新污染源的排气筒一般不低于15m，排气筒周边200m范围内有建筑物时，排气筒需要高出范围内最高建筑物5m以上，本项目麦芽粉尘拟建排气筒高度为20m，因此，本项目排气筒高度符合相关标准要求，排放的大气污染物（SO</w:t>
            </w:r>
            <w:r>
              <w:rPr>
                <w:rFonts w:hint="eastAsia"/>
                <w:b w:val="0"/>
                <w:bCs w:val="0"/>
                <w:color w:val="auto"/>
                <w:vertAlign w:val="subscript"/>
                <w:lang w:val="en-US" w:eastAsia="zh-CN"/>
              </w:rPr>
              <w:t>2</w:t>
            </w:r>
            <w:r>
              <w:rPr>
                <w:rFonts w:hint="eastAsia"/>
                <w:b w:val="0"/>
                <w:bCs w:val="0"/>
                <w:color w:val="auto"/>
                <w:lang w:val="en-US" w:eastAsia="zh-CN"/>
              </w:rPr>
              <w:t>、NO</w:t>
            </w:r>
            <w:r>
              <w:rPr>
                <w:rFonts w:hint="eastAsia"/>
                <w:b w:val="0"/>
                <w:bCs w:val="0"/>
                <w:color w:val="auto"/>
                <w:vertAlign w:val="subscript"/>
                <w:lang w:val="en-US" w:eastAsia="zh-CN"/>
              </w:rPr>
              <w:t>x</w:t>
            </w:r>
            <w:r>
              <w:rPr>
                <w:rFonts w:hint="eastAsia"/>
                <w:b w:val="0"/>
                <w:bCs w:val="0"/>
                <w:color w:val="auto"/>
                <w:lang w:val="en-US" w:eastAsia="zh-CN"/>
              </w:rPr>
              <w:t>、颗粒物）对周围环境影响较小，可确保大气环境质量达标，排气筒高度设置合理。</w:t>
            </w:r>
          </w:p>
          <w:p w14:paraId="0B1C4779">
            <w:pPr>
              <w:ind w:firstLine="482"/>
              <w:rPr>
                <w:rFonts w:hint="eastAsia"/>
                <w:b/>
                <w:bCs/>
                <w:color w:val="auto"/>
              </w:rPr>
            </w:pPr>
            <w:r>
              <w:rPr>
                <w:rFonts w:hint="eastAsia"/>
                <w:b/>
                <w:bCs/>
                <w:color w:val="auto"/>
                <w:lang w:val="en-US" w:eastAsia="zh-CN"/>
              </w:rPr>
              <w:t>3</w:t>
            </w:r>
            <w:r>
              <w:rPr>
                <w:rFonts w:hint="eastAsia"/>
                <w:b/>
                <w:bCs/>
                <w:color w:val="auto"/>
              </w:rPr>
              <w:t>）无组织废气污染治理设施可行性分析</w:t>
            </w:r>
          </w:p>
          <w:p w14:paraId="60AB9050">
            <w:pPr>
              <w:ind w:firstLine="482"/>
              <w:rPr>
                <w:rFonts w:hint="eastAsia"/>
                <w:b w:val="0"/>
                <w:bCs w:val="0"/>
                <w:color w:val="auto"/>
                <w:lang w:val="en-US" w:eastAsia="zh-CN"/>
              </w:rPr>
            </w:pPr>
            <w:r>
              <w:rPr>
                <w:rFonts w:hint="eastAsia"/>
                <w:b w:val="0"/>
                <w:bCs w:val="0"/>
                <w:color w:val="auto"/>
                <w:lang w:eastAsia="zh-CN"/>
              </w:rPr>
              <w:t>本项目无组织排放源，按照《排污许可证申请与核发技术规范酒、饮料制造工业》（HJ1028—2019）</w:t>
            </w:r>
            <w:r>
              <w:rPr>
                <w:rFonts w:hint="eastAsia"/>
                <w:b w:val="0"/>
                <w:bCs w:val="0"/>
                <w:color w:val="auto"/>
                <w:lang w:val="en-US" w:eastAsia="zh-CN"/>
              </w:rPr>
              <w:t>中6.2.2的要求执行，无组织排放控制要求如下表所示：</w:t>
            </w:r>
          </w:p>
          <w:p w14:paraId="5C7FEA78">
            <w:pPr>
              <w:pStyle w:val="30"/>
              <w:bidi w:val="0"/>
              <w:rPr>
                <w:rFonts w:hint="eastAsia"/>
                <w:color w:val="auto"/>
                <w:lang w:val="en-US" w:eastAsia="zh-CN"/>
              </w:rPr>
            </w:pPr>
            <w:r>
              <w:rPr>
                <w:rFonts w:hint="eastAsia"/>
                <w:color w:val="auto"/>
                <w:lang w:val="en-US" w:eastAsia="zh-CN"/>
              </w:rPr>
              <w:t>表4-7 无组织排放控制要求对照表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835"/>
              <w:gridCol w:w="2632"/>
              <w:gridCol w:w="2836"/>
              <w:gridCol w:w="866"/>
            </w:tblGrid>
            <w:tr w14:paraId="3182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671" w:type="dxa"/>
                  <w:vAlign w:val="center"/>
                </w:tcPr>
                <w:p w14:paraId="499394D0">
                  <w:pPr>
                    <w:pStyle w:val="29"/>
                    <w:bidi w:val="0"/>
                    <w:rPr>
                      <w:rFonts w:hint="default"/>
                      <w:color w:val="auto"/>
                      <w:lang w:val="en-US" w:eastAsia="zh-CN"/>
                    </w:rPr>
                  </w:pPr>
                  <w:r>
                    <w:rPr>
                      <w:rFonts w:hint="eastAsia"/>
                      <w:color w:val="auto"/>
                      <w:lang w:val="en-US" w:eastAsia="zh-CN"/>
                    </w:rPr>
                    <w:t>主要单元</w:t>
                  </w:r>
                </w:p>
              </w:tc>
              <w:tc>
                <w:tcPr>
                  <w:tcW w:w="835" w:type="dxa"/>
                  <w:vAlign w:val="center"/>
                </w:tcPr>
                <w:p w14:paraId="2F8F039A">
                  <w:pPr>
                    <w:pStyle w:val="29"/>
                    <w:bidi w:val="0"/>
                    <w:rPr>
                      <w:rFonts w:hint="default"/>
                      <w:color w:val="auto"/>
                      <w:lang w:val="en-US" w:eastAsia="zh-CN"/>
                    </w:rPr>
                  </w:pPr>
                  <w:r>
                    <w:rPr>
                      <w:rFonts w:hint="eastAsia"/>
                      <w:color w:val="auto"/>
                      <w:lang w:val="en-US" w:eastAsia="zh-CN"/>
                    </w:rPr>
                    <w:t>污染物项目</w:t>
                  </w:r>
                </w:p>
              </w:tc>
              <w:tc>
                <w:tcPr>
                  <w:tcW w:w="2632" w:type="dxa"/>
                  <w:vAlign w:val="center"/>
                </w:tcPr>
                <w:p w14:paraId="32B850AE">
                  <w:pPr>
                    <w:pStyle w:val="29"/>
                    <w:bidi w:val="0"/>
                    <w:rPr>
                      <w:rFonts w:hint="default"/>
                      <w:color w:val="auto"/>
                      <w:lang w:val="en-US" w:eastAsia="zh-CN"/>
                    </w:rPr>
                  </w:pPr>
                  <w:r>
                    <w:rPr>
                      <w:rFonts w:hint="eastAsia"/>
                      <w:color w:val="auto"/>
                      <w:lang w:val="en-US" w:eastAsia="zh-CN"/>
                    </w:rPr>
                    <w:t>可行技术</w:t>
                  </w:r>
                </w:p>
              </w:tc>
              <w:tc>
                <w:tcPr>
                  <w:tcW w:w="2836" w:type="dxa"/>
                  <w:vAlign w:val="center"/>
                </w:tcPr>
                <w:p w14:paraId="0E361534">
                  <w:pPr>
                    <w:pStyle w:val="29"/>
                    <w:bidi w:val="0"/>
                    <w:rPr>
                      <w:rFonts w:hint="default"/>
                      <w:color w:val="auto"/>
                      <w:lang w:val="en-US" w:eastAsia="zh-CN"/>
                    </w:rPr>
                  </w:pPr>
                  <w:r>
                    <w:rPr>
                      <w:rFonts w:hint="eastAsia"/>
                      <w:color w:val="auto"/>
                      <w:lang w:val="en-US" w:eastAsia="zh-CN"/>
                    </w:rPr>
                    <w:t>本项目</w:t>
                  </w:r>
                </w:p>
              </w:tc>
              <w:tc>
                <w:tcPr>
                  <w:tcW w:w="866" w:type="dxa"/>
                  <w:vAlign w:val="center"/>
                </w:tcPr>
                <w:p w14:paraId="3903525A">
                  <w:pPr>
                    <w:pStyle w:val="29"/>
                    <w:bidi w:val="0"/>
                    <w:rPr>
                      <w:rFonts w:hint="default"/>
                      <w:color w:val="auto"/>
                      <w:lang w:val="en-US" w:eastAsia="zh-CN"/>
                    </w:rPr>
                  </w:pPr>
                  <w:r>
                    <w:rPr>
                      <w:rFonts w:hint="eastAsia"/>
                      <w:color w:val="auto"/>
                      <w:lang w:val="en-US" w:eastAsia="zh-CN"/>
                    </w:rPr>
                    <w:t>是否为可行技术</w:t>
                  </w:r>
                </w:p>
              </w:tc>
            </w:tr>
            <w:tr w14:paraId="4739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Align w:val="center"/>
                </w:tcPr>
                <w:p w14:paraId="1B6EC1D1">
                  <w:pPr>
                    <w:pStyle w:val="29"/>
                    <w:bidi w:val="0"/>
                    <w:rPr>
                      <w:rFonts w:hint="default"/>
                      <w:color w:val="auto"/>
                      <w:lang w:val="en-US" w:eastAsia="zh-CN"/>
                    </w:rPr>
                  </w:pPr>
                  <w:r>
                    <w:rPr>
                      <w:rFonts w:hint="eastAsia"/>
                      <w:color w:val="auto"/>
                      <w:lang w:val="en-US" w:eastAsia="zh-CN"/>
                    </w:rPr>
                    <w:t>一体化污水处理设施</w:t>
                  </w:r>
                </w:p>
              </w:tc>
              <w:tc>
                <w:tcPr>
                  <w:tcW w:w="835" w:type="dxa"/>
                  <w:vAlign w:val="center"/>
                </w:tcPr>
                <w:p w14:paraId="0489A582">
                  <w:pPr>
                    <w:pStyle w:val="29"/>
                    <w:bidi w:val="0"/>
                    <w:rPr>
                      <w:rFonts w:hint="default"/>
                      <w:color w:val="auto"/>
                      <w:lang w:val="en-US" w:eastAsia="zh-CN"/>
                    </w:rPr>
                  </w:pPr>
                  <w:r>
                    <w:rPr>
                      <w:rFonts w:hint="eastAsia"/>
                      <w:color w:val="auto"/>
                      <w:lang w:val="en-US" w:eastAsia="zh-CN"/>
                    </w:rPr>
                    <w:t>恶臭</w:t>
                  </w:r>
                </w:p>
              </w:tc>
              <w:tc>
                <w:tcPr>
                  <w:tcW w:w="2632" w:type="dxa"/>
                  <w:vAlign w:val="center"/>
                </w:tcPr>
                <w:p w14:paraId="6142D22F">
                  <w:pPr>
                    <w:pStyle w:val="29"/>
                    <w:bidi w:val="0"/>
                    <w:rPr>
                      <w:rFonts w:hint="eastAsia"/>
                      <w:color w:val="auto"/>
                      <w:lang w:val="en-US" w:eastAsia="zh-CN"/>
                    </w:rPr>
                  </w:pPr>
                  <w:r>
                    <w:rPr>
                      <w:rFonts w:hint="eastAsia"/>
                      <w:color w:val="auto"/>
                      <w:lang w:val="en-US" w:eastAsia="zh-CN"/>
                    </w:rPr>
                    <w:t>1、应对厂区综合污水处理站产生恶臭的区域加罩或加盖，或者投放除臭剂，或者集中收集恶臭气体到除臭装置处理后经排气筒排放。</w:t>
                  </w:r>
                </w:p>
                <w:p w14:paraId="64F2625F">
                  <w:pPr>
                    <w:pStyle w:val="29"/>
                    <w:bidi w:val="0"/>
                    <w:rPr>
                      <w:rFonts w:hint="default"/>
                      <w:color w:val="auto"/>
                      <w:lang w:val="en-US" w:eastAsia="zh-CN"/>
                    </w:rPr>
                  </w:pPr>
                  <w:r>
                    <w:rPr>
                      <w:rFonts w:hint="eastAsia"/>
                      <w:color w:val="auto"/>
                      <w:lang w:val="en-US" w:eastAsia="zh-CN"/>
                    </w:rPr>
                    <w:t>2、对于有酒糟堆场、果蔬渣堆场、沼渣堆场等的排污单位，堆放的酒糟、果蔬渣、沼渣等应进行覆盖，及时清理堆场、道路上的酒糟、果蔬渣、沼渣等。</w:t>
                  </w:r>
                </w:p>
              </w:tc>
              <w:tc>
                <w:tcPr>
                  <w:tcW w:w="2836" w:type="dxa"/>
                  <w:vAlign w:val="center"/>
                </w:tcPr>
                <w:p w14:paraId="442AF9A0">
                  <w:pPr>
                    <w:pStyle w:val="29"/>
                    <w:bidi w:val="0"/>
                    <w:rPr>
                      <w:rFonts w:hint="default"/>
                      <w:color w:val="auto"/>
                      <w:lang w:val="en-US" w:eastAsia="zh-CN"/>
                    </w:rPr>
                  </w:pPr>
                  <w:r>
                    <w:rPr>
                      <w:rFonts w:hint="eastAsia"/>
                      <w:color w:val="auto"/>
                      <w:lang w:val="en-US" w:eastAsia="zh-CN"/>
                    </w:rPr>
                    <w:t>本项目不设置酒糟堆场，采用封闭式一体化污水处理系统，产生的臭气量较小；项目啤酒加工固废暂存于密闭专用存储桶内，全部定向外售至已取得饲料生产合法资质的饲料加工企业，或具备规模化养殖资质、配套合规饲料加工车间的养殖场，作为饲料生产原料实现全量资源化利用，不交由无资质散户零散收购处置，即产即清，不在厂区贮存，并在清运过程中喷洒除臭剂。</w:t>
                  </w:r>
                </w:p>
              </w:tc>
              <w:tc>
                <w:tcPr>
                  <w:tcW w:w="866" w:type="dxa"/>
                  <w:vAlign w:val="center"/>
                </w:tcPr>
                <w:p w14:paraId="343C25CE">
                  <w:pPr>
                    <w:pStyle w:val="29"/>
                    <w:bidi w:val="0"/>
                    <w:rPr>
                      <w:rFonts w:hint="eastAsia"/>
                      <w:color w:val="auto"/>
                      <w:lang w:val="en-US" w:eastAsia="zh-CN"/>
                    </w:rPr>
                  </w:pPr>
                  <w:r>
                    <w:rPr>
                      <w:rFonts w:hint="eastAsia"/>
                      <w:color w:val="auto"/>
                      <w:lang w:val="en-US" w:eastAsia="zh-CN"/>
                    </w:rPr>
                    <w:t>是</w:t>
                  </w:r>
                </w:p>
              </w:tc>
            </w:tr>
          </w:tbl>
          <w:p w14:paraId="1544CB80">
            <w:pPr>
              <w:ind w:firstLine="482"/>
              <w:rPr>
                <w:rFonts w:hint="eastAsia"/>
                <w:b w:val="0"/>
                <w:bCs w:val="0"/>
                <w:color w:val="auto"/>
              </w:rPr>
            </w:pPr>
            <w:r>
              <w:rPr>
                <w:rFonts w:hint="eastAsia"/>
                <w:b w:val="0"/>
                <w:bCs w:val="0"/>
                <w:color w:val="auto"/>
                <w:lang w:eastAsia="zh-CN"/>
              </w:rPr>
              <w:t>综上，</w:t>
            </w:r>
            <w:r>
              <w:rPr>
                <w:rFonts w:hint="eastAsia"/>
                <w:b w:val="0"/>
                <w:bCs w:val="0"/>
                <w:color w:val="auto"/>
              </w:rPr>
              <w:t>为减少无组织废气对周围环境的影响，</w:t>
            </w:r>
            <w:r>
              <w:rPr>
                <w:rFonts w:hint="eastAsia"/>
                <w:b w:val="0"/>
                <w:bCs w:val="0"/>
                <w:color w:val="auto"/>
                <w:lang w:eastAsia="zh-CN"/>
              </w:rPr>
              <w:t>本环评建议</w:t>
            </w:r>
            <w:r>
              <w:rPr>
                <w:rFonts w:hint="eastAsia"/>
                <w:b w:val="0"/>
                <w:bCs w:val="0"/>
                <w:color w:val="auto"/>
              </w:rPr>
              <w:t>项目采取以下</w:t>
            </w:r>
            <w:r>
              <w:rPr>
                <w:rFonts w:hint="eastAsia"/>
                <w:b w:val="0"/>
                <w:bCs w:val="0"/>
                <w:color w:val="auto"/>
                <w:lang w:eastAsia="zh-CN"/>
              </w:rPr>
              <w:t>防治</w:t>
            </w:r>
            <w:r>
              <w:rPr>
                <w:rFonts w:hint="eastAsia"/>
                <w:b w:val="0"/>
                <w:bCs w:val="0"/>
                <w:color w:val="auto"/>
              </w:rPr>
              <w:t>措施：</w:t>
            </w:r>
          </w:p>
          <w:p w14:paraId="466A7ADD">
            <w:pPr>
              <w:ind w:firstLine="482"/>
              <w:rPr>
                <w:rFonts w:hint="eastAsia"/>
                <w:b w:val="0"/>
                <w:bCs w:val="0"/>
                <w:color w:val="auto"/>
                <w:lang w:val="en-US" w:eastAsia="zh-CN"/>
              </w:rPr>
            </w:pPr>
            <w:r>
              <w:rPr>
                <w:rFonts w:hint="eastAsia"/>
                <w:b w:val="0"/>
                <w:bCs w:val="0"/>
                <w:color w:val="auto"/>
                <w:lang w:val="en-US" w:eastAsia="zh-CN"/>
              </w:rPr>
              <w:t>①麦芽破碎过程加强布袋除尘器维护检修，保证收尘效果；</w:t>
            </w:r>
          </w:p>
          <w:p w14:paraId="116B3F6F">
            <w:pPr>
              <w:ind w:firstLine="482"/>
              <w:rPr>
                <w:rFonts w:hint="eastAsia"/>
                <w:b w:val="0"/>
                <w:bCs w:val="0"/>
                <w:color w:val="auto"/>
                <w:lang w:val="en-US" w:eastAsia="zh-CN"/>
              </w:rPr>
            </w:pPr>
            <w:r>
              <w:rPr>
                <w:rFonts w:hint="eastAsia"/>
                <w:b w:val="0"/>
                <w:bCs w:val="0"/>
                <w:color w:val="auto"/>
                <w:lang w:val="en-US" w:eastAsia="zh-CN"/>
              </w:rPr>
              <w:fldChar w:fldCharType="begin"/>
            </w:r>
            <w:r>
              <w:rPr>
                <w:rFonts w:hint="eastAsia"/>
                <w:b w:val="0"/>
                <w:bCs w:val="0"/>
                <w:color w:val="auto"/>
                <w:lang w:val="en-US" w:eastAsia="zh-CN"/>
              </w:rPr>
              <w:instrText xml:space="preserve"> = 2 \* GB3 \* MERGEFORMAT </w:instrText>
            </w:r>
            <w:r>
              <w:rPr>
                <w:rFonts w:hint="eastAsia"/>
                <w:b w:val="0"/>
                <w:bCs w:val="0"/>
                <w:color w:val="auto"/>
                <w:lang w:val="en-US" w:eastAsia="zh-CN"/>
              </w:rPr>
              <w:fldChar w:fldCharType="separate"/>
            </w:r>
            <w:r>
              <w:rPr>
                <w:rFonts w:hint="eastAsia"/>
                <w:b w:val="0"/>
                <w:bCs w:val="0"/>
                <w:color w:val="auto"/>
                <w:lang w:val="en-US" w:eastAsia="zh-CN"/>
              </w:rPr>
              <w:t>②</w:t>
            </w:r>
            <w:r>
              <w:rPr>
                <w:rFonts w:hint="eastAsia"/>
                <w:b w:val="0"/>
                <w:bCs w:val="0"/>
                <w:color w:val="auto"/>
                <w:lang w:val="en-US" w:eastAsia="zh-CN"/>
              </w:rPr>
              <w:fldChar w:fldCharType="end"/>
            </w:r>
            <w:r>
              <w:rPr>
                <w:rFonts w:hint="eastAsia"/>
                <w:b w:val="0"/>
                <w:bCs w:val="0"/>
                <w:color w:val="auto"/>
                <w:lang w:val="en-US" w:eastAsia="zh-CN"/>
              </w:rPr>
              <w:t>保持破碎车间门窗密闭，减少破碎粉尘外溢对周边大气造成影响；</w:t>
            </w:r>
          </w:p>
          <w:p w14:paraId="462EEF02">
            <w:pPr>
              <w:ind w:firstLine="482"/>
              <w:rPr>
                <w:rFonts w:hint="eastAsia"/>
                <w:b w:val="0"/>
                <w:bCs w:val="0"/>
                <w:color w:val="auto"/>
                <w:lang w:val="en-US"/>
              </w:rPr>
            </w:pPr>
            <w:r>
              <w:rPr>
                <w:rFonts w:hint="eastAsia"/>
                <w:b w:val="0"/>
                <w:bCs w:val="0"/>
                <w:color w:val="auto"/>
              </w:rPr>
              <w:fldChar w:fldCharType="begin"/>
            </w:r>
            <w:r>
              <w:rPr>
                <w:rFonts w:hint="eastAsia"/>
                <w:b w:val="0"/>
                <w:bCs w:val="0"/>
                <w:color w:val="auto"/>
              </w:rPr>
              <w:instrText xml:space="preserve"> = 3 \* GB3 \* MERGEFORMAT </w:instrText>
            </w:r>
            <w:r>
              <w:rPr>
                <w:rFonts w:hint="eastAsia"/>
                <w:b w:val="0"/>
                <w:bCs w:val="0"/>
                <w:color w:val="auto"/>
              </w:rPr>
              <w:fldChar w:fldCharType="separate"/>
            </w:r>
            <w:r>
              <w:rPr>
                <w:rFonts w:hint="eastAsia"/>
                <w:b w:val="0"/>
                <w:bCs w:val="0"/>
                <w:color w:val="auto"/>
              </w:rPr>
              <w:t>③</w:t>
            </w:r>
            <w:r>
              <w:rPr>
                <w:rFonts w:hint="eastAsia"/>
                <w:b w:val="0"/>
                <w:bCs w:val="0"/>
                <w:color w:val="auto"/>
              </w:rPr>
              <w:fldChar w:fldCharType="end"/>
            </w:r>
            <w:r>
              <w:rPr>
                <w:rFonts w:hint="eastAsia"/>
                <w:b w:val="0"/>
                <w:bCs w:val="0"/>
                <w:color w:val="auto"/>
                <w:lang w:eastAsia="zh-CN"/>
              </w:rPr>
              <w:t>废酒糟、</w:t>
            </w:r>
            <w:r>
              <w:rPr>
                <w:rFonts w:hint="eastAsia"/>
                <w:b w:val="0"/>
                <w:bCs w:val="0"/>
                <w:color w:val="auto"/>
                <w:lang w:val="en-US" w:eastAsia="zh-CN"/>
              </w:rPr>
              <w:t>废酵母、</w:t>
            </w:r>
            <w:r>
              <w:rPr>
                <w:rFonts w:hint="eastAsia"/>
                <w:b w:val="0"/>
                <w:bCs w:val="0"/>
                <w:color w:val="auto"/>
                <w:lang w:eastAsia="zh-CN"/>
              </w:rPr>
              <w:t>废酒花、</w:t>
            </w:r>
            <w:r>
              <w:rPr>
                <w:rFonts w:hint="eastAsia"/>
                <w:b w:val="0"/>
                <w:bCs w:val="0"/>
                <w:color w:val="auto"/>
                <w:lang w:val="en-US" w:eastAsia="zh-CN"/>
              </w:rPr>
              <w:t>沉淀渣</w:t>
            </w:r>
            <w:r>
              <w:rPr>
                <w:rFonts w:hint="eastAsia"/>
                <w:b w:val="0"/>
                <w:bCs w:val="0"/>
                <w:color w:val="auto"/>
                <w:lang w:eastAsia="zh-CN"/>
              </w:rPr>
              <w:t>等</w:t>
            </w:r>
            <w:r>
              <w:rPr>
                <w:rFonts w:hint="eastAsia"/>
                <w:b w:val="0"/>
                <w:bCs w:val="0"/>
                <w:color w:val="auto"/>
                <w:lang w:val="en-US" w:eastAsia="zh-CN"/>
              </w:rPr>
              <w:t>产生后立即用密闭收集桶收集暂存，及时通知回收单位清运，做到日产日清，减少在厂区内的存放时间；</w:t>
            </w:r>
          </w:p>
          <w:p w14:paraId="5D0DB250">
            <w:pPr>
              <w:ind w:firstLine="482"/>
              <w:rPr>
                <w:rFonts w:hint="eastAsia"/>
                <w:b w:val="0"/>
                <w:bCs w:val="0"/>
                <w:color w:val="auto"/>
              </w:rPr>
            </w:pPr>
            <w:r>
              <w:rPr>
                <w:rFonts w:hint="eastAsia"/>
                <w:b w:val="0"/>
                <w:bCs w:val="0"/>
                <w:color w:val="auto"/>
              </w:rPr>
              <w:fldChar w:fldCharType="begin"/>
            </w:r>
            <w:r>
              <w:rPr>
                <w:rFonts w:hint="eastAsia"/>
                <w:b w:val="0"/>
                <w:bCs w:val="0"/>
                <w:color w:val="auto"/>
              </w:rPr>
              <w:instrText xml:space="preserve"> = 4 \* GB3 \* MERGEFORMAT </w:instrText>
            </w:r>
            <w:r>
              <w:rPr>
                <w:rFonts w:hint="eastAsia"/>
                <w:b w:val="0"/>
                <w:bCs w:val="0"/>
                <w:color w:val="auto"/>
              </w:rPr>
              <w:fldChar w:fldCharType="separate"/>
            </w:r>
            <w:r>
              <w:rPr>
                <w:rFonts w:hint="eastAsia"/>
                <w:b w:val="0"/>
                <w:bCs w:val="0"/>
                <w:color w:val="auto"/>
              </w:rPr>
              <w:t>④</w:t>
            </w:r>
            <w:r>
              <w:rPr>
                <w:rFonts w:hint="eastAsia"/>
                <w:b w:val="0"/>
                <w:bCs w:val="0"/>
                <w:color w:val="auto"/>
              </w:rPr>
              <w:fldChar w:fldCharType="end"/>
            </w:r>
            <w:r>
              <w:rPr>
                <w:rFonts w:hint="eastAsia"/>
                <w:b w:val="0"/>
                <w:bCs w:val="0"/>
                <w:color w:val="auto"/>
                <w:lang w:val="en-US" w:eastAsia="zh-CN"/>
              </w:rPr>
              <w:t>加强一体化污水处理设施的运维管理，污泥定期清掏，减少设施恶臭气体的不利影响；</w:t>
            </w:r>
            <w:r>
              <w:rPr>
                <w:rFonts w:hint="eastAsia"/>
                <w:b w:val="0"/>
                <w:bCs w:val="0"/>
                <w:color w:val="auto"/>
              </w:rPr>
              <w:t>建设项目拟制定严格的设备检修规程，并增加设备检修频次，确保生产设备正常运行，防止因设备故障、泄漏导致的污染物失控排放；</w:t>
            </w:r>
          </w:p>
          <w:p w14:paraId="028ABD81">
            <w:pPr>
              <w:ind w:firstLine="482"/>
              <w:rPr>
                <w:rFonts w:hint="eastAsia"/>
                <w:b w:val="0"/>
                <w:bCs w:val="0"/>
                <w:color w:val="auto"/>
              </w:rPr>
            </w:pPr>
            <w:r>
              <w:rPr>
                <w:rFonts w:hint="eastAsia"/>
                <w:b w:val="0"/>
                <w:bCs w:val="0"/>
                <w:color w:val="auto"/>
              </w:rPr>
              <w:t>⑤建设项目拟制定完善的管理制度和奖惩机制，明确各道生产环节负责人，生产过程中操作人员不得以任何理由离开岗位，不能让设备在无人看管的情况下运作。对操作技能好、责任心强的生产人员进行奖励，反之则进行淘汰和处罚。经常组织学习和交流，提高操作人员的实战经验，避免因操作不当造成的环境污染；</w:t>
            </w:r>
          </w:p>
          <w:p w14:paraId="55CECD62">
            <w:pPr>
              <w:ind w:firstLine="482"/>
              <w:rPr>
                <w:rFonts w:hint="eastAsia"/>
                <w:b w:val="0"/>
                <w:bCs w:val="0"/>
                <w:color w:val="auto"/>
              </w:rPr>
            </w:pPr>
            <w:r>
              <w:rPr>
                <w:rFonts w:hint="eastAsia"/>
                <w:b w:val="0"/>
                <w:bCs w:val="0"/>
                <w:color w:val="auto"/>
              </w:rPr>
              <w:fldChar w:fldCharType="begin"/>
            </w:r>
            <w:r>
              <w:rPr>
                <w:rFonts w:hint="eastAsia"/>
                <w:b w:val="0"/>
                <w:bCs w:val="0"/>
                <w:color w:val="auto"/>
              </w:rPr>
              <w:instrText xml:space="preserve"> = 6 \* GB3 \* MERGEFORMAT </w:instrText>
            </w:r>
            <w:r>
              <w:rPr>
                <w:rFonts w:hint="eastAsia"/>
                <w:b w:val="0"/>
                <w:bCs w:val="0"/>
                <w:color w:val="auto"/>
              </w:rPr>
              <w:fldChar w:fldCharType="separate"/>
            </w:r>
            <w:r>
              <w:rPr>
                <w:color w:val="auto"/>
              </w:rPr>
              <w:t>⑥</w:t>
            </w:r>
            <w:r>
              <w:rPr>
                <w:rFonts w:hint="eastAsia"/>
                <w:b w:val="0"/>
                <w:bCs w:val="0"/>
                <w:color w:val="auto"/>
              </w:rPr>
              <w:fldChar w:fldCharType="end"/>
            </w:r>
            <w:r>
              <w:rPr>
                <w:rFonts w:hint="eastAsia"/>
                <w:b w:val="0"/>
                <w:bCs w:val="0"/>
                <w:color w:val="auto"/>
              </w:rPr>
              <w:t>本项目委托物料运输单位采用专业的运输设备或车辆将其运输至本项目使用，运输过程中对运输物料进行篷布遮盖，严格按规定路线进行运输，避开城区、居民区交通道路，运输过程中严格控制车速，严格落实绿色运输的要求。本环评</w:t>
            </w:r>
            <w:r>
              <w:rPr>
                <w:rFonts w:hint="eastAsia"/>
                <w:b w:val="0"/>
                <w:bCs w:val="0"/>
                <w:color w:val="auto"/>
                <w:lang w:eastAsia="zh-CN"/>
              </w:rPr>
              <w:t>建议</w:t>
            </w:r>
            <w:r>
              <w:rPr>
                <w:rFonts w:hint="eastAsia"/>
                <w:b w:val="0"/>
                <w:bCs w:val="0"/>
                <w:color w:val="auto"/>
              </w:rPr>
              <w:t>建设单位运营期间按相关要求开展清洁生产审核，严格执行污染物排放标准，完善环境保护措施，防止二次污染。</w:t>
            </w:r>
          </w:p>
          <w:p w14:paraId="522C7BD6">
            <w:pPr>
              <w:ind w:firstLine="482"/>
              <w:rPr>
                <w:rFonts w:hint="eastAsia"/>
                <w:b w:val="0"/>
                <w:bCs w:val="0"/>
                <w:color w:val="auto"/>
              </w:rPr>
            </w:pPr>
            <w:r>
              <w:rPr>
                <w:rFonts w:hint="eastAsia"/>
                <w:b w:val="0"/>
                <w:bCs w:val="0"/>
                <w:color w:val="auto"/>
              </w:rPr>
              <w:t>通过采取以上无组织排放控制措施，</w:t>
            </w:r>
            <w:r>
              <w:rPr>
                <w:rFonts w:hint="eastAsia"/>
                <w:b w:val="0"/>
                <w:bCs w:val="0"/>
                <w:color w:val="auto"/>
                <w:lang w:eastAsia="zh-CN"/>
              </w:rPr>
              <w:t>项目厂界无组织能达标排放</w:t>
            </w:r>
            <w:r>
              <w:rPr>
                <w:rFonts w:hint="eastAsia"/>
                <w:b w:val="0"/>
                <w:bCs w:val="0"/>
                <w:color w:val="auto"/>
              </w:rPr>
              <w:t>，使污染物无组织排放量降低到较低的水平。</w:t>
            </w:r>
          </w:p>
          <w:p w14:paraId="2598EADD">
            <w:pPr>
              <w:ind w:firstLine="482"/>
              <w:rPr>
                <w:b/>
                <w:bCs/>
                <w:color w:val="auto"/>
              </w:rPr>
            </w:pPr>
            <w:r>
              <w:rPr>
                <w:rFonts w:hint="eastAsia"/>
                <w:b/>
                <w:bCs/>
                <w:color w:val="auto"/>
              </w:rPr>
              <w:t>（</w:t>
            </w:r>
            <w:r>
              <w:rPr>
                <w:rFonts w:hint="eastAsia"/>
                <w:b/>
                <w:bCs/>
                <w:color w:val="auto"/>
                <w:lang w:val="en-US" w:eastAsia="zh-CN"/>
              </w:rPr>
              <w:t>6</w:t>
            </w:r>
            <w:r>
              <w:rPr>
                <w:rFonts w:hint="eastAsia"/>
                <w:b/>
                <w:bCs/>
                <w:color w:val="auto"/>
              </w:rPr>
              <w:t>）影响分析</w:t>
            </w:r>
          </w:p>
          <w:p w14:paraId="771DB7AA">
            <w:pPr>
              <w:ind w:firstLine="482"/>
              <w:rPr>
                <w:b/>
                <w:bCs/>
                <w:color w:val="auto"/>
              </w:rPr>
            </w:pPr>
            <w:r>
              <w:rPr>
                <w:rFonts w:hint="eastAsia"/>
                <w:b/>
                <w:bCs/>
                <w:color w:val="auto"/>
              </w:rPr>
              <w:fldChar w:fldCharType="begin"/>
            </w:r>
            <w:r>
              <w:rPr>
                <w:rFonts w:hint="eastAsia"/>
                <w:b/>
                <w:bCs/>
                <w:color w:val="auto"/>
              </w:rPr>
              <w:instrText xml:space="preserve"> = 1 \* GB3 \* MERGEFORMAT </w:instrText>
            </w:r>
            <w:r>
              <w:rPr>
                <w:rFonts w:hint="eastAsia"/>
                <w:b/>
                <w:bCs/>
                <w:color w:val="auto"/>
              </w:rPr>
              <w:fldChar w:fldCharType="separate"/>
            </w:r>
            <w:r>
              <w:rPr>
                <w:b/>
                <w:bCs/>
                <w:color w:val="auto"/>
              </w:rPr>
              <w:t>①</w:t>
            </w:r>
            <w:r>
              <w:rPr>
                <w:rFonts w:hint="eastAsia"/>
                <w:b/>
                <w:bCs/>
                <w:color w:val="auto"/>
              </w:rPr>
              <w:fldChar w:fldCharType="end"/>
            </w:r>
            <w:r>
              <w:rPr>
                <w:rFonts w:hint="eastAsia"/>
                <w:b/>
                <w:bCs/>
                <w:color w:val="auto"/>
              </w:rPr>
              <w:t>正常情况大气污染影响分析</w:t>
            </w:r>
          </w:p>
          <w:p w14:paraId="6F9ECA9C">
            <w:pPr>
              <w:ind w:firstLine="480"/>
              <w:rPr>
                <w:color w:val="auto"/>
              </w:rPr>
            </w:pPr>
            <w:r>
              <w:rPr>
                <w:rFonts w:hint="eastAsia"/>
                <w:color w:val="auto"/>
              </w:rPr>
              <w:t>项目环境空气为达标区。本项目采取的各项废气污染治理设施属于污染防治可行技术指南、排污许可技术规范中的可行技术，在严格采取污染治理措施后，废气达标排放，项目的建设不会</w:t>
            </w:r>
            <w:r>
              <w:rPr>
                <w:rFonts w:hint="eastAsia"/>
                <w:color w:val="auto"/>
                <w:lang w:eastAsia="zh-CN"/>
              </w:rPr>
              <w:t>影响其空气</w:t>
            </w:r>
            <w:r>
              <w:rPr>
                <w:rFonts w:hint="eastAsia"/>
                <w:color w:val="auto"/>
              </w:rPr>
              <w:t>环境质量，项目运营期不会对周围环境产生大的影响。</w:t>
            </w:r>
          </w:p>
          <w:p w14:paraId="53C1C740">
            <w:pPr>
              <w:ind w:firstLine="482"/>
              <w:rPr>
                <w:b/>
                <w:bCs/>
                <w:color w:val="auto"/>
              </w:rPr>
            </w:pPr>
            <w:r>
              <w:rPr>
                <w:rFonts w:hint="eastAsia"/>
                <w:b/>
                <w:bCs/>
                <w:color w:val="auto"/>
              </w:rPr>
              <w:fldChar w:fldCharType="begin"/>
            </w:r>
            <w:r>
              <w:rPr>
                <w:rFonts w:hint="eastAsia"/>
                <w:b/>
                <w:bCs/>
                <w:color w:val="auto"/>
              </w:rPr>
              <w:instrText xml:space="preserve"> = 2 \* GB3 \* MERGEFORMAT </w:instrText>
            </w:r>
            <w:r>
              <w:rPr>
                <w:rFonts w:hint="eastAsia"/>
                <w:b/>
                <w:bCs/>
                <w:color w:val="auto"/>
              </w:rPr>
              <w:fldChar w:fldCharType="separate"/>
            </w:r>
            <w:r>
              <w:rPr>
                <w:b/>
                <w:bCs/>
                <w:color w:val="auto"/>
              </w:rPr>
              <w:t>②</w:t>
            </w:r>
            <w:r>
              <w:rPr>
                <w:rFonts w:hint="eastAsia"/>
                <w:b/>
                <w:bCs/>
                <w:color w:val="auto"/>
              </w:rPr>
              <w:fldChar w:fldCharType="end"/>
            </w:r>
            <w:r>
              <w:rPr>
                <w:rFonts w:hint="eastAsia"/>
                <w:b/>
                <w:bCs/>
                <w:color w:val="auto"/>
              </w:rPr>
              <w:t>非正常情况大气污染影响分析</w:t>
            </w:r>
          </w:p>
          <w:p w14:paraId="64474F08">
            <w:pPr>
              <w:ind w:firstLine="480"/>
              <w:rPr>
                <w:rFonts w:hint="eastAsia"/>
                <w:color w:val="auto"/>
              </w:rPr>
            </w:pPr>
            <w:r>
              <w:rPr>
                <w:rFonts w:hint="eastAsia"/>
                <w:color w:val="auto"/>
              </w:rPr>
              <w:t>本项目的非正常排放情况包括有设备检修、废气收集系统故障、末端治理设施故障、工艺设备运转异常等情况下，本项目选取最可能发生的事故为末端废气治理设施发生故障，废气治理设施的</w:t>
            </w:r>
            <w:r>
              <w:rPr>
                <w:rFonts w:hint="eastAsia"/>
                <w:color w:val="auto"/>
                <w:lang w:val="en-US" w:eastAsia="zh-CN"/>
              </w:rPr>
              <w:t>除尘效率以70%</w:t>
            </w:r>
            <w:r>
              <w:rPr>
                <w:rFonts w:hint="eastAsia"/>
                <w:color w:val="auto"/>
              </w:rPr>
              <w:t>计算，导致废气未经处理后排放。本次非正常排放核算结果如下表。</w:t>
            </w:r>
          </w:p>
          <w:p w14:paraId="65FE915A">
            <w:pPr>
              <w:pStyle w:val="30"/>
              <w:rPr>
                <w:color w:val="auto"/>
              </w:rPr>
            </w:pPr>
            <w:r>
              <w:rPr>
                <w:color w:val="auto"/>
              </w:rPr>
              <w:t>表4-</w:t>
            </w:r>
            <w:r>
              <w:rPr>
                <w:rFonts w:hint="eastAsia"/>
                <w:color w:val="auto"/>
                <w:lang w:val="en-US" w:eastAsia="zh-CN"/>
              </w:rPr>
              <w:t>8</w:t>
            </w:r>
            <w:r>
              <w:rPr>
                <w:color w:val="auto"/>
              </w:rPr>
              <w:t xml:space="preserve"> 非正常情况下污染物浓度</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441"/>
              <w:gridCol w:w="601"/>
              <w:gridCol w:w="794"/>
              <w:gridCol w:w="775"/>
              <w:gridCol w:w="899"/>
              <w:gridCol w:w="601"/>
              <w:gridCol w:w="794"/>
              <w:gridCol w:w="775"/>
              <w:gridCol w:w="689"/>
              <w:gridCol w:w="636"/>
            </w:tblGrid>
            <w:tr w14:paraId="5494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387" w:type="pct"/>
                  <w:vMerge w:val="restart"/>
                  <w:noWrap w:val="0"/>
                  <w:vAlign w:val="center"/>
                </w:tcPr>
                <w:p w14:paraId="031199A8">
                  <w:pPr>
                    <w:pStyle w:val="29"/>
                    <w:bidi w:val="0"/>
                    <w:rPr>
                      <w:rFonts w:hint="default"/>
                      <w:color w:val="auto"/>
                    </w:rPr>
                  </w:pPr>
                  <w:r>
                    <w:rPr>
                      <w:rFonts w:hint="default"/>
                      <w:color w:val="auto"/>
                      <w:lang w:val="en-US" w:eastAsia="zh-CN"/>
                    </w:rPr>
                    <w:t>产排污环节</w:t>
                  </w:r>
                </w:p>
              </w:tc>
              <w:tc>
                <w:tcPr>
                  <w:tcW w:w="415" w:type="pct"/>
                  <w:vMerge w:val="restart"/>
                  <w:noWrap w:val="0"/>
                  <w:vAlign w:val="center"/>
                </w:tcPr>
                <w:p w14:paraId="4E6CAF2D">
                  <w:pPr>
                    <w:pStyle w:val="29"/>
                    <w:bidi w:val="0"/>
                    <w:rPr>
                      <w:rFonts w:hint="default"/>
                      <w:color w:val="auto"/>
                    </w:rPr>
                  </w:pPr>
                  <w:r>
                    <w:rPr>
                      <w:rFonts w:hint="default"/>
                      <w:color w:val="auto"/>
                    </w:rPr>
                    <w:t>污染物名称</w:t>
                  </w:r>
                </w:p>
              </w:tc>
              <w:tc>
                <w:tcPr>
                  <w:tcW w:w="1955" w:type="pct"/>
                  <w:gridSpan w:val="4"/>
                  <w:noWrap w:val="0"/>
                  <w:vAlign w:val="center"/>
                </w:tcPr>
                <w:p w14:paraId="3D07EFE7">
                  <w:pPr>
                    <w:pStyle w:val="29"/>
                    <w:bidi w:val="0"/>
                    <w:rPr>
                      <w:rFonts w:hint="default"/>
                      <w:color w:val="auto"/>
                    </w:rPr>
                  </w:pPr>
                  <w:r>
                    <w:rPr>
                      <w:rFonts w:hint="default"/>
                      <w:color w:val="auto"/>
                    </w:rPr>
                    <w:t>正常排放</w:t>
                  </w:r>
                </w:p>
              </w:tc>
              <w:tc>
                <w:tcPr>
                  <w:tcW w:w="1835" w:type="pct"/>
                  <w:gridSpan w:val="4"/>
                  <w:noWrap w:val="0"/>
                  <w:vAlign w:val="center"/>
                </w:tcPr>
                <w:p w14:paraId="376C6C91">
                  <w:pPr>
                    <w:pStyle w:val="29"/>
                    <w:bidi w:val="0"/>
                    <w:rPr>
                      <w:rFonts w:hint="default"/>
                      <w:color w:val="auto"/>
                    </w:rPr>
                  </w:pPr>
                  <w:r>
                    <w:rPr>
                      <w:rFonts w:hint="default"/>
                      <w:color w:val="auto"/>
                    </w:rPr>
                    <w:t>非正常排放</w:t>
                  </w:r>
                </w:p>
              </w:tc>
              <w:tc>
                <w:tcPr>
                  <w:tcW w:w="405" w:type="pct"/>
                  <w:vMerge w:val="restart"/>
                  <w:noWrap w:val="0"/>
                  <w:vAlign w:val="center"/>
                </w:tcPr>
                <w:p w14:paraId="7922C08D">
                  <w:pPr>
                    <w:pStyle w:val="29"/>
                    <w:bidi w:val="0"/>
                    <w:rPr>
                      <w:rFonts w:hint="eastAsia"/>
                      <w:color w:val="auto"/>
                      <w:lang w:eastAsia="zh-CN"/>
                    </w:rPr>
                  </w:pPr>
                  <w:r>
                    <w:rPr>
                      <w:rFonts w:hint="eastAsia"/>
                      <w:color w:val="auto"/>
                      <w:lang w:eastAsia="zh-CN"/>
                    </w:rPr>
                    <w:t>措施</w:t>
                  </w:r>
                </w:p>
              </w:tc>
            </w:tr>
            <w:tr w14:paraId="50EF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87" w:type="pct"/>
                  <w:vMerge w:val="continue"/>
                  <w:noWrap w:val="0"/>
                  <w:vAlign w:val="center"/>
                </w:tcPr>
                <w:p w14:paraId="4371DDDD">
                  <w:pPr>
                    <w:pStyle w:val="29"/>
                    <w:bidi w:val="0"/>
                    <w:rPr>
                      <w:rFonts w:hint="default"/>
                      <w:color w:val="auto"/>
                    </w:rPr>
                  </w:pPr>
                </w:p>
              </w:tc>
              <w:tc>
                <w:tcPr>
                  <w:tcW w:w="415" w:type="pct"/>
                  <w:vMerge w:val="continue"/>
                  <w:noWrap w:val="0"/>
                  <w:vAlign w:val="center"/>
                </w:tcPr>
                <w:p w14:paraId="0A5B37B7">
                  <w:pPr>
                    <w:pStyle w:val="29"/>
                    <w:bidi w:val="0"/>
                    <w:rPr>
                      <w:rFonts w:hint="default"/>
                      <w:color w:val="auto"/>
                    </w:rPr>
                  </w:pPr>
                </w:p>
              </w:tc>
              <w:tc>
                <w:tcPr>
                  <w:tcW w:w="382" w:type="pct"/>
                  <w:noWrap w:val="0"/>
                  <w:vAlign w:val="center"/>
                </w:tcPr>
                <w:p w14:paraId="2066333A">
                  <w:pPr>
                    <w:pStyle w:val="29"/>
                    <w:bidi w:val="0"/>
                    <w:rPr>
                      <w:rFonts w:hint="default"/>
                      <w:color w:val="auto"/>
                    </w:rPr>
                  </w:pPr>
                  <w:r>
                    <w:rPr>
                      <w:rFonts w:hint="eastAsia"/>
                      <w:color w:val="auto"/>
                      <w:lang w:eastAsia="zh-CN"/>
                    </w:rPr>
                    <w:t>除尘效率</w:t>
                  </w:r>
                  <w:r>
                    <w:rPr>
                      <w:rFonts w:hint="default"/>
                      <w:color w:val="auto"/>
                    </w:rPr>
                    <w:t>%</w:t>
                  </w:r>
                </w:p>
              </w:tc>
              <w:tc>
                <w:tcPr>
                  <w:tcW w:w="505" w:type="pct"/>
                  <w:noWrap w:val="0"/>
                  <w:vAlign w:val="center"/>
                </w:tcPr>
                <w:p w14:paraId="5F41A95D">
                  <w:pPr>
                    <w:pStyle w:val="29"/>
                    <w:bidi w:val="0"/>
                    <w:rPr>
                      <w:rFonts w:hint="default" w:eastAsia="宋体"/>
                      <w:color w:val="auto"/>
                      <w:lang w:val="en-US" w:eastAsia="zh-CN"/>
                    </w:rPr>
                  </w:pPr>
                  <w:r>
                    <w:rPr>
                      <w:rFonts w:hint="default"/>
                      <w:color w:val="auto"/>
                    </w:rPr>
                    <w:t>排放量</w:t>
                  </w:r>
                  <w:r>
                    <w:rPr>
                      <w:rFonts w:hint="eastAsia"/>
                      <w:color w:val="auto"/>
                      <w:lang w:val="en-US" w:eastAsia="zh-CN"/>
                    </w:rPr>
                    <w:t>t/a</w:t>
                  </w:r>
                </w:p>
              </w:tc>
              <w:tc>
                <w:tcPr>
                  <w:tcW w:w="494" w:type="pct"/>
                  <w:noWrap w:val="0"/>
                  <w:vAlign w:val="center"/>
                </w:tcPr>
                <w:p w14:paraId="065F10BC">
                  <w:pPr>
                    <w:pStyle w:val="29"/>
                    <w:bidi w:val="0"/>
                    <w:rPr>
                      <w:rFonts w:hint="eastAsia" w:eastAsia="宋体"/>
                      <w:color w:val="auto"/>
                      <w:lang w:val="en-US" w:eastAsia="zh-CN"/>
                    </w:rPr>
                  </w:pPr>
                  <w:r>
                    <w:rPr>
                      <w:rFonts w:hint="default"/>
                      <w:color w:val="auto"/>
                    </w:rPr>
                    <w:t>排放浓度mg/m</w:t>
                  </w:r>
                  <w:r>
                    <w:rPr>
                      <w:rFonts w:hint="eastAsia"/>
                      <w:color w:val="auto"/>
                      <w:vertAlign w:val="superscript"/>
                      <w:lang w:val="en-US" w:eastAsia="zh-CN"/>
                    </w:rPr>
                    <w:t>3</w:t>
                  </w:r>
                </w:p>
              </w:tc>
              <w:tc>
                <w:tcPr>
                  <w:tcW w:w="573" w:type="pct"/>
                  <w:noWrap w:val="0"/>
                  <w:vAlign w:val="center"/>
                </w:tcPr>
                <w:p w14:paraId="5928F065">
                  <w:pPr>
                    <w:pStyle w:val="29"/>
                    <w:bidi w:val="0"/>
                    <w:rPr>
                      <w:rFonts w:hint="default" w:eastAsia="宋体"/>
                      <w:color w:val="auto"/>
                      <w:lang w:val="en-US" w:eastAsia="zh-CN"/>
                    </w:rPr>
                  </w:pPr>
                  <w:r>
                    <w:rPr>
                      <w:rFonts w:hint="eastAsia"/>
                      <w:color w:val="auto"/>
                      <w:lang w:eastAsia="zh-CN"/>
                    </w:rPr>
                    <w:t>排放速率</w:t>
                  </w:r>
                  <w:r>
                    <w:rPr>
                      <w:rFonts w:hint="eastAsia"/>
                      <w:color w:val="auto"/>
                      <w:lang w:val="en-US" w:eastAsia="zh-CN"/>
                    </w:rPr>
                    <w:t>kg/h</w:t>
                  </w:r>
                </w:p>
              </w:tc>
              <w:tc>
                <w:tcPr>
                  <w:tcW w:w="383" w:type="pct"/>
                  <w:noWrap w:val="0"/>
                  <w:vAlign w:val="center"/>
                </w:tcPr>
                <w:p w14:paraId="4F7F18FE">
                  <w:pPr>
                    <w:pStyle w:val="29"/>
                    <w:bidi w:val="0"/>
                    <w:rPr>
                      <w:rFonts w:hint="default"/>
                      <w:color w:val="auto"/>
                    </w:rPr>
                  </w:pPr>
                  <w:r>
                    <w:rPr>
                      <w:rFonts w:hint="eastAsia"/>
                      <w:color w:val="auto"/>
                      <w:lang w:eastAsia="zh-CN"/>
                    </w:rPr>
                    <w:t>除尘效率</w:t>
                  </w:r>
                  <w:r>
                    <w:rPr>
                      <w:rFonts w:hint="default"/>
                      <w:color w:val="auto"/>
                    </w:rPr>
                    <w:t>%</w:t>
                  </w:r>
                </w:p>
              </w:tc>
              <w:tc>
                <w:tcPr>
                  <w:tcW w:w="506" w:type="pct"/>
                  <w:noWrap w:val="0"/>
                  <w:vAlign w:val="center"/>
                </w:tcPr>
                <w:p w14:paraId="1D8669F8">
                  <w:pPr>
                    <w:pStyle w:val="29"/>
                    <w:bidi w:val="0"/>
                    <w:rPr>
                      <w:rFonts w:hint="default"/>
                      <w:color w:val="auto"/>
                    </w:rPr>
                  </w:pPr>
                  <w:r>
                    <w:rPr>
                      <w:rFonts w:hint="default"/>
                      <w:color w:val="auto"/>
                    </w:rPr>
                    <w:t>排放量</w:t>
                  </w:r>
                  <w:r>
                    <w:rPr>
                      <w:rFonts w:hint="eastAsia"/>
                      <w:color w:val="auto"/>
                      <w:lang w:val="en-US" w:eastAsia="zh-CN"/>
                    </w:rPr>
                    <w:t>t/a</w:t>
                  </w:r>
                </w:p>
              </w:tc>
              <w:tc>
                <w:tcPr>
                  <w:tcW w:w="506" w:type="pct"/>
                  <w:noWrap w:val="0"/>
                  <w:vAlign w:val="center"/>
                </w:tcPr>
                <w:p w14:paraId="407DFDA9">
                  <w:pPr>
                    <w:pStyle w:val="29"/>
                    <w:bidi w:val="0"/>
                    <w:rPr>
                      <w:rFonts w:hint="default"/>
                      <w:color w:val="auto"/>
                    </w:rPr>
                  </w:pPr>
                  <w:r>
                    <w:rPr>
                      <w:rFonts w:hint="default"/>
                      <w:color w:val="auto"/>
                    </w:rPr>
                    <w:t>排放浓度mg/m</w:t>
                  </w:r>
                  <w:r>
                    <w:rPr>
                      <w:rFonts w:hint="default"/>
                      <w:color w:val="auto"/>
                      <w:vertAlign w:val="superscript"/>
                    </w:rPr>
                    <w:t>3</w:t>
                  </w:r>
                </w:p>
              </w:tc>
              <w:tc>
                <w:tcPr>
                  <w:tcW w:w="439" w:type="pct"/>
                  <w:noWrap w:val="0"/>
                  <w:vAlign w:val="center"/>
                </w:tcPr>
                <w:p w14:paraId="17E6C4FC">
                  <w:pPr>
                    <w:pStyle w:val="29"/>
                    <w:bidi w:val="0"/>
                    <w:rPr>
                      <w:rFonts w:hint="default"/>
                      <w:color w:val="auto"/>
                    </w:rPr>
                  </w:pPr>
                  <w:r>
                    <w:rPr>
                      <w:rFonts w:hint="eastAsia"/>
                      <w:color w:val="auto"/>
                      <w:lang w:eastAsia="zh-CN"/>
                    </w:rPr>
                    <w:t>排放速率</w:t>
                  </w:r>
                  <w:r>
                    <w:rPr>
                      <w:rFonts w:hint="eastAsia"/>
                      <w:color w:val="auto"/>
                      <w:lang w:val="en-US" w:eastAsia="zh-CN"/>
                    </w:rPr>
                    <w:t>kg/h</w:t>
                  </w:r>
                </w:p>
              </w:tc>
              <w:tc>
                <w:tcPr>
                  <w:tcW w:w="405" w:type="pct"/>
                  <w:vMerge w:val="continue"/>
                  <w:noWrap w:val="0"/>
                  <w:vAlign w:val="center"/>
                </w:tcPr>
                <w:p w14:paraId="0FDFB61E">
                  <w:pPr>
                    <w:pStyle w:val="29"/>
                    <w:bidi w:val="0"/>
                    <w:rPr>
                      <w:rFonts w:hint="default"/>
                      <w:color w:val="auto"/>
                    </w:rPr>
                  </w:pPr>
                </w:p>
              </w:tc>
            </w:tr>
            <w:tr w14:paraId="12E9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387" w:type="pct"/>
                  <w:noWrap w:val="0"/>
                  <w:vAlign w:val="center"/>
                </w:tcPr>
                <w:p w14:paraId="73E928CF">
                  <w:pPr>
                    <w:pStyle w:val="29"/>
                    <w:bidi w:val="0"/>
                    <w:rPr>
                      <w:rFonts w:hint="eastAsia" w:eastAsia="宋体"/>
                      <w:color w:val="auto"/>
                      <w:lang w:eastAsia="zh-CN"/>
                    </w:rPr>
                  </w:pPr>
                  <w:r>
                    <w:rPr>
                      <w:rFonts w:hint="eastAsia"/>
                      <w:color w:val="auto"/>
                      <w:lang w:val="en-US" w:eastAsia="zh-CN"/>
                    </w:rPr>
                    <w:t>DA002</w:t>
                  </w:r>
                </w:p>
              </w:tc>
              <w:tc>
                <w:tcPr>
                  <w:tcW w:w="415" w:type="pct"/>
                  <w:noWrap w:val="0"/>
                  <w:vAlign w:val="center"/>
                </w:tcPr>
                <w:p w14:paraId="14EB2FC2">
                  <w:pPr>
                    <w:pStyle w:val="29"/>
                    <w:bidi w:val="0"/>
                    <w:rPr>
                      <w:rFonts w:hint="eastAsia"/>
                      <w:color w:val="auto"/>
                      <w:lang w:val="en-US" w:eastAsia="zh-CN"/>
                    </w:rPr>
                  </w:pPr>
                  <w:r>
                    <w:rPr>
                      <w:rFonts w:hint="default"/>
                      <w:color w:val="auto"/>
                    </w:rPr>
                    <w:t>颗粒物</w:t>
                  </w:r>
                </w:p>
              </w:tc>
              <w:tc>
                <w:tcPr>
                  <w:tcW w:w="382" w:type="pct"/>
                  <w:noWrap w:val="0"/>
                  <w:vAlign w:val="center"/>
                </w:tcPr>
                <w:p w14:paraId="1DEE9C7F">
                  <w:pPr>
                    <w:pStyle w:val="29"/>
                    <w:bidi w:val="0"/>
                    <w:rPr>
                      <w:rFonts w:hint="default"/>
                      <w:color w:val="auto"/>
                      <w:lang w:val="en-US" w:eastAsia="zh-CN"/>
                    </w:rPr>
                  </w:pPr>
                  <w:r>
                    <w:rPr>
                      <w:rFonts w:hint="eastAsia"/>
                      <w:color w:val="auto"/>
                      <w:lang w:val="en-US" w:eastAsia="zh-CN"/>
                    </w:rPr>
                    <w:t>99</w:t>
                  </w:r>
                </w:p>
              </w:tc>
              <w:tc>
                <w:tcPr>
                  <w:tcW w:w="505" w:type="pct"/>
                  <w:shd w:val="clear" w:color="auto" w:fill="auto"/>
                  <w:noWrap w:val="0"/>
                  <w:vAlign w:val="center"/>
                </w:tcPr>
                <w:p w14:paraId="26C2783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0.0001</w:t>
                  </w:r>
                </w:p>
              </w:tc>
              <w:tc>
                <w:tcPr>
                  <w:tcW w:w="494" w:type="pct"/>
                  <w:shd w:val="clear" w:color="auto" w:fill="auto"/>
                  <w:noWrap w:val="0"/>
                  <w:vAlign w:val="center"/>
                </w:tcPr>
                <w:p w14:paraId="495CF4C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0.009</w:t>
                  </w:r>
                </w:p>
              </w:tc>
              <w:tc>
                <w:tcPr>
                  <w:tcW w:w="573" w:type="pct"/>
                  <w:shd w:val="clear" w:color="auto" w:fill="auto"/>
                  <w:noWrap w:val="0"/>
                  <w:vAlign w:val="center"/>
                </w:tcPr>
                <w:p w14:paraId="1DC08C1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0.00003</w:t>
                  </w:r>
                </w:p>
              </w:tc>
              <w:tc>
                <w:tcPr>
                  <w:tcW w:w="383" w:type="pct"/>
                  <w:noWrap w:val="0"/>
                  <w:vAlign w:val="center"/>
                </w:tcPr>
                <w:p w14:paraId="2CA897D1">
                  <w:pPr>
                    <w:pStyle w:val="29"/>
                    <w:bidi w:val="0"/>
                    <w:rPr>
                      <w:rFonts w:hint="default"/>
                      <w:color w:val="auto"/>
                      <w:lang w:val="en-US" w:eastAsia="zh-CN"/>
                    </w:rPr>
                  </w:pPr>
                  <w:r>
                    <w:rPr>
                      <w:rFonts w:hint="eastAsia"/>
                      <w:color w:val="auto"/>
                      <w:lang w:val="en-US" w:eastAsia="zh-CN"/>
                    </w:rPr>
                    <w:t>70</w:t>
                  </w:r>
                </w:p>
              </w:tc>
              <w:tc>
                <w:tcPr>
                  <w:tcW w:w="506" w:type="pct"/>
                  <w:shd w:val="clear" w:color="auto" w:fill="auto"/>
                  <w:noWrap w:val="0"/>
                  <w:vAlign w:val="center"/>
                </w:tcPr>
                <w:p w14:paraId="7E9614D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0.0037</w:t>
                  </w:r>
                </w:p>
              </w:tc>
              <w:tc>
                <w:tcPr>
                  <w:tcW w:w="506" w:type="pct"/>
                  <w:shd w:val="clear" w:color="auto" w:fill="auto"/>
                  <w:noWrap w:val="0"/>
                  <w:vAlign w:val="center"/>
                </w:tcPr>
                <w:p w14:paraId="5E0CA32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0.519</w:t>
                  </w:r>
                </w:p>
              </w:tc>
              <w:tc>
                <w:tcPr>
                  <w:tcW w:w="439" w:type="pct"/>
                  <w:shd w:val="clear" w:color="auto" w:fill="auto"/>
                  <w:noWrap w:val="0"/>
                  <w:vAlign w:val="center"/>
                </w:tcPr>
                <w:p w14:paraId="52FED03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0.002</w:t>
                  </w:r>
                </w:p>
              </w:tc>
              <w:tc>
                <w:tcPr>
                  <w:tcW w:w="405" w:type="pct"/>
                  <w:noWrap w:val="0"/>
                  <w:vAlign w:val="center"/>
                </w:tcPr>
                <w:p w14:paraId="558476C5">
                  <w:pPr>
                    <w:pStyle w:val="29"/>
                    <w:bidi w:val="0"/>
                    <w:rPr>
                      <w:rFonts w:hint="eastAsia"/>
                      <w:color w:val="auto"/>
                      <w:lang w:val="en-US" w:eastAsia="zh-CN"/>
                    </w:rPr>
                  </w:pPr>
                  <w:r>
                    <w:rPr>
                      <w:rFonts w:hint="eastAsia"/>
                      <w:color w:val="auto"/>
                      <w:lang w:val="en-US" w:eastAsia="zh-CN"/>
                    </w:rPr>
                    <w:t>关闭生产设施，尽快安排人员维修</w:t>
                  </w:r>
                </w:p>
              </w:tc>
            </w:tr>
          </w:tbl>
          <w:p w14:paraId="12516F97">
            <w:pPr>
              <w:ind w:firstLine="482"/>
              <w:rPr>
                <w:rFonts w:hint="eastAsia"/>
                <w:color w:val="auto"/>
                <w:lang w:val="en-US" w:eastAsia="zh-CN"/>
              </w:rPr>
            </w:pPr>
            <w:r>
              <w:rPr>
                <w:rFonts w:hint="eastAsia"/>
                <w:color w:val="auto"/>
              </w:rPr>
              <w:t>根据上表可知，本项目在生产设备正常运行，废气治理设施故障造成废气非正常排放的情况下，</w:t>
            </w:r>
            <w:r>
              <w:rPr>
                <w:rFonts w:hint="eastAsia"/>
                <w:color w:val="auto"/>
                <w:lang w:val="en-US" w:eastAsia="zh-CN"/>
              </w:rPr>
              <w:t>排放浓度明显增大但未超标</w:t>
            </w:r>
            <w:r>
              <w:rPr>
                <w:rFonts w:hint="eastAsia"/>
                <w:color w:val="auto"/>
                <w:lang w:eastAsia="zh-CN"/>
              </w:rPr>
              <w:t>，</w:t>
            </w:r>
            <w:r>
              <w:rPr>
                <w:rFonts w:hint="eastAsia"/>
                <w:color w:val="auto"/>
              </w:rPr>
              <w:t>为避免长时间非正常排放加剧项目所在区域环境承受能力，对周边居民生活造成不利影响，建设单位应加强废气处理设施的检修保养及日常管理，在发现颗粒物排放浓度超标后立即停炉检查排出故障，最大程度上避免非正常排放，避免对周边环境产生不利影响。</w:t>
            </w:r>
          </w:p>
          <w:p w14:paraId="18E3B9B6">
            <w:pPr>
              <w:ind w:firstLine="482"/>
              <w:rPr>
                <w:rFonts w:hint="default" w:eastAsia="宋体"/>
                <w:b/>
                <w:bCs/>
                <w:color w:val="auto"/>
                <w:lang w:val="en-US" w:eastAsia="zh-CN"/>
              </w:rPr>
            </w:pPr>
            <w:r>
              <w:rPr>
                <w:rFonts w:hint="eastAsia"/>
                <w:b/>
                <w:bCs/>
                <w:color w:val="auto"/>
                <w:lang w:eastAsia="zh-CN"/>
              </w:rPr>
              <w:t>（</w:t>
            </w:r>
            <w:r>
              <w:rPr>
                <w:rFonts w:hint="eastAsia"/>
                <w:b/>
                <w:bCs/>
                <w:color w:val="auto"/>
                <w:lang w:val="en-US" w:eastAsia="zh-CN"/>
              </w:rPr>
              <w:t>7</w:t>
            </w:r>
            <w:r>
              <w:rPr>
                <w:rFonts w:hint="eastAsia"/>
                <w:b/>
                <w:bCs/>
                <w:color w:val="auto"/>
                <w:lang w:eastAsia="zh-CN"/>
              </w:rPr>
              <w:t>）</w:t>
            </w:r>
            <w:r>
              <w:rPr>
                <w:rFonts w:hint="eastAsia"/>
                <w:b/>
                <w:bCs/>
                <w:color w:val="auto"/>
                <w:lang w:val="en-US" w:eastAsia="zh-CN"/>
              </w:rPr>
              <w:t>碳排放影响分析</w:t>
            </w:r>
          </w:p>
          <w:p w14:paraId="342FB09E">
            <w:pPr>
              <w:ind w:firstLine="482"/>
              <w:rPr>
                <w:rFonts w:hint="default"/>
                <w:b/>
                <w:bCs/>
                <w:color w:val="auto"/>
                <w:lang w:val="en-US" w:eastAsia="zh-CN"/>
              </w:rPr>
            </w:pPr>
            <w:r>
              <w:rPr>
                <w:rFonts w:hint="default"/>
                <w:b/>
                <w:bCs/>
                <w:color w:val="auto"/>
                <w:lang w:val="en-US" w:eastAsia="zh-CN"/>
              </w:rPr>
              <w:t>①碳排放核算情况</w:t>
            </w:r>
          </w:p>
          <w:p w14:paraId="50CADE82">
            <w:pPr>
              <w:ind w:firstLine="480"/>
              <w:rPr>
                <w:rFonts w:hint="eastAsia"/>
                <w:color w:val="auto"/>
                <w:lang w:val="en-US" w:eastAsia="zh-CN"/>
              </w:rPr>
            </w:pPr>
            <w:r>
              <w:rPr>
                <w:rFonts w:hint="eastAsia"/>
                <w:color w:val="auto"/>
                <w:lang w:val="en-US" w:eastAsia="zh-CN"/>
              </w:rPr>
              <w:t>本项目为小型精酿啤酒生产项目，严格依据《温室气体排放核算与报告要求 第25部分：食品、烟草及酒、饮料和精制茶企业》（GB/T 32151.25-2024）开展碳排放核算，排放源覆盖天然气锅炉燃烧直接排放、发酵未回收外排CO</w:t>
            </w:r>
            <w:r>
              <w:rPr>
                <w:rFonts w:hint="eastAsia"/>
                <w:color w:val="auto"/>
                <w:vertAlign w:val="subscript"/>
                <w:lang w:val="en-US" w:eastAsia="zh-CN"/>
              </w:rPr>
              <w:t>2</w:t>
            </w:r>
            <w:r>
              <w:rPr>
                <w:rFonts w:hint="eastAsia"/>
                <w:color w:val="auto"/>
                <w:lang w:val="en-US" w:eastAsia="zh-CN"/>
              </w:rPr>
              <w:t>排放、购入电力间接排放三类，无额外工业生产过程碳排放。</w:t>
            </w:r>
          </w:p>
          <w:p w14:paraId="6354AB71">
            <w:pPr>
              <w:ind w:firstLine="480"/>
              <w:rPr>
                <w:rFonts w:hint="default"/>
                <w:color w:val="auto"/>
                <w:lang w:val="en-US" w:eastAsia="zh-CN"/>
              </w:rPr>
            </w:pPr>
            <w:r>
              <w:rPr>
                <w:rFonts w:hint="eastAsia"/>
                <w:color w:val="auto"/>
                <w:lang w:val="en-US" w:eastAsia="zh-CN"/>
              </w:rPr>
              <w:t>经核算，天然气锅炉燃烧直接排放量为：96000m</w:t>
            </w:r>
            <w:r>
              <w:rPr>
                <w:rFonts w:hint="eastAsia"/>
                <w:color w:val="auto"/>
                <w:vertAlign w:val="superscript"/>
                <w:lang w:val="en-US" w:eastAsia="zh-CN"/>
              </w:rPr>
              <w:t>3</w:t>
            </w:r>
            <w:r>
              <w:rPr>
                <w:rFonts w:hint="eastAsia"/>
                <w:color w:val="auto"/>
                <w:lang w:val="en-US" w:eastAsia="zh-CN"/>
              </w:rPr>
              <w:t>×2.165kgCO</w:t>
            </w:r>
            <w:r>
              <w:rPr>
                <w:rFonts w:hint="eastAsia"/>
                <w:color w:val="auto"/>
                <w:vertAlign w:val="subscript"/>
                <w:lang w:val="en-US" w:eastAsia="zh-CN"/>
              </w:rPr>
              <w:t>2</w:t>
            </w:r>
            <w:r>
              <w:rPr>
                <w:rFonts w:hint="eastAsia"/>
                <w:color w:val="auto"/>
                <w:lang w:val="en-US" w:eastAsia="zh-CN"/>
              </w:rPr>
              <w:t>/Nm³=207.84 tCO</w:t>
            </w:r>
            <w:r>
              <w:rPr>
                <w:rFonts w:hint="eastAsia"/>
                <w:color w:val="auto"/>
                <w:vertAlign w:val="subscript"/>
                <w:lang w:val="en-US" w:eastAsia="zh-CN"/>
              </w:rPr>
              <w:t>2</w:t>
            </w:r>
            <w:r>
              <w:rPr>
                <w:rFonts w:hint="eastAsia"/>
                <w:color w:val="auto"/>
                <w:lang w:val="en-US" w:eastAsia="zh-CN"/>
              </w:rPr>
              <w:t>e/a；发酵未回收外排量为：4.046 tCO</w:t>
            </w:r>
            <w:r>
              <w:rPr>
                <w:rFonts w:hint="eastAsia"/>
                <w:color w:val="auto"/>
                <w:vertAlign w:val="subscript"/>
                <w:lang w:val="en-US" w:eastAsia="zh-CN"/>
              </w:rPr>
              <w:t>2</w:t>
            </w:r>
            <w:r>
              <w:rPr>
                <w:rFonts w:hint="eastAsia"/>
                <w:color w:val="auto"/>
                <w:lang w:val="en-US" w:eastAsia="zh-CN"/>
              </w:rPr>
              <w:t>e/a；购入电力间接排放量为：10082.2 kWh×0.1333 kgCO</w:t>
            </w:r>
            <w:r>
              <w:rPr>
                <w:rFonts w:hint="eastAsia"/>
                <w:color w:val="auto"/>
                <w:vertAlign w:val="subscript"/>
                <w:lang w:val="en-US" w:eastAsia="zh-CN"/>
              </w:rPr>
              <w:t>2</w:t>
            </w:r>
            <w:r>
              <w:rPr>
                <w:rFonts w:hint="eastAsia"/>
                <w:color w:val="auto"/>
                <w:lang w:val="en-US" w:eastAsia="zh-CN"/>
              </w:rPr>
              <w:t>/kWh=1.344 tCO</w:t>
            </w:r>
            <w:r>
              <w:rPr>
                <w:rFonts w:hint="eastAsia"/>
                <w:color w:val="auto"/>
                <w:vertAlign w:val="subscript"/>
                <w:lang w:val="en-US" w:eastAsia="zh-CN"/>
              </w:rPr>
              <w:t>2</w:t>
            </w:r>
            <w:r>
              <w:rPr>
                <w:rFonts w:hint="eastAsia"/>
                <w:color w:val="auto"/>
                <w:lang w:val="en-US" w:eastAsia="zh-CN"/>
              </w:rPr>
              <w:t>e/a。</w:t>
            </w:r>
          </w:p>
          <w:p w14:paraId="0C123FA5">
            <w:pPr>
              <w:ind w:firstLine="480"/>
              <w:rPr>
                <w:rFonts w:hint="eastAsia"/>
                <w:color w:val="auto"/>
                <w:lang w:val="en-US" w:eastAsia="zh-CN"/>
              </w:rPr>
            </w:pPr>
            <w:r>
              <w:rPr>
                <w:rFonts w:hint="eastAsia"/>
                <w:color w:val="auto"/>
                <w:lang w:val="en-US" w:eastAsia="zh-CN"/>
              </w:rPr>
              <w:t>全厂年总CO</w:t>
            </w:r>
            <w:r>
              <w:rPr>
                <w:rFonts w:hint="eastAsia"/>
                <w:color w:val="auto"/>
                <w:vertAlign w:val="subscript"/>
                <w:lang w:val="en-US" w:eastAsia="zh-CN"/>
              </w:rPr>
              <w:t>2</w:t>
            </w:r>
            <w:r>
              <w:rPr>
                <w:rFonts w:hint="eastAsia"/>
                <w:color w:val="auto"/>
                <w:lang w:val="en-US" w:eastAsia="zh-CN"/>
              </w:rPr>
              <w:t>当量为213.23 t CO</w:t>
            </w:r>
            <w:r>
              <w:rPr>
                <w:rFonts w:hint="eastAsia"/>
                <w:color w:val="auto"/>
                <w:vertAlign w:val="subscript"/>
                <w:lang w:val="en-US" w:eastAsia="zh-CN"/>
              </w:rPr>
              <w:t>2</w:t>
            </w:r>
            <w:r>
              <w:rPr>
                <w:rFonts w:hint="eastAsia"/>
                <w:color w:val="auto"/>
                <w:lang w:val="en-US" w:eastAsia="zh-CN"/>
              </w:rPr>
              <w:t>e/a，远低于同规模小型啤酒厂行业平均排放水平，不属于地方重点碳排放管控名录内企业。</w:t>
            </w:r>
          </w:p>
          <w:p w14:paraId="27178BF2">
            <w:pPr>
              <w:ind w:firstLine="480"/>
              <w:rPr>
                <w:rFonts w:hint="eastAsia"/>
                <w:b/>
                <w:bCs/>
                <w:color w:val="auto"/>
                <w:lang w:val="en-US" w:eastAsia="zh-CN"/>
              </w:rPr>
            </w:pPr>
            <w:r>
              <w:rPr>
                <w:rFonts w:hint="default"/>
                <w:b/>
                <w:bCs/>
                <w:color w:val="auto"/>
                <w:lang w:val="en-US" w:eastAsia="zh-CN"/>
              </w:rPr>
              <w:t>②</w:t>
            </w:r>
            <w:r>
              <w:rPr>
                <w:rFonts w:hint="eastAsia"/>
                <w:b/>
                <w:bCs/>
                <w:color w:val="auto"/>
                <w:lang w:val="en-US" w:eastAsia="zh-CN"/>
              </w:rPr>
              <w:t>碳排放</w:t>
            </w:r>
            <w:r>
              <w:rPr>
                <w:rFonts w:hint="default"/>
                <w:b/>
                <w:bCs/>
                <w:color w:val="auto"/>
                <w:lang w:val="en-US" w:eastAsia="zh-CN"/>
              </w:rPr>
              <w:t>控制措施</w:t>
            </w:r>
          </w:p>
          <w:p w14:paraId="380E0B75">
            <w:pPr>
              <w:ind w:firstLine="480"/>
              <w:rPr>
                <w:rFonts w:hint="eastAsia"/>
                <w:color w:val="auto"/>
                <w:lang w:val="en-US" w:eastAsia="zh-CN"/>
              </w:rPr>
            </w:pPr>
            <w:r>
              <w:rPr>
                <w:rFonts w:hint="eastAsia"/>
                <w:color w:val="auto"/>
                <w:lang w:val="en-US" w:eastAsia="zh-CN"/>
              </w:rPr>
              <w:t>发酵工序配套CO</w:t>
            </w:r>
            <w:r>
              <w:rPr>
                <w:rFonts w:hint="eastAsia"/>
                <w:color w:val="auto"/>
                <w:vertAlign w:val="subscript"/>
                <w:lang w:val="en-US" w:eastAsia="zh-CN"/>
              </w:rPr>
              <w:t>2</w:t>
            </w:r>
            <w:r>
              <w:rPr>
                <w:rFonts w:hint="eastAsia"/>
                <w:color w:val="auto"/>
                <w:lang w:val="en-US" w:eastAsia="zh-CN"/>
              </w:rPr>
              <w:t>回收装置，设计回收率稳定达到85%以上，回收的高纯度CO</w:t>
            </w:r>
            <w:r>
              <w:rPr>
                <w:rFonts w:hint="eastAsia"/>
                <w:color w:val="auto"/>
                <w:vertAlign w:val="subscript"/>
                <w:lang w:val="en-US" w:eastAsia="zh-CN"/>
              </w:rPr>
              <w:t>2</w:t>
            </w:r>
            <w:r>
              <w:rPr>
                <w:rFonts w:hint="eastAsia"/>
                <w:color w:val="auto"/>
                <w:lang w:val="en-US" w:eastAsia="zh-CN"/>
              </w:rPr>
              <w:t>直接回用于啤酒灌装背压工序，既减少无组织气体排放，又替代外购食品级CO</w:t>
            </w:r>
            <w:r>
              <w:rPr>
                <w:rFonts w:hint="eastAsia"/>
                <w:color w:val="auto"/>
                <w:vertAlign w:val="subscript"/>
                <w:lang w:val="en-US" w:eastAsia="zh-CN"/>
              </w:rPr>
              <w:t>2</w:t>
            </w:r>
            <w:r>
              <w:rPr>
                <w:rFonts w:hint="eastAsia"/>
                <w:color w:val="auto"/>
                <w:lang w:val="en-US" w:eastAsia="zh-CN"/>
              </w:rPr>
              <w:t>，降低运输环节碳排放；</w:t>
            </w:r>
          </w:p>
          <w:p w14:paraId="51575D5B">
            <w:pPr>
              <w:ind w:firstLine="480"/>
              <w:rPr>
                <w:rFonts w:hint="eastAsia"/>
                <w:color w:val="auto"/>
                <w:lang w:val="en-US" w:eastAsia="zh-CN"/>
              </w:rPr>
            </w:pPr>
            <w:r>
              <w:rPr>
                <w:rFonts w:hint="eastAsia"/>
                <w:color w:val="auto"/>
                <w:lang w:val="en-US" w:eastAsia="zh-CN"/>
              </w:rPr>
              <w:t>制冷、空压系统全部采用变频控制，车间照明全更换为LED节能灯具，降低单位产品电耗；</w:t>
            </w:r>
          </w:p>
          <w:p w14:paraId="6AB7B739">
            <w:pPr>
              <w:ind w:firstLine="480"/>
              <w:rPr>
                <w:rFonts w:hint="eastAsia"/>
                <w:color w:val="auto"/>
                <w:lang w:val="en-US" w:eastAsia="zh-CN"/>
              </w:rPr>
            </w:pPr>
            <w:r>
              <w:rPr>
                <w:rFonts w:hint="eastAsia"/>
                <w:color w:val="auto"/>
                <w:lang w:val="en-US" w:eastAsia="zh-CN"/>
              </w:rPr>
              <w:t>项目后续将通过参与云南省绿电市场化交易，逐年提升生产环节绿电消费占比；同时对厂内现有燃油叉车完成全量电动化替换，同步对糖化、灌装工序的蒸汽余热回收系统进行升级改造，进一步降低外购蒸汽对应的间接碳排放，稳步削减项目整体温室气体排放强度。</w:t>
            </w:r>
          </w:p>
          <w:p w14:paraId="198660D5">
            <w:pPr>
              <w:ind w:firstLine="480"/>
              <w:rPr>
                <w:rFonts w:hint="eastAsia"/>
                <w:b/>
                <w:bCs/>
                <w:color w:val="auto"/>
                <w:lang w:val="en-US" w:eastAsia="zh-CN"/>
              </w:rPr>
            </w:pPr>
            <w:r>
              <w:rPr>
                <w:rFonts w:hint="default"/>
                <w:b/>
                <w:bCs/>
                <w:color w:val="auto"/>
                <w:lang w:val="en-US" w:eastAsia="zh-CN"/>
              </w:rPr>
              <w:t>③</w:t>
            </w:r>
            <w:r>
              <w:rPr>
                <w:rFonts w:hint="eastAsia"/>
                <w:b/>
                <w:bCs/>
                <w:color w:val="auto"/>
                <w:lang w:val="en-US" w:eastAsia="zh-CN"/>
              </w:rPr>
              <w:t>小结</w:t>
            </w:r>
          </w:p>
          <w:p w14:paraId="68802492">
            <w:pPr>
              <w:ind w:firstLine="480"/>
              <w:rPr>
                <w:rFonts w:hint="eastAsia"/>
                <w:color w:val="auto"/>
                <w:lang w:val="en-US" w:eastAsia="zh-CN"/>
              </w:rPr>
            </w:pPr>
            <w:r>
              <w:rPr>
                <w:rFonts w:hint="eastAsia"/>
                <w:color w:val="auto"/>
                <w:lang w:val="en-US" w:eastAsia="zh-CN"/>
              </w:rPr>
              <w:t>项目碳排放总量小、排放强度处于行业较低水平，各项减碳措施技术成熟、可落地性强，项目建设运营不会对区域碳达峰碳中和目标完成造成负面影响，完全符合云南省能耗双控与低碳产业准入要求。</w:t>
            </w:r>
          </w:p>
          <w:p w14:paraId="05744203">
            <w:pPr>
              <w:ind w:firstLine="482"/>
              <w:rPr>
                <w:b/>
                <w:bCs/>
                <w:color w:val="auto"/>
              </w:rPr>
            </w:pPr>
            <w:r>
              <w:rPr>
                <w:rFonts w:hint="eastAsia"/>
                <w:b/>
                <w:bCs/>
                <w:color w:val="auto"/>
              </w:rPr>
              <w:t>（</w:t>
            </w:r>
            <w:r>
              <w:rPr>
                <w:rFonts w:hint="eastAsia"/>
                <w:b/>
                <w:bCs/>
                <w:color w:val="auto"/>
                <w:lang w:val="en-US" w:eastAsia="zh-CN"/>
              </w:rPr>
              <w:t>8</w:t>
            </w:r>
            <w:r>
              <w:rPr>
                <w:rFonts w:hint="eastAsia"/>
                <w:b/>
                <w:bCs/>
                <w:color w:val="auto"/>
              </w:rPr>
              <w:t>）大气环境影响评价结论</w:t>
            </w:r>
          </w:p>
          <w:p w14:paraId="204C7BF7">
            <w:pPr>
              <w:ind w:firstLine="480"/>
              <w:rPr>
                <w:rFonts w:hint="eastAsia"/>
                <w:color w:val="auto"/>
                <w:lang w:eastAsia="zh-CN"/>
              </w:rPr>
            </w:pPr>
            <w:r>
              <w:rPr>
                <w:rFonts w:hint="eastAsia"/>
                <w:color w:val="auto"/>
              </w:rPr>
              <w:t>根据环境空气质量现状分析，项目区域为环境空气质量达标区</w:t>
            </w:r>
            <w:r>
              <w:rPr>
                <w:rFonts w:hint="eastAsia"/>
                <w:color w:val="auto"/>
                <w:lang w:eastAsia="zh-CN"/>
              </w:rPr>
              <w:t>，</w:t>
            </w:r>
            <w:r>
              <w:rPr>
                <w:rFonts w:hint="eastAsia"/>
                <w:color w:val="auto"/>
                <w:lang w:val="en-US" w:eastAsia="zh-CN"/>
              </w:rPr>
              <w:t>满足</w:t>
            </w:r>
            <w:r>
              <w:rPr>
                <w:rFonts w:hint="eastAsia"/>
                <w:color w:val="auto"/>
              </w:rPr>
              <w:t>《环境空气质量标准》（GB3095-2026）中的二级标准（过渡阶段）要求</w:t>
            </w:r>
            <w:r>
              <w:rPr>
                <w:rFonts w:hint="eastAsia"/>
                <w:color w:val="auto"/>
                <w:lang w:eastAsia="zh-CN"/>
              </w:rPr>
              <w:t>。</w:t>
            </w:r>
          </w:p>
          <w:p w14:paraId="7468895C">
            <w:pPr>
              <w:ind w:firstLine="480"/>
              <w:rPr>
                <w:rFonts w:hint="eastAsia"/>
                <w:color w:val="auto"/>
                <w:lang w:val="en-US" w:eastAsia="zh-CN"/>
              </w:rPr>
            </w:pPr>
            <w:r>
              <w:rPr>
                <w:rFonts w:hint="eastAsia"/>
                <w:color w:val="auto"/>
              </w:rPr>
              <w:t>本次评价对项目废气产排量及达标排放进行了分析，根据对比分析，本项目采用的污染治理措施均为排污许可技术规范中的可行技术，</w:t>
            </w:r>
            <w:r>
              <w:rPr>
                <w:rFonts w:hint="eastAsia"/>
                <w:color w:val="auto"/>
                <w:lang w:val="en-US" w:eastAsia="zh-CN"/>
              </w:rPr>
              <w:t>排放的污染物均可达到</w:t>
            </w:r>
            <w:r>
              <w:rPr>
                <w:rFonts w:hint="eastAsia"/>
                <w:color w:val="auto"/>
              </w:rPr>
              <w:t>标准要求，对周边敏感点影响较小，所以，项目运营期对大气环境影响较小。</w:t>
            </w:r>
          </w:p>
          <w:p w14:paraId="0A9B3244">
            <w:pPr>
              <w:ind w:firstLine="482"/>
              <w:rPr>
                <w:b/>
                <w:bCs/>
                <w:color w:val="auto"/>
              </w:rPr>
            </w:pPr>
            <w:r>
              <w:rPr>
                <w:rFonts w:hint="eastAsia"/>
                <w:b/>
                <w:bCs/>
                <w:color w:val="auto"/>
              </w:rPr>
              <w:t>（</w:t>
            </w:r>
            <w:r>
              <w:rPr>
                <w:rFonts w:hint="eastAsia"/>
                <w:b/>
                <w:bCs/>
                <w:color w:val="auto"/>
                <w:lang w:val="en-US" w:eastAsia="zh-CN"/>
              </w:rPr>
              <w:t>9</w:t>
            </w:r>
            <w:r>
              <w:rPr>
                <w:rFonts w:hint="eastAsia"/>
                <w:b/>
                <w:bCs/>
                <w:color w:val="auto"/>
              </w:rPr>
              <w:t>）监测计划</w:t>
            </w:r>
          </w:p>
          <w:p w14:paraId="7B1CE001">
            <w:pPr>
              <w:ind w:firstLine="482"/>
              <w:rPr>
                <w:rFonts w:hint="eastAsia"/>
                <w:b/>
                <w:bCs/>
                <w:color w:val="auto"/>
                <w:lang w:eastAsia="zh-CN"/>
              </w:rPr>
            </w:pPr>
            <w:r>
              <w:rPr>
                <w:rFonts w:hint="eastAsia"/>
                <w:b/>
                <w:bCs/>
                <w:color w:val="auto"/>
              </w:rPr>
              <w:fldChar w:fldCharType="begin"/>
            </w:r>
            <w:r>
              <w:rPr>
                <w:rFonts w:hint="eastAsia"/>
                <w:b/>
                <w:bCs/>
                <w:color w:val="auto"/>
              </w:rPr>
              <w:instrText xml:space="preserve"> = 1 \* GB3 \* MERGEFORMAT </w:instrText>
            </w:r>
            <w:r>
              <w:rPr>
                <w:rFonts w:hint="eastAsia"/>
                <w:b/>
                <w:bCs/>
                <w:color w:val="auto"/>
              </w:rPr>
              <w:fldChar w:fldCharType="separate"/>
            </w:r>
            <w:r>
              <w:rPr>
                <w:b/>
                <w:bCs/>
                <w:color w:val="auto"/>
              </w:rPr>
              <w:t>①</w:t>
            </w:r>
            <w:r>
              <w:rPr>
                <w:rFonts w:hint="eastAsia"/>
                <w:b/>
                <w:bCs/>
                <w:color w:val="auto"/>
              </w:rPr>
              <w:fldChar w:fldCharType="end"/>
            </w:r>
            <w:r>
              <w:rPr>
                <w:rFonts w:hint="eastAsia"/>
                <w:b/>
                <w:bCs/>
                <w:color w:val="auto"/>
                <w:lang w:eastAsia="zh-CN"/>
              </w:rPr>
              <w:t>有组织废气排放口基本情况表</w:t>
            </w:r>
          </w:p>
          <w:p w14:paraId="7866D3E0">
            <w:pPr>
              <w:pStyle w:val="43"/>
              <w:spacing w:line="360" w:lineRule="auto"/>
              <w:ind w:firstLine="480"/>
              <w:rPr>
                <w:bCs/>
                <w:color w:val="auto"/>
                <w:sz w:val="24"/>
              </w:rPr>
            </w:pPr>
            <w:r>
              <w:rPr>
                <w:bCs/>
                <w:color w:val="auto"/>
                <w:sz w:val="24"/>
              </w:rPr>
              <w:t>本项目有组织废气排放口基本信息如下表所示。</w:t>
            </w:r>
          </w:p>
          <w:p w14:paraId="018926B1">
            <w:pPr>
              <w:pStyle w:val="30"/>
              <w:bidi w:val="0"/>
              <w:rPr>
                <w:rFonts w:hint="default"/>
                <w:color w:val="auto"/>
                <w:lang w:val="en-US" w:eastAsia="zh-CN"/>
              </w:rPr>
            </w:pPr>
            <w:r>
              <w:rPr>
                <w:rFonts w:hint="default"/>
                <w:color w:val="auto"/>
                <w:lang w:val="en-US" w:eastAsia="zh-CN"/>
              </w:rPr>
              <w:t>表4-</w:t>
            </w:r>
            <w:r>
              <w:rPr>
                <w:rFonts w:hint="eastAsia"/>
                <w:color w:val="auto"/>
                <w:lang w:val="en-US" w:eastAsia="zh-CN"/>
              </w:rPr>
              <w:t>9</w:t>
            </w:r>
            <w:r>
              <w:rPr>
                <w:rFonts w:hint="default"/>
                <w:color w:val="auto"/>
                <w:lang w:val="en-US" w:eastAsia="zh-CN"/>
              </w:rPr>
              <w:t xml:space="preserve">  废气排放口基本情况一览表</w:t>
            </w:r>
          </w:p>
          <w:tbl>
            <w:tblPr>
              <w:tblStyle w:val="2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35"/>
              <w:gridCol w:w="1737"/>
              <w:gridCol w:w="1737"/>
              <w:gridCol w:w="800"/>
              <w:gridCol w:w="800"/>
              <w:gridCol w:w="846"/>
              <w:gridCol w:w="650"/>
            </w:tblGrid>
            <w:tr w14:paraId="24EE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1" w:type="pct"/>
                  <w:vMerge w:val="restart"/>
                  <w:noWrap w:val="0"/>
                  <w:vAlign w:val="center"/>
                </w:tcPr>
                <w:p w14:paraId="5C31DDC4">
                  <w:pPr>
                    <w:pStyle w:val="29"/>
                    <w:bidi w:val="0"/>
                    <w:rPr>
                      <w:color w:val="auto"/>
                    </w:rPr>
                  </w:pPr>
                  <w:r>
                    <w:rPr>
                      <w:color w:val="auto"/>
                    </w:rPr>
                    <w:t>序号</w:t>
                  </w:r>
                </w:p>
              </w:tc>
              <w:tc>
                <w:tcPr>
                  <w:tcW w:w="533" w:type="pct"/>
                  <w:vMerge w:val="restart"/>
                  <w:noWrap w:val="0"/>
                  <w:vAlign w:val="center"/>
                </w:tcPr>
                <w:p w14:paraId="21D042A6">
                  <w:pPr>
                    <w:pStyle w:val="29"/>
                    <w:bidi w:val="0"/>
                    <w:rPr>
                      <w:color w:val="auto"/>
                    </w:rPr>
                  </w:pPr>
                  <w:r>
                    <w:rPr>
                      <w:color w:val="auto"/>
                    </w:rPr>
                    <w:t>排放口编号</w:t>
                  </w:r>
                </w:p>
              </w:tc>
              <w:tc>
                <w:tcPr>
                  <w:tcW w:w="2218" w:type="pct"/>
                  <w:gridSpan w:val="2"/>
                  <w:noWrap w:val="0"/>
                  <w:vAlign w:val="center"/>
                </w:tcPr>
                <w:p w14:paraId="26777651">
                  <w:pPr>
                    <w:pStyle w:val="29"/>
                    <w:bidi w:val="0"/>
                    <w:rPr>
                      <w:color w:val="auto"/>
                    </w:rPr>
                  </w:pPr>
                  <w:r>
                    <w:rPr>
                      <w:color w:val="auto"/>
                    </w:rPr>
                    <w:t>排放口地理坐标</w:t>
                  </w:r>
                </w:p>
              </w:tc>
              <w:tc>
                <w:tcPr>
                  <w:tcW w:w="510" w:type="pct"/>
                  <w:vMerge w:val="restart"/>
                  <w:noWrap w:val="0"/>
                  <w:vAlign w:val="center"/>
                </w:tcPr>
                <w:p w14:paraId="6A03736D">
                  <w:pPr>
                    <w:pStyle w:val="29"/>
                    <w:bidi w:val="0"/>
                    <w:rPr>
                      <w:color w:val="auto"/>
                    </w:rPr>
                  </w:pPr>
                  <w:r>
                    <w:rPr>
                      <w:color w:val="auto"/>
                    </w:rPr>
                    <w:t>排气筒高度（m）</w:t>
                  </w:r>
                </w:p>
              </w:tc>
              <w:tc>
                <w:tcPr>
                  <w:tcW w:w="510" w:type="pct"/>
                  <w:vMerge w:val="restart"/>
                  <w:noWrap w:val="0"/>
                  <w:vAlign w:val="center"/>
                </w:tcPr>
                <w:p w14:paraId="6D3D0E6A">
                  <w:pPr>
                    <w:pStyle w:val="29"/>
                    <w:bidi w:val="0"/>
                    <w:rPr>
                      <w:color w:val="auto"/>
                    </w:rPr>
                  </w:pPr>
                  <w:r>
                    <w:rPr>
                      <w:color w:val="auto"/>
                    </w:rPr>
                    <w:t>排气筒内径（m）</w:t>
                  </w:r>
                </w:p>
              </w:tc>
              <w:tc>
                <w:tcPr>
                  <w:tcW w:w="540" w:type="pct"/>
                  <w:vMerge w:val="restart"/>
                  <w:noWrap w:val="0"/>
                  <w:vAlign w:val="center"/>
                </w:tcPr>
                <w:p w14:paraId="3B0D34DB">
                  <w:pPr>
                    <w:pStyle w:val="29"/>
                    <w:bidi w:val="0"/>
                    <w:rPr>
                      <w:color w:val="auto"/>
                    </w:rPr>
                  </w:pPr>
                  <w:r>
                    <w:rPr>
                      <w:color w:val="auto"/>
                    </w:rPr>
                    <w:t>排放口温度（℃）</w:t>
                  </w:r>
                </w:p>
              </w:tc>
              <w:tc>
                <w:tcPr>
                  <w:tcW w:w="415" w:type="pct"/>
                  <w:vMerge w:val="restart"/>
                  <w:noWrap w:val="0"/>
                  <w:vAlign w:val="center"/>
                </w:tcPr>
                <w:p w14:paraId="437E22F5">
                  <w:pPr>
                    <w:pStyle w:val="29"/>
                    <w:bidi w:val="0"/>
                    <w:rPr>
                      <w:color w:val="auto"/>
                    </w:rPr>
                  </w:pPr>
                  <w:r>
                    <w:rPr>
                      <w:color w:val="auto"/>
                    </w:rPr>
                    <w:t>类型</w:t>
                  </w:r>
                </w:p>
              </w:tc>
            </w:tr>
            <w:tr w14:paraId="0A2A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71" w:type="pct"/>
                  <w:vMerge w:val="continue"/>
                  <w:noWrap w:val="0"/>
                  <w:vAlign w:val="center"/>
                </w:tcPr>
                <w:p w14:paraId="438A3CC0">
                  <w:pPr>
                    <w:pStyle w:val="29"/>
                    <w:bidi w:val="0"/>
                    <w:rPr>
                      <w:color w:val="auto"/>
                    </w:rPr>
                  </w:pPr>
                </w:p>
              </w:tc>
              <w:tc>
                <w:tcPr>
                  <w:tcW w:w="533" w:type="pct"/>
                  <w:vMerge w:val="continue"/>
                  <w:noWrap w:val="0"/>
                  <w:vAlign w:val="center"/>
                </w:tcPr>
                <w:p w14:paraId="062BCF67">
                  <w:pPr>
                    <w:pStyle w:val="29"/>
                    <w:bidi w:val="0"/>
                    <w:rPr>
                      <w:color w:val="auto"/>
                    </w:rPr>
                  </w:pPr>
                </w:p>
              </w:tc>
              <w:tc>
                <w:tcPr>
                  <w:tcW w:w="1109" w:type="pct"/>
                  <w:noWrap w:val="0"/>
                  <w:vAlign w:val="center"/>
                </w:tcPr>
                <w:p w14:paraId="06E105FC">
                  <w:pPr>
                    <w:pStyle w:val="29"/>
                    <w:bidi w:val="0"/>
                    <w:rPr>
                      <w:color w:val="auto"/>
                    </w:rPr>
                  </w:pPr>
                  <w:r>
                    <w:rPr>
                      <w:color w:val="auto"/>
                    </w:rPr>
                    <w:t>经度</w:t>
                  </w:r>
                </w:p>
              </w:tc>
              <w:tc>
                <w:tcPr>
                  <w:tcW w:w="1108" w:type="pct"/>
                  <w:noWrap w:val="0"/>
                  <w:vAlign w:val="center"/>
                </w:tcPr>
                <w:p w14:paraId="236EDF29">
                  <w:pPr>
                    <w:pStyle w:val="29"/>
                    <w:bidi w:val="0"/>
                    <w:rPr>
                      <w:color w:val="auto"/>
                    </w:rPr>
                  </w:pPr>
                  <w:r>
                    <w:rPr>
                      <w:color w:val="auto"/>
                    </w:rPr>
                    <w:t>纬度</w:t>
                  </w:r>
                </w:p>
              </w:tc>
              <w:tc>
                <w:tcPr>
                  <w:tcW w:w="510" w:type="pct"/>
                  <w:vMerge w:val="continue"/>
                  <w:noWrap w:val="0"/>
                  <w:vAlign w:val="center"/>
                </w:tcPr>
                <w:p w14:paraId="76564F8E">
                  <w:pPr>
                    <w:pStyle w:val="29"/>
                    <w:bidi w:val="0"/>
                    <w:rPr>
                      <w:color w:val="auto"/>
                    </w:rPr>
                  </w:pPr>
                </w:p>
              </w:tc>
              <w:tc>
                <w:tcPr>
                  <w:tcW w:w="510" w:type="pct"/>
                  <w:vMerge w:val="continue"/>
                  <w:noWrap w:val="0"/>
                  <w:vAlign w:val="center"/>
                </w:tcPr>
                <w:p w14:paraId="44E533FC">
                  <w:pPr>
                    <w:pStyle w:val="29"/>
                    <w:bidi w:val="0"/>
                    <w:rPr>
                      <w:color w:val="auto"/>
                    </w:rPr>
                  </w:pPr>
                </w:p>
              </w:tc>
              <w:tc>
                <w:tcPr>
                  <w:tcW w:w="540" w:type="pct"/>
                  <w:vMerge w:val="continue"/>
                  <w:noWrap w:val="0"/>
                  <w:vAlign w:val="center"/>
                </w:tcPr>
                <w:p w14:paraId="0BA82B4E">
                  <w:pPr>
                    <w:pStyle w:val="29"/>
                    <w:bidi w:val="0"/>
                    <w:rPr>
                      <w:color w:val="auto"/>
                    </w:rPr>
                  </w:pPr>
                </w:p>
              </w:tc>
              <w:tc>
                <w:tcPr>
                  <w:tcW w:w="415" w:type="pct"/>
                  <w:vMerge w:val="continue"/>
                  <w:noWrap w:val="0"/>
                  <w:vAlign w:val="center"/>
                </w:tcPr>
                <w:p w14:paraId="6552DF94">
                  <w:pPr>
                    <w:pStyle w:val="29"/>
                    <w:bidi w:val="0"/>
                    <w:rPr>
                      <w:color w:val="auto"/>
                    </w:rPr>
                  </w:pPr>
                </w:p>
              </w:tc>
            </w:tr>
            <w:tr w14:paraId="39CA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71" w:type="pct"/>
                  <w:noWrap w:val="0"/>
                  <w:vAlign w:val="center"/>
                </w:tcPr>
                <w:p w14:paraId="1791A211">
                  <w:pPr>
                    <w:pStyle w:val="29"/>
                    <w:bidi w:val="0"/>
                    <w:rPr>
                      <w:rFonts w:hint="eastAsia"/>
                      <w:color w:val="auto"/>
                      <w:lang w:eastAsia="zh-CN"/>
                    </w:rPr>
                  </w:pPr>
                  <w:r>
                    <w:rPr>
                      <w:rFonts w:hint="eastAsia"/>
                      <w:color w:val="auto"/>
                      <w:lang w:val="en-US" w:eastAsia="zh-CN"/>
                    </w:rPr>
                    <w:t>1</w:t>
                  </w:r>
                </w:p>
              </w:tc>
              <w:tc>
                <w:tcPr>
                  <w:tcW w:w="533" w:type="pct"/>
                  <w:noWrap w:val="0"/>
                  <w:vAlign w:val="center"/>
                </w:tcPr>
                <w:p w14:paraId="53477E0F">
                  <w:pPr>
                    <w:pStyle w:val="29"/>
                    <w:bidi w:val="0"/>
                    <w:rPr>
                      <w:rFonts w:hint="eastAsia"/>
                      <w:color w:val="auto"/>
                      <w:lang w:eastAsia="zh-CN"/>
                    </w:rPr>
                  </w:pPr>
                  <w:r>
                    <w:rPr>
                      <w:color w:val="auto"/>
                    </w:rPr>
                    <w:t>DA00</w:t>
                  </w:r>
                  <w:r>
                    <w:rPr>
                      <w:rFonts w:hint="eastAsia"/>
                      <w:color w:val="auto"/>
                      <w:lang w:val="en-US" w:eastAsia="zh-CN"/>
                    </w:rPr>
                    <w:t>1</w:t>
                  </w:r>
                </w:p>
              </w:tc>
              <w:tc>
                <w:tcPr>
                  <w:tcW w:w="1109" w:type="pct"/>
                  <w:noWrap w:val="0"/>
                  <w:vAlign w:val="center"/>
                </w:tcPr>
                <w:p w14:paraId="68E250EB">
                  <w:pPr>
                    <w:pStyle w:val="29"/>
                    <w:bidi w:val="0"/>
                    <w:rPr>
                      <w:rFonts w:hint="default" w:ascii="Times New Roman" w:hAnsi="Times New Roman" w:cs="Times New Roman"/>
                      <w:color w:val="auto"/>
                    </w:rPr>
                  </w:pPr>
                  <w:r>
                    <w:rPr>
                      <w:rFonts w:hint="default" w:ascii="Times New Roman" w:hAnsi="Times New Roman" w:cs="Times New Roman"/>
                      <w:color w:val="auto"/>
                    </w:rPr>
                    <w:t>102°31′48.395″</w:t>
                  </w:r>
                </w:p>
              </w:tc>
              <w:tc>
                <w:tcPr>
                  <w:tcW w:w="1108" w:type="pct"/>
                  <w:noWrap w:val="0"/>
                  <w:vAlign w:val="center"/>
                </w:tcPr>
                <w:p w14:paraId="7255CA73">
                  <w:pPr>
                    <w:pStyle w:val="29"/>
                    <w:bidi w:val="0"/>
                    <w:rPr>
                      <w:rFonts w:hint="default" w:ascii="Times New Roman" w:hAnsi="Times New Roman" w:cs="Times New Roman"/>
                      <w:color w:val="auto"/>
                    </w:rPr>
                  </w:pPr>
                  <w:r>
                    <w:rPr>
                      <w:rFonts w:hint="default" w:ascii="Times New Roman" w:hAnsi="Times New Roman" w:cs="Times New Roman"/>
                      <w:color w:val="auto"/>
                    </w:rPr>
                    <w:t>24°25′7.897″</w:t>
                  </w:r>
                </w:p>
              </w:tc>
              <w:tc>
                <w:tcPr>
                  <w:tcW w:w="510" w:type="pct"/>
                  <w:noWrap w:val="0"/>
                  <w:vAlign w:val="center"/>
                </w:tcPr>
                <w:p w14:paraId="5C467B4D">
                  <w:pPr>
                    <w:pStyle w:val="29"/>
                    <w:bidi w:val="0"/>
                    <w:rPr>
                      <w:rFonts w:hint="default" w:eastAsia="宋体"/>
                      <w:color w:val="auto"/>
                      <w:lang w:val="en-US" w:eastAsia="zh-CN"/>
                    </w:rPr>
                  </w:pPr>
                  <w:r>
                    <w:rPr>
                      <w:rFonts w:hint="eastAsia"/>
                      <w:color w:val="auto"/>
                      <w:lang w:val="en-US" w:eastAsia="zh-CN"/>
                    </w:rPr>
                    <w:t>18</w:t>
                  </w:r>
                </w:p>
              </w:tc>
              <w:tc>
                <w:tcPr>
                  <w:tcW w:w="510" w:type="pct"/>
                  <w:noWrap w:val="0"/>
                  <w:vAlign w:val="center"/>
                </w:tcPr>
                <w:p w14:paraId="7023D580">
                  <w:pPr>
                    <w:pStyle w:val="29"/>
                    <w:bidi w:val="0"/>
                    <w:rPr>
                      <w:rFonts w:hint="eastAsia" w:eastAsia="宋体"/>
                      <w:color w:val="auto"/>
                      <w:lang w:val="en-US" w:eastAsia="zh-CN"/>
                    </w:rPr>
                  </w:pPr>
                  <w:r>
                    <w:rPr>
                      <w:color w:val="auto"/>
                    </w:rPr>
                    <w:t>0.</w:t>
                  </w:r>
                  <w:r>
                    <w:rPr>
                      <w:rFonts w:hint="eastAsia"/>
                      <w:color w:val="auto"/>
                      <w:lang w:val="en-US" w:eastAsia="zh-CN"/>
                    </w:rPr>
                    <w:t>3</w:t>
                  </w:r>
                </w:p>
              </w:tc>
              <w:tc>
                <w:tcPr>
                  <w:tcW w:w="540" w:type="pct"/>
                  <w:noWrap w:val="0"/>
                  <w:vAlign w:val="center"/>
                </w:tcPr>
                <w:p w14:paraId="32A8EA65">
                  <w:pPr>
                    <w:pStyle w:val="29"/>
                    <w:bidi w:val="0"/>
                    <w:rPr>
                      <w:rFonts w:hint="default" w:eastAsia="宋体"/>
                      <w:color w:val="auto"/>
                      <w:lang w:val="en-US" w:eastAsia="zh-CN"/>
                    </w:rPr>
                  </w:pPr>
                  <w:r>
                    <w:rPr>
                      <w:rFonts w:hint="eastAsia"/>
                      <w:color w:val="auto"/>
                      <w:lang w:val="en-US" w:eastAsia="zh-CN"/>
                    </w:rPr>
                    <w:t>80</w:t>
                  </w:r>
                </w:p>
              </w:tc>
              <w:tc>
                <w:tcPr>
                  <w:tcW w:w="415" w:type="pct"/>
                  <w:noWrap w:val="0"/>
                  <w:vAlign w:val="center"/>
                </w:tcPr>
                <w:p w14:paraId="7AE5AE8D">
                  <w:pPr>
                    <w:pStyle w:val="29"/>
                    <w:bidi w:val="0"/>
                    <w:rPr>
                      <w:color w:val="auto"/>
                    </w:rPr>
                  </w:pPr>
                  <w:r>
                    <w:rPr>
                      <w:color w:val="auto"/>
                    </w:rPr>
                    <w:t>一般排放口</w:t>
                  </w:r>
                </w:p>
              </w:tc>
            </w:tr>
            <w:tr w14:paraId="06EA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71" w:type="pct"/>
                  <w:noWrap w:val="0"/>
                  <w:vAlign w:val="center"/>
                </w:tcPr>
                <w:p w14:paraId="4220EF8C">
                  <w:pPr>
                    <w:pStyle w:val="29"/>
                    <w:bidi w:val="0"/>
                    <w:rPr>
                      <w:rFonts w:hint="default"/>
                      <w:color w:val="auto"/>
                      <w:lang w:val="en-US" w:eastAsia="zh-CN"/>
                    </w:rPr>
                  </w:pPr>
                  <w:r>
                    <w:rPr>
                      <w:rFonts w:hint="eastAsia"/>
                      <w:color w:val="auto"/>
                      <w:lang w:val="en-US" w:eastAsia="zh-CN"/>
                    </w:rPr>
                    <w:t>2</w:t>
                  </w:r>
                </w:p>
              </w:tc>
              <w:tc>
                <w:tcPr>
                  <w:tcW w:w="533" w:type="pct"/>
                  <w:noWrap w:val="0"/>
                  <w:vAlign w:val="center"/>
                </w:tcPr>
                <w:p w14:paraId="55D05B3D">
                  <w:pPr>
                    <w:pStyle w:val="29"/>
                    <w:bidi w:val="0"/>
                    <w:rPr>
                      <w:rFonts w:hint="default" w:eastAsia="宋体"/>
                      <w:color w:val="auto"/>
                      <w:lang w:val="en-US" w:eastAsia="zh-CN"/>
                    </w:rPr>
                  </w:pPr>
                  <w:r>
                    <w:rPr>
                      <w:rFonts w:hint="eastAsia"/>
                      <w:color w:val="auto"/>
                      <w:lang w:val="en-US" w:eastAsia="zh-CN"/>
                    </w:rPr>
                    <w:t>DA002</w:t>
                  </w:r>
                </w:p>
              </w:tc>
              <w:tc>
                <w:tcPr>
                  <w:tcW w:w="1109" w:type="pct"/>
                  <w:noWrap w:val="0"/>
                  <w:vAlign w:val="center"/>
                </w:tcPr>
                <w:p w14:paraId="3F70249F">
                  <w:pPr>
                    <w:pStyle w:val="29"/>
                    <w:bidi w:val="0"/>
                    <w:rPr>
                      <w:rFonts w:hint="default" w:ascii="Times New Roman" w:hAnsi="Times New Roman" w:cs="Times New Roman"/>
                      <w:color w:val="auto"/>
                    </w:rPr>
                  </w:pPr>
                  <w:r>
                    <w:rPr>
                      <w:rFonts w:hint="default" w:ascii="Times New Roman" w:hAnsi="Times New Roman" w:cs="Times New Roman"/>
                      <w:color w:val="auto"/>
                    </w:rPr>
                    <w:t>102°31′48.368″</w:t>
                  </w:r>
                </w:p>
              </w:tc>
              <w:tc>
                <w:tcPr>
                  <w:tcW w:w="1108" w:type="pct"/>
                  <w:noWrap w:val="0"/>
                  <w:vAlign w:val="center"/>
                </w:tcPr>
                <w:p w14:paraId="7EABC083">
                  <w:pPr>
                    <w:pStyle w:val="29"/>
                    <w:bidi w:val="0"/>
                    <w:rPr>
                      <w:rFonts w:hint="default" w:ascii="Times New Roman" w:hAnsi="Times New Roman" w:cs="Times New Roman"/>
                      <w:color w:val="auto"/>
                    </w:rPr>
                  </w:pPr>
                  <w:r>
                    <w:rPr>
                      <w:rFonts w:hint="default" w:ascii="Times New Roman" w:hAnsi="Times New Roman" w:cs="Times New Roman"/>
                      <w:color w:val="auto"/>
                    </w:rPr>
                    <w:t>24°25′7.94</w:t>
                  </w:r>
                  <w:r>
                    <w:rPr>
                      <w:rFonts w:hint="eastAsia" w:cs="Times New Roman"/>
                      <w:color w:val="auto"/>
                      <w:lang w:val="en-US" w:eastAsia="zh-CN"/>
                    </w:rPr>
                    <w:t>5</w:t>
                  </w:r>
                  <w:r>
                    <w:rPr>
                      <w:rFonts w:hint="default" w:ascii="Times New Roman" w:hAnsi="Times New Roman" w:cs="Times New Roman"/>
                      <w:color w:val="auto"/>
                    </w:rPr>
                    <w:t>″</w:t>
                  </w:r>
                </w:p>
              </w:tc>
              <w:tc>
                <w:tcPr>
                  <w:tcW w:w="510" w:type="pct"/>
                  <w:noWrap w:val="0"/>
                  <w:vAlign w:val="center"/>
                </w:tcPr>
                <w:p w14:paraId="787549CC">
                  <w:pPr>
                    <w:pStyle w:val="29"/>
                    <w:bidi w:val="0"/>
                    <w:rPr>
                      <w:rFonts w:hint="default"/>
                      <w:color w:val="auto"/>
                      <w:lang w:val="en-US" w:eastAsia="zh-CN"/>
                    </w:rPr>
                  </w:pPr>
                  <w:r>
                    <w:rPr>
                      <w:rFonts w:hint="eastAsia"/>
                      <w:color w:val="auto"/>
                      <w:lang w:val="en-US" w:eastAsia="zh-CN"/>
                    </w:rPr>
                    <w:t>20</w:t>
                  </w:r>
                </w:p>
              </w:tc>
              <w:tc>
                <w:tcPr>
                  <w:tcW w:w="510" w:type="pct"/>
                  <w:noWrap w:val="0"/>
                  <w:vAlign w:val="center"/>
                </w:tcPr>
                <w:p w14:paraId="4157F231">
                  <w:pPr>
                    <w:pStyle w:val="29"/>
                    <w:bidi w:val="0"/>
                    <w:rPr>
                      <w:rFonts w:hint="default" w:eastAsia="宋体"/>
                      <w:color w:val="auto"/>
                      <w:lang w:val="en-US" w:eastAsia="zh-CN"/>
                    </w:rPr>
                  </w:pPr>
                  <w:r>
                    <w:rPr>
                      <w:rFonts w:hint="eastAsia"/>
                      <w:color w:val="auto"/>
                      <w:lang w:val="en-US" w:eastAsia="zh-CN"/>
                    </w:rPr>
                    <w:t>0.3</w:t>
                  </w:r>
                </w:p>
              </w:tc>
              <w:tc>
                <w:tcPr>
                  <w:tcW w:w="540" w:type="pct"/>
                  <w:noWrap w:val="0"/>
                  <w:vAlign w:val="center"/>
                </w:tcPr>
                <w:p w14:paraId="65465B3A">
                  <w:pPr>
                    <w:pStyle w:val="29"/>
                    <w:bidi w:val="0"/>
                    <w:rPr>
                      <w:rFonts w:hint="default"/>
                      <w:color w:val="auto"/>
                      <w:lang w:val="en-US" w:eastAsia="zh-CN"/>
                    </w:rPr>
                  </w:pPr>
                  <w:r>
                    <w:rPr>
                      <w:rFonts w:hint="eastAsia"/>
                      <w:color w:val="auto"/>
                      <w:lang w:val="en-US" w:eastAsia="zh-CN"/>
                    </w:rPr>
                    <w:t>常温</w:t>
                  </w:r>
                </w:p>
              </w:tc>
              <w:tc>
                <w:tcPr>
                  <w:tcW w:w="415" w:type="pct"/>
                  <w:noWrap w:val="0"/>
                  <w:vAlign w:val="center"/>
                </w:tcPr>
                <w:p w14:paraId="04D8C174">
                  <w:pPr>
                    <w:pStyle w:val="29"/>
                    <w:bidi w:val="0"/>
                    <w:rPr>
                      <w:color w:val="auto"/>
                    </w:rPr>
                  </w:pPr>
                  <w:r>
                    <w:rPr>
                      <w:color w:val="auto"/>
                    </w:rPr>
                    <w:t>一般排放口</w:t>
                  </w:r>
                </w:p>
              </w:tc>
            </w:tr>
          </w:tbl>
          <w:p w14:paraId="37B99D62">
            <w:pPr>
              <w:ind w:firstLine="482"/>
              <w:rPr>
                <w:b/>
                <w:bCs/>
                <w:color w:val="auto"/>
              </w:rPr>
            </w:pPr>
            <w:r>
              <w:rPr>
                <w:rFonts w:hint="eastAsia"/>
                <w:b/>
                <w:bCs/>
                <w:color w:val="auto"/>
              </w:rPr>
              <w:fldChar w:fldCharType="begin"/>
            </w:r>
            <w:r>
              <w:rPr>
                <w:rFonts w:hint="eastAsia"/>
                <w:b/>
                <w:bCs/>
                <w:color w:val="auto"/>
              </w:rPr>
              <w:instrText xml:space="preserve"> = 2 \* GB3 \* MERGEFORMAT </w:instrText>
            </w:r>
            <w:r>
              <w:rPr>
                <w:rFonts w:hint="eastAsia"/>
                <w:b/>
                <w:bCs/>
                <w:color w:val="auto"/>
              </w:rPr>
              <w:fldChar w:fldCharType="separate"/>
            </w:r>
            <w:r>
              <w:rPr>
                <w:b/>
                <w:bCs/>
                <w:color w:val="auto"/>
              </w:rPr>
              <w:t>②</w:t>
            </w:r>
            <w:r>
              <w:rPr>
                <w:rFonts w:hint="eastAsia"/>
                <w:b/>
                <w:bCs/>
                <w:color w:val="auto"/>
              </w:rPr>
              <w:fldChar w:fldCharType="end"/>
            </w:r>
            <w:r>
              <w:rPr>
                <w:rFonts w:hint="eastAsia"/>
                <w:b/>
                <w:bCs/>
                <w:color w:val="auto"/>
              </w:rPr>
              <w:t>竣工环保验收监测</w:t>
            </w:r>
          </w:p>
          <w:p w14:paraId="598C620B">
            <w:pPr>
              <w:ind w:firstLine="482"/>
              <w:rPr>
                <w:color w:val="auto"/>
              </w:rPr>
            </w:pPr>
            <w:r>
              <w:rPr>
                <w:color w:val="auto"/>
              </w:rPr>
              <w:t>按照</w:t>
            </w:r>
            <w:r>
              <w:rPr>
                <w:rFonts w:hint="eastAsia" w:ascii="宋体" w:hAnsi="宋体" w:cs="宋体"/>
                <w:color w:val="auto"/>
              </w:rPr>
              <w:t>“</w:t>
            </w:r>
            <w:r>
              <w:rPr>
                <w:color w:val="auto"/>
              </w:rPr>
              <w:t>环保三同时</w:t>
            </w:r>
            <w:r>
              <w:rPr>
                <w:rFonts w:hint="eastAsia" w:ascii="宋体" w:hAnsi="宋体" w:cs="宋体"/>
                <w:color w:val="auto"/>
              </w:rPr>
              <w:t>”</w:t>
            </w:r>
            <w:r>
              <w:rPr>
                <w:color w:val="auto"/>
              </w:rPr>
              <w:t>要求，项目建成投产后及时组织竣工环境保护验收，项目环保竣工验收监测见</w:t>
            </w:r>
            <w:r>
              <w:rPr>
                <w:rFonts w:hint="eastAsia"/>
                <w:color w:val="auto"/>
              </w:rPr>
              <w:t>下</w:t>
            </w:r>
            <w:r>
              <w:rPr>
                <w:color w:val="auto"/>
              </w:rPr>
              <w:t>表。</w:t>
            </w:r>
          </w:p>
          <w:p w14:paraId="1201574E">
            <w:pPr>
              <w:pStyle w:val="30"/>
              <w:rPr>
                <w:rFonts w:hint="default"/>
                <w:color w:val="auto"/>
              </w:rPr>
            </w:pPr>
            <w:r>
              <w:rPr>
                <w:color w:val="auto"/>
              </w:rPr>
              <w:t>表4-</w:t>
            </w:r>
            <w:r>
              <w:rPr>
                <w:rFonts w:hint="eastAsia"/>
                <w:color w:val="auto"/>
                <w:lang w:val="en-US" w:eastAsia="zh-CN"/>
              </w:rPr>
              <w:t>10 废气</w:t>
            </w:r>
            <w:r>
              <w:rPr>
                <w:color w:val="auto"/>
              </w:rPr>
              <w:t>环境监测一览表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
              <w:gridCol w:w="648"/>
              <w:gridCol w:w="1900"/>
              <w:gridCol w:w="1773"/>
              <w:gridCol w:w="3017"/>
            </w:tblGrid>
            <w:tr w14:paraId="6E24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vAlign w:val="center"/>
                </w:tcPr>
                <w:p w14:paraId="5D740367">
                  <w:pPr>
                    <w:pStyle w:val="29"/>
                    <w:bidi w:val="0"/>
                    <w:rPr>
                      <w:rFonts w:hint="default"/>
                      <w:color w:val="auto"/>
                    </w:rPr>
                  </w:pPr>
                  <w:r>
                    <w:rPr>
                      <w:color w:val="auto"/>
                    </w:rPr>
                    <w:t>序号</w:t>
                  </w:r>
                </w:p>
              </w:tc>
              <w:tc>
                <w:tcPr>
                  <w:tcW w:w="413" w:type="pct"/>
                  <w:vAlign w:val="center"/>
                </w:tcPr>
                <w:p w14:paraId="15FC405A">
                  <w:pPr>
                    <w:pStyle w:val="29"/>
                    <w:bidi w:val="0"/>
                    <w:rPr>
                      <w:rFonts w:hint="default"/>
                      <w:color w:val="auto"/>
                    </w:rPr>
                  </w:pPr>
                  <w:r>
                    <w:rPr>
                      <w:color w:val="auto"/>
                    </w:rPr>
                    <w:t>监测项目</w:t>
                  </w:r>
                </w:p>
              </w:tc>
              <w:tc>
                <w:tcPr>
                  <w:tcW w:w="1212" w:type="pct"/>
                  <w:vAlign w:val="center"/>
                </w:tcPr>
                <w:p w14:paraId="5F8EE64E">
                  <w:pPr>
                    <w:pStyle w:val="29"/>
                    <w:bidi w:val="0"/>
                    <w:rPr>
                      <w:rFonts w:hint="default"/>
                      <w:color w:val="auto"/>
                    </w:rPr>
                  </w:pPr>
                  <w:r>
                    <w:rPr>
                      <w:color w:val="auto"/>
                    </w:rPr>
                    <w:t>监测点位</w:t>
                  </w:r>
                </w:p>
              </w:tc>
              <w:tc>
                <w:tcPr>
                  <w:tcW w:w="1131" w:type="pct"/>
                  <w:vAlign w:val="center"/>
                </w:tcPr>
                <w:p w14:paraId="2E9B0FE3">
                  <w:pPr>
                    <w:pStyle w:val="29"/>
                    <w:bidi w:val="0"/>
                    <w:rPr>
                      <w:rFonts w:hint="default"/>
                      <w:color w:val="auto"/>
                    </w:rPr>
                  </w:pPr>
                  <w:r>
                    <w:rPr>
                      <w:color w:val="auto"/>
                    </w:rPr>
                    <w:t>监测因子</w:t>
                  </w:r>
                </w:p>
              </w:tc>
              <w:tc>
                <w:tcPr>
                  <w:tcW w:w="1924" w:type="pct"/>
                  <w:vAlign w:val="center"/>
                </w:tcPr>
                <w:p w14:paraId="0FA3A115">
                  <w:pPr>
                    <w:pStyle w:val="29"/>
                    <w:bidi w:val="0"/>
                    <w:rPr>
                      <w:rFonts w:hint="default"/>
                      <w:color w:val="auto"/>
                    </w:rPr>
                  </w:pPr>
                  <w:r>
                    <w:rPr>
                      <w:color w:val="auto"/>
                    </w:rPr>
                    <w:t>时间及频率</w:t>
                  </w:r>
                </w:p>
              </w:tc>
            </w:tr>
            <w:tr w14:paraId="2D28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318" w:type="pct"/>
                  <w:vAlign w:val="center"/>
                </w:tcPr>
                <w:p w14:paraId="18338850">
                  <w:pPr>
                    <w:pStyle w:val="29"/>
                    <w:bidi w:val="0"/>
                    <w:rPr>
                      <w:rFonts w:hint="eastAsia"/>
                      <w:color w:val="auto"/>
                      <w:lang w:val="en-US" w:eastAsia="zh-CN"/>
                    </w:rPr>
                  </w:pPr>
                  <w:r>
                    <w:rPr>
                      <w:rFonts w:hint="eastAsia"/>
                      <w:color w:val="auto"/>
                      <w:lang w:val="en-US" w:eastAsia="zh-CN"/>
                    </w:rPr>
                    <w:t>1</w:t>
                  </w:r>
                </w:p>
              </w:tc>
              <w:tc>
                <w:tcPr>
                  <w:tcW w:w="413" w:type="pct"/>
                  <w:vAlign w:val="center"/>
                </w:tcPr>
                <w:p w14:paraId="6044C9CF">
                  <w:pPr>
                    <w:pStyle w:val="29"/>
                    <w:bidi w:val="0"/>
                    <w:rPr>
                      <w:rFonts w:hint="eastAsia" w:eastAsia="宋体"/>
                      <w:color w:val="auto"/>
                      <w:lang w:eastAsia="zh-CN"/>
                    </w:rPr>
                  </w:pPr>
                  <w:r>
                    <w:rPr>
                      <w:rFonts w:hint="eastAsia"/>
                      <w:color w:val="auto"/>
                      <w:lang w:eastAsia="zh-CN"/>
                    </w:rPr>
                    <w:t>有组织废气</w:t>
                  </w:r>
                </w:p>
              </w:tc>
              <w:tc>
                <w:tcPr>
                  <w:tcW w:w="1212" w:type="pct"/>
                  <w:vAlign w:val="center"/>
                </w:tcPr>
                <w:p w14:paraId="17F6210F">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cs="Times New Roman"/>
                      <w:b w:val="0"/>
                      <w:bCs/>
                      <w:color w:val="auto"/>
                      <w:kern w:val="2"/>
                      <w:sz w:val="21"/>
                      <w:szCs w:val="21"/>
                      <w:vertAlign w:val="baseline"/>
                      <w:lang w:val="en-US" w:eastAsia="zh-CN" w:bidi="ar-SA"/>
                    </w:rPr>
                    <w:t>锅炉燃烧废气排放口（DA001）</w:t>
                  </w:r>
                </w:p>
              </w:tc>
              <w:tc>
                <w:tcPr>
                  <w:tcW w:w="1131" w:type="pct"/>
                  <w:shd w:val="clear" w:color="auto" w:fill="auto"/>
                  <w:vAlign w:val="center"/>
                </w:tcPr>
                <w:p w14:paraId="6A37FD89">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cs="Times New Roman"/>
                      <w:b w:val="0"/>
                      <w:bCs/>
                      <w:color w:val="auto"/>
                      <w:sz w:val="21"/>
                      <w:szCs w:val="21"/>
                      <w:vertAlign w:val="baseline"/>
                      <w:lang w:val="en-US" w:eastAsia="zh-CN"/>
                    </w:rPr>
                    <w:t>颗粒物、SO</w:t>
                  </w:r>
                  <w:r>
                    <w:rPr>
                      <w:rFonts w:hint="eastAsia" w:cs="Times New Roman"/>
                      <w:b w:val="0"/>
                      <w:bCs/>
                      <w:color w:val="auto"/>
                      <w:sz w:val="21"/>
                      <w:szCs w:val="21"/>
                      <w:vertAlign w:val="subscript"/>
                      <w:lang w:val="en-US" w:eastAsia="zh-CN"/>
                    </w:rPr>
                    <w:t>2</w:t>
                  </w:r>
                  <w:r>
                    <w:rPr>
                      <w:rFonts w:hint="eastAsia" w:cs="Times New Roman"/>
                      <w:b w:val="0"/>
                      <w:bCs/>
                      <w:color w:val="auto"/>
                      <w:sz w:val="21"/>
                      <w:szCs w:val="21"/>
                      <w:vertAlign w:val="baseline"/>
                      <w:lang w:val="en-US" w:eastAsia="zh-CN"/>
                    </w:rPr>
                    <w:t>、NO</w:t>
                  </w:r>
                  <w:r>
                    <w:rPr>
                      <w:rFonts w:hint="eastAsia" w:cs="Times New Roman"/>
                      <w:b w:val="0"/>
                      <w:bCs/>
                      <w:color w:val="auto"/>
                      <w:sz w:val="21"/>
                      <w:szCs w:val="21"/>
                      <w:vertAlign w:val="subscript"/>
                      <w:lang w:val="en-US" w:eastAsia="zh-CN"/>
                    </w:rPr>
                    <w:t>x</w:t>
                  </w:r>
                </w:p>
              </w:tc>
              <w:tc>
                <w:tcPr>
                  <w:tcW w:w="1924" w:type="pct"/>
                  <w:vAlign w:val="center"/>
                </w:tcPr>
                <w:p w14:paraId="2CCD1D08">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cs="Times New Roman"/>
                      <w:b w:val="0"/>
                      <w:bCs/>
                      <w:color w:val="auto"/>
                      <w:sz w:val="21"/>
                      <w:szCs w:val="21"/>
                      <w:vertAlign w:val="baseline"/>
                      <w:lang w:val="en-US" w:eastAsia="zh-CN"/>
                    </w:rPr>
                    <w:t>连续监测2天，每天采样3次</w:t>
                  </w:r>
                </w:p>
              </w:tc>
            </w:tr>
            <w:tr w14:paraId="41A6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318" w:type="pct"/>
                  <w:shd w:val="clear" w:color="auto" w:fill="auto"/>
                  <w:vAlign w:val="center"/>
                </w:tcPr>
                <w:p w14:paraId="44031B8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413" w:type="pct"/>
                  <w:vAlign w:val="center"/>
                </w:tcPr>
                <w:p w14:paraId="3F32EA2B">
                  <w:pPr>
                    <w:pStyle w:val="29"/>
                    <w:bidi w:val="0"/>
                    <w:rPr>
                      <w:rFonts w:hint="default"/>
                      <w:color w:val="auto"/>
                      <w:lang w:val="en-US" w:eastAsia="zh-CN"/>
                    </w:rPr>
                  </w:pPr>
                  <w:r>
                    <w:rPr>
                      <w:rFonts w:hint="eastAsia"/>
                      <w:color w:val="auto"/>
                      <w:lang w:val="en-US" w:eastAsia="zh-CN"/>
                    </w:rPr>
                    <w:t>有组织废气</w:t>
                  </w:r>
                </w:p>
              </w:tc>
              <w:tc>
                <w:tcPr>
                  <w:tcW w:w="1212" w:type="pct"/>
                  <w:vAlign w:val="center"/>
                </w:tcPr>
                <w:p w14:paraId="5BAD3F85">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 w:val="0"/>
                      <w:bCs/>
                      <w:color w:val="auto"/>
                      <w:kern w:val="2"/>
                      <w:sz w:val="21"/>
                      <w:szCs w:val="21"/>
                      <w:vertAlign w:val="baseline"/>
                      <w:lang w:val="en-US" w:eastAsia="zh-CN" w:bidi="ar-SA"/>
                    </w:rPr>
                  </w:pPr>
                  <w:r>
                    <w:rPr>
                      <w:rFonts w:hint="eastAsia" w:cs="Times New Roman"/>
                      <w:b w:val="0"/>
                      <w:bCs/>
                      <w:color w:val="auto"/>
                      <w:kern w:val="2"/>
                      <w:sz w:val="21"/>
                      <w:szCs w:val="21"/>
                      <w:vertAlign w:val="baseline"/>
                      <w:lang w:val="en-US" w:eastAsia="zh-CN" w:bidi="ar-SA"/>
                    </w:rPr>
                    <w:t>破碎粉尘废气排放口（DA002）</w:t>
                  </w:r>
                </w:p>
              </w:tc>
              <w:tc>
                <w:tcPr>
                  <w:tcW w:w="1131" w:type="pct"/>
                  <w:shd w:val="clear" w:color="auto" w:fill="auto"/>
                  <w:vAlign w:val="center"/>
                </w:tcPr>
                <w:p w14:paraId="25DE10F5">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eastAsia" w:cs="Times New Roman"/>
                      <w:b w:val="0"/>
                      <w:bCs/>
                      <w:color w:val="auto"/>
                      <w:sz w:val="21"/>
                      <w:szCs w:val="21"/>
                      <w:vertAlign w:val="baseline"/>
                      <w:lang w:val="en-US" w:eastAsia="zh-CN"/>
                    </w:rPr>
                    <w:t>颗粒物</w:t>
                  </w:r>
                </w:p>
              </w:tc>
              <w:tc>
                <w:tcPr>
                  <w:tcW w:w="1924" w:type="pct"/>
                  <w:vAlign w:val="center"/>
                </w:tcPr>
                <w:p w14:paraId="46DEF6AA">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color w:val="auto"/>
                      <w:sz w:val="21"/>
                      <w:szCs w:val="21"/>
                      <w:vertAlign w:val="baseline"/>
                      <w:lang w:val="en-US" w:eastAsia="zh-CN"/>
                    </w:rPr>
                  </w:pPr>
                  <w:r>
                    <w:rPr>
                      <w:rFonts w:hint="eastAsia" w:cs="Times New Roman"/>
                      <w:b w:val="0"/>
                      <w:bCs/>
                      <w:color w:val="auto"/>
                      <w:sz w:val="21"/>
                      <w:szCs w:val="21"/>
                      <w:vertAlign w:val="baseline"/>
                      <w:lang w:val="en-US" w:eastAsia="zh-CN"/>
                    </w:rPr>
                    <w:t>连续监测2天，每天采样3次</w:t>
                  </w:r>
                </w:p>
              </w:tc>
            </w:tr>
            <w:tr w14:paraId="3F13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shd w:val="clear" w:color="auto" w:fill="auto"/>
                  <w:vAlign w:val="center"/>
                </w:tcPr>
                <w:p w14:paraId="3035BD67">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3</w:t>
                  </w:r>
                </w:p>
              </w:tc>
              <w:tc>
                <w:tcPr>
                  <w:tcW w:w="413" w:type="pct"/>
                  <w:vAlign w:val="center"/>
                </w:tcPr>
                <w:p w14:paraId="4F0213B3">
                  <w:pPr>
                    <w:pStyle w:val="29"/>
                    <w:bidi w:val="0"/>
                    <w:rPr>
                      <w:rFonts w:hint="eastAsia" w:eastAsia="宋体"/>
                      <w:color w:val="auto"/>
                      <w:lang w:eastAsia="zh-CN"/>
                    </w:rPr>
                  </w:pPr>
                  <w:r>
                    <w:rPr>
                      <w:color w:val="auto"/>
                    </w:rPr>
                    <w:t>无组织</w:t>
                  </w:r>
                  <w:r>
                    <w:rPr>
                      <w:rFonts w:hint="eastAsia"/>
                      <w:color w:val="auto"/>
                      <w:lang w:eastAsia="zh-CN"/>
                    </w:rPr>
                    <w:t>废气</w:t>
                  </w:r>
                </w:p>
              </w:tc>
              <w:tc>
                <w:tcPr>
                  <w:tcW w:w="1212" w:type="pct"/>
                  <w:vAlign w:val="center"/>
                </w:tcPr>
                <w:p w14:paraId="71ACD705">
                  <w:pPr>
                    <w:pStyle w:val="29"/>
                    <w:bidi w:val="0"/>
                    <w:rPr>
                      <w:rFonts w:hint="default"/>
                      <w:color w:val="auto"/>
                    </w:rPr>
                  </w:pPr>
                  <w:r>
                    <w:rPr>
                      <w:rFonts w:hint="eastAsia"/>
                      <w:color w:val="auto"/>
                    </w:rPr>
                    <w:t>厂界外20m处上风向设</w:t>
                  </w:r>
                  <w:r>
                    <w:rPr>
                      <w:rFonts w:hint="eastAsia"/>
                      <w:color w:val="auto"/>
                      <w:lang w:val="en-US" w:eastAsia="zh-CN"/>
                    </w:rPr>
                    <w:t>1个</w:t>
                  </w:r>
                  <w:r>
                    <w:rPr>
                      <w:rFonts w:hint="eastAsia"/>
                      <w:color w:val="auto"/>
                    </w:rPr>
                    <w:t>参照点，下风向设</w:t>
                  </w:r>
                  <w:r>
                    <w:rPr>
                      <w:rFonts w:hint="eastAsia"/>
                      <w:color w:val="auto"/>
                      <w:lang w:val="en-US" w:eastAsia="zh-CN"/>
                    </w:rPr>
                    <w:t>3个</w:t>
                  </w:r>
                  <w:r>
                    <w:rPr>
                      <w:rFonts w:hint="eastAsia"/>
                      <w:color w:val="auto"/>
                    </w:rPr>
                    <w:t>监控点</w:t>
                  </w:r>
                </w:p>
              </w:tc>
              <w:tc>
                <w:tcPr>
                  <w:tcW w:w="1131" w:type="pct"/>
                  <w:vAlign w:val="center"/>
                </w:tcPr>
                <w:p w14:paraId="2443AAB1">
                  <w:pPr>
                    <w:pStyle w:val="29"/>
                    <w:bidi w:val="0"/>
                    <w:rPr>
                      <w:rFonts w:hint="default"/>
                      <w:color w:val="auto"/>
                    </w:rPr>
                  </w:pPr>
                  <w:r>
                    <w:rPr>
                      <w:color w:val="auto"/>
                    </w:rPr>
                    <w:t>颗粒物</w:t>
                  </w:r>
                  <w:r>
                    <w:rPr>
                      <w:rFonts w:hint="eastAsia"/>
                      <w:color w:val="auto"/>
                      <w:lang w:eastAsia="zh-CN"/>
                    </w:rPr>
                    <w:t>、</w:t>
                  </w:r>
                  <w:r>
                    <w:rPr>
                      <w:rFonts w:hint="eastAsia"/>
                      <w:color w:val="auto"/>
                    </w:rPr>
                    <w:t>NH</w:t>
                  </w:r>
                  <w:r>
                    <w:rPr>
                      <w:rFonts w:hint="eastAsia"/>
                      <w:color w:val="auto"/>
                      <w:vertAlign w:val="subscript"/>
                    </w:rPr>
                    <w:t>3</w:t>
                  </w:r>
                  <w:r>
                    <w:rPr>
                      <w:rFonts w:hint="eastAsia"/>
                      <w:color w:val="auto"/>
                      <w:lang w:eastAsia="zh-CN"/>
                    </w:rPr>
                    <w:t>、</w:t>
                  </w:r>
                  <w:r>
                    <w:rPr>
                      <w:rFonts w:hint="eastAsia"/>
                      <w:color w:val="auto"/>
                    </w:rPr>
                    <w:t>H</w:t>
                  </w:r>
                  <w:r>
                    <w:rPr>
                      <w:rFonts w:hint="eastAsia"/>
                      <w:color w:val="auto"/>
                      <w:vertAlign w:val="subscript"/>
                    </w:rPr>
                    <w:t>2</w:t>
                  </w:r>
                  <w:r>
                    <w:rPr>
                      <w:rFonts w:hint="eastAsia"/>
                      <w:color w:val="auto"/>
                    </w:rPr>
                    <w:t>S</w:t>
                  </w:r>
                  <w:r>
                    <w:rPr>
                      <w:rFonts w:hint="eastAsia"/>
                      <w:color w:val="auto"/>
                      <w:lang w:eastAsia="zh-CN"/>
                    </w:rPr>
                    <w:t>、</w:t>
                  </w:r>
                  <w:r>
                    <w:rPr>
                      <w:rFonts w:hint="eastAsia"/>
                      <w:color w:val="auto"/>
                    </w:rPr>
                    <w:t>臭气浓度</w:t>
                  </w:r>
                  <w:r>
                    <w:rPr>
                      <w:rFonts w:hint="eastAsia"/>
                      <w:color w:val="auto"/>
                      <w:lang w:eastAsia="zh-CN"/>
                    </w:rPr>
                    <w:t>、</w:t>
                  </w:r>
                  <w:r>
                    <w:rPr>
                      <w:rFonts w:hint="eastAsia"/>
                      <w:color w:val="auto"/>
                    </w:rPr>
                    <w:t>非甲烷总烃</w:t>
                  </w:r>
                </w:p>
              </w:tc>
              <w:tc>
                <w:tcPr>
                  <w:tcW w:w="1924" w:type="pct"/>
                  <w:vAlign w:val="center"/>
                </w:tcPr>
                <w:p w14:paraId="58C512E7">
                  <w:pPr>
                    <w:pStyle w:val="29"/>
                    <w:bidi w:val="0"/>
                    <w:rPr>
                      <w:rFonts w:hint="default"/>
                      <w:color w:val="auto"/>
                    </w:rPr>
                  </w:pPr>
                  <w:r>
                    <w:rPr>
                      <w:rFonts w:hint="eastAsia"/>
                      <w:color w:val="auto"/>
                    </w:rPr>
                    <w:t>连续监测2天，每天采样3次</w:t>
                  </w:r>
                </w:p>
              </w:tc>
            </w:tr>
            <w:tr w14:paraId="42F6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 w:type="pct"/>
                  <w:vAlign w:val="center"/>
                </w:tcPr>
                <w:p w14:paraId="78B5146B">
                  <w:pPr>
                    <w:pStyle w:val="29"/>
                    <w:bidi w:val="0"/>
                    <w:rPr>
                      <w:rFonts w:hint="default"/>
                      <w:color w:val="auto"/>
                      <w:lang w:val="en-US" w:eastAsia="zh-CN"/>
                    </w:rPr>
                  </w:pPr>
                  <w:r>
                    <w:rPr>
                      <w:rFonts w:hint="eastAsia"/>
                      <w:color w:val="auto"/>
                      <w:lang w:val="en-US" w:eastAsia="zh-CN"/>
                    </w:rPr>
                    <w:t>4</w:t>
                  </w:r>
                </w:p>
              </w:tc>
              <w:tc>
                <w:tcPr>
                  <w:tcW w:w="413" w:type="pct"/>
                  <w:vAlign w:val="center"/>
                </w:tcPr>
                <w:p w14:paraId="41953377">
                  <w:pPr>
                    <w:pStyle w:val="29"/>
                    <w:bidi w:val="0"/>
                    <w:rPr>
                      <w:rFonts w:hint="default" w:eastAsia="宋体"/>
                      <w:color w:val="auto"/>
                      <w:lang w:val="en-US" w:eastAsia="zh-CN"/>
                    </w:rPr>
                  </w:pPr>
                  <w:r>
                    <w:rPr>
                      <w:rFonts w:hint="eastAsia"/>
                      <w:color w:val="auto"/>
                      <w:lang w:val="en-US" w:eastAsia="zh-CN"/>
                    </w:rPr>
                    <w:t>无组织废气</w:t>
                  </w:r>
                </w:p>
              </w:tc>
              <w:tc>
                <w:tcPr>
                  <w:tcW w:w="1212" w:type="pct"/>
                  <w:vAlign w:val="center"/>
                </w:tcPr>
                <w:p w14:paraId="2A3069D9">
                  <w:pPr>
                    <w:pStyle w:val="29"/>
                    <w:bidi w:val="0"/>
                    <w:rPr>
                      <w:rFonts w:hint="eastAsia"/>
                      <w:color w:val="auto"/>
                    </w:rPr>
                  </w:pPr>
                  <w:r>
                    <w:rPr>
                      <w:rFonts w:hint="eastAsia"/>
                      <w:color w:val="auto"/>
                      <w:lang w:val="en-US" w:eastAsia="zh-CN"/>
                    </w:rPr>
                    <w:t>厂区内车间门口处</w:t>
                  </w:r>
                </w:p>
              </w:tc>
              <w:tc>
                <w:tcPr>
                  <w:tcW w:w="1131" w:type="pct"/>
                  <w:vAlign w:val="center"/>
                </w:tcPr>
                <w:p w14:paraId="6623E429">
                  <w:pPr>
                    <w:pStyle w:val="29"/>
                    <w:bidi w:val="0"/>
                    <w:rPr>
                      <w:rFonts w:hint="eastAsia" w:eastAsia="宋体"/>
                      <w:color w:val="auto"/>
                      <w:lang w:val="en-US" w:eastAsia="zh-CN"/>
                    </w:rPr>
                  </w:pPr>
                  <w:r>
                    <w:rPr>
                      <w:rFonts w:hint="eastAsia"/>
                      <w:color w:val="auto"/>
                      <w:lang w:val="en-US" w:eastAsia="zh-CN"/>
                    </w:rPr>
                    <w:t>非甲烷总烃</w:t>
                  </w:r>
                </w:p>
              </w:tc>
              <w:tc>
                <w:tcPr>
                  <w:tcW w:w="1924" w:type="pct"/>
                  <w:vAlign w:val="center"/>
                </w:tcPr>
                <w:p w14:paraId="2EE0BB51">
                  <w:pPr>
                    <w:pStyle w:val="29"/>
                    <w:bidi w:val="0"/>
                    <w:rPr>
                      <w:rFonts w:hint="eastAsia"/>
                      <w:color w:val="auto"/>
                    </w:rPr>
                  </w:pPr>
                  <w:r>
                    <w:rPr>
                      <w:rFonts w:hint="eastAsia"/>
                      <w:color w:val="auto"/>
                    </w:rPr>
                    <w:t>连续监测2天，每天采样3次</w:t>
                  </w:r>
                </w:p>
              </w:tc>
            </w:tr>
          </w:tbl>
          <w:p w14:paraId="5856BE36">
            <w:pPr>
              <w:bidi w:val="0"/>
              <w:rPr>
                <w:rFonts w:hint="eastAsia"/>
                <w:b/>
                <w:bCs/>
                <w:color w:val="auto"/>
                <w:lang w:eastAsia="zh-CN"/>
              </w:rPr>
            </w:pPr>
            <w:r>
              <w:rPr>
                <w:rFonts w:hint="eastAsia"/>
                <w:b/>
                <w:bCs/>
                <w:color w:val="auto"/>
              </w:rPr>
              <w:t>③</w:t>
            </w:r>
            <w:r>
              <w:rPr>
                <w:rFonts w:hint="eastAsia"/>
                <w:b/>
                <w:bCs/>
                <w:color w:val="auto"/>
                <w:lang w:eastAsia="zh-CN"/>
              </w:rPr>
              <w:t>自行监测</w:t>
            </w:r>
          </w:p>
          <w:p w14:paraId="2DC9F0DB">
            <w:pPr>
              <w:ind w:firstLine="480"/>
              <w:rPr>
                <w:color w:val="auto"/>
              </w:rPr>
            </w:pPr>
            <w:r>
              <w:rPr>
                <w:rFonts w:hint="eastAsia"/>
                <w:color w:val="auto"/>
                <w:lang w:eastAsia="zh-CN"/>
              </w:rPr>
              <w:t>根据《排污单位自行监测技术指南-总则》（HJ/</w:t>
            </w:r>
            <w:r>
              <w:rPr>
                <w:rFonts w:hint="eastAsia"/>
                <w:color w:val="auto"/>
                <w:lang w:val="en-US" w:eastAsia="zh-CN"/>
              </w:rPr>
              <w:t>819</w:t>
            </w:r>
            <w:r>
              <w:rPr>
                <w:rFonts w:hint="eastAsia"/>
                <w:color w:val="auto"/>
                <w:lang w:eastAsia="zh-CN"/>
              </w:rPr>
              <w:t>-2017）</w:t>
            </w:r>
            <w:r>
              <w:rPr>
                <w:rFonts w:hint="eastAsia"/>
                <w:color w:val="auto"/>
                <w:lang w:val="en-US" w:eastAsia="zh-CN"/>
              </w:rPr>
              <w:t>、《排污许可证申请与核发技术规范酒、饮料制造工业》（HJ 1028-2019）和《排污许可证申请与核发技术规范锅炉》（HJ 953-2018）</w:t>
            </w:r>
            <w:r>
              <w:rPr>
                <w:rFonts w:hint="eastAsia"/>
                <w:color w:val="auto"/>
                <w:lang w:eastAsia="zh-CN"/>
              </w:rPr>
              <w:t>，确定本项目废气污染源自行监测方案，见下表</w:t>
            </w:r>
            <w:r>
              <w:rPr>
                <w:rFonts w:hint="eastAsia" w:cs="Times New Roman"/>
                <w:bCs/>
                <w:color w:val="auto"/>
                <w:sz w:val="24"/>
                <w:szCs w:val="24"/>
                <w:lang w:val="en-US" w:eastAsia="zh-CN"/>
              </w:rPr>
              <w:t>。</w:t>
            </w:r>
          </w:p>
          <w:p w14:paraId="19C33F03">
            <w:pPr>
              <w:pStyle w:val="30"/>
              <w:rPr>
                <w:rFonts w:hint="default"/>
                <w:color w:val="auto"/>
              </w:rPr>
            </w:pPr>
            <w:r>
              <w:rPr>
                <w:color w:val="auto"/>
              </w:rPr>
              <w:t>表4-</w:t>
            </w:r>
            <w:r>
              <w:rPr>
                <w:rFonts w:hint="eastAsia"/>
                <w:color w:val="auto"/>
                <w:lang w:val="en-US" w:eastAsia="zh-CN"/>
              </w:rPr>
              <w:t>11</w:t>
            </w:r>
            <w:r>
              <w:rPr>
                <w:color w:val="auto"/>
              </w:rPr>
              <w:t xml:space="preserve"> </w:t>
            </w:r>
            <w:r>
              <w:rPr>
                <w:rFonts w:hint="eastAsia"/>
                <w:color w:val="auto"/>
                <w:lang w:val="en-US" w:eastAsia="zh-CN"/>
              </w:rPr>
              <w:t>废气</w:t>
            </w:r>
            <w:r>
              <w:rPr>
                <w:color w:val="auto"/>
              </w:rPr>
              <w:t>自行监测方案一览表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771"/>
              <w:gridCol w:w="1766"/>
              <w:gridCol w:w="2019"/>
              <w:gridCol w:w="2731"/>
            </w:tblGrid>
            <w:tr w14:paraId="594D7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dxa"/>
                  <w:vAlign w:val="center"/>
                </w:tcPr>
                <w:p w14:paraId="7F15BE4C">
                  <w:pPr>
                    <w:pStyle w:val="29"/>
                    <w:bidi w:val="0"/>
                    <w:rPr>
                      <w:rFonts w:hint="default"/>
                      <w:color w:val="auto"/>
                    </w:rPr>
                  </w:pPr>
                  <w:r>
                    <w:rPr>
                      <w:color w:val="auto"/>
                    </w:rPr>
                    <w:t>序号</w:t>
                  </w:r>
                </w:p>
              </w:tc>
              <w:tc>
                <w:tcPr>
                  <w:tcW w:w="771" w:type="dxa"/>
                  <w:vAlign w:val="center"/>
                </w:tcPr>
                <w:p w14:paraId="34AC33CE">
                  <w:pPr>
                    <w:pStyle w:val="29"/>
                    <w:bidi w:val="0"/>
                    <w:rPr>
                      <w:rFonts w:hint="default"/>
                      <w:color w:val="auto"/>
                    </w:rPr>
                  </w:pPr>
                  <w:r>
                    <w:rPr>
                      <w:color w:val="auto"/>
                    </w:rPr>
                    <w:t>监测项目</w:t>
                  </w:r>
                </w:p>
              </w:tc>
              <w:tc>
                <w:tcPr>
                  <w:tcW w:w="1766" w:type="dxa"/>
                  <w:vAlign w:val="center"/>
                </w:tcPr>
                <w:p w14:paraId="636205A3">
                  <w:pPr>
                    <w:pStyle w:val="29"/>
                    <w:bidi w:val="0"/>
                    <w:rPr>
                      <w:rFonts w:hint="default"/>
                      <w:color w:val="auto"/>
                    </w:rPr>
                  </w:pPr>
                  <w:r>
                    <w:rPr>
                      <w:color w:val="auto"/>
                    </w:rPr>
                    <w:t>监测点位</w:t>
                  </w:r>
                </w:p>
              </w:tc>
              <w:tc>
                <w:tcPr>
                  <w:tcW w:w="2019" w:type="dxa"/>
                  <w:vAlign w:val="center"/>
                </w:tcPr>
                <w:p w14:paraId="31F30085">
                  <w:pPr>
                    <w:pStyle w:val="29"/>
                    <w:bidi w:val="0"/>
                    <w:rPr>
                      <w:rFonts w:hint="default"/>
                      <w:color w:val="auto"/>
                    </w:rPr>
                  </w:pPr>
                  <w:r>
                    <w:rPr>
                      <w:color w:val="auto"/>
                    </w:rPr>
                    <w:t>监测因子</w:t>
                  </w:r>
                </w:p>
              </w:tc>
              <w:tc>
                <w:tcPr>
                  <w:tcW w:w="2731" w:type="dxa"/>
                  <w:vAlign w:val="center"/>
                </w:tcPr>
                <w:p w14:paraId="2B4ACCA7">
                  <w:pPr>
                    <w:pStyle w:val="29"/>
                    <w:bidi w:val="0"/>
                    <w:rPr>
                      <w:rFonts w:hint="default"/>
                      <w:color w:val="auto"/>
                    </w:rPr>
                  </w:pPr>
                  <w:r>
                    <w:rPr>
                      <w:color w:val="auto"/>
                    </w:rPr>
                    <w:t>时间及频率</w:t>
                  </w:r>
                </w:p>
              </w:tc>
            </w:tr>
            <w:tr w14:paraId="4826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503" w:type="dxa"/>
                  <w:vAlign w:val="center"/>
                </w:tcPr>
                <w:p w14:paraId="3543EA3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w:t>
                  </w:r>
                </w:p>
              </w:tc>
              <w:tc>
                <w:tcPr>
                  <w:tcW w:w="771" w:type="dxa"/>
                  <w:vAlign w:val="center"/>
                </w:tcPr>
                <w:p w14:paraId="28C8544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有组织</w:t>
                  </w:r>
                </w:p>
              </w:tc>
              <w:tc>
                <w:tcPr>
                  <w:tcW w:w="1766" w:type="dxa"/>
                  <w:vAlign w:val="center"/>
                </w:tcPr>
                <w:p w14:paraId="30F3B37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有组织废气排放口（</w:t>
                  </w:r>
                  <w:r>
                    <w:rPr>
                      <w:color w:val="auto"/>
                    </w:rPr>
                    <w:t>DA00</w:t>
                  </w:r>
                  <w:r>
                    <w:rPr>
                      <w:rFonts w:hint="eastAsia"/>
                      <w:color w:val="auto"/>
                      <w:lang w:val="en-US" w:eastAsia="zh-CN"/>
                    </w:rPr>
                    <w:t>1）</w:t>
                  </w:r>
                </w:p>
              </w:tc>
              <w:tc>
                <w:tcPr>
                  <w:tcW w:w="2019" w:type="dxa"/>
                  <w:vAlign w:val="center"/>
                </w:tcPr>
                <w:p w14:paraId="0C46D381">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kern w:val="2"/>
                      <w:sz w:val="21"/>
                      <w:szCs w:val="21"/>
                      <w:vertAlign w:val="baseline"/>
                      <w:lang w:val="en-US" w:eastAsia="zh-CN" w:bidi="ar-SA"/>
                    </w:rPr>
                  </w:pPr>
                  <w:r>
                    <w:rPr>
                      <w:rFonts w:hint="eastAsia" w:cs="Times New Roman"/>
                      <w:b w:val="0"/>
                      <w:bCs/>
                      <w:color w:val="auto"/>
                      <w:sz w:val="21"/>
                      <w:szCs w:val="21"/>
                      <w:vertAlign w:val="baseline"/>
                      <w:lang w:val="en-US" w:eastAsia="zh-CN"/>
                    </w:rPr>
                    <w:t>颗粒物、SO</w:t>
                  </w:r>
                  <w:r>
                    <w:rPr>
                      <w:rFonts w:hint="eastAsia" w:cs="Times New Roman"/>
                      <w:b w:val="0"/>
                      <w:bCs/>
                      <w:color w:val="auto"/>
                      <w:sz w:val="21"/>
                      <w:szCs w:val="21"/>
                      <w:vertAlign w:val="subscript"/>
                      <w:lang w:val="en-US" w:eastAsia="zh-CN"/>
                    </w:rPr>
                    <w:t>2</w:t>
                  </w:r>
                  <w:r>
                    <w:rPr>
                      <w:rFonts w:hint="eastAsia" w:cs="Times New Roman"/>
                      <w:b w:val="0"/>
                      <w:bCs/>
                      <w:color w:val="auto"/>
                      <w:sz w:val="21"/>
                      <w:szCs w:val="21"/>
                      <w:vertAlign w:val="baseline"/>
                      <w:lang w:val="en-US" w:eastAsia="zh-CN"/>
                    </w:rPr>
                    <w:t>、NO</w:t>
                  </w:r>
                  <w:r>
                    <w:rPr>
                      <w:rFonts w:hint="eastAsia" w:cs="Times New Roman"/>
                      <w:b w:val="0"/>
                      <w:bCs/>
                      <w:color w:val="auto"/>
                      <w:sz w:val="21"/>
                      <w:szCs w:val="21"/>
                      <w:vertAlign w:val="subscript"/>
                      <w:lang w:val="en-US" w:eastAsia="zh-CN"/>
                    </w:rPr>
                    <w:t>x</w:t>
                  </w:r>
                </w:p>
              </w:tc>
              <w:tc>
                <w:tcPr>
                  <w:tcW w:w="2731" w:type="dxa"/>
                  <w:vAlign w:val="center"/>
                </w:tcPr>
                <w:p w14:paraId="31666641">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auto"/>
                      <w:kern w:val="2"/>
                      <w:sz w:val="21"/>
                      <w:szCs w:val="21"/>
                      <w:vertAlign w:val="baseline"/>
                      <w:lang w:val="en-US" w:eastAsia="zh-CN" w:bidi="ar-SA"/>
                    </w:rPr>
                  </w:pPr>
                  <w:r>
                    <w:rPr>
                      <w:rFonts w:hint="eastAsia" w:cs="Times New Roman"/>
                      <w:b w:val="0"/>
                      <w:bCs/>
                      <w:color w:val="auto"/>
                      <w:sz w:val="21"/>
                      <w:szCs w:val="21"/>
                      <w:vertAlign w:val="baseline"/>
                      <w:lang w:val="en-US" w:eastAsia="zh-CN"/>
                    </w:rPr>
                    <w:t>1次/半年</w:t>
                  </w:r>
                </w:p>
              </w:tc>
            </w:tr>
            <w:tr w14:paraId="467F8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503" w:type="dxa"/>
                  <w:shd w:val="clear" w:color="auto" w:fill="auto"/>
                  <w:vAlign w:val="center"/>
                </w:tcPr>
                <w:p w14:paraId="2D34885A">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2</w:t>
                  </w:r>
                </w:p>
              </w:tc>
              <w:tc>
                <w:tcPr>
                  <w:tcW w:w="771" w:type="dxa"/>
                  <w:vAlign w:val="center"/>
                </w:tcPr>
                <w:p w14:paraId="2B43B48F">
                  <w:pPr>
                    <w:pStyle w:val="29"/>
                    <w:bidi w:val="0"/>
                    <w:ind w:firstLine="0" w:firstLineChars="0"/>
                    <w:rPr>
                      <w:rFonts w:hint="default"/>
                      <w:color w:val="auto"/>
                      <w:lang w:val="en-US" w:eastAsia="zh-CN"/>
                    </w:rPr>
                  </w:pPr>
                  <w:r>
                    <w:rPr>
                      <w:rFonts w:hint="eastAsia"/>
                      <w:color w:val="auto"/>
                      <w:lang w:val="en-US" w:eastAsia="zh-CN"/>
                    </w:rPr>
                    <w:t>有组织</w:t>
                  </w:r>
                </w:p>
              </w:tc>
              <w:tc>
                <w:tcPr>
                  <w:tcW w:w="1766" w:type="dxa"/>
                  <w:vAlign w:val="center"/>
                </w:tcPr>
                <w:p w14:paraId="4FAF055F">
                  <w:pPr>
                    <w:pStyle w:val="29"/>
                    <w:bidi w:val="0"/>
                    <w:ind w:firstLine="0" w:firstLineChars="0"/>
                    <w:rPr>
                      <w:rFonts w:hint="eastAsia"/>
                      <w:color w:val="auto"/>
                      <w:lang w:val="en-US" w:eastAsia="zh-CN"/>
                    </w:rPr>
                  </w:pPr>
                  <w:r>
                    <w:rPr>
                      <w:rFonts w:hint="eastAsia"/>
                      <w:color w:val="auto"/>
                      <w:lang w:val="en-US" w:eastAsia="zh-CN"/>
                    </w:rPr>
                    <w:t>有组织废气排放口（DA002）</w:t>
                  </w:r>
                </w:p>
              </w:tc>
              <w:tc>
                <w:tcPr>
                  <w:tcW w:w="2019" w:type="dxa"/>
                  <w:vAlign w:val="center"/>
                </w:tcPr>
                <w:p w14:paraId="2C41D97D">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vertAlign w:val="baseline"/>
                      <w:lang w:val="en-US" w:eastAsia="zh-CN"/>
                    </w:rPr>
                  </w:pPr>
                  <w:r>
                    <w:rPr>
                      <w:rFonts w:hint="eastAsia" w:cs="Times New Roman"/>
                      <w:b w:val="0"/>
                      <w:bCs/>
                      <w:color w:val="auto"/>
                      <w:sz w:val="21"/>
                      <w:szCs w:val="21"/>
                      <w:vertAlign w:val="baseline"/>
                      <w:lang w:val="en-US" w:eastAsia="zh-CN"/>
                    </w:rPr>
                    <w:t>颗粒物</w:t>
                  </w:r>
                </w:p>
              </w:tc>
              <w:tc>
                <w:tcPr>
                  <w:tcW w:w="2731" w:type="dxa"/>
                  <w:vAlign w:val="center"/>
                </w:tcPr>
                <w:p w14:paraId="7F70A89B">
                  <w:pPr>
                    <w:pStyle w:val="43"/>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val="0"/>
                      <w:bCs/>
                      <w:color w:val="auto"/>
                      <w:sz w:val="21"/>
                      <w:szCs w:val="21"/>
                      <w:vertAlign w:val="baseline"/>
                      <w:lang w:val="en-US" w:eastAsia="zh-CN"/>
                    </w:rPr>
                  </w:pPr>
                  <w:r>
                    <w:rPr>
                      <w:rFonts w:hint="eastAsia" w:cs="Times New Roman"/>
                      <w:b w:val="0"/>
                      <w:bCs/>
                      <w:color w:val="auto"/>
                      <w:sz w:val="21"/>
                      <w:szCs w:val="21"/>
                      <w:vertAlign w:val="baseline"/>
                      <w:lang w:val="en-US" w:eastAsia="zh-CN"/>
                    </w:rPr>
                    <w:t>1次/半年</w:t>
                  </w:r>
                </w:p>
              </w:tc>
            </w:tr>
            <w:tr w14:paraId="53B8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3" w:type="dxa"/>
                  <w:shd w:val="clear" w:color="auto" w:fill="auto"/>
                  <w:vAlign w:val="center"/>
                </w:tcPr>
                <w:p w14:paraId="65090A5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3</w:t>
                  </w:r>
                </w:p>
              </w:tc>
              <w:tc>
                <w:tcPr>
                  <w:tcW w:w="771" w:type="dxa"/>
                  <w:vAlign w:val="center"/>
                </w:tcPr>
                <w:p w14:paraId="49A4DFCD">
                  <w:pPr>
                    <w:pStyle w:val="29"/>
                    <w:bidi w:val="0"/>
                    <w:rPr>
                      <w:rFonts w:hint="default"/>
                      <w:color w:val="auto"/>
                    </w:rPr>
                  </w:pPr>
                  <w:r>
                    <w:rPr>
                      <w:color w:val="auto"/>
                    </w:rPr>
                    <w:t>无组织</w:t>
                  </w:r>
                </w:p>
              </w:tc>
              <w:tc>
                <w:tcPr>
                  <w:tcW w:w="1766" w:type="dxa"/>
                  <w:vAlign w:val="center"/>
                </w:tcPr>
                <w:p w14:paraId="07BC0AC7">
                  <w:pPr>
                    <w:pStyle w:val="29"/>
                    <w:bidi w:val="0"/>
                    <w:rPr>
                      <w:rFonts w:hint="default"/>
                      <w:color w:val="auto"/>
                    </w:rPr>
                  </w:pPr>
                  <w:r>
                    <w:rPr>
                      <w:color w:val="auto"/>
                    </w:rPr>
                    <w:t>4个，厂界上风向1个，下风向3个</w:t>
                  </w:r>
                </w:p>
              </w:tc>
              <w:tc>
                <w:tcPr>
                  <w:tcW w:w="2019" w:type="dxa"/>
                  <w:vAlign w:val="center"/>
                </w:tcPr>
                <w:p w14:paraId="41C183D5">
                  <w:pPr>
                    <w:pStyle w:val="29"/>
                    <w:bidi w:val="0"/>
                    <w:rPr>
                      <w:rFonts w:hint="eastAsia" w:eastAsia="宋体"/>
                      <w:color w:val="auto"/>
                      <w:lang w:eastAsia="zh-CN"/>
                    </w:rPr>
                  </w:pPr>
                  <w:r>
                    <w:rPr>
                      <w:color w:val="auto"/>
                    </w:rPr>
                    <w:t>颗粒物</w:t>
                  </w:r>
                  <w:r>
                    <w:rPr>
                      <w:rFonts w:hint="eastAsia"/>
                      <w:color w:val="auto"/>
                      <w:lang w:eastAsia="zh-CN"/>
                    </w:rPr>
                    <w:t>、</w:t>
                  </w:r>
                  <w:r>
                    <w:rPr>
                      <w:rFonts w:hint="eastAsia"/>
                      <w:color w:val="auto"/>
                    </w:rPr>
                    <w:t>NH</w:t>
                  </w:r>
                  <w:r>
                    <w:rPr>
                      <w:rFonts w:hint="eastAsia"/>
                      <w:color w:val="auto"/>
                      <w:vertAlign w:val="subscript"/>
                    </w:rPr>
                    <w:t>3</w:t>
                  </w:r>
                  <w:r>
                    <w:rPr>
                      <w:rFonts w:hint="eastAsia"/>
                      <w:color w:val="auto"/>
                      <w:lang w:eastAsia="zh-CN"/>
                    </w:rPr>
                    <w:t>、</w:t>
                  </w:r>
                  <w:r>
                    <w:rPr>
                      <w:rFonts w:hint="eastAsia"/>
                      <w:color w:val="auto"/>
                    </w:rPr>
                    <w:t>H</w:t>
                  </w:r>
                  <w:r>
                    <w:rPr>
                      <w:rFonts w:hint="eastAsia"/>
                      <w:color w:val="auto"/>
                      <w:vertAlign w:val="subscript"/>
                    </w:rPr>
                    <w:t>2</w:t>
                  </w:r>
                  <w:r>
                    <w:rPr>
                      <w:rFonts w:hint="eastAsia"/>
                      <w:color w:val="auto"/>
                    </w:rPr>
                    <w:t>S</w:t>
                  </w:r>
                  <w:r>
                    <w:rPr>
                      <w:rFonts w:hint="eastAsia"/>
                      <w:color w:val="auto"/>
                      <w:lang w:eastAsia="zh-CN"/>
                    </w:rPr>
                    <w:t>、</w:t>
                  </w:r>
                </w:p>
                <w:p w14:paraId="0B247DD9">
                  <w:pPr>
                    <w:pStyle w:val="29"/>
                    <w:bidi w:val="0"/>
                    <w:rPr>
                      <w:rFonts w:hint="default"/>
                      <w:color w:val="auto"/>
                    </w:rPr>
                  </w:pPr>
                  <w:r>
                    <w:rPr>
                      <w:rFonts w:hint="eastAsia"/>
                      <w:color w:val="auto"/>
                    </w:rPr>
                    <w:t>臭气浓度</w:t>
                  </w:r>
                </w:p>
              </w:tc>
              <w:tc>
                <w:tcPr>
                  <w:tcW w:w="2731" w:type="dxa"/>
                  <w:vAlign w:val="center"/>
                </w:tcPr>
                <w:p w14:paraId="257C7454">
                  <w:pPr>
                    <w:pStyle w:val="29"/>
                    <w:bidi w:val="0"/>
                    <w:rPr>
                      <w:rFonts w:hint="eastAsia" w:eastAsia="宋体"/>
                      <w:color w:val="auto"/>
                      <w:lang w:eastAsia="zh-CN"/>
                    </w:rPr>
                  </w:pPr>
                  <w:r>
                    <w:rPr>
                      <w:rFonts w:hint="eastAsia"/>
                      <w:color w:val="auto"/>
                      <w:lang w:val="en-US" w:eastAsia="zh-CN"/>
                    </w:rPr>
                    <w:t>1次/半年</w:t>
                  </w:r>
                </w:p>
              </w:tc>
            </w:tr>
          </w:tbl>
          <w:p w14:paraId="4F3B2AC8">
            <w:pPr>
              <w:ind w:firstLine="480"/>
              <w:rPr>
                <w:rFonts w:hint="eastAsia" w:cs="Times New Roman"/>
                <w:b/>
                <w:bCs/>
                <w:color w:val="auto"/>
                <w:lang w:eastAsia="zh-CN"/>
              </w:rPr>
            </w:pPr>
            <w:r>
              <w:rPr>
                <w:rFonts w:hint="eastAsia" w:cs="Times New Roman"/>
                <w:b/>
                <w:bCs/>
                <w:color w:val="auto"/>
                <w:lang w:eastAsia="zh-CN"/>
              </w:rPr>
              <w:t>二、废水</w:t>
            </w:r>
          </w:p>
          <w:p w14:paraId="7975D357">
            <w:pPr>
              <w:ind w:firstLine="480"/>
              <w:rPr>
                <w:rFonts w:hint="eastAsia" w:eastAsia="宋体" w:cs="Times New Roman"/>
                <w:color w:val="auto"/>
                <w:lang w:eastAsia="zh-CN"/>
              </w:rPr>
            </w:pPr>
            <w:r>
              <w:rPr>
                <w:rFonts w:hint="eastAsia" w:cs="Times New Roman"/>
                <w:color w:val="auto"/>
                <w:lang w:eastAsia="zh-CN"/>
              </w:rPr>
              <w:t>项目用水主要为</w:t>
            </w:r>
            <w:r>
              <w:rPr>
                <w:rFonts w:hint="eastAsia" w:cs="Times New Roman"/>
                <w:color w:val="auto"/>
                <w:lang w:val="en-US" w:eastAsia="zh-CN"/>
              </w:rPr>
              <w:t>生产用水</w:t>
            </w:r>
            <w:r>
              <w:rPr>
                <w:rFonts w:hint="eastAsia" w:cs="Times New Roman"/>
                <w:color w:val="auto"/>
                <w:lang w:eastAsia="zh-CN"/>
              </w:rPr>
              <w:t>和生活用水。</w:t>
            </w:r>
          </w:p>
          <w:p w14:paraId="6BF248E3">
            <w:pPr>
              <w:ind w:firstLine="482"/>
              <w:rPr>
                <w:b/>
                <w:bCs/>
                <w:color w:val="auto"/>
              </w:rPr>
            </w:pPr>
            <w:r>
              <w:rPr>
                <w:rFonts w:hint="eastAsia"/>
                <w:b/>
                <w:bCs/>
                <w:color w:val="auto"/>
              </w:rPr>
              <w:t>（</w:t>
            </w:r>
            <w:r>
              <w:rPr>
                <w:rFonts w:hint="eastAsia"/>
                <w:b/>
                <w:bCs/>
                <w:color w:val="auto"/>
                <w:lang w:eastAsia="zh-CN"/>
              </w:rPr>
              <w:t>一</w:t>
            </w:r>
            <w:r>
              <w:rPr>
                <w:rFonts w:hint="eastAsia"/>
                <w:b/>
                <w:bCs/>
                <w:color w:val="auto"/>
              </w:rPr>
              <w:t>）废水产排情况核算</w:t>
            </w:r>
          </w:p>
          <w:p w14:paraId="1D5B01D5">
            <w:pPr>
              <w:ind w:firstLine="480"/>
              <w:rPr>
                <w:rFonts w:hint="eastAsia" w:cs="Times New Roman"/>
                <w:b/>
                <w:bCs/>
                <w:color w:val="auto"/>
                <w:lang w:val="en-US" w:eastAsia="zh-CN"/>
              </w:rPr>
            </w:pPr>
            <w:r>
              <w:rPr>
                <w:rFonts w:hint="eastAsia" w:cs="Times New Roman"/>
                <w:b/>
                <w:bCs/>
                <w:color w:val="auto"/>
                <w:lang w:val="en-US" w:eastAsia="zh-CN"/>
              </w:rPr>
              <w:t>1、糖化用水</w:t>
            </w:r>
          </w:p>
          <w:p w14:paraId="729D6BE3">
            <w:pPr>
              <w:ind w:firstLine="480"/>
              <w:rPr>
                <w:rFonts w:hint="eastAsia" w:cs="Times New Roman"/>
                <w:b w:val="0"/>
                <w:bCs w:val="0"/>
                <w:color w:val="auto"/>
              </w:rPr>
            </w:pPr>
            <w:r>
              <w:rPr>
                <w:rFonts w:hint="eastAsia" w:cs="Times New Roman"/>
                <w:b w:val="0"/>
                <w:bCs w:val="0"/>
                <w:color w:val="auto"/>
                <w:lang w:val="en-US" w:eastAsia="zh-CN"/>
              </w:rPr>
              <w:t>根据物料平衡，项目糖化用水量1.9383m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/d，581.4955m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p>
          <w:p w14:paraId="3962C2AF">
            <w:pPr>
              <w:ind w:firstLine="480"/>
              <w:rPr>
                <w:rFonts w:hint="eastAsia" w:cs="Times New Roman"/>
                <w:b w:val="0"/>
                <w:bCs w:val="0"/>
                <w:color w:val="auto"/>
              </w:rPr>
            </w:pPr>
            <w:r>
              <w:rPr>
                <w:rFonts w:hint="eastAsia" w:cs="Times New Roman"/>
                <w:b w:val="0"/>
                <w:bCs w:val="0"/>
                <w:color w:val="auto"/>
                <w:lang w:val="en-US" w:eastAsia="zh-CN"/>
              </w:rPr>
              <w:t>酿造水除大部分进入啤酒外，另有部分随麦糟、酒花糟、废酵母等固废排出，固废含水率约为80%，在固废暂存罐底部形成渗滤液，经管道收集排入一体化污水处理设施处理。</w:t>
            </w:r>
          </w:p>
          <w:p w14:paraId="284B67FE">
            <w:pPr>
              <w:ind w:firstLine="480"/>
              <w:rPr>
                <w:rFonts w:hint="eastAsia" w:cs="Times New Roman"/>
                <w:b w:val="0"/>
                <w:bCs w:val="0"/>
                <w:color w:val="auto"/>
              </w:rPr>
            </w:pPr>
            <w:r>
              <w:rPr>
                <w:rFonts w:hint="eastAsia" w:cs="Times New Roman"/>
                <w:b w:val="0"/>
                <w:bCs w:val="0"/>
                <w:color w:val="auto"/>
                <w:lang w:val="en-US" w:eastAsia="zh-CN"/>
              </w:rPr>
              <w:t>项目麦糟、酒花糟、废酵母等固废产生量为145.77t/a，固废暂存渗滤液产生量按15%考虑，则渗滤液产生量为0.073m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/d，21.866m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p>
          <w:p w14:paraId="7EFA625A">
            <w:pPr>
              <w:ind w:firstLine="480"/>
              <w:rPr>
                <w:rFonts w:hint="eastAsia" w:eastAsia="宋体" w:cs="Times New Roman"/>
                <w:b/>
                <w:bCs/>
                <w:color w:val="auto"/>
                <w:lang w:val="en-US" w:eastAsia="zh-CN"/>
              </w:rPr>
            </w:pPr>
            <w:r>
              <w:rPr>
                <w:rFonts w:hint="eastAsia" w:cs="Times New Roman"/>
                <w:b/>
                <w:bCs/>
                <w:color w:val="auto"/>
                <w:lang w:val="en-US" w:eastAsia="zh-CN"/>
              </w:rPr>
              <w:t>2、冷却用水</w:t>
            </w:r>
          </w:p>
          <w:p w14:paraId="50C7663C">
            <w:pPr>
              <w:ind w:firstLine="480"/>
              <w:rPr>
                <w:rFonts w:hint="eastAsia" w:cs="Times New Roman"/>
                <w:b w:val="0"/>
                <w:bCs w:val="0"/>
                <w:color w:val="auto"/>
              </w:rPr>
            </w:pPr>
            <w:r>
              <w:rPr>
                <w:rFonts w:hint="eastAsia" w:cs="Times New Roman"/>
                <w:b w:val="0"/>
                <w:bCs w:val="0"/>
                <w:color w:val="auto"/>
                <w:lang w:val="en-US" w:eastAsia="zh-CN"/>
              </w:rPr>
              <w:t>板式换热器冷却水循环使用，无外排水，循环过程损失量约5%，根据建设单位提供资料，板式换热器循环水量约4.3m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/d，1290m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/a，新鲜用水补水量为0.215m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/d，64.5m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r>
              <w:rPr>
                <w:rFonts w:hint="eastAsia" w:cs="Times New Roman"/>
                <w:b w:val="0"/>
                <w:bCs w:val="0"/>
                <w:color w:val="auto"/>
              </w:rPr>
              <w:t>。</w:t>
            </w:r>
          </w:p>
          <w:p w14:paraId="64F03D89">
            <w:pPr>
              <w:ind w:firstLine="480"/>
              <w:rPr>
                <w:rFonts w:hint="eastAsia" w:cs="Times New Roman"/>
                <w:b/>
                <w:bCs/>
                <w:color w:val="auto"/>
              </w:rPr>
            </w:pPr>
            <w:r>
              <w:rPr>
                <w:rFonts w:hint="eastAsia" w:cs="Times New Roman"/>
                <w:b/>
                <w:bCs/>
                <w:color w:val="auto"/>
                <w:lang w:val="en-US" w:eastAsia="zh-CN"/>
              </w:rPr>
              <w:t>3、</w:t>
            </w:r>
            <w:r>
              <w:rPr>
                <w:rFonts w:hint="eastAsia" w:cs="Times New Roman"/>
                <w:b/>
                <w:bCs/>
                <w:color w:val="auto"/>
              </w:rPr>
              <w:t>CIP清洗用水</w:t>
            </w:r>
          </w:p>
          <w:p w14:paraId="42F5B220">
            <w:pPr>
              <w:ind w:firstLine="480"/>
              <w:rPr>
                <w:rFonts w:hint="eastAsia" w:cs="Times New Roman"/>
                <w:b w:val="0"/>
                <w:bCs w:val="0"/>
                <w:color w:val="auto"/>
                <w:lang w:val="en-US" w:eastAsia="zh-CN"/>
              </w:rPr>
            </w:pPr>
            <w:r>
              <w:rPr>
                <w:rFonts w:hint="eastAsia" w:ascii="Times New Roman" w:hAnsi="Times New Roman" w:eastAsia="宋体" w:cs="Times New Roman"/>
                <w:b w:val="0"/>
                <w:bCs w:val="0"/>
                <w:color w:val="auto"/>
              </w:rPr>
              <w:t>本项目糖化</w:t>
            </w:r>
            <w:r>
              <w:rPr>
                <w:rFonts w:hint="eastAsia" w:ascii="Times New Roman" w:hAnsi="Times New Roman" w:eastAsia="宋体" w:cs="Times New Roman"/>
                <w:b w:val="0"/>
                <w:bCs w:val="0"/>
                <w:color w:val="auto"/>
                <w:lang w:val="en-US" w:eastAsia="zh-CN"/>
              </w:rPr>
              <w:t>罐</w:t>
            </w:r>
            <w:r>
              <w:rPr>
                <w:rFonts w:hint="eastAsia" w:ascii="Times New Roman" w:hAnsi="Times New Roman" w:eastAsia="宋体" w:cs="Times New Roman"/>
                <w:b w:val="0"/>
                <w:bCs w:val="0"/>
                <w:color w:val="auto"/>
              </w:rPr>
              <w:t>、过滤</w:t>
            </w:r>
            <w:r>
              <w:rPr>
                <w:rFonts w:hint="eastAsia" w:ascii="Times New Roman" w:hAnsi="Times New Roman" w:eastAsia="宋体" w:cs="Times New Roman"/>
                <w:b w:val="0"/>
                <w:bCs w:val="0"/>
                <w:color w:val="auto"/>
                <w:lang w:val="en-US" w:eastAsia="zh-CN"/>
              </w:rPr>
              <w:t>罐</w:t>
            </w:r>
            <w:r>
              <w:rPr>
                <w:rFonts w:hint="eastAsia" w:ascii="Times New Roman" w:hAnsi="Times New Roman" w:eastAsia="宋体" w:cs="Times New Roman"/>
                <w:b w:val="0"/>
                <w:bCs w:val="0"/>
                <w:color w:val="auto"/>
              </w:rPr>
              <w:t>、煮</w:t>
            </w:r>
            <w:r>
              <w:rPr>
                <w:rFonts w:hint="eastAsia" w:ascii="Times New Roman" w:hAnsi="Times New Roman" w:eastAsia="宋体" w:cs="Times New Roman"/>
                <w:b w:val="0"/>
                <w:bCs w:val="0"/>
                <w:color w:val="auto"/>
                <w:lang w:val="en-US" w:eastAsia="zh-CN"/>
              </w:rPr>
              <w:t>沸</w:t>
            </w:r>
            <w:r>
              <w:rPr>
                <w:rFonts w:hint="eastAsia" w:ascii="Times New Roman" w:hAnsi="Times New Roman" w:eastAsia="宋体" w:cs="Times New Roman"/>
                <w:b w:val="0"/>
                <w:bCs w:val="0"/>
                <w:color w:val="auto"/>
              </w:rPr>
              <w:t>罐、发酵罐</w:t>
            </w:r>
            <w:r>
              <w:rPr>
                <w:rFonts w:hint="eastAsia" w:ascii="Times New Roman" w:hAnsi="Times New Roman" w:eastAsia="宋体" w:cs="Times New Roman"/>
                <w:b w:val="0"/>
                <w:bCs w:val="0"/>
                <w:color w:val="auto"/>
                <w:lang w:eastAsia="zh-CN"/>
              </w:rPr>
              <w:t>、</w:t>
            </w:r>
            <w:r>
              <w:rPr>
                <w:rFonts w:hint="eastAsia" w:ascii="Times New Roman" w:hAnsi="Times New Roman" w:eastAsia="宋体" w:cs="Times New Roman"/>
                <w:b w:val="0"/>
                <w:bCs w:val="0"/>
                <w:color w:val="auto"/>
                <w:lang w:val="en-US" w:eastAsia="zh-CN"/>
              </w:rPr>
              <w:t>清酒罐、灌装机</w:t>
            </w:r>
            <w:r>
              <w:rPr>
                <w:rFonts w:hint="eastAsia" w:ascii="Times New Roman" w:hAnsi="Times New Roman" w:eastAsia="宋体" w:cs="Times New Roman"/>
                <w:b w:val="0"/>
                <w:bCs w:val="0"/>
                <w:color w:val="auto"/>
              </w:rPr>
              <w:t>等生产设备及管道均采用CIP清洗系统进行清洗，清洗过程为碱液清洗—热水纯水冲洗—酸液</w:t>
            </w:r>
            <w:r>
              <w:rPr>
                <w:rFonts w:hint="eastAsia" w:ascii="Times New Roman" w:hAnsi="Times New Roman" w:eastAsia="宋体" w:cs="Times New Roman"/>
                <w:b w:val="0"/>
                <w:bCs w:val="0"/>
                <w:color w:val="auto"/>
                <w:lang w:eastAsia="zh-CN"/>
              </w:rPr>
              <w:t>（</w:t>
            </w:r>
            <w:r>
              <w:rPr>
                <w:rFonts w:hint="eastAsia" w:ascii="Times New Roman" w:hAnsi="Times New Roman" w:eastAsia="宋体" w:cs="Times New Roman"/>
                <w:b w:val="0"/>
                <w:bCs w:val="0"/>
                <w:color w:val="auto"/>
                <w:lang w:val="en-US" w:eastAsia="zh-CN"/>
              </w:rPr>
              <w:t>过氧乙酸</w:t>
            </w:r>
            <w:r>
              <w:rPr>
                <w:rFonts w:hint="eastAsia" w:ascii="Times New Roman" w:hAnsi="Times New Roman" w:eastAsia="宋体" w:cs="Times New Roman"/>
                <w:b w:val="0"/>
                <w:bCs w:val="0"/>
                <w:color w:val="auto"/>
                <w:lang w:eastAsia="zh-CN"/>
              </w:rPr>
              <w:t>）</w:t>
            </w:r>
            <w:r>
              <w:rPr>
                <w:rFonts w:hint="eastAsia" w:ascii="Times New Roman" w:hAnsi="Times New Roman" w:eastAsia="宋体" w:cs="Times New Roman"/>
                <w:b w:val="0"/>
                <w:bCs w:val="0"/>
                <w:color w:val="auto"/>
              </w:rPr>
              <w:t>冲洗—热水纯水冲洗，每批次清洗一次，</w:t>
            </w:r>
            <w:r>
              <w:rPr>
                <w:rFonts w:hint="eastAsia" w:cs="Times New Roman"/>
                <w:b w:val="0"/>
                <w:bCs w:val="0"/>
                <w:color w:val="auto"/>
                <w:lang w:val="en-US" w:eastAsia="zh-CN"/>
              </w:rPr>
              <w:t>根据本项目生产制度，计算出各种产品的生产批次如下表所示：</w:t>
            </w:r>
          </w:p>
          <w:p w14:paraId="07591A9E">
            <w:pPr>
              <w:pStyle w:val="30"/>
              <w:bidi w:val="0"/>
              <w:rPr>
                <w:rFonts w:hint="default"/>
                <w:color w:val="auto"/>
                <w:lang w:val="en-US" w:eastAsia="zh-CN"/>
              </w:rPr>
            </w:pPr>
            <w:r>
              <w:rPr>
                <w:rFonts w:hint="eastAsia"/>
                <w:color w:val="auto"/>
                <w:lang w:val="en-US" w:eastAsia="zh-CN"/>
              </w:rPr>
              <w:t>表4-12 项目产品的生产批次一览表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859"/>
              <w:gridCol w:w="3026"/>
              <w:gridCol w:w="1568"/>
              <w:gridCol w:w="1568"/>
            </w:tblGrid>
            <w:tr w14:paraId="3568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7EA6DF42">
                  <w:pPr>
                    <w:pStyle w:val="29"/>
                    <w:bidi w:val="0"/>
                    <w:rPr>
                      <w:rFonts w:hint="default" w:eastAsia="宋体"/>
                      <w:color w:val="auto"/>
                      <w:lang w:val="en-US" w:eastAsia="zh-CN"/>
                    </w:rPr>
                  </w:pPr>
                  <w:r>
                    <w:rPr>
                      <w:rFonts w:hint="eastAsia"/>
                      <w:color w:val="auto"/>
                      <w:lang w:val="en-US" w:eastAsia="zh-CN"/>
                    </w:rPr>
                    <w:t>产品类别</w:t>
                  </w:r>
                </w:p>
              </w:tc>
              <w:tc>
                <w:tcPr>
                  <w:tcW w:w="859" w:type="dxa"/>
                  <w:vAlign w:val="center"/>
                </w:tcPr>
                <w:p w14:paraId="290DAE6A">
                  <w:pPr>
                    <w:pStyle w:val="29"/>
                    <w:bidi w:val="0"/>
                    <w:rPr>
                      <w:rFonts w:hint="eastAsia" w:eastAsia="宋体"/>
                      <w:color w:val="auto"/>
                      <w:lang w:val="en-US" w:eastAsia="zh-CN"/>
                    </w:rPr>
                  </w:pPr>
                  <w:r>
                    <w:rPr>
                      <w:rFonts w:hint="eastAsia"/>
                      <w:color w:val="auto"/>
                      <w:lang w:val="en-US" w:eastAsia="zh-CN"/>
                    </w:rPr>
                    <w:t>年产量（吨）</w:t>
                  </w:r>
                </w:p>
              </w:tc>
              <w:tc>
                <w:tcPr>
                  <w:tcW w:w="3026" w:type="dxa"/>
                  <w:vAlign w:val="center"/>
                </w:tcPr>
                <w:p w14:paraId="182AB490">
                  <w:pPr>
                    <w:pStyle w:val="29"/>
                    <w:bidi w:val="0"/>
                    <w:rPr>
                      <w:rFonts w:hint="default" w:eastAsia="宋体"/>
                      <w:color w:val="auto"/>
                      <w:lang w:val="en-US" w:eastAsia="zh-CN"/>
                    </w:rPr>
                  </w:pPr>
                  <w:r>
                    <w:rPr>
                      <w:rFonts w:hint="eastAsia"/>
                      <w:color w:val="auto"/>
                      <w:lang w:val="en-US" w:eastAsia="zh-CN"/>
                    </w:rPr>
                    <w:t>生产规则</w:t>
                  </w:r>
                </w:p>
              </w:tc>
              <w:tc>
                <w:tcPr>
                  <w:tcW w:w="1568" w:type="dxa"/>
                  <w:vAlign w:val="center"/>
                </w:tcPr>
                <w:p w14:paraId="263DA6CF">
                  <w:pPr>
                    <w:pStyle w:val="29"/>
                    <w:bidi w:val="0"/>
                    <w:rPr>
                      <w:rFonts w:hint="default" w:eastAsia="宋体"/>
                      <w:color w:val="auto"/>
                      <w:lang w:val="en-US" w:eastAsia="zh-CN"/>
                    </w:rPr>
                  </w:pPr>
                  <w:r>
                    <w:rPr>
                      <w:rFonts w:hint="eastAsia"/>
                      <w:color w:val="auto"/>
                      <w:lang w:val="en-US" w:eastAsia="zh-CN"/>
                    </w:rPr>
                    <w:t>单批次产量（吨）</w:t>
                  </w:r>
                </w:p>
              </w:tc>
              <w:tc>
                <w:tcPr>
                  <w:tcW w:w="1568" w:type="dxa"/>
                  <w:vAlign w:val="center"/>
                </w:tcPr>
                <w:p w14:paraId="7EB0E242">
                  <w:pPr>
                    <w:pStyle w:val="29"/>
                    <w:bidi w:val="0"/>
                    <w:rPr>
                      <w:rFonts w:hint="default" w:eastAsia="宋体"/>
                      <w:color w:val="auto"/>
                      <w:lang w:val="en-US" w:eastAsia="zh-CN"/>
                    </w:rPr>
                  </w:pPr>
                  <w:r>
                    <w:rPr>
                      <w:rFonts w:hint="eastAsia"/>
                      <w:color w:val="auto"/>
                      <w:lang w:val="en-US" w:eastAsia="zh-CN"/>
                    </w:rPr>
                    <w:t>年生产批次（次）</w:t>
                  </w:r>
                </w:p>
              </w:tc>
            </w:tr>
            <w:tr w14:paraId="5936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722ED2AF">
                  <w:pPr>
                    <w:pStyle w:val="29"/>
                    <w:bidi w:val="0"/>
                    <w:rPr>
                      <w:rFonts w:hint="eastAsia" w:eastAsia="宋体"/>
                      <w:color w:val="auto"/>
                      <w:lang w:val="en-US" w:eastAsia="zh-CN"/>
                    </w:rPr>
                  </w:pPr>
                  <w:r>
                    <w:rPr>
                      <w:rFonts w:hint="eastAsia"/>
                      <w:color w:val="auto"/>
                      <w:lang w:val="en-US" w:eastAsia="zh-CN"/>
                    </w:rPr>
                    <w:t>鲜啤</w:t>
                  </w:r>
                </w:p>
              </w:tc>
              <w:tc>
                <w:tcPr>
                  <w:tcW w:w="859" w:type="dxa"/>
                  <w:vAlign w:val="center"/>
                </w:tcPr>
                <w:p w14:paraId="17EDD870">
                  <w:pPr>
                    <w:pStyle w:val="29"/>
                    <w:bidi w:val="0"/>
                    <w:rPr>
                      <w:rFonts w:hint="default" w:eastAsia="宋体"/>
                      <w:color w:val="auto"/>
                      <w:lang w:val="en-US" w:eastAsia="zh-CN"/>
                    </w:rPr>
                  </w:pPr>
                  <w:r>
                    <w:rPr>
                      <w:rFonts w:hint="eastAsia"/>
                      <w:color w:val="auto"/>
                      <w:lang w:val="en-US" w:eastAsia="zh-CN"/>
                    </w:rPr>
                    <w:t>400</w:t>
                  </w:r>
                </w:p>
              </w:tc>
              <w:tc>
                <w:tcPr>
                  <w:tcW w:w="3026" w:type="dxa"/>
                  <w:vAlign w:val="center"/>
                </w:tcPr>
                <w:p w14:paraId="743584FD">
                  <w:pPr>
                    <w:pStyle w:val="29"/>
                    <w:bidi w:val="0"/>
                    <w:rPr>
                      <w:rFonts w:hint="eastAsia"/>
                      <w:color w:val="auto"/>
                    </w:rPr>
                  </w:pPr>
                  <w:r>
                    <w:rPr>
                      <w:rFonts w:hint="eastAsia"/>
                      <w:color w:val="auto"/>
                    </w:rPr>
                    <w:t>每周2-3个生产日，优先安排，预留完整时段完成糖化、发酵工序</w:t>
                  </w:r>
                </w:p>
              </w:tc>
              <w:tc>
                <w:tcPr>
                  <w:tcW w:w="1568" w:type="dxa"/>
                  <w:vAlign w:val="center"/>
                </w:tcPr>
                <w:p w14:paraId="043D02B5">
                  <w:pPr>
                    <w:pStyle w:val="29"/>
                    <w:bidi w:val="0"/>
                    <w:rPr>
                      <w:rFonts w:hint="eastAsia" w:eastAsia="宋体"/>
                      <w:color w:val="auto"/>
                      <w:lang w:val="en-US" w:eastAsia="zh-CN"/>
                    </w:rPr>
                  </w:pPr>
                  <w:r>
                    <w:rPr>
                      <w:rFonts w:hint="eastAsia"/>
                      <w:color w:val="auto"/>
                      <w:lang w:val="en-US" w:eastAsia="zh-CN"/>
                    </w:rPr>
                    <w:t>4</w:t>
                  </w:r>
                </w:p>
              </w:tc>
              <w:tc>
                <w:tcPr>
                  <w:tcW w:w="1568" w:type="dxa"/>
                  <w:vAlign w:val="center"/>
                </w:tcPr>
                <w:p w14:paraId="5C685967">
                  <w:pPr>
                    <w:pStyle w:val="29"/>
                    <w:bidi w:val="0"/>
                    <w:rPr>
                      <w:rFonts w:hint="default" w:eastAsia="宋体"/>
                      <w:color w:val="auto"/>
                      <w:lang w:val="en-US" w:eastAsia="zh-CN"/>
                    </w:rPr>
                  </w:pPr>
                  <w:r>
                    <w:rPr>
                      <w:rFonts w:hint="eastAsia"/>
                      <w:color w:val="auto"/>
                      <w:lang w:val="en-US" w:eastAsia="zh-CN"/>
                    </w:rPr>
                    <w:t>100</w:t>
                  </w:r>
                </w:p>
              </w:tc>
            </w:tr>
            <w:tr w14:paraId="1DEC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690CA528">
                  <w:pPr>
                    <w:pStyle w:val="29"/>
                    <w:bidi w:val="0"/>
                    <w:rPr>
                      <w:rFonts w:hint="eastAsia" w:eastAsia="宋体"/>
                      <w:color w:val="auto"/>
                      <w:lang w:val="en-US" w:eastAsia="zh-CN"/>
                    </w:rPr>
                  </w:pPr>
                  <w:r>
                    <w:rPr>
                      <w:rFonts w:hint="eastAsia"/>
                      <w:color w:val="auto"/>
                      <w:lang w:val="en-US" w:eastAsia="zh-CN"/>
                    </w:rPr>
                    <w:t>熟啤</w:t>
                  </w:r>
                </w:p>
              </w:tc>
              <w:tc>
                <w:tcPr>
                  <w:tcW w:w="859" w:type="dxa"/>
                  <w:vAlign w:val="center"/>
                </w:tcPr>
                <w:p w14:paraId="058428E0">
                  <w:pPr>
                    <w:pStyle w:val="29"/>
                    <w:bidi w:val="0"/>
                    <w:rPr>
                      <w:rFonts w:hint="default" w:eastAsia="宋体"/>
                      <w:color w:val="auto"/>
                      <w:lang w:val="en-US" w:eastAsia="zh-CN"/>
                    </w:rPr>
                  </w:pPr>
                  <w:r>
                    <w:rPr>
                      <w:rFonts w:hint="eastAsia"/>
                      <w:color w:val="auto"/>
                      <w:lang w:val="en-US" w:eastAsia="zh-CN"/>
                    </w:rPr>
                    <w:t>100</w:t>
                  </w:r>
                </w:p>
              </w:tc>
              <w:tc>
                <w:tcPr>
                  <w:tcW w:w="3026" w:type="dxa"/>
                  <w:vAlign w:val="center"/>
                </w:tcPr>
                <w:p w14:paraId="041AE945">
                  <w:pPr>
                    <w:pStyle w:val="29"/>
                    <w:bidi w:val="0"/>
                    <w:rPr>
                      <w:rFonts w:hint="eastAsia"/>
                      <w:color w:val="auto"/>
                    </w:rPr>
                  </w:pPr>
                  <w:r>
                    <w:rPr>
                      <w:rFonts w:hint="eastAsia"/>
                      <w:color w:val="auto"/>
                    </w:rPr>
                    <w:t>鲜啤生产间隙错峰，每周1个生产日，优先与鲜啤同类灌装规格连续生产</w:t>
                  </w:r>
                </w:p>
              </w:tc>
              <w:tc>
                <w:tcPr>
                  <w:tcW w:w="1568" w:type="dxa"/>
                  <w:vAlign w:val="center"/>
                </w:tcPr>
                <w:p w14:paraId="1B693E51">
                  <w:pPr>
                    <w:pStyle w:val="29"/>
                    <w:bidi w:val="0"/>
                    <w:rPr>
                      <w:rFonts w:hint="eastAsia" w:eastAsia="宋体"/>
                      <w:color w:val="auto"/>
                      <w:lang w:val="en-US" w:eastAsia="zh-CN"/>
                    </w:rPr>
                  </w:pPr>
                  <w:r>
                    <w:rPr>
                      <w:rFonts w:hint="eastAsia"/>
                      <w:color w:val="auto"/>
                      <w:lang w:val="en-US" w:eastAsia="zh-CN"/>
                    </w:rPr>
                    <w:t>4</w:t>
                  </w:r>
                </w:p>
              </w:tc>
              <w:tc>
                <w:tcPr>
                  <w:tcW w:w="1568" w:type="dxa"/>
                  <w:vAlign w:val="center"/>
                </w:tcPr>
                <w:p w14:paraId="466F83BD">
                  <w:pPr>
                    <w:pStyle w:val="29"/>
                    <w:bidi w:val="0"/>
                    <w:rPr>
                      <w:rFonts w:hint="default" w:eastAsia="宋体"/>
                      <w:color w:val="auto"/>
                      <w:lang w:val="en-US" w:eastAsia="zh-CN"/>
                    </w:rPr>
                  </w:pPr>
                  <w:r>
                    <w:rPr>
                      <w:rFonts w:hint="eastAsia"/>
                      <w:color w:val="auto"/>
                      <w:lang w:val="en-US" w:eastAsia="zh-CN"/>
                    </w:rPr>
                    <w:t>25</w:t>
                  </w:r>
                </w:p>
              </w:tc>
            </w:tr>
            <w:tr w14:paraId="5AD9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391A16B4">
                  <w:pPr>
                    <w:pStyle w:val="29"/>
                    <w:bidi w:val="0"/>
                    <w:rPr>
                      <w:rFonts w:hint="eastAsia" w:eastAsia="宋体"/>
                      <w:color w:val="auto"/>
                      <w:lang w:val="en-US" w:eastAsia="zh-CN"/>
                    </w:rPr>
                  </w:pPr>
                  <w:r>
                    <w:rPr>
                      <w:rFonts w:hint="eastAsia"/>
                      <w:color w:val="auto"/>
                      <w:lang w:val="en-US" w:eastAsia="zh-CN"/>
                    </w:rPr>
                    <w:t>饮料</w:t>
                  </w:r>
                </w:p>
              </w:tc>
              <w:tc>
                <w:tcPr>
                  <w:tcW w:w="859" w:type="dxa"/>
                  <w:vAlign w:val="center"/>
                </w:tcPr>
                <w:p w14:paraId="17AFED4C">
                  <w:pPr>
                    <w:pStyle w:val="29"/>
                    <w:bidi w:val="0"/>
                    <w:rPr>
                      <w:rFonts w:hint="default" w:eastAsia="宋体"/>
                      <w:color w:val="auto"/>
                      <w:lang w:val="en-US" w:eastAsia="zh-CN"/>
                    </w:rPr>
                  </w:pPr>
                  <w:r>
                    <w:rPr>
                      <w:rFonts w:hint="eastAsia"/>
                      <w:color w:val="auto"/>
                      <w:lang w:val="en-US" w:eastAsia="zh-CN"/>
                    </w:rPr>
                    <w:t>100</w:t>
                  </w:r>
                </w:p>
              </w:tc>
              <w:tc>
                <w:tcPr>
                  <w:tcW w:w="3026" w:type="dxa"/>
                  <w:vAlign w:val="center"/>
                </w:tcPr>
                <w:p w14:paraId="7DA84D7B">
                  <w:pPr>
                    <w:pStyle w:val="29"/>
                    <w:bidi w:val="0"/>
                    <w:rPr>
                      <w:rFonts w:hint="eastAsia"/>
                      <w:color w:val="auto"/>
                    </w:rPr>
                  </w:pPr>
                  <w:r>
                    <w:rPr>
                      <w:rFonts w:hint="eastAsia"/>
                      <w:color w:val="auto"/>
                    </w:rPr>
                    <w:t>每两周1个生产日，穿插啤酒生产间隙，同包装规格跟啤酒后转产</w:t>
                  </w:r>
                </w:p>
              </w:tc>
              <w:tc>
                <w:tcPr>
                  <w:tcW w:w="1568" w:type="dxa"/>
                  <w:vAlign w:val="center"/>
                </w:tcPr>
                <w:p w14:paraId="6662470F">
                  <w:pPr>
                    <w:pStyle w:val="29"/>
                    <w:bidi w:val="0"/>
                    <w:rPr>
                      <w:rFonts w:hint="eastAsia" w:eastAsia="宋体"/>
                      <w:color w:val="auto"/>
                      <w:lang w:val="en-US" w:eastAsia="zh-CN"/>
                    </w:rPr>
                  </w:pPr>
                  <w:r>
                    <w:rPr>
                      <w:rFonts w:hint="eastAsia"/>
                      <w:color w:val="auto"/>
                      <w:lang w:val="en-US" w:eastAsia="zh-CN"/>
                    </w:rPr>
                    <w:t>5</w:t>
                  </w:r>
                </w:p>
              </w:tc>
              <w:tc>
                <w:tcPr>
                  <w:tcW w:w="1568" w:type="dxa"/>
                  <w:vAlign w:val="center"/>
                </w:tcPr>
                <w:p w14:paraId="6148F30D">
                  <w:pPr>
                    <w:pStyle w:val="29"/>
                    <w:bidi w:val="0"/>
                    <w:rPr>
                      <w:rFonts w:hint="default" w:eastAsia="宋体"/>
                      <w:color w:val="auto"/>
                      <w:lang w:val="en-US" w:eastAsia="zh-CN"/>
                    </w:rPr>
                  </w:pPr>
                  <w:r>
                    <w:rPr>
                      <w:rFonts w:hint="eastAsia"/>
                      <w:color w:val="auto"/>
                      <w:lang w:val="en-US" w:eastAsia="zh-CN"/>
                    </w:rPr>
                    <w:t>20</w:t>
                  </w:r>
                </w:p>
              </w:tc>
            </w:tr>
            <w:tr w14:paraId="5184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4C96DED6">
                  <w:pPr>
                    <w:pStyle w:val="29"/>
                    <w:bidi w:val="0"/>
                    <w:rPr>
                      <w:rFonts w:hint="eastAsia" w:eastAsia="宋体"/>
                      <w:color w:val="auto"/>
                      <w:lang w:val="en-US" w:eastAsia="zh-CN"/>
                    </w:rPr>
                  </w:pPr>
                  <w:r>
                    <w:rPr>
                      <w:rFonts w:hint="eastAsia"/>
                      <w:color w:val="auto"/>
                      <w:lang w:val="en-US" w:eastAsia="zh-CN"/>
                    </w:rPr>
                    <w:t>配制酒</w:t>
                  </w:r>
                </w:p>
              </w:tc>
              <w:tc>
                <w:tcPr>
                  <w:tcW w:w="859" w:type="dxa"/>
                  <w:vAlign w:val="center"/>
                </w:tcPr>
                <w:p w14:paraId="65BBB101">
                  <w:pPr>
                    <w:pStyle w:val="29"/>
                    <w:bidi w:val="0"/>
                    <w:rPr>
                      <w:rFonts w:hint="default" w:eastAsia="宋体"/>
                      <w:color w:val="auto"/>
                      <w:lang w:val="en-US" w:eastAsia="zh-CN"/>
                    </w:rPr>
                  </w:pPr>
                  <w:r>
                    <w:rPr>
                      <w:rFonts w:hint="eastAsia"/>
                      <w:color w:val="auto"/>
                      <w:lang w:val="en-US" w:eastAsia="zh-CN"/>
                    </w:rPr>
                    <w:t>100</w:t>
                  </w:r>
                </w:p>
              </w:tc>
              <w:tc>
                <w:tcPr>
                  <w:tcW w:w="3026" w:type="dxa"/>
                  <w:vAlign w:val="center"/>
                </w:tcPr>
                <w:p w14:paraId="535DE46C">
                  <w:pPr>
                    <w:pStyle w:val="29"/>
                    <w:bidi w:val="0"/>
                    <w:rPr>
                      <w:rFonts w:hint="eastAsia"/>
                      <w:color w:val="auto"/>
                    </w:rPr>
                  </w:pPr>
                  <w:r>
                    <w:rPr>
                      <w:rFonts w:hint="eastAsia"/>
                      <w:color w:val="auto"/>
                    </w:rPr>
                    <w:t>每两周1个生产日，500ml易拉罐装跟饮料转产，玻璃瓶装灵活插班，生产前严格清洗</w:t>
                  </w:r>
                </w:p>
              </w:tc>
              <w:tc>
                <w:tcPr>
                  <w:tcW w:w="1568" w:type="dxa"/>
                  <w:vAlign w:val="center"/>
                </w:tcPr>
                <w:p w14:paraId="5D87E044">
                  <w:pPr>
                    <w:pStyle w:val="29"/>
                    <w:bidi w:val="0"/>
                    <w:rPr>
                      <w:rFonts w:hint="eastAsia" w:eastAsia="宋体"/>
                      <w:color w:val="auto"/>
                      <w:lang w:val="en-US" w:eastAsia="zh-CN"/>
                    </w:rPr>
                  </w:pPr>
                  <w:r>
                    <w:rPr>
                      <w:rFonts w:hint="eastAsia"/>
                      <w:color w:val="auto"/>
                      <w:lang w:val="en-US" w:eastAsia="zh-CN"/>
                    </w:rPr>
                    <w:t>5</w:t>
                  </w:r>
                </w:p>
              </w:tc>
              <w:tc>
                <w:tcPr>
                  <w:tcW w:w="1568" w:type="dxa"/>
                  <w:vAlign w:val="center"/>
                </w:tcPr>
                <w:p w14:paraId="4C1E71AF">
                  <w:pPr>
                    <w:pStyle w:val="29"/>
                    <w:bidi w:val="0"/>
                    <w:rPr>
                      <w:rFonts w:hint="default" w:eastAsia="宋体"/>
                      <w:color w:val="auto"/>
                      <w:lang w:val="en-US" w:eastAsia="zh-CN"/>
                    </w:rPr>
                  </w:pPr>
                  <w:r>
                    <w:rPr>
                      <w:rFonts w:hint="eastAsia"/>
                      <w:color w:val="auto"/>
                      <w:lang w:val="en-US" w:eastAsia="zh-CN"/>
                    </w:rPr>
                    <w:t>20</w:t>
                  </w:r>
                </w:p>
              </w:tc>
            </w:tr>
            <w:tr w14:paraId="4AD7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vAlign w:val="center"/>
                </w:tcPr>
                <w:p w14:paraId="4DF3C1F7">
                  <w:pPr>
                    <w:pStyle w:val="29"/>
                    <w:bidi w:val="0"/>
                    <w:rPr>
                      <w:rFonts w:hint="eastAsia" w:eastAsia="宋体"/>
                      <w:color w:val="auto"/>
                      <w:lang w:val="en-US" w:eastAsia="zh-CN"/>
                    </w:rPr>
                  </w:pPr>
                  <w:r>
                    <w:rPr>
                      <w:rFonts w:hint="eastAsia"/>
                      <w:color w:val="auto"/>
                      <w:lang w:val="en-US" w:eastAsia="zh-CN"/>
                    </w:rPr>
                    <w:t>发酵酒</w:t>
                  </w:r>
                </w:p>
              </w:tc>
              <w:tc>
                <w:tcPr>
                  <w:tcW w:w="859" w:type="dxa"/>
                  <w:vAlign w:val="center"/>
                </w:tcPr>
                <w:p w14:paraId="4B6D8144">
                  <w:pPr>
                    <w:pStyle w:val="29"/>
                    <w:bidi w:val="0"/>
                    <w:rPr>
                      <w:rFonts w:hint="default" w:eastAsia="宋体"/>
                      <w:color w:val="auto"/>
                      <w:lang w:val="en-US" w:eastAsia="zh-CN"/>
                    </w:rPr>
                  </w:pPr>
                  <w:r>
                    <w:rPr>
                      <w:rFonts w:hint="eastAsia"/>
                      <w:color w:val="auto"/>
                      <w:lang w:val="en-US" w:eastAsia="zh-CN"/>
                    </w:rPr>
                    <w:t>200</w:t>
                  </w:r>
                </w:p>
              </w:tc>
              <w:tc>
                <w:tcPr>
                  <w:tcW w:w="3026" w:type="dxa"/>
                  <w:vAlign w:val="center"/>
                </w:tcPr>
                <w:p w14:paraId="5E990479">
                  <w:pPr>
                    <w:pStyle w:val="29"/>
                    <w:bidi w:val="0"/>
                    <w:rPr>
                      <w:rFonts w:hint="eastAsia"/>
                      <w:color w:val="auto"/>
                    </w:rPr>
                  </w:pPr>
                  <w:r>
                    <w:rPr>
                      <w:rFonts w:hint="eastAsia"/>
                      <w:color w:val="auto"/>
                    </w:rPr>
                    <w:t>每周1个生产日，啤酒生产后、换产饮料前集中生产</w:t>
                  </w:r>
                </w:p>
              </w:tc>
              <w:tc>
                <w:tcPr>
                  <w:tcW w:w="1568" w:type="dxa"/>
                  <w:vAlign w:val="center"/>
                </w:tcPr>
                <w:p w14:paraId="66F785D4">
                  <w:pPr>
                    <w:pStyle w:val="29"/>
                    <w:bidi w:val="0"/>
                    <w:rPr>
                      <w:rFonts w:hint="eastAsia" w:eastAsia="宋体"/>
                      <w:color w:val="auto"/>
                      <w:lang w:val="en-US" w:eastAsia="zh-CN"/>
                    </w:rPr>
                  </w:pPr>
                  <w:r>
                    <w:rPr>
                      <w:rFonts w:hint="eastAsia"/>
                      <w:color w:val="auto"/>
                      <w:lang w:val="en-US" w:eastAsia="zh-CN"/>
                    </w:rPr>
                    <w:t>5</w:t>
                  </w:r>
                </w:p>
              </w:tc>
              <w:tc>
                <w:tcPr>
                  <w:tcW w:w="1568" w:type="dxa"/>
                  <w:vAlign w:val="center"/>
                </w:tcPr>
                <w:p w14:paraId="352040DB">
                  <w:pPr>
                    <w:pStyle w:val="29"/>
                    <w:bidi w:val="0"/>
                    <w:rPr>
                      <w:rFonts w:hint="default" w:eastAsia="宋体"/>
                      <w:color w:val="auto"/>
                      <w:lang w:val="en-US" w:eastAsia="zh-CN"/>
                    </w:rPr>
                  </w:pPr>
                  <w:r>
                    <w:rPr>
                      <w:rFonts w:hint="eastAsia"/>
                      <w:color w:val="auto"/>
                      <w:lang w:val="en-US" w:eastAsia="zh-CN"/>
                    </w:rPr>
                    <w:t>40</w:t>
                  </w:r>
                </w:p>
              </w:tc>
            </w:tr>
          </w:tbl>
          <w:p w14:paraId="0780BD7A">
            <w:pPr>
              <w:bidi w:val="0"/>
              <w:rPr>
                <w:rFonts w:hint="default"/>
                <w:color w:val="auto"/>
                <w:lang w:val="en-US" w:eastAsia="zh-CN"/>
              </w:rPr>
            </w:pPr>
            <w:r>
              <w:rPr>
                <w:rFonts w:hint="eastAsia"/>
                <w:color w:val="auto"/>
                <w:lang w:val="en-US" w:eastAsia="zh-CN"/>
              </w:rPr>
              <w:t>根据建设单位提供资料，本项目碱液清洗—热水纯水冲洗—酸液（过氧乙酸）冲洗—热水纯水冲洗，每批次清洗用水量如下表所示：</w:t>
            </w:r>
          </w:p>
          <w:p w14:paraId="692AACC7">
            <w:pPr>
              <w:pStyle w:val="30"/>
              <w:bidi w:val="0"/>
              <w:rPr>
                <w:rFonts w:hint="default"/>
                <w:color w:val="auto"/>
                <w:lang w:val="en-US" w:eastAsia="zh-CN"/>
              </w:rPr>
            </w:pPr>
            <w:r>
              <w:rPr>
                <w:rFonts w:hint="eastAsia"/>
                <w:color w:val="auto"/>
                <w:lang w:val="en-US" w:eastAsia="zh-CN"/>
              </w:rPr>
              <w:t>表4-13 设备CIP清洗用水情况一览表</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851"/>
              <w:gridCol w:w="1279"/>
              <w:gridCol w:w="1033"/>
              <w:gridCol w:w="1171"/>
              <w:gridCol w:w="1210"/>
              <w:gridCol w:w="1542"/>
            </w:tblGrid>
            <w:tr w14:paraId="06F4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 w:type="pct"/>
                  <w:vAlign w:val="center"/>
                </w:tcPr>
                <w:p w14:paraId="54BEBF8C">
                  <w:pPr>
                    <w:pStyle w:val="29"/>
                    <w:bidi w:val="0"/>
                    <w:rPr>
                      <w:rFonts w:hint="default" w:eastAsia="宋体"/>
                      <w:color w:val="auto"/>
                      <w:lang w:val="en-US" w:eastAsia="zh-CN"/>
                    </w:rPr>
                  </w:pPr>
                  <w:r>
                    <w:rPr>
                      <w:rFonts w:hint="eastAsia"/>
                      <w:color w:val="auto"/>
                      <w:lang w:val="en-US" w:eastAsia="zh-CN"/>
                    </w:rPr>
                    <w:t>产品类别</w:t>
                  </w:r>
                </w:p>
              </w:tc>
              <w:tc>
                <w:tcPr>
                  <w:tcW w:w="543" w:type="pct"/>
                  <w:vAlign w:val="center"/>
                </w:tcPr>
                <w:p w14:paraId="52428128">
                  <w:pPr>
                    <w:pStyle w:val="29"/>
                    <w:bidi w:val="0"/>
                    <w:rPr>
                      <w:rFonts w:hint="default" w:eastAsia="宋体"/>
                      <w:color w:val="auto"/>
                      <w:lang w:val="en-US" w:eastAsia="zh-CN"/>
                    </w:rPr>
                  </w:pPr>
                  <w:r>
                    <w:rPr>
                      <w:rFonts w:hint="eastAsia" w:eastAsia="宋体"/>
                      <w:color w:val="auto"/>
                      <w:lang w:val="en-US" w:eastAsia="zh-CN"/>
                    </w:rPr>
                    <w:t>碱液清洗</w:t>
                  </w:r>
                  <w:r>
                    <w:rPr>
                      <w:rFonts w:hint="eastAsia"/>
                      <w:color w:val="auto"/>
                      <w:lang w:val="en-US" w:eastAsia="zh-CN"/>
                    </w:rPr>
                    <w:t>用水量（m</w:t>
                  </w:r>
                  <w:r>
                    <w:rPr>
                      <w:rFonts w:hint="eastAsia"/>
                      <w:color w:val="auto"/>
                      <w:vertAlign w:val="superscript"/>
                      <w:lang w:val="en-US" w:eastAsia="zh-CN"/>
                    </w:rPr>
                    <w:t>3</w:t>
                  </w:r>
                  <w:r>
                    <w:rPr>
                      <w:rFonts w:hint="eastAsia"/>
                      <w:color w:val="auto"/>
                      <w:lang w:val="en-US" w:eastAsia="zh-CN"/>
                    </w:rPr>
                    <w:t>/次）</w:t>
                  </w:r>
                </w:p>
              </w:tc>
              <w:tc>
                <w:tcPr>
                  <w:tcW w:w="816" w:type="pct"/>
                  <w:vAlign w:val="center"/>
                </w:tcPr>
                <w:p w14:paraId="6020E4DD">
                  <w:pPr>
                    <w:pStyle w:val="29"/>
                    <w:bidi w:val="0"/>
                    <w:rPr>
                      <w:rFonts w:hint="default" w:eastAsia="宋体"/>
                      <w:color w:val="auto"/>
                      <w:lang w:val="en-US" w:eastAsia="zh-CN"/>
                    </w:rPr>
                  </w:pPr>
                  <w:r>
                    <w:rPr>
                      <w:rFonts w:hint="default" w:eastAsia="宋体"/>
                      <w:color w:val="auto"/>
                      <w:lang w:val="en-US" w:eastAsia="zh-CN"/>
                    </w:rPr>
                    <w:t>热水纯水</w:t>
                  </w:r>
                  <w:r>
                    <w:rPr>
                      <w:rFonts w:hint="eastAsia"/>
                      <w:color w:val="auto"/>
                      <w:lang w:val="en-US" w:eastAsia="zh-CN"/>
                    </w:rPr>
                    <w:t>首次</w:t>
                  </w:r>
                  <w:r>
                    <w:rPr>
                      <w:rFonts w:hint="default" w:eastAsia="宋体"/>
                      <w:color w:val="auto"/>
                      <w:lang w:val="en-US" w:eastAsia="zh-CN"/>
                    </w:rPr>
                    <w:t>冲洗</w:t>
                  </w:r>
                  <w:r>
                    <w:rPr>
                      <w:rFonts w:hint="eastAsia"/>
                      <w:color w:val="auto"/>
                      <w:lang w:val="en-US" w:eastAsia="zh-CN"/>
                    </w:rPr>
                    <w:t>用水量（m</w:t>
                  </w:r>
                  <w:r>
                    <w:rPr>
                      <w:rFonts w:hint="eastAsia"/>
                      <w:color w:val="auto"/>
                      <w:vertAlign w:val="superscript"/>
                      <w:lang w:val="en-US" w:eastAsia="zh-CN"/>
                    </w:rPr>
                    <w:t>3</w:t>
                  </w:r>
                  <w:r>
                    <w:rPr>
                      <w:rFonts w:hint="eastAsia"/>
                      <w:color w:val="auto"/>
                      <w:lang w:val="en-US" w:eastAsia="zh-CN"/>
                    </w:rPr>
                    <w:t>/次）</w:t>
                  </w:r>
                </w:p>
              </w:tc>
              <w:tc>
                <w:tcPr>
                  <w:tcW w:w="659" w:type="pct"/>
                  <w:vAlign w:val="center"/>
                </w:tcPr>
                <w:p w14:paraId="2E53E0BA">
                  <w:pPr>
                    <w:pStyle w:val="29"/>
                    <w:bidi w:val="0"/>
                    <w:rPr>
                      <w:rFonts w:hint="default" w:eastAsia="宋体"/>
                      <w:color w:val="auto"/>
                      <w:lang w:val="en-US" w:eastAsia="zh-CN"/>
                    </w:rPr>
                  </w:pPr>
                  <w:r>
                    <w:rPr>
                      <w:rFonts w:hint="default" w:eastAsia="宋体"/>
                      <w:color w:val="auto"/>
                      <w:lang w:val="en-US" w:eastAsia="zh-CN"/>
                    </w:rPr>
                    <w:t>酸液（过氧乙酸）冲洗</w:t>
                  </w:r>
                  <w:r>
                    <w:rPr>
                      <w:rFonts w:hint="eastAsia"/>
                      <w:color w:val="auto"/>
                      <w:lang w:val="en-US" w:eastAsia="zh-CN"/>
                    </w:rPr>
                    <w:t>用水量（m</w:t>
                  </w:r>
                  <w:r>
                    <w:rPr>
                      <w:rFonts w:hint="eastAsia"/>
                      <w:color w:val="auto"/>
                      <w:vertAlign w:val="superscript"/>
                      <w:lang w:val="en-US" w:eastAsia="zh-CN"/>
                    </w:rPr>
                    <w:t>3</w:t>
                  </w:r>
                  <w:r>
                    <w:rPr>
                      <w:rFonts w:hint="eastAsia"/>
                      <w:color w:val="auto"/>
                      <w:lang w:val="en-US" w:eastAsia="zh-CN"/>
                    </w:rPr>
                    <w:t>/次）</w:t>
                  </w:r>
                </w:p>
              </w:tc>
              <w:tc>
                <w:tcPr>
                  <w:tcW w:w="746" w:type="pct"/>
                  <w:vAlign w:val="center"/>
                </w:tcPr>
                <w:p w14:paraId="7361D55D">
                  <w:pPr>
                    <w:pStyle w:val="29"/>
                    <w:bidi w:val="0"/>
                    <w:rPr>
                      <w:rFonts w:hint="default" w:eastAsia="宋体"/>
                      <w:color w:val="auto"/>
                      <w:lang w:val="en-US" w:eastAsia="zh-CN"/>
                    </w:rPr>
                  </w:pPr>
                  <w:r>
                    <w:rPr>
                      <w:rFonts w:hint="default" w:eastAsia="宋体"/>
                      <w:color w:val="auto"/>
                      <w:lang w:val="en-US" w:eastAsia="zh-CN"/>
                    </w:rPr>
                    <w:t>热水纯水</w:t>
                  </w:r>
                  <w:r>
                    <w:rPr>
                      <w:rFonts w:hint="eastAsia"/>
                      <w:color w:val="auto"/>
                      <w:lang w:val="en-US" w:eastAsia="zh-CN"/>
                    </w:rPr>
                    <w:t>二次</w:t>
                  </w:r>
                  <w:r>
                    <w:rPr>
                      <w:rFonts w:hint="default" w:eastAsia="宋体"/>
                      <w:color w:val="auto"/>
                      <w:lang w:val="en-US" w:eastAsia="zh-CN"/>
                    </w:rPr>
                    <w:t>冲洗</w:t>
                  </w:r>
                  <w:r>
                    <w:rPr>
                      <w:rFonts w:hint="eastAsia"/>
                      <w:color w:val="auto"/>
                      <w:lang w:val="en-US" w:eastAsia="zh-CN"/>
                    </w:rPr>
                    <w:t>用水量（m</w:t>
                  </w:r>
                  <w:r>
                    <w:rPr>
                      <w:rFonts w:hint="eastAsia"/>
                      <w:color w:val="auto"/>
                      <w:vertAlign w:val="superscript"/>
                      <w:lang w:val="en-US" w:eastAsia="zh-CN"/>
                    </w:rPr>
                    <w:t>3</w:t>
                  </w:r>
                  <w:r>
                    <w:rPr>
                      <w:rFonts w:hint="eastAsia"/>
                      <w:color w:val="auto"/>
                      <w:lang w:val="en-US" w:eastAsia="zh-CN"/>
                    </w:rPr>
                    <w:t>/次）</w:t>
                  </w:r>
                </w:p>
              </w:tc>
              <w:tc>
                <w:tcPr>
                  <w:tcW w:w="772" w:type="pct"/>
                  <w:vAlign w:val="center"/>
                </w:tcPr>
                <w:p w14:paraId="76C56E85">
                  <w:pPr>
                    <w:pStyle w:val="29"/>
                    <w:bidi w:val="0"/>
                    <w:rPr>
                      <w:rFonts w:hint="default" w:eastAsia="宋体"/>
                      <w:color w:val="auto"/>
                      <w:lang w:val="en-US" w:eastAsia="zh-CN"/>
                    </w:rPr>
                  </w:pPr>
                  <w:r>
                    <w:rPr>
                      <w:rFonts w:hint="eastAsia"/>
                      <w:color w:val="auto"/>
                      <w:lang w:val="en-US" w:eastAsia="zh-CN"/>
                    </w:rPr>
                    <w:t>年用水量（m</w:t>
                  </w:r>
                  <w:r>
                    <w:rPr>
                      <w:rFonts w:hint="eastAsia"/>
                      <w:color w:val="auto"/>
                      <w:vertAlign w:val="superscript"/>
                      <w:lang w:val="en-US" w:eastAsia="zh-CN"/>
                    </w:rPr>
                    <w:t>3</w:t>
                  </w:r>
                  <w:r>
                    <w:rPr>
                      <w:rFonts w:hint="eastAsia"/>
                      <w:color w:val="auto"/>
                      <w:lang w:val="en-US" w:eastAsia="zh-CN"/>
                    </w:rPr>
                    <w:t>/a）</w:t>
                  </w:r>
                </w:p>
              </w:tc>
              <w:tc>
                <w:tcPr>
                  <w:tcW w:w="984" w:type="pct"/>
                  <w:vAlign w:val="center"/>
                </w:tcPr>
                <w:p w14:paraId="0A4FD1A2">
                  <w:pPr>
                    <w:pStyle w:val="29"/>
                    <w:bidi w:val="0"/>
                    <w:rPr>
                      <w:rFonts w:hint="default"/>
                      <w:color w:val="auto"/>
                      <w:lang w:val="en-US" w:eastAsia="zh-CN"/>
                    </w:rPr>
                  </w:pPr>
                  <w:r>
                    <w:rPr>
                      <w:rFonts w:hint="eastAsia"/>
                      <w:color w:val="auto"/>
                      <w:lang w:val="en-US" w:eastAsia="zh-CN"/>
                    </w:rPr>
                    <w:t>日用水量（m</w:t>
                  </w:r>
                  <w:r>
                    <w:rPr>
                      <w:rFonts w:hint="eastAsia"/>
                      <w:color w:val="auto"/>
                      <w:vertAlign w:val="superscript"/>
                      <w:lang w:val="en-US" w:eastAsia="zh-CN"/>
                    </w:rPr>
                    <w:t>3</w:t>
                  </w:r>
                  <w:r>
                    <w:rPr>
                      <w:rFonts w:hint="eastAsia"/>
                      <w:color w:val="auto"/>
                      <w:lang w:val="en-US" w:eastAsia="zh-CN"/>
                    </w:rPr>
                    <w:t>/d）</w:t>
                  </w:r>
                </w:p>
              </w:tc>
            </w:tr>
            <w:tr w14:paraId="717C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 w:type="pct"/>
                  <w:vAlign w:val="center"/>
                </w:tcPr>
                <w:p w14:paraId="446CCF30">
                  <w:pPr>
                    <w:pStyle w:val="29"/>
                    <w:bidi w:val="0"/>
                    <w:rPr>
                      <w:rFonts w:hint="eastAsia" w:eastAsia="宋体"/>
                      <w:color w:val="auto"/>
                      <w:lang w:val="en-US" w:eastAsia="zh-CN"/>
                    </w:rPr>
                  </w:pPr>
                  <w:r>
                    <w:rPr>
                      <w:rFonts w:hint="eastAsia"/>
                      <w:color w:val="auto"/>
                      <w:lang w:val="en-US" w:eastAsia="zh-CN"/>
                    </w:rPr>
                    <w:t>鲜啤</w:t>
                  </w:r>
                </w:p>
              </w:tc>
              <w:tc>
                <w:tcPr>
                  <w:tcW w:w="543" w:type="pct"/>
                  <w:vAlign w:val="center"/>
                </w:tcPr>
                <w:p w14:paraId="091DCCC2">
                  <w:pPr>
                    <w:pStyle w:val="29"/>
                    <w:bidi w:val="0"/>
                    <w:rPr>
                      <w:rFonts w:hint="default" w:eastAsia="宋体"/>
                      <w:color w:val="auto"/>
                      <w:lang w:val="en-US" w:eastAsia="zh-CN"/>
                    </w:rPr>
                  </w:pPr>
                  <w:r>
                    <w:rPr>
                      <w:rFonts w:hint="eastAsia"/>
                      <w:color w:val="auto"/>
                      <w:lang w:val="en-US" w:eastAsia="zh-CN"/>
                    </w:rPr>
                    <w:t>2</w:t>
                  </w:r>
                </w:p>
              </w:tc>
              <w:tc>
                <w:tcPr>
                  <w:tcW w:w="816" w:type="pct"/>
                  <w:vAlign w:val="center"/>
                </w:tcPr>
                <w:p w14:paraId="0A2594A0">
                  <w:pPr>
                    <w:pStyle w:val="29"/>
                    <w:bidi w:val="0"/>
                    <w:rPr>
                      <w:rFonts w:hint="default" w:eastAsia="宋体"/>
                      <w:color w:val="auto"/>
                      <w:lang w:val="en-US" w:eastAsia="zh-CN"/>
                    </w:rPr>
                  </w:pPr>
                  <w:r>
                    <w:rPr>
                      <w:rFonts w:hint="eastAsia"/>
                      <w:color w:val="auto"/>
                      <w:lang w:val="en-US" w:eastAsia="zh-CN"/>
                    </w:rPr>
                    <w:t>1.2</w:t>
                  </w:r>
                </w:p>
              </w:tc>
              <w:tc>
                <w:tcPr>
                  <w:tcW w:w="659" w:type="pct"/>
                  <w:vAlign w:val="center"/>
                </w:tcPr>
                <w:p w14:paraId="53800D68">
                  <w:pPr>
                    <w:pStyle w:val="29"/>
                    <w:bidi w:val="0"/>
                    <w:rPr>
                      <w:rFonts w:hint="default" w:eastAsia="宋体"/>
                      <w:color w:val="auto"/>
                      <w:lang w:val="en-US" w:eastAsia="zh-CN"/>
                    </w:rPr>
                  </w:pPr>
                  <w:r>
                    <w:rPr>
                      <w:rFonts w:hint="eastAsia"/>
                      <w:color w:val="auto"/>
                      <w:lang w:val="en-US" w:eastAsia="zh-CN"/>
                    </w:rPr>
                    <w:t>1.75</w:t>
                  </w:r>
                </w:p>
              </w:tc>
              <w:tc>
                <w:tcPr>
                  <w:tcW w:w="746" w:type="pct"/>
                  <w:vAlign w:val="center"/>
                </w:tcPr>
                <w:p w14:paraId="0540E735">
                  <w:pPr>
                    <w:pStyle w:val="29"/>
                    <w:bidi w:val="0"/>
                    <w:rPr>
                      <w:rFonts w:hint="default" w:eastAsia="宋体"/>
                      <w:color w:val="auto"/>
                      <w:lang w:val="en-US" w:eastAsia="zh-CN"/>
                    </w:rPr>
                  </w:pPr>
                  <w:r>
                    <w:rPr>
                      <w:rFonts w:hint="eastAsia"/>
                      <w:color w:val="auto"/>
                      <w:lang w:val="en-US" w:eastAsia="zh-CN"/>
                    </w:rPr>
                    <w:t>1.2</w:t>
                  </w:r>
                </w:p>
              </w:tc>
              <w:tc>
                <w:tcPr>
                  <w:tcW w:w="772" w:type="pct"/>
                  <w:shd w:val="clear" w:color="auto" w:fill="auto"/>
                  <w:vAlign w:val="center"/>
                </w:tcPr>
                <w:p w14:paraId="64ADD676">
                  <w:pPr>
                    <w:pStyle w:val="29"/>
                    <w:bidi w:val="0"/>
                    <w:rPr>
                      <w:rFonts w:hint="eastAsia"/>
                      <w:color w:val="auto"/>
                      <w:lang w:val="en-US" w:eastAsia="zh-CN"/>
                    </w:rPr>
                  </w:pPr>
                  <w:r>
                    <w:rPr>
                      <w:rFonts w:hint="eastAsia"/>
                      <w:color w:val="auto"/>
                      <w:lang w:val="en-US" w:eastAsia="zh-CN"/>
                    </w:rPr>
                    <w:t>615</w:t>
                  </w:r>
                </w:p>
              </w:tc>
              <w:tc>
                <w:tcPr>
                  <w:tcW w:w="984" w:type="pct"/>
                  <w:shd w:val="clear" w:color="auto" w:fill="auto"/>
                  <w:vAlign w:val="center"/>
                </w:tcPr>
                <w:p w14:paraId="77A7671C">
                  <w:pPr>
                    <w:pStyle w:val="29"/>
                    <w:bidi w:val="0"/>
                    <w:ind w:firstLine="0" w:firstLineChars="0"/>
                    <w:rPr>
                      <w:rFonts w:hint="default"/>
                      <w:color w:val="auto"/>
                      <w:lang w:val="en-US" w:eastAsia="zh-CN"/>
                    </w:rPr>
                  </w:pPr>
                  <w:r>
                    <w:rPr>
                      <w:rFonts w:hint="eastAsia"/>
                      <w:color w:val="auto"/>
                      <w:lang w:val="en-US" w:eastAsia="zh-CN"/>
                    </w:rPr>
                    <w:t>4.75</w:t>
                  </w:r>
                </w:p>
              </w:tc>
            </w:tr>
            <w:tr w14:paraId="16495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 w:type="pct"/>
                  <w:vAlign w:val="center"/>
                </w:tcPr>
                <w:p w14:paraId="35CA578E">
                  <w:pPr>
                    <w:pStyle w:val="29"/>
                    <w:bidi w:val="0"/>
                    <w:rPr>
                      <w:rFonts w:hint="eastAsia" w:eastAsia="宋体"/>
                      <w:color w:val="auto"/>
                      <w:lang w:val="en-US" w:eastAsia="zh-CN"/>
                    </w:rPr>
                  </w:pPr>
                  <w:r>
                    <w:rPr>
                      <w:rFonts w:hint="eastAsia"/>
                      <w:color w:val="auto"/>
                      <w:lang w:val="en-US" w:eastAsia="zh-CN"/>
                    </w:rPr>
                    <w:t>熟啤</w:t>
                  </w:r>
                </w:p>
              </w:tc>
              <w:tc>
                <w:tcPr>
                  <w:tcW w:w="543" w:type="pct"/>
                  <w:vAlign w:val="center"/>
                </w:tcPr>
                <w:p w14:paraId="274F3CA9">
                  <w:pPr>
                    <w:pStyle w:val="29"/>
                    <w:bidi w:val="0"/>
                    <w:rPr>
                      <w:rFonts w:hint="default" w:eastAsia="宋体"/>
                      <w:color w:val="auto"/>
                      <w:lang w:val="en-US" w:eastAsia="zh-CN"/>
                    </w:rPr>
                  </w:pPr>
                  <w:r>
                    <w:rPr>
                      <w:rFonts w:hint="eastAsia"/>
                      <w:color w:val="auto"/>
                      <w:lang w:val="en-US" w:eastAsia="zh-CN"/>
                    </w:rPr>
                    <w:t>1.8</w:t>
                  </w:r>
                </w:p>
              </w:tc>
              <w:tc>
                <w:tcPr>
                  <w:tcW w:w="816" w:type="pct"/>
                  <w:vAlign w:val="center"/>
                </w:tcPr>
                <w:p w14:paraId="54565B06">
                  <w:pPr>
                    <w:pStyle w:val="29"/>
                    <w:bidi w:val="0"/>
                    <w:rPr>
                      <w:rFonts w:hint="default" w:eastAsia="宋体"/>
                      <w:color w:val="auto"/>
                      <w:lang w:val="en-US" w:eastAsia="zh-CN"/>
                    </w:rPr>
                  </w:pPr>
                  <w:r>
                    <w:rPr>
                      <w:rFonts w:hint="eastAsia"/>
                      <w:color w:val="auto"/>
                      <w:lang w:val="en-US" w:eastAsia="zh-CN"/>
                    </w:rPr>
                    <w:t>1.2</w:t>
                  </w:r>
                </w:p>
              </w:tc>
              <w:tc>
                <w:tcPr>
                  <w:tcW w:w="659" w:type="pct"/>
                  <w:vAlign w:val="center"/>
                </w:tcPr>
                <w:p w14:paraId="6F7F9446">
                  <w:pPr>
                    <w:pStyle w:val="29"/>
                    <w:bidi w:val="0"/>
                    <w:rPr>
                      <w:rFonts w:hint="default" w:eastAsia="宋体"/>
                      <w:color w:val="auto"/>
                      <w:lang w:val="en-US" w:eastAsia="zh-CN"/>
                    </w:rPr>
                  </w:pPr>
                  <w:r>
                    <w:rPr>
                      <w:rFonts w:hint="eastAsia"/>
                      <w:color w:val="auto"/>
                      <w:lang w:val="en-US" w:eastAsia="zh-CN"/>
                    </w:rPr>
                    <w:t>1.5</w:t>
                  </w:r>
                </w:p>
              </w:tc>
              <w:tc>
                <w:tcPr>
                  <w:tcW w:w="746" w:type="pct"/>
                  <w:vAlign w:val="center"/>
                </w:tcPr>
                <w:p w14:paraId="446E3561">
                  <w:pPr>
                    <w:pStyle w:val="29"/>
                    <w:bidi w:val="0"/>
                    <w:rPr>
                      <w:rFonts w:hint="default" w:eastAsia="宋体"/>
                      <w:color w:val="auto"/>
                      <w:lang w:val="en-US" w:eastAsia="zh-CN"/>
                    </w:rPr>
                  </w:pPr>
                  <w:r>
                    <w:rPr>
                      <w:rFonts w:hint="eastAsia"/>
                      <w:color w:val="auto"/>
                      <w:lang w:val="en-US" w:eastAsia="zh-CN"/>
                    </w:rPr>
                    <w:t>1.2</w:t>
                  </w:r>
                </w:p>
              </w:tc>
              <w:tc>
                <w:tcPr>
                  <w:tcW w:w="772" w:type="pct"/>
                  <w:shd w:val="clear" w:color="auto" w:fill="auto"/>
                  <w:vAlign w:val="center"/>
                </w:tcPr>
                <w:p w14:paraId="5DADDDF9">
                  <w:pPr>
                    <w:pStyle w:val="29"/>
                    <w:bidi w:val="0"/>
                    <w:rPr>
                      <w:rFonts w:hint="eastAsia"/>
                      <w:color w:val="auto"/>
                      <w:lang w:val="en-US" w:eastAsia="zh-CN"/>
                    </w:rPr>
                  </w:pPr>
                  <w:r>
                    <w:rPr>
                      <w:rFonts w:hint="eastAsia"/>
                      <w:color w:val="auto"/>
                      <w:lang w:val="en-US" w:eastAsia="zh-CN"/>
                    </w:rPr>
                    <w:t>142.5</w:t>
                  </w:r>
                </w:p>
              </w:tc>
              <w:tc>
                <w:tcPr>
                  <w:tcW w:w="984" w:type="pct"/>
                  <w:shd w:val="clear" w:color="auto" w:fill="auto"/>
                  <w:vAlign w:val="center"/>
                </w:tcPr>
                <w:p w14:paraId="50CE4EE3">
                  <w:pPr>
                    <w:pStyle w:val="29"/>
                    <w:bidi w:val="0"/>
                    <w:ind w:firstLine="0" w:firstLineChars="0"/>
                    <w:rPr>
                      <w:rFonts w:hint="default"/>
                      <w:color w:val="auto"/>
                      <w:lang w:val="en-US" w:eastAsia="zh-CN"/>
                    </w:rPr>
                  </w:pPr>
                  <w:r>
                    <w:rPr>
                      <w:rFonts w:hint="eastAsia"/>
                      <w:color w:val="auto"/>
                      <w:lang w:val="en-US" w:eastAsia="zh-CN"/>
                    </w:rPr>
                    <w:t>1</w:t>
                  </w:r>
                </w:p>
              </w:tc>
            </w:tr>
            <w:tr w14:paraId="622A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77" w:type="pct"/>
                  <w:vAlign w:val="center"/>
                </w:tcPr>
                <w:p w14:paraId="1C85D37F">
                  <w:pPr>
                    <w:pStyle w:val="29"/>
                    <w:bidi w:val="0"/>
                    <w:rPr>
                      <w:rFonts w:hint="eastAsia" w:eastAsia="宋体"/>
                      <w:color w:val="auto"/>
                      <w:lang w:val="en-US" w:eastAsia="zh-CN"/>
                    </w:rPr>
                  </w:pPr>
                  <w:r>
                    <w:rPr>
                      <w:rFonts w:hint="eastAsia"/>
                      <w:color w:val="auto"/>
                      <w:lang w:val="en-US" w:eastAsia="zh-CN"/>
                    </w:rPr>
                    <w:t>饮料</w:t>
                  </w:r>
                </w:p>
              </w:tc>
              <w:tc>
                <w:tcPr>
                  <w:tcW w:w="543" w:type="pct"/>
                  <w:vAlign w:val="center"/>
                </w:tcPr>
                <w:p w14:paraId="3F1B8CD4">
                  <w:pPr>
                    <w:pStyle w:val="29"/>
                    <w:bidi w:val="0"/>
                    <w:rPr>
                      <w:rFonts w:hint="default" w:eastAsia="宋体"/>
                      <w:color w:val="auto"/>
                      <w:lang w:val="en-US" w:eastAsia="zh-CN"/>
                    </w:rPr>
                  </w:pPr>
                  <w:r>
                    <w:rPr>
                      <w:rFonts w:hint="eastAsia"/>
                      <w:color w:val="auto"/>
                      <w:lang w:val="en-US" w:eastAsia="zh-CN"/>
                    </w:rPr>
                    <w:t>0.5</w:t>
                  </w:r>
                </w:p>
              </w:tc>
              <w:tc>
                <w:tcPr>
                  <w:tcW w:w="816" w:type="pct"/>
                  <w:vAlign w:val="center"/>
                </w:tcPr>
                <w:p w14:paraId="6A514ED1">
                  <w:pPr>
                    <w:pStyle w:val="29"/>
                    <w:bidi w:val="0"/>
                    <w:rPr>
                      <w:rFonts w:hint="default" w:eastAsia="宋体"/>
                      <w:color w:val="auto"/>
                      <w:lang w:val="en-US" w:eastAsia="zh-CN"/>
                    </w:rPr>
                  </w:pPr>
                  <w:r>
                    <w:rPr>
                      <w:rFonts w:hint="eastAsia"/>
                      <w:color w:val="auto"/>
                      <w:lang w:val="en-US" w:eastAsia="zh-CN"/>
                    </w:rPr>
                    <w:t>0.25</w:t>
                  </w:r>
                </w:p>
              </w:tc>
              <w:tc>
                <w:tcPr>
                  <w:tcW w:w="659" w:type="pct"/>
                  <w:vAlign w:val="center"/>
                </w:tcPr>
                <w:p w14:paraId="51874F4E">
                  <w:pPr>
                    <w:pStyle w:val="29"/>
                    <w:bidi w:val="0"/>
                    <w:rPr>
                      <w:rFonts w:hint="default" w:eastAsia="宋体"/>
                      <w:color w:val="auto"/>
                      <w:lang w:val="en-US" w:eastAsia="zh-CN"/>
                    </w:rPr>
                  </w:pPr>
                  <w:r>
                    <w:rPr>
                      <w:rFonts w:hint="eastAsia"/>
                      <w:color w:val="auto"/>
                      <w:lang w:val="en-US" w:eastAsia="zh-CN"/>
                    </w:rPr>
                    <w:t>0.5</w:t>
                  </w:r>
                </w:p>
              </w:tc>
              <w:tc>
                <w:tcPr>
                  <w:tcW w:w="746" w:type="pct"/>
                  <w:vAlign w:val="center"/>
                </w:tcPr>
                <w:p w14:paraId="148A56B5">
                  <w:pPr>
                    <w:pStyle w:val="29"/>
                    <w:bidi w:val="0"/>
                    <w:rPr>
                      <w:rFonts w:hint="default" w:eastAsia="宋体"/>
                      <w:color w:val="auto"/>
                      <w:lang w:val="en-US" w:eastAsia="zh-CN"/>
                    </w:rPr>
                  </w:pPr>
                  <w:r>
                    <w:rPr>
                      <w:rFonts w:hint="eastAsia"/>
                      <w:color w:val="auto"/>
                      <w:lang w:val="en-US" w:eastAsia="zh-CN"/>
                    </w:rPr>
                    <w:t>0.25</w:t>
                  </w:r>
                </w:p>
              </w:tc>
              <w:tc>
                <w:tcPr>
                  <w:tcW w:w="772" w:type="pct"/>
                  <w:shd w:val="clear" w:color="auto" w:fill="auto"/>
                  <w:vAlign w:val="center"/>
                </w:tcPr>
                <w:p w14:paraId="4A190299">
                  <w:pPr>
                    <w:pStyle w:val="29"/>
                    <w:bidi w:val="0"/>
                    <w:rPr>
                      <w:rFonts w:hint="eastAsia"/>
                      <w:color w:val="auto"/>
                      <w:lang w:val="en-US" w:eastAsia="zh-CN"/>
                    </w:rPr>
                  </w:pPr>
                  <w:r>
                    <w:rPr>
                      <w:rFonts w:hint="eastAsia"/>
                      <w:color w:val="auto"/>
                      <w:lang w:val="en-US" w:eastAsia="zh-CN"/>
                    </w:rPr>
                    <w:t>30</w:t>
                  </w:r>
                </w:p>
              </w:tc>
              <w:tc>
                <w:tcPr>
                  <w:tcW w:w="984" w:type="pct"/>
                  <w:shd w:val="clear" w:color="auto" w:fill="auto"/>
                  <w:vAlign w:val="center"/>
                </w:tcPr>
                <w:p w14:paraId="76724C61">
                  <w:pPr>
                    <w:pStyle w:val="29"/>
                    <w:bidi w:val="0"/>
                    <w:ind w:firstLine="0" w:firstLineChars="0"/>
                    <w:rPr>
                      <w:rFonts w:hint="default"/>
                      <w:color w:val="auto"/>
                      <w:lang w:val="en-US" w:eastAsia="zh-CN"/>
                    </w:rPr>
                  </w:pPr>
                  <w:r>
                    <w:rPr>
                      <w:rFonts w:hint="eastAsia"/>
                      <w:color w:val="auto"/>
                      <w:lang w:val="en-US" w:eastAsia="zh-CN"/>
                    </w:rPr>
                    <w:t xml:space="preserve">0.283 </w:t>
                  </w:r>
                </w:p>
              </w:tc>
            </w:tr>
            <w:tr w14:paraId="77CC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 w:type="pct"/>
                  <w:vAlign w:val="center"/>
                </w:tcPr>
                <w:p w14:paraId="5F281F6B">
                  <w:pPr>
                    <w:pStyle w:val="29"/>
                    <w:bidi w:val="0"/>
                    <w:rPr>
                      <w:rFonts w:hint="eastAsia" w:eastAsia="宋体"/>
                      <w:color w:val="auto"/>
                      <w:lang w:val="en-US" w:eastAsia="zh-CN"/>
                    </w:rPr>
                  </w:pPr>
                  <w:r>
                    <w:rPr>
                      <w:rFonts w:hint="eastAsia"/>
                      <w:color w:val="auto"/>
                      <w:lang w:val="en-US" w:eastAsia="zh-CN"/>
                    </w:rPr>
                    <w:t>配制酒</w:t>
                  </w:r>
                </w:p>
              </w:tc>
              <w:tc>
                <w:tcPr>
                  <w:tcW w:w="543" w:type="pct"/>
                  <w:shd w:val="clear" w:color="auto" w:fill="auto"/>
                  <w:vAlign w:val="center"/>
                </w:tcPr>
                <w:p w14:paraId="3A9B1F2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0.5</w:t>
                  </w:r>
                </w:p>
              </w:tc>
              <w:tc>
                <w:tcPr>
                  <w:tcW w:w="816" w:type="pct"/>
                  <w:shd w:val="clear" w:color="auto" w:fill="auto"/>
                  <w:vAlign w:val="center"/>
                </w:tcPr>
                <w:p w14:paraId="5BDAD26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0.25</w:t>
                  </w:r>
                </w:p>
              </w:tc>
              <w:tc>
                <w:tcPr>
                  <w:tcW w:w="659" w:type="pct"/>
                  <w:shd w:val="clear" w:color="auto" w:fill="auto"/>
                  <w:vAlign w:val="center"/>
                </w:tcPr>
                <w:p w14:paraId="0D2606D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0.5</w:t>
                  </w:r>
                </w:p>
              </w:tc>
              <w:tc>
                <w:tcPr>
                  <w:tcW w:w="746" w:type="pct"/>
                  <w:shd w:val="clear" w:color="auto" w:fill="auto"/>
                  <w:vAlign w:val="center"/>
                </w:tcPr>
                <w:p w14:paraId="477A869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0.25</w:t>
                  </w:r>
                </w:p>
              </w:tc>
              <w:tc>
                <w:tcPr>
                  <w:tcW w:w="772" w:type="pct"/>
                  <w:shd w:val="clear" w:color="auto" w:fill="auto"/>
                  <w:vAlign w:val="center"/>
                </w:tcPr>
                <w:p w14:paraId="7D961973">
                  <w:pPr>
                    <w:pStyle w:val="29"/>
                    <w:bidi w:val="0"/>
                    <w:rPr>
                      <w:rFonts w:hint="eastAsia"/>
                      <w:color w:val="auto"/>
                      <w:lang w:val="en-US" w:eastAsia="zh-CN"/>
                    </w:rPr>
                  </w:pPr>
                  <w:r>
                    <w:rPr>
                      <w:rFonts w:hint="eastAsia"/>
                      <w:color w:val="auto"/>
                      <w:lang w:val="en-US" w:eastAsia="zh-CN"/>
                    </w:rPr>
                    <w:t>30</w:t>
                  </w:r>
                </w:p>
              </w:tc>
              <w:tc>
                <w:tcPr>
                  <w:tcW w:w="984" w:type="pct"/>
                  <w:shd w:val="clear" w:color="auto" w:fill="auto"/>
                  <w:vAlign w:val="center"/>
                </w:tcPr>
                <w:p w14:paraId="23714008">
                  <w:pPr>
                    <w:pStyle w:val="29"/>
                    <w:bidi w:val="0"/>
                    <w:ind w:firstLine="0" w:firstLineChars="0"/>
                    <w:rPr>
                      <w:rFonts w:hint="default"/>
                      <w:color w:val="auto"/>
                      <w:lang w:val="en-US" w:eastAsia="zh-CN"/>
                    </w:rPr>
                  </w:pPr>
                  <w:r>
                    <w:rPr>
                      <w:rFonts w:hint="eastAsia"/>
                      <w:color w:val="auto"/>
                      <w:lang w:val="en-US" w:eastAsia="zh-CN"/>
                    </w:rPr>
                    <w:t xml:space="preserve">0.283 </w:t>
                  </w:r>
                </w:p>
              </w:tc>
            </w:tr>
            <w:tr w14:paraId="6EA6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 w:type="pct"/>
                  <w:vAlign w:val="center"/>
                </w:tcPr>
                <w:p w14:paraId="1A617C76">
                  <w:pPr>
                    <w:pStyle w:val="29"/>
                    <w:bidi w:val="0"/>
                    <w:rPr>
                      <w:rFonts w:hint="eastAsia" w:eastAsia="宋体"/>
                      <w:color w:val="auto"/>
                      <w:lang w:val="en-US" w:eastAsia="zh-CN"/>
                    </w:rPr>
                  </w:pPr>
                  <w:r>
                    <w:rPr>
                      <w:rFonts w:hint="eastAsia"/>
                      <w:color w:val="auto"/>
                      <w:lang w:val="en-US" w:eastAsia="zh-CN"/>
                    </w:rPr>
                    <w:t>发酵酒</w:t>
                  </w:r>
                </w:p>
              </w:tc>
              <w:tc>
                <w:tcPr>
                  <w:tcW w:w="543" w:type="pct"/>
                  <w:vAlign w:val="center"/>
                </w:tcPr>
                <w:p w14:paraId="52BBA9E0">
                  <w:pPr>
                    <w:pStyle w:val="29"/>
                    <w:bidi w:val="0"/>
                    <w:rPr>
                      <w:rFonts w:hint="default" w:eastAsia="宋体"/>
                      <w:color w:val="auto"/>
                      <w:lang w:val="en-US" w:eastAsia="zh-CN"/>
                    </w:rPr>
                  </w:pPr>
                  <w:r>
                    <w:rPr>
                      <w:rFonts w:hint="eastAsia"/>
                      <w:color w:val="auto"/>
                      <w:lang w:val="en-US" w:eastAsia="zh-CN"/>
                    </w:rPr>
                    <w:t>1</w:t>
                  </w:r>
                </w:p>
              </w:tc>
              <w:tc>
                <w:tcPr>
                  <w:tcW w:w="816" w:type="pct"/>
                  <w:vAlign w:val="center"/>
                </w:tcPr>
                <w:p w14:paraId="35486C2A">
                  <w:pPr>
                    <w:pStyle w:val="29"/>
                    <w:bidi w:val="0"/>
                    <w:rPr>
                      <w:rFonts w:hint="default" w:eastAsia="宋体"/>
                      <w:color w:val="auto"/>
                      <w:lang w:val="en-US" w:eastAsia="zh-CN"/>
                    </w:rPr>
                  </w:pPr>
                  <w:r>
                    <w:rPr>
                      <w:rFonts w:hint="eastAsia"/>
                      <w:color w:val="auto"/>
                      <w:lang w:val="en-US" w:eastAsia="zh-CN"/>
                    </w:rPr>
                    <w:t>0.5</w:t>
                  </w:r>
                </w:p>
              </w:tc>
              <w:tc>
                <w:tcPr>
                  <w:tcW w:w="659" w:type="pct"/>
                  <w:vAlign w:val="center"/>
                </w:tcPr>
                <w:p w14:paraId="0572661F">
                  <w:pPr>
                    <w:pStyle w:val="29"/>
                    <w:bidi w:val="0"/>
                    <w:rPr>
                      <w:rFonts w:hint="default" w:eastAsia="宋体"/>
                      <w:color w:val="auto"/>
                      <w:lang w:val="en-US" w:eastAsia="zh-CN"/>
                    </w:rPr>
                  </w:pPr>
                  <w:r>
                    <w:rPr>
                      <w:rFonts w:hint="eastAsia"/>
                      <w:color w:val="auto"/>
                      <w:lang w:val="en-US" w:eastAsia="zh-CN"/>
                    </w:rPr>
                    <w:t>1.25</w:t>
                  </w:r>
                </w:p>
              </w:tc>
              <w:tc>
                <w:tcPr>
                  <w:tcW w:w="746" w:type="pct"/>
                  <w:vAlign w:val="center"/>
                </w:tcPr>
                <w:p w14:paraId="3BBAE9A1">
                  <w:pPr>
                    <w:pStyle w:val="29"/>
                    <w:bidi w:val="0"/>
                    <w:rPr>
                      <w:rFonts w:hint="default" w:eastAsia="宋体"/>
                      <w:color w:val="auto"/>
                      <w:lang w:val="en-US" w:eastAsia="zh-CN"/>
                    </w:rPr>
                  </w:pPr>
                  <w:r>
                    <w:rPr>
                      <w:rFonts w:hint="eastAsia"/>
                      <w:color w:val="auto"/>
                      <w:lang w:val="en-US" w:eastAsia="zh-CN"/>
                    </w:rPr>
                    <w:t>0.5</w:t>
                  </w:r>
                </w:p>
              </w:tc>
              <w:tc>
                <w:tcPr>
                  <w:tcW w:w="772" w:type="pct"/>
                  <w:shd w:val="clear" w:color="auto" w:fill="auto"/>
                  <w:vAlign w:val="center"/>
                </w:tcPr>
                <w:p w14:paraId="3233F0E4">
                  <w:pPr>
                    <w:pStyle w:val="29"/>
                    <w:bidi w:val="0"/>
                    <w:rPr>
                      <w:rFonts w:hint="eastAsia"/>
                      <w:color w:val="auto"/>
                      <w:lang w:val="en-US" w:eastAsia="zh-CN"/>
                    </w:rPr>
                  </w:pPr>
                  <w:r>
                    <w:rPr>
                      <w:rFonts w:hint="eastAsia"/>
                      <w:color w:val="auto"/>
                      <w:lang w:val="en-US" w:eastAsia="zh-CN"/>
                    </w:rPr>
                    <w:t>130</w:t>
                  </w:r>
                </w:p>
              </w:tc>
              <w:tc>
                <w:tcPr>
                  <w:tcW w:w="984" w:type="pct"/>
                  <w:shd w:val="clear" w:color="auto" w:fill="auto"/>
                  <w:vAlign w:val="center"/>
                </w:tcPr>
                <w:p w14:paraId="0BCC962F">
                  <w:pPr>
                    <w:pStyle w:val="29"/>
                    <w:bidi w:val="0"/>
                    <w:ind w:firstLine="0" w:firstLineChars="0"/>
                    <w:rPr>
                      <w:rFonts w:hint="default"/>
                      <w:color w:val="auto"/>
                      <w:lang w:val="en-US" w:eastAsia="zh-CN"/>
                    </w:rPr>
                  </w:pPr>
                  <w:r>
                    <w:rPr>
                      <w:rFonts w:hint="eastAsia"/>
                      <w:color w:val="auto"/>
                      <w:lang w:val="en-US" w:eastAsia="zh-CN"/>
                    </w:rPr>
                    <w:t>1.1</w:t>
                  </w:r>
                </w:p>
              </w:tc>
            </w:tr>
            <w:tr w14:paraId="6BA2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2" w:type="pct"/>
                  <w:gridSpan w:val="5"/>
                  <w:vAlign w:val="center"/>
                </w:tcPr>
                <w:p w14:paraId="4FD9A956">
                  <w:pPr>
                    <w:pStyle w:val="29"/>
                    <w:bidi w:val="0"/>
                    <w:rPr>
                      <w:rFonts w:hint="default"/>
                      <w:color w:val="auto"/>
                      <w:lang w:val="en-US" w:eastAsia="zh-CN"/>
                    </w:rPr>
                  </w:pPr>
                  <w:r>
                    <w:rPr>
                      <w:rFonts w:hint="eastAsia"/>
                      <w:color w:val="auto"/>
                      <w:lang w:val="en-US" w:eastAsia="zh-CN"/>
                    </w:rPr>
                    <w:t>合计</w:t>
                  </w:r>
                </w:p>
              </w:tc>
              <w:tc>
                <w:tcPr>
                  <w:tcW w:w="772" w:type="pct"/>
                  <w:shd w:val="clear" w:color="auto" w:fill="auto"/>
                  <w:vAlign w:val="center"/>
                </w:tcPr>
                <w:p w14:paraId="675363F9">
                  <w:pPr>
                    <w:pStyle w:val="29"/>
                    <w:bidi w:val="0"/>
                    <w:ind w:firstLine="0" w:firstLineChars="0"/>
                    <w:rPr>
                      <w:rFonts w:hint="default"/>
                      <w:color w:val="auto"/>
                      <w:lang w:val="en-US" w:eastAsia="zh-CN"/>
                    </w:rPr>
                  </w:pPr>
                  <w:r>
                    <w:rPr>
                      <w:rFonts w:hint="eastAsia"/>
                      <w:color w:val="auto"/>
                      <w:lang w:val="en-US" w:eastAsia="zh-CN"/>
                    </w:rPr>
                    <w:t>947.5</w:t>
                  </w:r>
                </w:p>
              </w:tc>
              <w:tc>
                <w:tcPr>
                  <w:tcW w:w="984" w:type="pct"/>
                  <w:shd w:val="clear" w:color="auto" w:fill="auto"/>
                  <w:vAlign w:val="center"/>
                </w:tcPr>
                <w:p w14:paraId="5A89CC81">
                  <w:pPr>
                    <w:pStyle w:val="29"/>
                    <w:bidi w:val="0"/>
                    <w:ind w:firstLine="0" w:firstLineChars="0"/>
                    <w:rPr>
                      <w:rFonts w:hint="default"/>
                      <w:color w:val="auto"/>
                      <w:lang w:val="en-US" w:eastAsia="zh-CN"/>
                    </w:rPr>
                  </w:pPr>
                  <w:r>
                    <w:rPr>
                      <w:rFonts w:hint="eastAsia"/>
                      <w:color w:val="auto"/>
                      <w:lang w:val="en-US" w:eastAsia="zh-CN"/>
                    </w:rPr>
                    <w:t>3.158</w:t>
                  </w:r>
                </w:p>
              </w:tc>
            </w:tr>
          </w:tbl>
          <w:p w14:paraId="1D3FF997">
            <w:pPr>
              <w:ind w:firstLine="480"/>
              <w:rPr>
                <w:rFonts w:hint="eastAsia" w:ascii="Times New Roman" w:hAnsi="Times New Roman" w:eastAsia="宋体" w:cs="Times New Roman"/>
                <w:b w:val="0"/>
                <w:bCs w:val="0"/>
                <w:color w:val="auto"/>
              </w:rPr>
            </w:pPr>
            <w:r>
              <w:rPr>
                <w:rFonts w:hint="eastAsia" w:cs="Times New Roman"/>
                <w:b w:val="0"/>
                <w:bCs w:val="0"/>
                <w:color w:val="auto"/>
                <w:lang w:val="en-US" w:eastAsia="zh-CN"/>
              </w:rPr>
              <w:t>综上</w:t>
            </w:r>
            <w:r>
              <w:rPr>
                <w:rFonts w:hint="eastAsia" w:ascii="Times New Roman" w:hAnsi="Times New Roman" w:eastAsia="宋体" w:cs="Times New Roman"/>
                <w:b w:val="0"/>
                <w:bCs w:val="0"/>
                <w:color w:val="auto"/>
              </w:rPr>
              <w:t>，CIP清洗</w:t>
            </w:r>
            <w:r>
              <w:rPr>
                <w:rFonts w:hint="eastAsia" w:ascii="Times New Roman" w:hAnsi="Times New Roman" w:eastAsia="宋体" w:cs="Times New Roman"/>
                <w:b w:val="0"/>
                <w:bCs w:val="0"/>
                <w:color w:val="auto"/>
                <w:lang w:val="en-US" w:eastAsia="zh-CN"/>
              </w:rPr>
              <w:t>总</w:t>
            </w:r>
            <w:r>
              <w:rPr>
                <w:rFonts w:hint="eastAsia" w:ascii="Times New Roman" w:hAnsi="Times New Roman" w:eastAsia="宋体" w:cs="Times New Roman"/>
                <w:b w:val="0"/>
                <w:bCs w:val="0"/>
                <w:color w:val="auto"/>
              </w:rPr>
              <w:t>用水</w:t>
            </w:r>
            <w:r>
              <w:rPr>
                <w:rFonts w:hint="eastAsia" w:ascii="Times New Roman" w:hAnsi="Times New Roman" w:eastAsia="宋体" w:cs="Times New Roman"/>
                <w:b w:val="0"/>
                <w:bCs w:val="0"/>
                <w:color w:val="auto"/>
                <w:lang w:val="en-US" w:eastAsia="zh-CN"/>
              </w:rPr>
              <w:t>量为</w:t>
            </w:r>
            <w:r>
              <w:rPr>
                <w:rFonts w:hint="eastAsia" w:cs="Times New Roman"/>
                <w:b w:val="0"/>
                <w:bCs w:val="0"/>
                <w:color w:val="auto"/>
                <w:lang w:val="en-US" w:eastAsia="zh-CN"/>
              </w:rPr>
              <w:t>3.158</w:t>
            </w:r>
            <w:r>
              <w:rPr>
                <w:rFonts w:hint="eastAsia" w:ascii="Times New Roman" w:hAnsi="Times New Roman" w:eastAsia="宋体" w:cs="Times New Roman"/>
                <w:b w:val="0"/>
                <w:bCs w:val="0"/>
                <w:color w:val="auto"/>
              </w:rPr>
              <w:t>m</w:t>
            </w:r>
            <w:r>
              <w:rPr>
                <w:rFonts w:hint="eastAsia" w:ascii="Times New Roman" w:hAnsi="Times New Roman" w:eastAsia="宋体" w:cs="Times New Roman"/>
                <w:b w:val="0"/>
                <w:bCs w:val="0"/>
                <w:color w:val="auto"/>
                <w:vertAlign w:val="superscript"/>
              </w:rPr>
              <w:t>3</w:t>
            </w:r>
            <w:r>
              <w:rPr>
                <w:rFonts w:hint="eastAsia" w:ascii="Times New Roman" w:hAnsi="Times New Roman" w:eastAsia="宋体" w:cs="Times New Roman"/>
                <w:b w:val="0"/>
                <w:bCs w:val="0"/>
                <w:color w:val="auto"/>
              </w:rPr>
              <w:t>/d（</w:t>
            </w:r>
            <w:r>
              <w:rPr>
                <w:rFonts w:hint="eastAsia" w:cs="Times New Roman"/>
                <w:b w:val="0"/>
                <w:bCs w:val="0"/>
                <w:color w:val="auto"/>
                <w:lang w:val="en-US" w:eastAsia="zh-CN"/>
              </w:rPr>
              <w:t>947.5</w:t>
            </w:r>
            <w:r>
              <w:rPr>
                <w:rFonts w:hint="eastAsia" w:ascii="Times New Roman" w:hAnsi="Times New Roman" w:eastAsia="宋体" w:cs="Times New Roman"/>
                <w:b w:val="0"/>
                <w:bCs w:val="0"/>
                <w:color w:val="auto"/>
              </w:rPr>
              <w:t>m</w:t>
            </w:r>
            <w:r>
              <w:rPr>
                <w:rFonts w:hint="eastAsia" w:ascii="Times New Roman" w:hAnsi="Times New Roman" w:eastAsia="宋体" w:cs="Times New Roman"/>
                <w:b w:val="0"/>
                <w:bCs w:val="0"/>
                <w:color w:val="auto"/>
                <w:vertAlign w:val="superscript"/>
              </w:rPr>
              <w:t>3</w:t>
            </w:r>
            <w:r>
              <w:rPr>
                <w:rFonts w:hint="eastAsia" w:ascii="Times New Roman" w:hAnsi="Times New Roman" w:eastAsia="宋体" w:cs="Times New Roman"/>
                <w:b w:val="0"/>
                <w:bCs w:val="0"/>
                <w:color w:val="auto"/>
              </w:rPr>
              <w:t>/a）</w:t>
            </w:r>
            <w:r>
              <w:rPr>
                <w:rFonts w:hint="eastAsia" w:cs="Times New Roman"/>
                <w:b w:val="0"/>
                <w:bCs w:val="0"/>
                <w:color w:val="auto"/>
                <w:lang w:eastAsia="zh-CN"/>
              </w:rPr>
              <w:t>，</w:t>
            </w:r>
            <w:r>
              <w:rPr>
                <w:rFonts w:hint="eastAsia" w:ascii="Times New Roman" w:hAnsi="Times New Roman" w:eastAsia="宋体" w:cs="Times New Roman"/>
                <w:b w:val="0"/>
                <w:bCs w:val="0"/>
                <w:color w:val="auto"/>
              </w:rPr>
              <w:t>产污系数按0.8计，用CIP清洗系统废水产生量为</w:t>
            </w:r>
            <w:r>
              <w:rPr>
                <w:rFonts w:hint="eastAsia" w:cs="Times New Roman"/>
                <w:b w:val="0"/>
                <w:bCs w:val="0"/>
                <w:color w:val="auto"/>
                <w:lang w:val="en-US" w:eastAsia="zh-CN"/>
              </w:rPr>
              <w:t>2.527</w:t>
            </w:r>
            <w:r>
              <w:rPr>
                <w:rFonts w:hint="eastAsia" w:ascii="Times New Roman" w:hAnsi="Times New Roman" w:eastAsia="宋体" w:cs="Times New Roman"/>
                <w:b w:val="0"/>
                <w:bCs w:val="0"/>
                <w:color w:val="auto"/>
              </w:rPr>
              <w:t>m</w:t>
            </w:r>
            <w:r>
              <w:rPr>
                <w:rFonts w:hint="eastAsia" w:ascii="Times New Roman" w:hAnsi="Times New Roman" w:eastAsia="宋体" w:cs="Times New Roman"/>
                <w:b w:val="0"/>
                <w:bCs w:val="0"/>
                <w:color w:val="auto"/>
                <w:vertAlign w:val="superscript"/>
              </w:rPr>
              <w:t>3</w:t>
            </w:r>
            <w:r>
              <w:rPr>
                <w:rFonts w:hint="eastAsia" w:ascii="Times New Roman" w:hAnsi="Times New Roman" w:eastAsia="宋体" w:cs="Times New Roman"/>
                <w:b w:val="0"/>
                <w:bCs w:val="0"/>
                <w:color w:val="auto"/>
              </w:rPr>
              <w:t>/d（</w:t>
            </w:r>
            <w:r>
              <w:rPr>
                <w:rFonts w:hint="eastAsia" w:cs="Times New Roman"/>
                <w:b w:val="0"/>
                <w:bCs w:val="0"/>
                <w:color w:val="auto"/>
                <w:lang w:val="en-US" w:eastAsia="zh-CN"/>
              </w:rPr>
              <w:t>758</w:t>
            </w:r>
            <w:r>
              <w:rPr>
                <w:rFonts w:hint="eastAsia" w:ascii="Times New Roman" w:hAnsi="Times New Roman" w:eastAsia="宋体" w:cs="Times New Roman"/>
                <w:b w:val="0"/>
                <w:bCs w:val="0"/>
                <w:color w:val="auto"/>
              </w:rPr>
              <w:t>m</w:t>
            </w:r>
            <w:r>
              <w:rPr>
                <w:rFonts w:hint="eastAsia" w:ascii="Times New Roman" w:hAnsi="Times New Roman" w:eastAsia="宋体" w:cs="Times New Roman"/>
                <w:b w:val="0"/>
                <w:bCs w:val="0"/>
                <w:color w:val="auto"/>
                <w:vertAlign w:val="superscript"/>
              </w:rPr>
              <w:t>3</w:t>
            </w:r>
            <w:r>
              <w:rPr>
                <w:rFonts w:hint="eastAsia" w:ascii="Times New Roman" w:hAnsi="Times New Roman" w:eastAsia="宋体" w:cs="Times New Roman"/>
                <w:b w:val="0"/>
                <w:bCs w:val="0"/>
                <w:color w:val="auto"/>
              </w:rPr>
              <w:t>/a</w:t>
            </w:r>
            <w:r>
              <w:rPr>
                <w:rFonts w:hint="eastAsia" w:ascii="Times New Roman" w:hAnsi="Times New Roman" w:eastAsia="宋体" w:cs="Times New Roman"/>
                <w:b w:val="0"/>
                <w:bCs w:val="0"/>
                <w:color w:val="auto"/>
                <w:lang w:eastAsia="zh-CN"/>
              </w:rPr>
              <w:t>）。</w:t>
            </w:r>
          </w:p>
          <w:p w14:paraId="04C114BC">
            <w:pPr>
              <w:ind w:firstLine="480"/>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rPr>
              <w:t>碱液、酸液循环使用，碱罐和酸罐每月定期补充碱液和酸液，碱罐、酸罐内液体约半年更换一次，CIP清洗水排出，</w:t>
            </w:r>
            <w:r>
              <w:rPr>
                <w:rFonts w:hint="eastAsia" w:ascii="Times New Roman" w:hAnsi="Times New Roman" w:eastAsia="宋体" w:cs="Times New Roman"/>
                <w:b w:val="0"/>
                <w:bCs w:val="0"/>
                <w:color w:val="auto"/>
                <w:lang w:val="en-US" w:eastAsia="zh-CN"/>
              </w:rPr>
              <w:t>根据建设单位提供资料，清洗水量为25L/次，每年2次，则碱罐和酸罐清洗水用量为0.05m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/d（15m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/a），</w:t>
            </w:r>
            <w:r>
              <w:rPr>
                <w:rFonts w:hint="eastAsia" w:ascii="Times New Roman" w:hAnsi="Times New Roman" w:eastAsia="宋体" w:cs="Times New Roman"/>
                <w:b w:val="0"/>
                <w:bCs w:val="0"/>
                <w:color w:val="auto"/>
              </w:rPr>
              <w:t>产污系数按0.8计，用CIP清洗系统废水产生量为</w:t>
            </w:r>
            <w:r>
              <w:rPr>
                <w:rFonts w:hint="eastAsia" w:ascii="Times New Roman" w:hAnsi="Times New Roman" w:eastAsia="宋体" w:cs="Times New Roman"/>
                <w:b w:val="0"/>
                <w:bCs w:val="0"/>
                <w:color w:val="auto"/>
                <w:lang w:val="en-US" w:eastAsia="zh-CN"/>
              </w:rPr>
              <w:t>0.04</w:t>
            </w:r>
            <w:r>
              <w:rPr>
                <w:rFonts w:hint="eastAsia" w:ascii="Times New Roman" w:hAnsi="Times New Roman" w:eastAsia="宋体" w:cs="Times New Roman"/>
                <w:b w:val="0"/>
                <w:bCs w:val="0"/>
                <w:color w:val="auto"/>
              </w:rPr>
              <w:t>m</w:t>
            </w:r>
            <w:r>
              <w:rPr>
                <w:rFonts w:hint="eastAsia" w:ascii="Times New Roman" w:hAnsi="Times New Roman" w:eastAsia="宋体" w:cs="Times New Roman"/>
                <w:b w:val="0"/>
                <w:bCs w:val="0"/>
                <w:color w:val="auto"/>
                <w:vertAlign w:val="superscript"/>
              </w:rPr>
              <w:t>3</w:t>
            </w:r>
            <w:r>
              <w:rPr>
                <w:rFonts w:hint="eastAsia" w:ascii="Times New Roman" w:hAnsi="Times New Roman" w:eastAsia="宋体" w:cs="Times New Roman"/>
                <w:b w:val="0"/>
                <w:bCs w:val="0"/>
                <w:color w:val="auto"/>
              </w:rPr>
              <w:t>/d（</w:t>
            </w:r>
            <w:r>
              <w:rPr>
                <w:rFonts w:hint="eastAsia" w:ascii="Times New Roman" w:hAnsi="Times New Roman" w:eastAsia="宋体" w:cs="Times New Roman"/>
                <w:b w:val="0"/>
                <w:bCs w:val="0"/>
                <w:color w:val="auto"/>
                <w:lang w:val="en-US" w:eastAsia="zh-CN"/>
              </w:rPr>
              <w:t>12</w:t>
            </w:r>
            <w:r>
              <w:rPr>
                <w:rFonts w:hint="eastAsia" w:ascii="Times New Roman" w:hAnsi="Times New Roman" w:eastAsia="宋体" w:cs="Times New Roman"/>
                <w:b w:val="0"/>
                <w:bCs w:val="0"/>
                <w:color w:val="auto"/>
              </w:rPr>
              <w:t>m</w:t>
            </w:r>
            <w:r>
              <w:rPr>
                <w:rFonts w:hint="eastAsia" w:ascii="Times New Roman" w:hAnsi="Times New Roman" w:eastAsia="宋体" w:cs="Times New Roman"/>
                <w:b w:val="0"/>
                <w:bCs w:val="0"/>
                <w:color w:val="auto"/>
                <w:vertAlign w:val="superscript"/>
              </w:rPr>
              <w:t>3</w:t>
            </w:r>
            <w:r>
              <w:rPr>
                <w:rFonts w:hint="eastAsia" w:ascii="Times New Roman" w:hAnsi="Times New Roman" w:eastAsia="宋体" w:cs="Times New Roman"/>
                <w:b w:val="0"/>
                <w:bCs w:val="0"/>
                <w:color w:val="auto"/>
              </w:rPr>
              <w:t>/a</w:t>
            </w:r>
            <w:r>
              <w:rPr>
                <w:rFonts w:hint="eastAsia" w:ascii="Times New Roman" w:hAnsi="Times New Roman" w:eastAsia="宋体" w:cs="Times New Roman"/>
                <w:b w:val="0"/>
                <w:bCs w:val="0"/>
                <w:color w:val="auto"/>
                <w:lang w:eastAsia="zh-CN"/>
              </w:rPr>
              <w:t>）。CIP清洗系统</w:t>
            </w:r>
            <w:r>
              <w:rPr>
                <w:rFonts w:hint="eastAsia" w:cs="Times New Roman"/>
                <w:b w:val="0"/>
                <w:bCs w:val="0"/>
                <w:color w:val="auto"/>
                <w:lang w:val="en-US" w:eastAsia="zh-CN"/>
              </w:rPr>
              <w:t>用水量总计</w:t>
            </w:r>
            <w:r>
              <w:rPr>
                <w:rFonts w:hint="eastAsia" w:ascii="Times New Roman" w:hAnsi="Times New Roman" w:eastAsia="宋体" w:cs="Times New Roman"/>
                <w:b w:val="0"/>
                <w:bCs w:val="0"/>
                <w:color w:val="auto"/>
                <w:lang w:eastAsia="zh-CN"/>
              </w:rPr>
              <w:t>为</w:t>
            </w:r>
            <w:r>
              <w:rPr>
                <w:rFonts w:hint="eastAsia" w:cs="Times New Roman"/>
                <w:b w:val="0"/>
                <w:bCs w:val="0"/>
                <w:color w:val="auto"/>
                <w:lang w:val="en-US" w:eastAsia="zh-CN"/>
              </w:rPr>
              <w:t>3.208</w:t>
            </w:r>
            <w:r>
              <w:rPr>
                <w:rFonts w:hint="eastAsia" w:ascii="Times New Roman" w:hAnsi="Times New Roman" w:eastAsia="宋体" w:cs="Times New Roman"/>
                <w:b w:val="0"/>
                <w:bCs w:val="0"/>
                <w:color w:val="auto"/>
                <w:lang w:eastAsia="zh-CN"/>
              </w:rPr>
              <w:t>m</w:t>
            </w:r>
            <w:r>
              <w:rPr>
                <w:rFonts w:hint="eastAsia" w:ascii="Times New Roman" w:hAnsi="Times New Roman" w:eastAsia="宋体" w:cs="Times New Roman"/>
                <w:b w:val="0"/>
                <w:bCs w:val="0"/>
                <w:color w:val="auto"/>
                <w:vertAlign w:val="superscript"/>
                <w:lang w:eastAsia="zh-CN"/>
              </w:rPr>
              <w:t>3</w:t>
            </w:r>
            <w:r>
              <w:rPr>
                <w:rFonts w:hint="eastAsia" w:ascii="Times New Roman" w:hAnsi="Times New Roman" w:eastAsia="宋体" w:cs="Times New Roman"/>
                <w:b w:val="0"/>
                <w:bCs w:val="0"/>
                <w:color w:val="auto"/>
                <w:lang w:eastAsia="zh-CN"/>
              </w:rPr>
              <w:t>/d（</w:t>
            </w:r>
            <w:r>
              <w:rPr>
                <w:rFonts w:hint="eastAsia" w:cs="Times New Roman"/>
                <w:b w:val="0"/>
                <w:bCs w:val="0"/>
                <w:color w:val="auto"/>
                <w:lang w:val="en-US" w:eastAsia="zh-CN"/>
              </w:rPr>
              <w:t>962.5</w:t>
            </w:r>
            <w:r>
              <w:rPr>
                <w:rFonts w:hint="eastAsia" w:ascii="Times New Roman" w:hAnsi="Times New Roman" w:eastAsia="宋体" w:cs="Times New Roman"/>
                <w:b w:val="0"/>
                <w:bCs w:val="0"/>
                <w:color w:val="auto"/>
                <w:lang w:eastAsia="zh-CN"/>
              </w:rPr>
              <w:t>m</w:t>
            </w:r>
            <w:r>
              <w:rPr>
                <w:rFonts w:hint="eastAsia" w:ascii="Times New Roman" w:hAnsi="Times New Roman" w:eastAsia="宋体" w:cs="Times New Roman"/>
                <w:b w:val="0"/>
                <w:bCs w:val="0"/>
                <w:color w:val="auto"/>
                <w:vertAlign w:val="superscript"/>
                <w:lang w:eastAsia="zh-CN"/>
              </w:rPr>
              <w:t>3</w:t>
            </w:r>
            <w:r>
              <w:rPr>
                <w:rFonts w:hint="eastAsia" w:ascii="Times New Roman" w:hAnsi="Times New Roman" w:eastAsia="宋体" w:cs="Times New Roman"/>
                <w:b w:val="0"/>
                <w:bCs w:val="0"/>
                <w:color w:val="auto"/>
                <w:lang w:eastAsia="zh-CN"/>
              </w:rPr>
              <w:t>/a）</w:t>
            </w:r>
            <w:r>
              <w:rPr>
                <w:rFonts w:hint="eastAsia" w:cs="Times New Roman"/>
                <w:b w:val="0"/>
                <w:bCs w:val="0"/>
                <w:color w:val="auto"/>
                <w:lang w:eastAsia="zh-CN"/>
              </w:rPr>
              <w:t>，废水产生量</w:t>
            </w:r>
            <w:r>
              <w:rPr>
                <w:rFonts w:hint="eastAsia" w:cs="Times New Roman"/>
                <w:b w:val="0"/>
                <w:bCs w:val="0"/>
                <w:color w:val="auto"/>
                <w:lang w:val="en-US" w:eastAsia="zh-CN"/>
              </w:rPr>
              <w:t>为2.567m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/d（770m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p>
          <w:p w14:paraId="117C0B79">
            <w:pPr>
              <w:ind w:firstLine="480"/>
              <w:rPr>
                <w:rFonts w:hint="eastAsia"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4、包装瓶清洗用水</w:t>
            </w:r>
          </w:p>
          <w:p w14:paraId="214FD10F">
            <w:pPr>
              <w:ind w:firstLine="4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项目灌装前需对使用的易拉罐、玻璃瓶进行清洗，清洗时先用纯水初洗，然后用纯水复洗，不添加任何洗涤剂，根据建设单位提供资料，易拉罐、玻璃瓶清洗用水约为0.3m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/t-产品，则项目包装瓶清洗用水为</w:t>
            </w:r>
            <w:r>
              <w:rPr>
                <w:rFonts w:hint="eastAsia" w:cs="Times New Roman"/>
                <w:color w:val="auto"/>
                <w:lang w:val="en-US" w:eastAsia="zh-CN"/>
              </w:rPr>
              <w:t>0.9</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/d（</w:t>
            </w:r>
            <w:r>
              <w:rPr>
                <w:rFonts w:hint="eastAsia" w:cs="Times New Roman"/>
                <w:color w:val="auto"/>
                <w:lang w:val="en-US" w:eastAsia="zh-CN"/>
              </w:rPr>
              <w:t>270</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/a），产污系数按0.8计，则包装瓶洗废水产生量为</w:t>
            </w:r>
            <w:r>
              <w:rPr>
                <w:rFonts w:hint="eastAsia" w:cs="Times New Roman"/>
                <w:color w:val="auto"/>
                <w:lang w:val="en-US" w:eastAsia="zh-CN"/>
              </w:rPr>
              <w:t>0.72</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/d（</w:t>
            </w:r>
            <w:r>
              <w:rPr>
                <w:rFonts w:hint="eastAsia" w:cs="Times New Roman"/>
                <w:color w:val="auto"/>
                <w:lang w:val="en-US" w:eastAsia="zh-CN"/>
              </w:rPr>
              <w:t>216</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/a）。</w:t>
            </w:r>
          </w:p>
          <w:p w14:paraId="4A6DEAA8">
            <w:pPr>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GB" w:eastAsia="zh-CN"/>
              </w:rPr>
              <w:t>本项目</w:t>
            </w:r>
            <w:r>
              <w:rPr>
                <w:rFonts w:hint="default" w:ascii="Times New Roman" w:hAnsi="Times New Roman" w:eastAsia="宋体" w:cs="Times New Roman"/>
                <w:color w:val="auto"/>
                <w:lang w:val="en-US" w:eastAsia="zh-CN"/>
              </w:rPr>
              <w:t>仅对</w:t>
            </w:r>
            <w:r>
              <w:rPr>
                <w:rFonts w:hint="eastAsia" w:cs="Times New Roman"/>
                <w:color w:val="auto"/>
                <w:lang w:val="en-US" w:eastAsia="zh-CN"/>
              </w:rPr>
              <w:t>20</w:t>
            </w:r>
            <w:r>
              <w:rPr>
                <w:rFonts w:hint="eastAsia" w:ascii="Times New Roman" w:hAnsi="Times New Roman" w:eastAsia="宋体" w:cs="Times New Roman"/>
                <w:color w:val="auto"/>
                <w:lang w:val="en-US" w:eastAsia="zh-CN"/>
              </w:rPr>
              <w:t>L</w:t>
            </w:r>
            <w:r>
              <w:rPr>
                <w:rFonts w:hint="default" w:ascii="Times New Roman" w:hAnsi="Times New Roman" w:eastAsia="宋体" w:cs="Times New Roman"/>
                <w:color w:val="auto"/>
                <w:lang w:val="en-GB" w:eastAsia="zh-CN"/>
              </w:rPr>
              <w:t>啤酒桶</w:t>
            </w:r>
            <w:r>
              <w:rPr>
                <w:rFonts w:hint="default" w:ascii="Times New Roman" w:hAnsi="Times New Roman" w:eastAsia="宋体" w:cs="Times New Roman"/>
                <w:color w:val="auto"/>
                <w:lang w:val="en-US" w:eastAsia="zh-CN"/>
              </w:rPr>
              <w:t>进行清洗，根据建设单位提供资料，</w:t>
            </w:r>
            <w:r>
              <w:rPr>
                <w:rFonts w:hint="eastAsia" w:cs="Times New Roman"/>
                <w:color w:val="auto"/>
                <w:lang w:val="en-US" w:eastAsia="zh-CN"/>
              </w:rPr>
              <w:t>2</w:t>
            </w:r>
            <w:r>
              <w:rPr>
                <w:rFonts w:hint="eastAsia" w:ascii="Times New Roman" w:hAnsi="Times New Roman" w:eastAsia="宋体" w:cs="Times New Roman"/>
                <w:color w:val="auto"/>
                <w:lang w:val="en-US" w:eastAsia="zh-CN"/>
              </w:rPr>
              <w:t>0</w:t>
            </w:r>
            <w:r>
              <w:rPr>
                <w:rFonts w:hint="default" w:ascii="Times New Roman" w:hAnsi="Times New Roman" w:eastAsia="宋体" w:cs="Times New Roman"/>
                <w:color w:val="auto"/>
                <w:lang w:val="en-US" w:eastAsia="zh-CN"/>
              </w:rPr>
              <w:t>L啤酒桶</w:t>
            </w:r>
            <w:r>
              <w:rPr>
                <w:rFonts w:hint="default" w:ascii="Times New Roman" w:hAnsi="Times New Roman" w:eastAsia="宋体" w:cs="Times New Roman"/>
                <w:color w:val="auto"/>
                <w:lang w:val="en-GB" w:eastAsia="zh-CN"/>
              </w:rPr>
              <w:t>清洗</w:t>
            </w:r>
            <w:r>
              <w:rPr>
                <w:rFonts w:hint="default" w:ascii="Times New Roman" w:hAnsi="Times New Roman" w:eastAsia="宋体" w:cs="Times New Roman"/>
                <w:color w:val="auto"/>
                <w:lang w:val="en-US" w:eastAsia="zh-CN"/>
              </w:rPr>
              <w:t>用水量以0.0</w:t>
            </w:r>
            <w:r>
              <w:rPr>
                <w:rFonts w:hint="eastAsia" w:cs="Times New Roman"/>
                <w:color w:val="auto"/>
                <w:lang w:val="en-US" w:eastAsia="zh-CN"/>
              </w:rPr>
              <w:t>6</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/个啤酒桶计</w:t>
            </w:r>
            <w:r>
              <w:rPr>
                <w:rFonts w:hint="eastAsia" w:ascii="Times New Roman" w:hAnsi="Times New Roman" w:eastAsia="宋体" w:cs="Times New Roman"/>
                <w:color w:val="auto"/>
                <w:lang w:val="en-US" w:eastAsia="zh-CN"/>
              </w:rPr>
              <w:t>，</w:t>
            </w:r>
            <w:r>
              <w:rPr>
                <w:rFonts w:hint="default" w:ascii="Times New Roman" w:hAnsi="Times New Roman" w:eastAsia="宋体" w:cs="Times New Roman"/>
                <w:color w:val="auto"/>
                <w:lang w:val="en-US" w:eastAsia="zh-CN"/>
              </w:rPr>
              <w:t>本项目使</w:t>
            </w:r>
            <w:r>
              <w:rPr>
                <w:rFonts w:hint="eastAsia" w:ascii="Times New Roman" w:hAnsi="Times New Roman" w:eastAsia="宋体" w:cs="Times New Roman"/>
                <w:color w:val="auto"/>
                <w:lang w:val="en-US" w:eastAsia="zh-CN"/>
              </w:rPr>
              <w:t>用</w:t>
            </w:r>
            <w:r>
              <w:rPr>
                <w:rFonts w:hint="eastAsia" w:cs="Times New Roman"/>
                <w:color w:val="auto"/>
                <w:lang w:val="en-US" w:eastAsia="zh-CN"/>
              </w:rPr>
              <w:t>20</w:t>
            </w:r>
            <w:r>
              <w:rPr>
                <w:rFonts w:hint="eastAsia" w:ascii="Times New Roman" w:hAnsi="Times New Roman" w:eastAsia="宋体" w:cs="Times New Roman"/>
                <w:color w:val="auto"/>
                <w:lang w:val="en-US" w:eastAsia="zh-CN"/>
              </w:rPr>
              <w:t>L</w:t>
            </w:r>
            <w:r>
              <w:rPr>
                <w:rFonts w:hint="default" w:ascii="Times New Roman" w:hAnsi="Times New Roman" w:eastAsia="宋体" w:cs="Times New Roman"/>
                <w:color w:val="auto"/>
                <w:lang w:val="en-US" w:eastAsia="zh-CN"/>
              </w:rPr>
              <w:t>啤酒桶</w:t>
            </w:r>
            <w:r>
              <w:rPr>
                <w:rFonts w:hint="eastAsia" w:ascii="Times New Roman" w:hAnsi="Times New Roman" w:eastAsia="宋体" w:cs="Times New Roman"/>
                <w:color w:val="auto"/>
                <w:lang w:val="en-US" w:eastAsia="zh-CN"/>
              </w:rPr>
              <w:t>2</w:t>
            </w:r>
            <w:r>
              <w:rPr>
                <w:rFonts w:hint="eastAsia" w:cs="Times New Roman"/>
                <w:color w:val="auto"/>
                <w:lang w:val="en-US" w:eastAsia="zh-CN"/>
              </w:rPr>
              <w:t>0</w:t>
            </w:r>
            <w:r>
              <w:rPr>
                <w:rFonts w:hint="eastAsia" w:ascii="Times New Roman" w:hAnsi="Times New Roman" w:eastAsia="宋体" w:cs="Times New Roman"/>
                <w:color w:val="auto"/>
                <w:lang w:val="en-US" w:eastAsia="zh-CN"/>
              </w:rPr>
              <w:t>000</w:t>
            </w:r>
            <w:r>
              <w:rPr>
                <w:rFonts w:hint="default" w:ascii="Times New Roman" w:hAnsi="Times New Roman" w:eastAsia="宋体" w:cs="Times New Roman"/>
                <w:color w:val="auto"/>
                <w:lang w:val="en-US" w:eastAsia="zh-CN"/>
              </w:rPr>
              <w:t>个/a，则洗桶用水量为</w:t>
            </w:r>
            <w:r>
              <w:rPr>
                <w:rFonts w:hint="eastAsia" w:cs="Times New Roman"/>
                <w:color w:val="auto"/>
                <w:lang w:val="en-US" w:eastAsia="zh-CN"/>
              </w:rPr>
              <w:t>1200</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/a、</w:t>
            </w:r>
            <w:r>
              <w:rPr>
                <w:rFonts w:hint="eastAsia" w:cs="Times New Roman"/>
                <w:color w:val="auto"/>
                <w:lang w:val="en-US" w:eastAsia="zh-CN"/>
              </w:rPr>
              <w:t>4</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/d，排污系数按0.8计，废水量为</w:t>
            </w:r>
            <w:r>
              <w:rPr>
                <w:rFonts w:hint="eastAsia" w:cs="Times New Roman"/>
                <w:color w:val="auto"/>
                <w:lang w:val="en-US" w:eastAsia="zh-CN"/>
              </w:rPr>
              <w:t>3.2</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w:t>
            </w:r>
            <w:r>
              <w:rPr>
                <w:rFonts w:hint="eastAsia" w:cs="Times New Roman"/>
                <w:color w:val="auto"/>
                <w:lang w:val="en-US" w:eastAsia="zh-CN"/>
              </w:rPr>
              <w:t>d</w:t>
            </w:r>
            <w:r>
              <w:rPr>
                <w:rFonts w:hint="default" w:ascii="Times New Roman" w:hAnsi="Times New Roman" w:eastAsia="宋体" w:cs="Times New Roman"/>
                <w:color w:val="auto"/>
                <w:lang w:val="en-US" w:eastAsia="zh-CN"/>
              </w:rPr>
              <w:t>、</w:t>
            </w:r>
            <w:r>
              <w:rPr>
                <w:rFonts w:hint="eastAsia" w:cs="Times New Roman"/>
                <w:color w:val="auto"/>
                <w:lang w:val="en-US" w:eastAsia="zh-CN"/>
              </w:rPr>
              <w:t>960</w:t>
            </w:r>
            <w:r>
              <w:rPr>
                <w:rFonts w:hint="default" w:ascii="Times New Roman" w:hAnsi="Times New Roman" w:eastAsia="宋体" w:cs="Times New Roman"/>
                <w:color w:val="auto"/>
                <w:lang w:val="en-US" w:eastAsia="zh-CN"/>
              </w:rPr>
              <w:t>m</w:t>
            </w:r>
            <w:r>
              <w:rPr>
                <w:rFonts w:hint="default" w:ascii="Times New Roman" w:hAnsi="Times New Roman" w:eastAsia="宋体" w:cs="Times New Roman"/>
                <w:color w:val="auto"/>
                <w:vertAlign w:val="superscript"/>
                <w:lang w:val="en-US" w:eastAsia="zh-CN"/>
              </w:rPr>
              <w:t>3</w:t>
            </w:r>
            <w:r>
              <w:rPr>
                <w:rFonts w:hint="default" w:ascii="Times New Roman" w:hAnsi="Times New Roman" w:eastAsia="宋体" w:cs="Times New Roman"/>
                <w:color w:val="auto"/>
                <w:lang w:val="en-US" w:eastAsia="zh-CN"/>
              </w:rPr>
              <w:t>/</w:t>
            </w:r>
            <w:r>
              <w:rPr>
                <w:rFonts w:hint="eastAsia" w:cs="Times New Roman"/>
                <w:color w:val="auto"/>
                <w:lang w:val="en-US" w:eastAsia="zh-CN"/>
              </w:rPr>
              <w:t>a</w:t>
            </w:r>
            <w:r>
              <w:rPr>
                <w:rFonts w:hint="default" w:ascii="Times New Roman" w:hAnsi="Times New Roman" w:eastAsia="宋体" w:cs="Times New Roman"/>
                <w:color w:val="auto"/>
                <w:lang w:val="en-US" w:eastAsia="zh-CN"/>
              </w:rPr>
              <w:t>。</w:t>
            </w:r>
            <w:r>
              <w:rPr>
                <w:rFonts w:hint="eastAsia" w:cs="Times New Roman"/>
                <w:color w:val="auto"/>
                <w:lang w:val="en-US" w:eastAsia="zh-CN"/>
              </w:rPr>
              <w:t>则本项目清洗用水量共计4.9m</w:t>
            </w:r>
            <w:r>
              <w:rPr>
                <w:rFonts w:hint="eastAsia" w:cs="Times New Roman"/>
                <w:color w:val="auto"/>
                <w:vertAlign w:val="superscript"/>
                <w:lang w:val="en-US" w:eastAsia="zh-CN"/>
              </w:rPr>
              <w:t>3</w:t>
            </w:r>
            <w:r>
              <w:rPr>
                <w:rFonts w:hint="eastAsia" w:cs="Times New Roman"/>
                <w:color w:val="auto"/>
                <w:lang w:val="en-US" w:eastAsia="zh-CN"/>
              </w:rPr>
              <w:t>/d，1470m</w:t>
            </w:r>
            <w:r>
              <w:rPr>
                <w:rFonts w:hint="eastAsia" w:cs="Times New Roman"/>
                <w:color w:val="auto"/>
                <w:vertAlign w:val="superscript"/>
                <w:lang w:val="en-US" w:eastAsia="zh-CN"/>
              </w:rPr>
              <w:t>3</w:t>
            </w:r>
            <w:r>
              <w:rPr>
                <w:rFonts w:hint="eastAsia" w:cs="Times New Roman"/>
                <w:color w:val="auto"/>
                <w:lang w:val="en-US" w:eastAsia="zh-CN"/>
              </w:rPr>
              <w:t>/a，废水量为3.92m</w:t>
            </w:r>
            <w:r>
              <w:rPr>
                <w:rFonts w:hint="eastAsia" w:cs="Times New Roman"/>
                <w:color w:val="auto"/>
                <w:vertAlign w:val="superscript"/>
                <w:lang w:val="en-US" w:eastAsia="zh-CN"/>
              </w:rPr>
              <w:t>3</w:t>
            </w:r>
            <w:r>
              <w:rPr>
                <w:rFonts w:hint="eastAsia" w:cs="Times New Roman"/>
                <w:color w:val="auto"/>
                <w:lang w:val="en-US" w:eastAsia="zh-CN"/>
              </w:rPr>
              <w:t>/d，1176m</w:t>
            </w:r>
            <w:r>
              <w:rPr>
                <w:rFonts w:hint="eastAsia" w:cs="Times New Roman"/>
                <w:color w:val="auto"/>
                <w:vertAlign w:val="superscript"/>
                <w:lang w:val="en-US" w:eastAsia="zh-CN"/>
              </w:rPr>
              <w:t>3</w:t>
            </w:r>
            <w:r>
              <w:rPr>
                <w:rFonts w:hint="eastAsia" w:cs="Times New Roman"/>
                <w:color w:val="auto"/>
                <w:lang w:val="en-US" w:eastAsia="zh-CN"/>
              </w:rPr>
              <w:t>/a</w:t>
            </w:r>
          </w:p>
          <w:p w14:paraId="5B16F1A7">
            <w:pPr>
              <w:ind w:firstLine="480"/>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5、锅炉用水</w:t>
            </w:r>
          </w:p>
          <w:p w14:paraId="1A7EAC9B">
            <w:pPr>
              <w:ind w:firstLine="4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根据建设单位提供，本项目设置</w:t>
            </w:r>
            <w:r>
              <w:rPr>
                <w:rFonts w:hint="eastAsia" w:cs="Times New Roman"/>
                <w:color w:val="auto"/>
                <w:lang w:val="en-US" w:eastAsia="zh-CN"/>
              </w:rPr>
              <w:t>2</w:t>
            </w:r>
            <w:r>
              <w:rPr>
                <w:rFonts w:hint="eastAsia" w:ascii="Times New Roman" w:hAnsi="Times New Roman" w:eastAsia="宋体" w:cs="Times New Roman"/>
                <w:color w:val="auto"/>
                <w:lang w:val="en-US" w:eastAsia="zh-CN"/>
              </w:rPr>
              <w:t>台</w:t>
            </w:r>
            <w:r>
              <w:rPr>
                <w:rFonts w:hint="eastAsia" w:cs="Times New Roman"/>
                <w:color w:val="auto"/>
                <w:lang w:val="en-US" w:eastAsia="zh-CN"/>
              </w:rPr>
              <w:t>（一备一用）</w:t>
            </w:r>
            <w:r>
              <w:rPr>
                <w:rFonts w:hint="eastAsia" w:ascii="Times New Roman" w:hAnsi="Times New Roman" w:eastAsia="宋体" w:cs="Times New Roman"/>
                <w:color w:val="auto"/>
                <w:lang w:val="en-US" w:eastAsia="zh-CN"/>
              </w:rPr>
              <w:t>0.5t/h的</w:t>
            </w:r>
            <w:r>
              <w:rPr>
                <w:rFonts w:hint="eastAsia" w:cs="Times New Roman"/>
                <w:color w:val="auto"/>
                <w:lang w:val="en-US" w:eastAsia="zh-CN"/>
              </w:rPr>
              <w:t>燃气锅炉</w:t>
            </w:r>
            <w:r>
              <w:rPr>
                <w:rFonts w:hint="eastAsia" w:ascii="Times New Roman" w:hAnsi="Times New Roman" w:eastAsia="宋体" w:cs="Times New Roman"/>
                <w:color w:val="auto"/>
                <w:lang w:val="en-US" w:eastAsia="zh-CN"/>
              </w:rPr>
              <w:t>，锅炉每天工作8小时，年工作300d，锅炉每天蒸汽量为4t</w:t>
            </w:r>
            <w:r>
              <w:rPr>
                <w:rFonts w:hint="eastAsia" w:cs="Times New Roman"/>
                <w:color w:val="auto"/>
                <w:lang w:val="en-US" w:eastAsia="zh-CN"/>
              </w:rPr>
              <w:t>/d</w:t>
            </w:r>
            <w:r>
              <w:rPr>
                <w:rFonts w:hint="eastAsia" w:ascii="Times New Roman" w:hAnsi="Times New Roman" w:eastAsia="宋体" w:cs="Times New Roman"/>
                <w:color w:val="auto"/>
                <w:lang w:val="en-US" w:eastAsia="zh-CN"/>
              </w:rPr>
              <w:t>，蒸汽全部冷凝回用，蒸汽损失量按</w:t>
            </w:r>
            <w:r>
              <w:rPr>
                <w:rFonts w:hint="eastAsia" w:cs="Times New Roman"/>
                <w:color w:val="auto"/>
                <w:lang w:val="en-US" w:eastAsia="zh-CN"/>
              </w:rPr>
              <w:t>2</w:t>
            </w:r>
            <w:r>
              <w:rPr>
                <w:rFonts w:hint="eastAsia" w:ascii="Times New Roman" w:hAnsi="Times New Roman" w:eastAsia="宋体" w:cs="Times New Roman"/>
                <w:color w:val="auto"/>
                <w:lang w:val="en-US" w:eastAsia="zh-CN"/>
              </w:rPr>
              <w:t>%计，则损耗量为</w:t>
            </w:r>
            <w:r>
              <w:rPr>
                <w:rFonts w:hint="eastAsia" w:cs="Times New Roman"/>
                <w:color w:val="auto"/>
                <w:lang w:val="en-US" w:eastAsia="zh-CN"/>
              </w:rPr>
              <w:t>0.08</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/d，</w:t>
            </w:r>
            <w:r>
              <w:rPr>
                <w:rFonts w:hint="eastAsia" w:cs="Times New Roman"/>
                <w:color w:val="auto"/>
                <w:lang w:val="en-US" w:eastAsia="zh-CN"/>
              </w:rPr>
              <w:t>24</w:t>
            </w:r>
            <w:r>
              <w:rPr>
                <w:rFonts w:hint="eastAsia" w:ascii="Times New Roman" w:hAnsi="Times New Roman" w:eastAsia="宋体" w:cs="Times New Roman"/>
                <w:color w:val="auto"/>
                <w:lang w:val="en-US" w:eastAsia="zh-CN"/>
              </w:rPr>
              <w:t>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/a。</w:t>
            </w:r>
          </w:p>
          <w:p w14:paraId="4B760ECD">
            <w:pPr>
              <w:ind w:firstLine="4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在锅炉运行过程中，水被加热后产生蒸汽，蒸汽通过管道进入供热系统进行能量转换，蒸汽温度降低后形成凝结水回到锅炉完成循环。水在循环过程中产生一定损耗，同时由于不断地蒸发、浓缩，水的含盐量不断地增加，为了保持炉水的质量和排除锅炉底部的泥渣、水垢等杂质，需定期对锅炉进行排污，即定期排污。</w:t>
            </w:r>
          </w:p>
          <w:p w14:paraId="1FA18727">
            <w:pPr>
              <w:ind w:firstLine="4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根据《排放源统计调查产排污核算方法和系数手册》（生态环境部2021年第24号令）-4430 工业锅炉（热力供应）行业系数手册，</w:t>
            </w:r>
            <w:r>
              <w:rPr>
                <w:rFonts w:hint="eastAsia" w:cs="Times New Roman"/>
                <w:color w:val="auto"/>
                <w:lang w:val="en-US" w:eastAsia="zh-CN"/>
              </w:rPr>
              <w:t>燃气锅炉</w:t>
            </w:r>
            <w:r>
              <w:rPr>
                <w:rFonts w:hint="eastAsia" w:ascii="Times New Roman" w:hAnsi="Times New Roman" w:eastAsia="宋体" w:cs="Times New Roman"/>
                <w:color w:val="auto"/>
                <w:lang w:val="en-US" w:eastAsia="zh-CN"/>
              </w:rPr>
              <w:t>产生废水（锅炉排污水）按</w:t>
            </w:r>
            <w:r>
              <w:rPr>
                <w:rFonts w:hint="eastAsia" w:cs="Times New Roman"/>
                <w:color w:val="auto"/>
                <w:lang w:val="en-US" w:eastAsia="zh-CN"/>
              </w:rPr>
              <w:t>9.86</w:t>
            </w:r>
            <w:r>
              <w:rPr>
                <w:rFonts w:hint="eastAsia" w:ascii="Times New Roman" w:hAnsi="Times New Roman" w:eastAsia="宋体" w:cs="Times New Roman"/>
                <w:color w:val="auto"/>
                <w:lang w:val="en-US" w:eastAsia="zh-CN"/>
              </w:rPr>
              <w:t>吨/</w:t>
            </w:r>
            <w:r>
              <w:rPr>
                <w:rFonts w:hint="eastAsia" w:cs="Times New Roman"/>
                <w:color w:val="auto"/>
                <w:lang w:val="en-US" w:eastAsia="zh-CN"/>
              </w:rPr>
              <w:t>万立方米-</w:t>
            </w:r>
            <w:r>
              <w:rPr>
                <w:rFonts w:hint="eastAsia" w:ascii="Times New Roman" w:hAnsi="Times New Roman" w:eastAsia="宋体" w:cs="Times New Roman"/>
                <w:color w:val="auto"/>
                <w:lang w:val="en-US" w:eastAsia="zh-CN"/>
              </w:rPr>
              <w:t>燃料计。本项目锅炉满负荷运行时</w:t>
            </w:r>
            <w:r>
              <w:rPr>
                <w:rFonts w:hint="eastAsia" w:cs="Times New Roman"/>
                <w:color w:val="auto"/>
                <w:lang w:val="en-US" w:eastAsia="zh-CN"/>
              </w:rPr>
              <w:t>天然气</w:t>
            </w:r>
            <w:r>
              <w:rPr>
                <w:rFonts w:hint="eastAsia" w:ascii="Times New Roman" w:hAnsi="Times New Roman" w:eastAsia="宋体" w:cs="Times New Roman"/>
                <w:color w:val="auto"/>
                <w:lang w:val="en-US" w:eastAsia="zh-CN"/>
              </w:rPr>
              <w:t>消耗量为</w:t>
            </w:r>
            <w:r>
              <w:rPr>
                <w:rFonts w:hint="eastAsia" w:cs="Times New Roman"/>
                <w:color w:val="auto"/>
                <w:lang w:val="en-US" w:eastAsia="zh-CN"/>
              </w:rPr>
              <w:t>9.6万m</w:t>
            </w:r>
            <w:r>
              <w:rPr>
                <w:rFonts w:hint="eastAsia" w:cs="Times New Roman"/>
                <w:color w:val="auto"/>
                <w:vertAlign w:val="superscript"/>
                <w:lang w:val="en-US" w:eastAsia="zh-CN"/>
              </w:rPr>
              <w:t>3</w:t>
            </w:r>
            <w:r>
              <w:rPr>
                <w:rFonts w:hint="eastAsia" w:ascii="Times New Roman" w:hAnsi="Times New Roman" w:eastAsia="宋体" w:cs="Times New Roman"/>
                <w:color w:val="auto"/>
                <w:lang w:val="en-US" w:eastAsia="zh-CN"/>
              </w:rPr>
              <w:t>/a，则锅炉排污水产生量为</w:t>
            </w:r>
            <w:r>
              <w:rPr>
                <w:rFonts w:hint="eastAsia" w:cs="Times New Roman"/>
                <w:color w:val="auto"/>
                <w:lang w:val="en-US" w:eastAsia="zh-CN"/>
              </w:rPr>
              <w:t>0.316</w:t>
            </w:r>
            <w:r>
              <w:rPr>
                <w:rFonts w:hint="eastAsia" w:ascii="Times New Roman" w:hAnsi="Times New Roman" w:eastAsia="宋体" w:cs="Times New Roman"/>
                <w:color w:val="auto"/>
                <w:lang w:val="en-US" w:eastAsia="zh-CN"/>
              </w:rPr>
              <w:t>t/d，</w:t>
            </w:r>
            <w:r>
              <w:rPr>
                <w:rFonts w:hint="eastAsia" w:cs="Times New Roman"/>
                <w:color w:val="auto"/>
                <w:lang w:val="en-US" w:eastAsia="zh-CN"/>
              </w:rPr>
              <w:t>94.656</w:t>
            </w:r>
            <w:r>
              <w:rPr>
                <w:rFonts w:hint="eastAsia" w:ascii="Times New Roman" w:hAnsi="Times New Roman" w:eastAsia="宋体" w:cs="Times New Roman"/>
                <w:color w:val="auto"/>
                <w:lang w:val="en-US" w:eastAsia="zh-CN"/>
              </w:rPr>
              <w:t>t/a。</w:t>
            </w:r>
          </w:p>
          <w:p w14:paraId="37336ACF">
            <w:pPr>
              <w:ind w:firstLine="4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锅炉补水量为损耗水量和排污水量</w:t>
            </w:r>
            <w:r>
              <w:rPr>
                <w:rFonts w:hint="eastAsia" w:cs="Times New Roman"/>
                <w:color w:val="auto"/>
                <w:lang w:val="en-US" w:eastAsia="zh-CN"/>
              </w:rPr>
              <w:t>之和</w:t>
            </w:r>
            <w:r>
              <w:rPr>
                <w:rFonts w:hint="eastAsia" w:ascii="Times New Roman" w:hAnsi="Times New Roman" w:eastAsia="宋体" w:cs="Times New Roman"/>
                <w:color w:val="auto"/>
                <w:lang w:val="en-US" w:eastAsia="zh-CN"/>
              </w:rPr>
              <w:t>，即</w:t>
            </w:r>
            <w:r>
              <w:rPr>
                <w:rFonts w:hint="eastAsia" w:cs="Times New Roman"/>
                <w:color w:val="auto"/>
                <w:lang w:val="en-US" w:eastAsia="zh-CN"/>
              </w:rPr>
              <w:t>0.396</w:t>
            </w:r>
            <w:r>
              <w:rPr>
                <w:rFonts w:hint="eastAsia" w:ascii="Times New Roman" w:hAnsi="Times New Roman" w:eastAsia="宋体" w:cs="Times New Roman"/>
                <w:color w:val="auto"/>
                <w:lang w:val="en-US" w:eastAsia="zh-CN"/>
              </w:rPr>
              <w:t>t/d，</w:t>
            </w:r>
            <w:r>
              <w:rPr>
                <w:rFonts w:hint="eastAsia" w:cs="Times New Roman"/>
                <w:color w:val="auto"/>
                <w:lang w:val="en-US" w:eastAsia="zh-CN"/>
              </w:rPr>
              <w:t>118.656</w:t>
            </w:r>
            <w:r>
              <w:rPr>
                <w:rFonts w:hint="eastAsia" w:ascii="Times New Roman" w:hAnsi="Times New Roman" w:eastAsia="宋体" w:cs="Times New Roman"/>
                <w:color w:val="auto"/>
                <w:lang w:val="en-US" w:eastAsia="zh-CN"/>
              </w:rPr>
              <w:t>t/a</w:t>
            </w:r>
            <w:r>
              <w:rPr>
                <w:rFonts w:hint="eastAsia" w:cs="Times New Roman"/>
                <w:color w:val="auto"/>
                <w:lang w:val="en-US" w:eastAsia="zh-CN"/>
              </w:rPr>
              <w:t>。</w:t>
            </w:r>
          </w:p>
          <w:p w14:paraId="24B33046">
            <w:pPr>
              <w:ind w:firstLine="480"/>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6、发酵酒工艺用水</w:t>
            </w:r>
          </w:p>
          <w:p w14:paraId="1798623E">
            <w:pPr>
              <w:ind w:firstLine="480"/>
              <w:rPr>
                <w:rFonts w:hint="eastAsia" w:cs="Times New Roman"/>
                <w:color w:val="auto"/>
                <w:lang w:val="en-US" w:eastAsia="zh-CN"/>
              </w:rPr>
            </w:pPr>
            <w:r>
              <w:rPr>
                <w:rFonts w:hint="eastAsia" w:cs="Times New Roman"/>
                <w:color w:val="auto"/>
                <w:lang w:val="en-US" w:eastAsia="zh-CN"/>
              </w:rPr>
              <w:t>根据项目物料平衡可知，发酵酒用水量为90.133m</w:t>
            </w:r>
            <w:r>
              <w:rPr>
                <w:rFonts w:hint="eastAsia" w:cs="Times New Roman"/>
                <w:color w:val="auto"/>
                <w:vertAlign w:val="superscript"/>
                <w:lang w:val="en-US" w:eastAsia="zh-CN"/>
              </w:rPr>
              <w:t>3</w:t>
            </w:r>
            <w:r>
              <w:rPr>
                <w:rFonts w:hint="eastAsia" w:cs="Times New Roman"/>
                <w:color w:val="auto"/>
                <w:lang w:val="en-US" w:eastAsia="zh-CN"/>
              </w:rPr>
              <w:t>/a，0.3004m</w:t>
            </w:r>
            <w:r>
              <w:rPr>
                <w:rFonts w:hint="eastAsia" w:cs="Times New Roman"/>
                <w:color w:val="auto"/>
                <w:vertAlign w:val="superscript"/>
                <w:lang w:val="en-US" w:eastAsia="zh-CN"/>
              </w:rPr>
              <w:t>3</w:t>
            </w:r>
            <w:r>
              <w:rPr>
                <w:rFonts w:hint="eastAsia" w:cs="Times New Roman"/>
                <w:color w:val="auto"/>
                <w:lang w:val="en-US" w:eastAsia="zh-CN"/>
              </w:rPr>
              <w:t>/d，酿造水除大部分进入产品外，另有部分随过滤的沉淀渣、废酵母等固废排出，固废含水率约为80%，在固废暂存罐底部形成渗滤液，经管道收集排入一体化污水处理设施处理。</w:t>
            </w:r>
          </w:p>
          <w:p w14:paraId="2F91F906">
            <w:pPr>
              <w:ind w:firstLine="480"/>
              <w:rPr>
                <w:rFonts w:hint="default" w:cs="Times New Roman"/>
                <w:color w:val="auto"/>
                <w:lang w:val="en-US" w:eastAsia="zh-CN"/>
              </w:rPr>
            </w:pPr>
            <w:r>
              <w:rPr>
                <w:rFonts w:hint="eastAsia" w:cs="Times New Roman"/>
                <w:color w:val="auto"/>
                <w:lang w:val="en-US" w:eastAsia="zh-CN"/>
              </w:rPr>
              <w:t>项目沉淀渣、废酵母等固废产生量为4.75t/a，固废暂存渗滤液产生量按15%考虑，则渗滤液产生量为0.0024m</w:t>
            </w:r>
            <w:r>
              <w:rPr>
                <w:rFonts w:hint="eastAsia" w:cs="Times New Roman"/>
                <w:color w:val="auto"/>
                <w:vertAlign w:val="superscript"/>
                <w:lang w:val="en-US" w:eastAsia="zh-CN"/>
              </w:rPr>
              <w:t>3</w:t>
            </w:r>
            <w:r>
              <w:rPr>
                <w:rFonts w:hint="eastAsia" w:cs="Times New Roman"/>
                <w:color w:val="auto"/>
                <w:lang w:val="en-US" w:eastAsia="zh-CN"/>
              </w:rPr>
              <w:t>/d，0.713m</w:t>
            </w:r>
            <w:r>
              <w:rPr>
                <w:rFonts w:hint="eastAsia" w:cs="Times New Roman"/>
                <w:color w:val="auto"/>
                <w:vertAlign w:val="superscript"/>
                <w:lang w:val="en-US" w:eastAsia="zh-CN"/>
              </w:rPr>
              <w:t>3</w:t>
            </w:r>
            <w:r>
              <w:rPr>
                <w:rFonts w:hint="eastAsia" w:cs="Times New Roman"/>
                <w:color w:val="auto"/>
                <w:lang w:val="en-US" w:eastAsia="zh-CN"/>
              </w:rPr>
              <w:t>/a。</w:t>
            </w:r>
          </w:p>
          <w:p w14:paraId="50CA2286">
            <w:pPr>
              <w:ind w:firstLine="480"/>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7、</w:t>
            </w:r>
            <w:r>
              <w:rPr>
                <w:rFonts w:hint="eastAsia" w:cs="Times New Roman"/>
                <w:b/>
                <w:bCs/>
                <w:color w:val="auto"/>
                <w:lang w:val="en-US" w:eastAsia="zh-CN"/>
              </w:rPr>
              <w:t>调配</w:t>
            </w:r>
            <w:r>
              <w:rPr>
                <w:rFonts w:hint="eastAsia" w:ascii="Times New Roman" w:hAnsi="Times New Roman" w:eastAsia="宋体" w:cs="Times New Roman"/>
                <w:b/>
                <w:bCs/>
                <w:color w:val="auto"/>
                <w:lang w:val="en-US" w:eastAsia="zh-CN"/>
              </w:rPr>
              <w:t>用水</w:t>
            </w:r>
          </w:p>
          <w:p w14:paraId="668FBDA5">
            <w:pPr>
              <w:ind w:firstLine="480"/>
              <w:rPr>
                <w:rFonts w:hint="default" w:cs="Times New Roman"/>
                <w:color w:val="auto"/>
                <w:lang w:val="en-US" w:eastAsia="zh-CN"/>
              </w:rPr>
            </w:pPr>
            <w:r>
              <w:rPr>
                <w:rFonts w:hint="eastAsia" w:cs="Times New Roman"/>
                <w:color w:val="auto"/>
                <w:lang w:val="en-US" w:eastAsia="zh-CN"/>
              </w:rPr>
              <w:t>本项目饮料、配制酒都需要进行调配，根据物料平衡可知，年产100t饮料，辅料用量约占饮料的20.25%，则需要加水79.75t/a，则约为0.266m</w:t>
            </w:r>
            <w:r>
              <w:rPr>
                <w:rFonts w:hint="eastAsia" w:cs="Times New Roman"/>
                <w:color w:val="auto"/>
                <w:vertAlign w:val="superscript"/>
                <w:lang w:val="en-US" w:eastAsia="zh-CN"/>
              </w:rPr>
              <w:t>3</w:t>
            </w:r>
            <w:r>
              <w:rPr>
                <w:rFonts w:hint="eastAsia" w:cs="Times New Roman"/>
                <w:color w:val="auto"/>
                <w:lang w:val="en-US" w:eastAsia="zh-CN"/>
              </w:rPr>
              <w:t>/d，79.75m</w:t>
            </w:r>
            <w:r>
              <w:rPr>
                <w:rFonts w:hint="eastAsia" w:cs="Times New Roman"/>
                <w:color w:val="auto"/>
                <w:vertAlign w:val="superscript"/>
                <w:lang w:val="en-US" w:eastAsia="zh-CN"/>
              </w:rPr>
              <w:t>3</w:t>
            </w:r>
            <w:r>
              <w:rPr>
                <w:rFonts w:hint="eastAsia" w:cs="Times New Roman"/>
                <w:color w:val="auto"/>
                <w:lang w:val="en-US" w:eastAsia="zh-CN"/>
              </w:rPr>
              <w:t>/a，全部进入产品中；根据建设单位提供配制酒调配，原酒、水果浓缩汁和纯水的混合比例约为2:1:17，项目年产气配制酒200t，因此需要纯水170m</w:t>
            </w:r>
            <w:r>
              <w:rPr>
                <w:rFonts w:hint="eastAsia" w:cs="Times New Roman"/>
                <w:color w:val="auto"/>
                <w:vertAlign w:val="superscript"/>
                <w:lang w:val="en-US" w:eastAsia="zh-CN"/>
              </w:rPr>
              <w:t>3</w:t>
            </w:r>
            <w:r>
              <w:rPr>
                <w:rFonts w:hint="eastAsia" w:cs="Times New Roman"/>
                <w:color w:val="auto"/>
                <w:lang w:val="en-US" w:eastAsia="zh-CN"/>
              </w:rPr>
              <w:t>/a（0.567m</w:t>
            </w:r>
            <w:r>
              <w:rPr>
                <w:rFonts w:hint="eastAsia" w:cs="Times New Roman"/>
                <w:color w:val="auto"/>
                <w:vertAlign w:val="superscript"/>
                <w:lang w:val="en-US" w:eastAsia="zh-CN"/>
              </w:rPr>
              <w:t>3</w:t>
            </w:r>
            <w:r>
              <w:rPr>
                <w:rFonts w:hint="eastAsia" w:cs="Times New Roman"/>
                <w:color w:val="auto"/>
                <w:lang w:val="en-US" w:eastAsia="zh-CN"/>
              </w:rPr>
              <w:t>/d），故本项目调配用水共计0.833m</w:t>
            </w:r>
            <w:r>
              <w:rPr>
                <w:rFonts w:hint="eastAsia" w:cs="Times New Roman"/>
                <w:color w:val="auto"/>
                <w:vertAlign w:val="superscript"/>
                <w:lang w:val="en-US" w:eastAsia="zh-CN"/>
              </w:rPr>
              <w:t>3</w:t>
            </w:r>
            <w:r>
              <w:rPr>
                <w:rFonts w:hint="eastAsia" w:cs="Times New Roman"/>
                <w:color w:val="auto"/>
                <w:lang w:val="en-US" w:eastAsia="zh-CN"/>
              </w:rPr>
              <w:t>/d，249.75m</w:t>
            </w:r>
            <w:r>
              <w:rPr>
                <w:rFonts w:hint="eastAsia" w:cs="Times New Roman"/>
                <w:color w:val="auto"/>
                <w:vertAlign w:val="superscript"/>
                <w:lang w:val="en-US" w:eastAsia="zh-CN"/>
              </w:rPr>
              <w:t>3</w:t>
            </w:r>
            <w:r>
              <w:rPr>
                <w:rFonts w:hint="eastAsia" w:cs="Times New Roman"/>
                <w:color w:val="auto"/>
                <w:lang w:val="en-US" w:eastAsia="zh-CN"/>
              </w:rPr>
              <w:t>/a。</w:t>
            </w:r>
          </w:p>
          <w:p w14:paraId="7BB3E408">
            <w:pPr>
              <w:ind w:firstLine="480"/>
              <w:rPr>
                <w:rFonts w:hint="default" w:cs="Times New Roman"/>
                <w:b/>
                <w:bCs/>
                <w:color w:val="auto"/>
                <w:lang w:val="en-US" w:eastAsia="zh-CN"/>
              </w:rPr>
            </w:pPr>
            <w:r>
              <w:rPr>
                <w:rFonts w:hint="eastAsia" w:cs="Times New Roman"/>
                <w:b/>
                <w:bCs/>
                <w:color w:val="auto"/>
                <w:lang w:val="en-US" w:eastAsia="zh-CN"/>
              </w:rPr>
              <w:t>8、检验室用水</w:t>
            </w:r>
          </w:p>
          <w:p w14:paraId="0C653351">
            <w:pPr>
              <w:ind w:firstLine="480"/>
              <w:rPr>
                <w:rFonts w:hint="default" w:cs="Times New Roman"/>
                <w:b w:val="0"/>
                <w:bCs w:val="0"/>
                <w:color w:val="auto"/>
                <w:lang w:val="en-US" w:eastAsia="zh-CN"/>
              </w:rPr>
            </w:pPr>
            <w:r>
              <w:rPr>
                <w:rFonts w:hint="eastAsia" w:cs="Times New Roman"/>
                <w:b w:val="0"/>
                <w:bCs w:val="0"/>
                <w:color w:val="auto"/>
                <w:lang w:val="en-US" w:eastAsia="zh-CN"/>
              </w:rPr>
              <w:t>项目检验室用水主要为配置溶液及设备清洗，啤酒成品进行指标检测品质测定，主要检测内容包括：总酸、色度、二氧化碳含量、酒精度、麦汁浓度等，不涉及有毒化学品试剂，用水为纯水，根据建设单位提供的资料，用水量为0.1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/d，30m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/a，产污系数按0.8计，则质检废水产生量为0.08m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/d，24m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p>
          <w:p w14:paraId="53704BBA">
            <w:pPr>
              <w:ind w:firstLine="480"/>
              <w:rPr>
                <w:rFonts w:hint="default" w:cs="Times New Roman"/>
                <w:b/>
                <w:bCs/>
                <w:color w:val="auto"/>
                <w:lang w:val="en-US" w:eastAsia="zh-CN"/>
              </w:rPr>
            </w:pPr>
            <w:r>
              <w:rPr>
                <w:rFonts w:hint="eastAsia" w:cs="Times New Roman"/>
                <w:b/>
                <w:bCs/>
                <w:color w:val="auto"/>
                <w:lang w:val="en-US" w:eastAsia="zh-CN"/>
              </w:rPr>
              <w:t>9、纯水制备用水</w:t>
            </w:r>
          </w:p>
          <w:p w14:paraId="24819E29">
            <w:pPr>
              <w:ind w:firstLine="480"/>
              <w:rPr>
                <w:rFonts w:hint="eastAsia" w:cs="Times New Roman"/>
                <w:b w:val="0"/>
                <w:bCs w:val="0"/>
                <w:color w:val="auto"/>
                <w:lang w:val="en-US" w:eastAsia="zh-CN"/>
              </w:rPr>
            </w:pPr>
            <w:r>
              <w:rPr>
                <w:rFonts w:hint="eastAsia" w:cs="Times New Roman"/>
                <w:b w:val="0"/>
                <w:bCs w:val="0"/>
                <w:color w:val="auto"/>
                <w:lang w:val="en-US" w:eastAsia="zh-CN"/>
              </w:rPr>
              <w:t>以上糖化用水、冷却用水、CIP清洗用水、包装瓶清洗用水、锅炉用水、发酵酒工艺用水、调配用水、检验室用水等均使用纯水，来源于1台纯水制备设备，合计用纯水为3567.0345m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/a。本项目使用的纯水机制水工艺为RO膜反渗透过滤制水，纯水制备率按照75%计，则用新鲜水量约为3567.0345÷75%=4756.046m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p>
          <w:p w14:paraId="0598BDBA">
            <w:pPr>
              <w:ind w:firstLine="480"/>
              <w:rPr>
                <w:rFonts w:hint="eastAsia" w:cs="Times New Roman"/>
                <w:b w:val="0"/>
                <w:bCs w:val="0"/>
                <w:color w:val="auto"/>
                <w:lang w:val="en-US" w:eastAsia="zh-CN"/>
              </w:rPr>
            </w:pPr>
            <w:r>
              <w:rPr>
                <w:rFonts w:hint="eastAsia" w:cs="Times New Roman"/>
                <w:b w:val="0"/>
                <w:bCs w:val="0"/>
                <w:color w:val="auto"/>
                <w:lang w:val="en-US" w:eastAsia="zh-CN"/>
              </w:rPr>
              <w:t>根据以上分析，则浓水产生量为新鲜水使用量-纯水产生量=4756.046-3567.0345=1189.0115m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/a。</w:t>
            </w:r>
          </w:p>
          <w:p w14:paraId="715DC1DB">
            <w:pPr>
              <w:ind w:firstLine="480"/>
              <w:rPr>
                <w:rFonts w:hint="default" w:cs="Times New Roman"/>
                <w:b/>
                <w:bCs/>
                <w:color w:val="auto"/>
                <w:lang w:val="en-US" w:eastAsia="zh-CN"/>
              </w:rPr>
            </w:pPr>
            <w:r>
              <w:rPr>
                <w:rFonts w:hint="eastAsia" w:cs="Times New Roman"/>
                <w:b/>
                <w:bCs/>
                <w:color w:val="auto"/>
                <w:lang w:val="en-US" w:eastAsia="zh-CN"/>
              </w:rPr>
              <w:t>10、</w:t>
            </w:r>
            <w:r>
              <w:rPr>
                <w:rFonts w:hint="default" w:cs="Times New Roman"/>
                <w:b/>
                <w:bCs/>
                <w:color w:val="auto"/>
                <w:lang w:val="en-US" w:eastAsia="zh-CN"/>
              </w:rPr>
              <w:t>地面冲洗用水</w:t>
            </w:r>
          </w:p>
          <w:p w14:paraId="5EBF7134">
            <w:pPr>
              <w:ind w:firstLine="480"/>
              <w:rPr>
                <w:rFonts w:hint="default" w:cs="Times New Roman"/>
                <w:color w:val="auto"/>
                <w:lang w:val="en-US" w:eastAsia="zh-CN"/>
              </w:rPr>
            </w:pPr>
            <w:r>
              <w:rPr>
                <w:rFonts w:hint="default" w:cs="Times New Roman"/>
                <w:color w:val="auto"/>
                <w:lang w:val="en-US" w:eastAsia="zh-CN"/>
              </w:rPr>
              <w:t>项目运营过程中，发酵、糖化灌装车间</w:t>
            </w:r>
            <w:r>
              <w:rPr>
                <w:rFonts w:hint="eastAsia" w:cs="Times New Roman"/>
                <w:color w:val="auto"/>
                <w:lang w:val="en-US" w:eastAsia="zh-CN"/>
              </w:rPr>
              <w:t>、</w:t>
            </w:r>
            <w:r>
              <w:rPr>
                <w:rFonts w:hint="default" w:cs="Times New Roman"/>
                <w:color w:val="auto"/>
                <w:lang w:val="en-US" w:eastAsia="zh-CN"/>
              </w:rPr>
              <w:t>杀毒、包装车间</w:t>
            </w:r>
            <w:r>
              <w:rPr>
                <w:rFonts w:hint="eastAsia" w:cs="Times New Roman"/>
                <w:color w:val="auto"/>
                <w:lang w:val="en-US" w:eastAsia="zh-CN"/>
              </w:rPr>
              <w:t>等</w:t>
            </w:r>
            <w:r>
              <w:rPr>
                <w:rFonts w:hint="default" w:cs="Times New Roman"/>
                <w:color w:val="auto"/>
                <w:lang w:val="en-US" w:eastAsia="zh-CN"/>
              </w:rPr>
              <w:t>区域地坪需要清洁，根据《建筑给水排水设计规范》（GB50015-2003）中地坪冲洗水用量为2~3L/m</w:t>
            </w:r>
            <w:r>
              <w:rPr>
                <w:rFonts w:hint="default" w:cs="Times New Roman"/>
                <w:color w:val="auto"/>
                <w:vertAlign w:val="superscript"/>
                <w:lang w:val="en-US" w:eastAsia="zh-CN"/>
              </w:rPr>
              <w:t>2</w:t>
            </w:r>
            <w:r>
              <w:rPr>
                <w:rFonts w:hint="default" w:cs="Times New Roman"/>
                <w:color w:val="auto"/>
                <w:lang w:val="en-US" w:eastAsia="zh-CN"/>
              </w:rPr>
              <w:t>，本项目地坪冲洗采用高压水枪冲洗，本次冲洗用水标准取</w:t>
            </w:r>
            <w:r>
              <w:rPr>
                <w:rFonts w:hint="eastAsia" w:cs="Times New Roman"/>
                <w:color w:val="auto"/>
                <w:lang w:val="en-US" w:eastAsia="zh-CN"/>
              </w:rPr>
              <w:t>3</w:t>
            </w:r>
            <w:r>
              <w:rPr>
                <w:rFonts w:hint="default" w:cs="Times New Roman"/>
                <w:color w:val="auto"/>
                <w:lang w:val="en-US" w:eastAsia="zh-CN"/>
              </w:rPr>
              <w:t>L/m</w:t>
            </w:r>
            <w:r>
              <w:rPr>
                <w:rFonts w:hint="default" w:cs="Times New Roman"/>
                <w:color w:val="auto"/>
                <w:vertAlign w:val="superscript"/>
                <w:lang w:val="en-US" w:eastAsia="zh-CN"/>
              </w:rPr>
              <w:t>2</w:t>
            </w:r>
            <w:r>
              <w:rPr>
                <w:rFonts w:hint="default" w:cs="Times New Roman"/>
                <w:color w:val="auto"/>
                <w:lang w:val="en-US" w:eastAsia="zh-CN"/>
              </w:rPr>
              <w:t>·次计，本项目冲洗地面积约</w:t>
            </w:r>
            <w:r>
              <w:rPr>
                <w:rFonts w:hint="eastAsia" w:cs="Times New Roman"/>
                <w:color w:val="auto"/>
                <w:lang w:val="en-US" w:eastAsia="zh-CN"/>
              </w:rPr>
              <w:t>733.85</w:t>
            </w:r>
            <w:r>
              <w:rPr>
                <w:rFonts w:hint="default" w:cs="Times New Roman"/>
                <w:color w:val="auto"/>
                <w:lang w:val="en-US" w:eastAsia="zh-CN"/>
              </w:rPr>
              <w:t>m</w:t>
            </w:r>
            <w:r>
              <w:rPr>
                <w:rFonts w:hint="default" w:cs="Times New Roman"/>
                <w:color w:val="auto"/>
                <w:vertAlign w:val="superscript"/>
                <w:lang w:val="en-US" w:eastAsia="zh-CN"/>
              </w:rPr>
              <w:t>2</w:t>
            </w:r>
            <w:r>
              <w:rPr>
                <w:rFonts w:hint="default" w:cs="Times New Roman"/>
                <w:color w:val="auto"/>
                <w:lang w:val="en-US" w:eastAsia="zh-CN"/>
              </w:rPr>
              <w:t>，每</w:t>
            </w:r>
            <w:r>
              <w:rPr>
                <w:rFonts w:hint="eastAsia" w:cs="Times New Roman"/>
                <w:color w:val="auto"/>
                <w:lang w:val="en-US" w:eastAsia="zh-CN"/>
              </w:rPr>
              <w:t>天</w:t>
            </w:r>
            <w:r>
              <w:rPr>
                <w:rFonts w:hint="default" w:cs="Times New Roman"/>
                <w:color w:val="auto"/>
                <w:lang w:val="en-US" w:eastAsia="zh-CN"/>
              </w:rPr>
              <w:t>清洗一次，</w:t>
            </w:r>
            <w:r>
              <w:rPr>
                <w:rFonts w:hint="eastAsia" w:cs="Times New Roman"/>
                <w:color w:val="auto"/>
                <w:lang w:val="en-US" w:eastAsia="zh-CN"/>
              </w:rPr>
              <w:t>一年共计清洗300次，</w:t>
            </w:r>
            <w:r>
              <w:rPr>
                <w:rFonts w:hint="default" w:cs="Times New Roman"/>
                <w:color w:val="auto"/>
                <w:lang w:val="en-US" w:eastAsia="zh-CN"/>
              </w:rPr>
              <w:t>则地坪清洁用水量约</w:t>
            </w:r>
            <w:r>
              <w:rPr>
                <w:rFonts w:hint="eastAsia" w:cs="Times New Roman"/>
                <w:color w:val="auto"/>
                <w:lang w:val="en-US" w:eastAsia="zh-CN"/>
              </w:rPr>
              <w:t>2.202</w:t>
            </w:r>
            <w:r>
              <w:rPr>
                <w:rFonts w:hint="default" w:cs="Times New Roman"/>
                <w:color w:val="auto"/>
                <w:lang w:val="en-US" w:eastAsia="zh-CN"/>
              </w:rPr>
              <w:t>m</w:t>
            </w:r>
            <w:r>
              <w:rPr>
                <w:rFonts w:hint="default" w:cs="Times New Roman"/>
                <w:color w:val="auto"/>
                <w:vertAlign w:val="superscript"/>
                <w:lang w:val="en-US" w:eastAsia="zh-CN"/>
              </w:rPr>
              <w:t>3</w:t>
            </w:r>
            <w:r>
              <w:rPr>
                <w:rFonts w:hint="default" w:cs="Times New Roman"/>
                <w:color w:val="auto"/>
                <w:lang w:val="en-US" w:eastAsia="zh-CN"/>
              </w:rPr>
              <w:t>/</w:t>
            </w:r>
            <w:r>
              <w:rPr>
                <w:rFonts w:hint="eastAsia" w:cs="Times New Roman"/>
                <w:color w:val="auto"/>
                <w:lang w:val="en-US" w:eastAsia="zh-CN"/>
              </w:rPr>
              <w:t>d</w:t>
            </w:r>
            <w:r>
              <w:rPr>
                <w:rFonts w:hint="default" w:cs="Times New Roman"/>
                <w:color w:val="auto"/>
                <w:lang w:val="en-US" w:eastAsia="zh-CN"/>
              </w:rPr>
              <w:t>、</w:t>
            </w:r>
            <w:r>
              <w:rPr>
                <w:rFonts w:hint="eastAsia" w:cs="Times New Roman"/>
                <w:color w:val="auto"/>
                <w:lang w:val="en-US" w:eastAsia="zh-CN"/>
              </w:rPr>
              <w:t>660.6</w:t>
            </w:r>
            <w:r>
              <w:rPr>
                <w:rFonts w:hint="default" w:cs="Times New Roman"/>
                <w:color w:val="auto"/>
                <w:lang w:val="en-US" w:eastAsia="zh-CN"/>
              </w:rPr>
              <w:t>m</w:t>
            </w:r>
            <w:r>
              <w:rPr>
                <w:rFonts w:hint="default" w:cs="Times New Roman"/>
                <w:color w:val="auto"/>
                <w:vertAlign w:val="superscript"/>
                <w:lang w:val="en-US" w:eastAsia="zh-CN"/>
              </w:rPr>
              <w:t>3</w:t>
            </w:r>
            <w:r>
              <w:rPr>
                <w:rFonts w:hint="default" w:cs="Times New Roman"/>
                <w:color w:val="auto"/>
                <w:lang w:val="en-US" w:eastAsia="zh-CN"/>
              </w:rPr>
              <w:t>/a，排污系数按0.8计，</w:t>
            </w:r>
            <w:r>
              <w:rPr>
                <w:rFonts w:hint="eastAsia" w:cs="Times New Roman"/>
                <w:color w:val="auto"/>
                <w:lang w:val="en-US" w:eastAsia="zh-CN"/>
              </w:rPr>
              <w:t>1.762</w:t>
            </w:r>
            <w:r>
              <w:rPr>
                <w:rFonts w:hint="default" w:cs="Times New Roman"/>
                <w:color w:val="auto"/>
                <w:lang w:val="en-US" w:eastAsia="zh-CN"/>
              </w:rPr>
              <w:t>m</w:t>
            </w:r>
            <w:r>
              <w:rPr>
                <w:rFonts w:hint="default" w:cs="Times New Roman"/>
                <w:color w:val="auto"/>
                <w:vertAlign w:val="superscript"/>
                <w:lang w:val="en-US" w:eastAsia="zh-CN"/>
              </w:rPr>
              <w:t>3</w:t>
            </w:r>
            <w:r>
              <w:rPr>
                <w:rFonts w:hint="default" w:cs="Times New Roman"/>
                <w:color w:val="auto"/>
                <w:lang w:val="en-US" w:eastAsia="zh-CN"/>
              </w:rPr>
              <w:t>/d</w:t>
            </w:r>
            <w:r>
              <w:rPr>
                <w:rFonts w:hint="eastAsia" w:cs="Times New Roman"/>
                <w:color w:val="auto"/>
                <w:lang w:val="en-US" w:eastAsia="zh-CN"/>
              </w:rPr>
              <w:t>，</w:t>
            </w:r>
            <w:r>
              <w:rPr>
                <w:rFonts w:hint="default" w:cs="Times New Roman"/>
                <w:color w:val="auto"/>
                <w:lang w:val="en-US" w:eastAsia="zh-CN"/>
              </w:rPr>
              <w:t>废水量为</w:t>
            </w:r>
            <w:r>
              <w:rPr>
                <w:rFonts w:hint="eastAsia" w:cs="Times New Roman"/>
                <w:color w:val="auto"/>
                <w:lang w:val="en-US" w:eastAsia="zh-CN"/>
              </w:rPr>
              <w:t>528.48</w:t>
            </w:r>
            <w:r>
              <w:rPr>
                <w:rFonts w:hint="default" w:cs="Times New Roman"/>
                <w:color w:val="auto"/>
                <w:lang w:val="en-US" w:eastAsia="zh-CN"/>
              </w:rPr>
              <w:t>m</w:t>
            </w:r>
            <w:r>
              <w:rPr>
                <w:rFonts w:hint="default" w:cs="Times New Roman"/>
                <w:color w:val="auto"/>
                <w:vertAlign w:val="superscript"/>
                <w:lang w:val="en-US" w:eastAsia="zh-CN"/>
              </w:rPr>
              <w:t>3</w:t>
            </w:r>
            <w:r>
              <w:rPr>
                <w:rFonts w:hint="default" w:cs="Times New Roman"/>
                <w:color w:val="auto"/>
                <w:lang w:val="en-US" w:eastAsia="zh-CN"/>
              </w:rPr>
              <w:t>/a。</w:t>
            </w:r>
          </w:p>
          <w:p w14:paraId="7DEE1123">
            <w:pPr>
              <w:ind w:firstLine="480"/>
              <w:rPr>
                <w:rFonts w:hint="eastAsia" w:ascii="Times New Roman" w:hAnsi="Times New Roman" w:eastAsia="宋体" w:cs="Times New Roman"/>
                <w:b/>
                <w:bCs/>
                <w:color w:val="auto"/>
                <w:lang w:val="en-US" w:eastAsia="zh-CN"/>
              </w:rPr>
            </w:pPr>
            <w:r>
              <w:rPr>
                <w:rFonts w:hint="eastAsia" w:cs="Times New Roman"/>
                <w:b/>
                <w:bCs/>
                <w:color w:val="auto"/>
                <w:lang w:val="en-US" w:eastAsia="zh-CN"/>
              </w:rPr>
              <w:t>11、</w:t>
            </w:r>
            <w:r>
              <w:rPr>
                <w:rFonts w:hint="eastAsia" w:ascii="Times New Roman" w:hAnsi="Times New Roman" w:eastAsia="宋体" w:cs="Times New Roman"/>
                <w:b/>
                <w:bCs/>
                <w:color w:val="auto"/>
                <w:lang w:val="en-US" w:eastAsia="zh-CN"/>
              </w:rPr>
              <w:t>生活用水</w:t>
            </w:r>
          </w:p>
          <w:p w14:paraId="557BE209">
            <w:pPr>
              <w:ind w:firstLine="480"/>
              <w:rPr>
                <w:rFonts w:hint="default" w:eastAsia="宋体" w:cs="Times New Roman"/>
                <w:color w:val="auto"/>
                <w:lang w:val="en-US" w:eastAsia="zh-CN"/>
              </w:rPr>
            </w:pPr>
            <w:r>
              <w:rPr>
                <w:rFonts w:hint="eastAsia" w:ascii="Times New Roman" w:hAnsi="Times New Roman" w:eastAsia="宋体" w:cs="Times New Roman"/>
                <w:color w:val="auto"/>
                <w:lang w:val="en-US" w:eastAsia="zh-CN"/>
              </w:rPr>
              <w:t>本项目劳动定员为</w:t>
            </w:r>
            <w:r>
              <w:rPr>
                <w:rFonts w:hint="eastAsia" w:cs="Times New Roman"/>
                <w:color w:val="auto"/>
                <w:lang w:val="en-US" w:eastAsia="zh-CN"/>
              </w:rPr>
              <w:t>5</w:t>
            </w:r>
            <w:r>
              <w:rPr>
                <w:rFonts w:hint="eastAsia" w:ascii="Times New Roman" w:hAnsi="Times New Roman" w:eastAsia="宋体" w:cs="Times New Roman"/>
                <w:color w:val="auto"/>
                <w:lang w:val="en-US" w:eastAsia="zh-CN"/>
              </w:rPr>
              <w:t>人，年工作300天，实行一班制，不在厂区食宿据《云南省地方标准 用水定额》（DB53/T168-</w:t>
            </w:r>
            <w:r>
              <w:rPr>
                <w:rFonts w:hint="eastAsia" w:cs="Times New Roman"/>
                <w:color w:val="auto"/>
                <w:lang w:val="en-US" w:eastAsia="zh-CN"/>
              </w:rPr>
              <w:t>2026</w:t>
            </w:r>
            <w:r>
              <w:rPr>
                <w:rFonts w:hint="eastAsia" w:ascii="Times New Roman" w:hAnsi="Times New Roman" w:eastAsia="宋体" w:cs="Times New Roman"/>
                <w:color w:val="auto"/>
                <w:lang w:val="en-US" w:eastAsia="zh-CN"/>
              </w:rPr>
              <w:t>），</w:t>
            </w:r>
            <w:r>
              <w:rPr>
                <w:rFonts w:hint="eastAsia" w:cs="Times New Roman"/>
                <w:color w:val="auto"/>
                <w:lang w:val="en-US" w:eastAsia="zh-CN"/>
              </w:rPr>
              <w:t>5</w:t>
            </w:r>
            <w:r>
              <w:rPr>
                <w:rFonts w:hint="eastAsia" w:cs="Times New Roman"/>
                <w:color w:val="auto"/>
              </w:rPr>
              <w:t>名员工仅在项目区盥洗、如厕，生活用水按</w:t>
            </w:r>
            <w:r>
              <w:rPr>
                <w:rFonts w:hint="eastAsia" w:cs="Times New Roman"/>
                <w:color w:val="auto"/>
                <w:lang w:val="en-US" w:eastAsia="zh-CN"/>
              </w:rPr>
              <w:t>100</w:t>
            </w:r>
            <w:r>
              <w:rPr>
                <w:rFonts w:hint="eastAsia" w:cs="Times New Roman"/>
                <w:color w:val="auto"/>
              </w:rPr>
              <w:t>L/人·d计，生活污水排放系数按0.8计，则生活用水量为</w:t>
            </w:r>
            <w:r>
              <w:rPr>
                <w:rFonts w:hint="eastAsia" w:cs="Times New Roman"/>
                <w:color w:val="auto"/>
                <w:lang w:val="en-US" w:eastAsia="zh-CN"/>
              </w:rPr>
              <w:t>0.5</w:t>
            </w:r>
            <w:r>
              <w:rPr>
                <w:rFonts w:hint="eastAsia" w:cs="Times New Roman"/>
                <w:color w:val="auto"/>
              </w:rPr>
              <w:t>m</w:t>
            </w:r>
            <w:r>
              <w:rPr>
                <w:rFonts w:hint="eastAsia" w:cs="Times New Roman"/>
                <w:color w:val="auto"/>
                <w:vertAlign w:val="superscript"/>
              </w:rPr>
              <w:t>3</w:t>
            </w:r>
            <w:r>
              <w:rPr>
                <w:rFonts w:hint="eastAsia" w:cs="Times New Roman"/>
                <w:color w:val="auto"/>
              </w:rPr>
              <w:t>/d，</w:t>
            </w:r>
            <w:r>
              <w:rPr>
                <w:rFonts w:hint="eastAsia" w:cs="Times New Roman"/>
                <w:color w:val="auto"/>
                <w:lang w:val="en-US" w:eastAsia="zh-CN"/>
              </w:rPr>
              <w:t>150</w:t>
            </w:r>
            <w:r>
              <w:rPr>
                <w:rFonts w:hint="eastAsia" w:cs="Times New Roman"/>
                <w:color w:val="auto"/>
              </w:rPr>
              <w:t>m</w:t>
            </w:r>
            <w:r>
              <w:rPr>
                <w:rFonts w:hint="eastAsia" w:cs="Times New Roman"/>
                <w:color w:val="auto"/>
                <w:vertAlign w:val="superscript"/>
              </w:rPr>
              <w:t>3</w:t>
            </w:r>
            <w:r>
              <w:rPr>
                <w:rFonts w:hint="eastAsia" w:cs="Times New Roman"/>
                <w:color w:val="auto"/>
              </w:rPr>
              <w:t>/a，污水量为</w:t>
            </w:r>
            <w:r>
              <w:rPr>
                <w:rFonts w:hint="eastAsia" w:cs="Times New Roman"/>
                <w:color w:val="auto"/>
                <w:lang w:val="en-US" w:eastAsia="zh-CN"/>
              </w:rPr>
              <w:t>0.4m</w:t>
            </w:r>
            <w:r>
              <w:rPr>
                <w:rFonts w:hint="eastAsia" w:cs="Times New Roman"/>
                <w:color w:val="auto"/>
                <w:vertAlign w:val="superscript"/>
                <w:lang w:val="en-US" w:eastAsia="zh-CN"/>
              </w:rPr>
              <w:t>3</w:t>
            </w:r>
            <w:r>
              <w:rPr>
                <w:rFonts w:hint="eastAsia" w:cs="Times New Roman"/>
                <w:color w:val="auto"/>
                <w:lang w:val="en-US" w:eastAsia="zh-CN"/>
              </w:rPr>
              <w:t>/d，120m</w:t>
            </w:r>
            <w:r>
              <w:rPr>
                <w:rFonts w:hint="eastAsia" w:cs="Times New Roman"/>
                <w:color w:val="auto"/>
                <w:vertAlign w:val="superscript"/>
                <w:lang w:val="en-US" w:eastAsia="zh-CN"/>
              </w:rPr>
              <w:t>3</w:t>
            </w:r>
            <w:r>
              <w:rPr>
                <w:rFonts w:hint="eastAsia" w:cs="Times New Roman"/>
                <w:color w:val="auto"/>
                <w:lang w:val="en-US" w:eastAsia="zh-CN"/>
              </w:rPr>
              <w:t>/a</w:t>
            </w:r>
            <w:r>
              <w:rPr>
                <w:rFonts w:hint="eastAsia" w:cs="Times New Roman"/>
                <w:color w:val="auto"/>
              </w:rPr>
              <w:t>。</w:t>
            </w:r>
            <w:r>
              <w:rPr>
                <w:rFonts w:hint="eastAsia" w:cs="Times New Roman"/>
                <w:color w:val="auto"/>
                <w:lang w:val="en-US" w:eastAsia="zh-CN"/>
              </w:rPr>
              <w:t>生活污水依托园区厂房配套的卫生间、洗手池使用后经园区已建化粪池进行预处理后排入园区污水管网，再排入市政污水管网，最终进入玉溪市第一和第三污水处理厂处理处理。</w:t>
            </w:r>
          </w:p>
          <w:p w14:paraId="10A8C922">
            <w:pPr>
              <w:bidi w:val="0"/>
              <w:rPr>
                <w:rFonts w:hint="eastAsia"/>
                <w:color w:val="auto"/>
              </w:rPr>
            </w:pPr>
            <w:r>
              <w:rPr>
                <w:rFonts w:hint="eastAsia"/>
                <w:color w:val="auto"/>
              </w:rPr>
              <w:t>本项目运营期耗水量及废水产排情况见下表。</w:t>
            </w:r>
          </w:p>
          <w:p w14:paraId="2D46536F">
            <w:pPr>
              <w:pStyle w:val="30"/>
              <w:rPr>
                <w:color w:val="auto"/>
              </w:rPr>
            </w:pPr>
            <w:r>
              <w:rPr>
                <w:color w:val="auto"/>
              </w:rPr>
              <w:t>表4-</w:t>
            </w:r>
            <w:r>
              <w:rPr>
                <w:rFonts w:hint="eastAsia"/>
                <w:color w:val="auto"/>
                <w:lang w:val="en-US" w:eastAsia="zh-CN"/>
              </w:rPr>
              <w:t>12</w:t>
            </w:r>
            <w:r>
              <w:rPr>
                <w:color w:val="auto"/>
              </w:rPr>
              <w:t xml:space="preserve"> 本项目废水产排情况一览表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4"/>
              <w:gridCol w:w="1402"/>
              <w:gridCol w:w="1558"/>
              <w:gridCol w:w="1558"/>
              <w:gridCol w:w="1558"/>
            </w:tblGrid>
            <w:tr w14:paraId="71068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714" w:type="dxa"/>
                  <w:vMerge w:val="restart"/>
                  <w:vAlign w:val="center"/>
                </w:tcPr>
                <w:p w14:paraId="4D13CB93">
                  <w:pPr>
                    <w:pStyle w:val="29"/>
                    <w:rPr>
                      <w:rFonts w:hint="default"/>
                      <w:color w:val="auto"/>
                    </w:rPr>
                  </w:pPr>
                  <w:r>
                    <w:rPr>
                      <w:color w:val="auto"/>
                    </w:rPr>
                    <w:t>污染源</w:t>
                  </w:r>
                </w:p>
              </w:tc>
              <w:tc>
                <w:tcPr>
                  <w:tcW w:w="2960" w:type="dxa"/>
                  <w:gridSpan w:val="2"/>
                  <w:vAlign w:val="center"/>
                </w:tcPr>
                <w:p w14:paraId="7691AAC1">
                  <w:pPr>
                    <w:pStyle w:val="29"/>
                    <w:rPr>
                      <w:rFonts w:hint="default"/>
                      <w:color w:val="auto"/>
                    </w:rPr>
                  </w:pPr>
                  <w:r>
                    <w:rPr>
                      <w:color w:val="auto"/>
                    </w:rPr>
                    <w:t>耗水量</w:t>
                  </w:r>
                </w:p>
              </w:tc>
              <w:tc>
                <w:tcPr>
                  <w:tcW w:w="3116" w:type="dxa"/>
                  <w:gridSpan w:val="2"/>
                  <w:vAlign w:val="center"/>
                </w:tcPr>
                <w:p w14:paraId="5A8BC66B">
                  <w:pPr>
                    <w:pStyle w:val="29"/>
                    <w:rPr>
                      <w:rFonts w:hint="default"/>
                      <w:color w:val="auto"/>
                    </w:rPr>
                  </w:pPr>
                  <w:r>
                    <w:rPr>
                      <w:color w:val="auto"/>
                    </w:rPr>
                    <w:t>废水产生量</w:t>
                  </w:r>
                </w:p>
              </w:tc>
            </w:tr>
            <w:tr w14:paraId="7F9D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714" w:type="dxa"/>
                  <w:vMerge w:val="continue"/>
                  <w:vAlign w:val="center"/>
                </w:tcPr>
                <w:p w14:paraId="648F531E">
                  <w:pPr>
                    <w:pStyle w:val="29"/>
                    <w:rPr>
                      <w:rFonts w:hint="default"/>
                      <w:color w:val="auto"/>
                    </w:rPr>
                  </w:pPr>
                </w:p>
              </w:tc>
              <w:tc>
                <w:tcPr>
                  <w:tcW w:w="1402" w:type="dxa"/>
                  <w:vAlign w:val="center"/>
                </w:tcPr>
                <w:p w14:paraId="53A0F4C9">
                  <w:pPr>
                    <w:pStyle w:val="29"/>
                    <w:rPr>
                      <w:rFonts w:hint="default"/>
                      <w:color w:val="auto"/>
                    </w:rPr>
                  </w:pPr>
                  <w:r>
                    <w:rPr>
                      <w:color w:val="auto"/>
                    </w:rPr>
                    <w:t>m</w:t>
                  </w:r>
                  <w:r>
                    <w:rPr>
                      <w:color w:val="auto"/>
                      <w:vertAlign w:val="superscript"/>
                    </w:rPr>
                    <w:t>3</w:t>
                  </w:r>
                  <w:r>
                    <w:rPr>
                      <w:color w:val="auto"/>
                    </w:rPr>
                    <w:t>/d</w:t>
                  </w:r>
                </w:p>
              </w:tc>
              <w:tc>
                <w:tcPr>
                  <w:tcW w:w="1558" w:type="dxa"/>
                  <w:vAlign w:val="center"/>
                </w:tcPr>
                <w:p w14:paraId="2EBD6E24">
                  <w:pPr>
                    <w:pStyle w:val="29"/>
                    <w:rPr>
                      <w:rFonts w:hint="default"/>
                      <w:color w:val="auto"/>
                    </w:rPr>
                  </w:pPr>
                  <w:r>
                    <w:rPr>
                      <w:color w:val="auto"/>
                    </w:rPr>
                    <w:t>m</w:t>
                  </w:r>
                  <w:r>
                    <w:rPr>
                      <w:color w:val="auto"/>
                      <w:vertAlign w:val="superscript"/>
                    </w:rPr>
                    <w:t>3</w:t>
                  </w:r>
                  <w:r>
                    <w:rPr>
                      <w:color w:val="auto"/>
                    </w:rPr>
                    <w:t>/a</w:t>
                  </w:r>
                </w:p>
              </w:tc>
              <w:tc>
                <w:tcPr>
                  <w:tcW w:w="1558" w:type="dxa"/>
                  <w:vAlign w:val="center"/>
                </w:tcPr>
                <w:p w14:paraId="13052F57">
                  <w:pPr>
                    <w:pStyle w:val="29"/>
                    <w:rPr>
                      <w:rFonts w:hint="default"/>
                      <w:color w:val="auto"/>
                    </w:rPr>
                  </w:pPr>
                  <w:r>
                    <w:rPr>
                      <w:color w:val="auto"/>
                    </w:rPr>
                    <w:t>m</w:t>
                  </w:r>
                  <w:r>
                    <w:rPr>
                      <w:color w:val="auto"/>
                      <w:vertAlign w:val="superscript"/>
                    </w:rPr>
                    <w:t>3</w:t>
                  </w:r>
                  <w:r>
                    <w:rPr>
                      <w:color w:val="auto"/>
                    </w:rPr>
                    <w:t>/d</w:t>
                  </w:r>
                </w:p>
              </w:tc>
              <w:tc>
                <w:tcPr>
                  <w:tcW w:w="1558" w:type="dxa"/>
                  <w:vAlign w:val="center"/>
                </w:tcPr>
                <w:p w14:paraId="2F5AB3BB">
                  <w:pPr>
                    <w:pStyle w:val="29"/>
                    <w:rPr>
                      <w:rFonts w:hint="default"/>
                      <w:color w:val="auto"/>
                    </w:rPr>
                  </w:pPr>
                  <w:r>
                    <w:rPr>
                      <w:color w:val="auto"/>
                    </w:rPr>
                    <w:t>m</w:t>
                  </w:r>
                  <w:r>
                    <w:rPr>
                      <w:color w:val="auto"/>
                      <w:vertAlign w:val="superscript"/>
                    </w:rPr>
                    <w:t>3</w:t>
                  </w:r>
                  <w:r>
                    <w:rPr>
                      <w:color w:val="auto"/>
                    </w:rPr>
                    <w:t>/a</w:t>
                  </w:r>
                </w:p>
              </w:tc>
            </w:tr>
            <w:tr w14:paraId="1DE9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14" w:type="dxa"/>
                  <w:vAlign w:val="center"/>
                </w:tcPr>
                <w:p w14:paraId="78E7C05F">
                  <w:pPr>
                    <w:pStyle w:val="29"/>
                    <w:rPr>
                      <w:rFonts w:hint="eastAsia" w:eastAsia="宋体"/>
                      <w:color w:val="auto"/>
                      <w:lang w:eastAsia="zh-CN"/>
                    </w:rPr>
                  </w:pPr>
                  <w:r>
                    <w:rPr>
                      <w:rFonts w:hint="eastAsia"/>
                      <w:color w:val="auto"/>
                      <w:lang w:val="en-US" w:eastAsia="zh-CN"/>
                    </w:rPr>
                    <w:t>糖化</w:t>
                  </w:r>
                  <w:r>
                    <w:rPr>
                      <w:rFonts w:hint="eastAsia"/>
                      <w:color w:val="auto"/>
                      <w:lang w:eastAsia="zh-CN"/>
                    </w:rPr>
                    <w:t>用水</w:t>
                  </w:r>
                </w:p>
              </w:tc>
              <w:tc>
                <w:tcPr>
                  <w:tcW w:w="1402" w:type="dxa"/>
                  <w:vAlign w:val="center"/>
                </w:tcPr>
                <w:p w14:paraId="45981195">
                  <w:pPr>
                    <w:pStyle w:val="29"/>
                    <w:rPr>
                      <w:rFonts w:hint="eastAsia"/>
                      <w:color w:val="auto"/>
                      <w:lang w:val="en-US" w:eastAsia="zh-CN"/>
                    </w:rPr>
                  </w:pPr>
                  <w:r>
                    <w:rPr>
                      <w:rFonts w:hint="eastAsia"/>
                      <w:color w:val="auto"/>
                      <w:lang w:val="en-US" w:eastAsia="zh-CN"/>
                    </w:rPr>
                    <w:t>1.9383</w:t>
                  </w:r>
                </w:p>
              </w:tc>
              <w:tc>
                <w:tcPr>
                  <w:tcW w:w="1558" w:type="dxa"/>
                  <w:vAlign w:val="center"/>
                </w:tcPr>
                <w:p w14:paraId="40E82DB5">
                  <w:pPr>
                    <w:pStyle w:val="29"/>
                    <w:rPr>
                      <w:rFonts w:hint="default" w:cs="Times New Roman"/>
                      <w:color w:val="auto"/>
                      <w:lang w:val="en-US" w:eastAsia="zh-CN"/>
                    </w:rPr>
                  </w:pPr>
                  <w:r>
                    <w:rPr>
                      <w:rFonts w:hint="eastAsia" w:cs="Times New Roman"/>
                      <w:color w:val="auto"/>
                      <w:lang w:val="en-US" w:eastAsia="zh-CN"/>
                    </w:rPr>
                    <w:t>581.4955</w:t>
                  </w:r>
                </w:p>
              </w:tc>
              <w:tc>
                <w:tcPr>
                  <w:tcW w:w="1558" w:type="dxa"/>
                  <w:vAlign w:val="center"/>
                </w:tcPr>
                <w:p w14:paraId="394399B6">
                  <w:pPr>
                    <w:pStyle w:val="29"/>
                    <w:rPr>
                      <w:rFonts w:hint="default"/>
                      <w:color w:val="auto"/>
                      <w:lang w:val="en-US" w:eastAsia="zh-CN"/>
                    </w:rPr>
                  </w:pPr>
                  <w:r>
                    <w:rPr>
                      <w:rFonts w:hint="eastAsia"/>
                      <w:color w:val="auto"/>
                      <w:lang w:val="en-US" w:eastAsia="zh-CN"/>
                    </w:rPr>
                    <w:t>0.073</w:t>
                  </w:r>
                </w:p>
              </w:tc>
              <w:tc>
                <w:tcPr>
                  <w:tcW w:w="1558" w:type="dxa"/>
                  <w:vAlign w:val="center"/>
                </w:tcPr>
                <w:p w14:paraId="0D28CB3A">
                  <w:pPr>
                    <w:pStyle w:val="29"/>
                    <w:rPr>
                      <w:rFonts w:hint="default"/>
                      <w:color w:val="auto"/>
                      <w:lang w:val="en-US" w:eastAsia="zh-CN"/>
                    </w:rPr>
                  </w:pPr>
                  <w:r>
                    <w:rPr>
                      <w:rFonts w:hint="eastAsia"/>
                      <w:color w:val="auto"/>
                      <w:lang w:val="en-US" w:eastAsia="zh-CN"/>
                    </w:rPr>
                    <w:t>21.866</w:t>
                  </w:r>
                </w:p>
              </w:tc>
            </w:tr>
            <w:tr w14:paraId="0F41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714" w:type="dxa"/>
                  <w:vAlign w:val="center"/>
                </w:tcPr>
                <w:p w14:paraId="1153B408">
                  <w:pPr>
                    <w:pStyle w:val="29"/>
                    <w:rPr>
                      <w:rFonts w:hint="eastAsia" w:eastAsia="宋体"/>
                      <w:color w:val="auto"/>
                      <w:lang w:eastAsia="zh-CN"/>
                    </w:rPr>
                  </w:pPr>
                  <w:r>
                    <w:rPr>
                      <w:rFonts w:hint="eastAsia"/>
                      <w:color w:val="auto"/>
                      <w:lang w:val="en-US" w:eastAsia="zh-CN"/>
                    </w:rPr>
                    <w:t>冷却</w:t>
                  </w:r>
                  <w:r>
                    <w:rPr>
                      <w:rFonts w:hint="eastAsia"/>
                      <w:color w:val="auto"/>
                      <w:lang w:eastAsia="zh-CN"/>
                    </w:rPr>
                    <w:t>用水</w:t>
                  </w:r>
                </w:p>
              </w:tc>
              <w:tc>
                <w:tcPr>
                  <w:tcW w:w="1402" w:type="dxa"/>
                  <w:vAlign w:val="center"/>
                </w:tcPr>
                <w:p w14:paraId="514E893E">
                  <w:pPr>
                    <w:pStyle w:val="29"/>
                    <w:rPr>
                      <w:rFonts w:hint="default"/>
                      <w:color w:val="auto"/>
                      <w:lang w:val="en-US" w:eastAsia="zh-CN"/>
                    </w:rPr>
                  </w:pPr>
                  <w:r>
                    <w:rPr>
                      <w:rFonts w:hint="eastAsia"/>
                      <w:color w:val="auto"/>
                      <w:lang w:val="en-US" w:eastAsia="zh-CN"/>
                    </w:rPr>
                    <w:t>0.215</w:t>
                  </w:r>
                </w:p>
              </w:tc>
              <w:tc>
                <w:tcPr>
                  <w:tcW w:w="1558" w:type="dxa"/>
                  <w:vAlign w:val="center"/>
                </w:tcPr>
                <w:p w14:paraId="413B5CC3">
                  <w:pPr>
                    <w:pStyle w:val="29"/>
                    <w:rPr>
                      <w:rFonts w:hint="default" w:cs="Times New Roman"/>
                      <w:color w:val="auto"/>
                      <w:lang w:val="en-US" w:eastAsia="zh-CN"/>
                    </w:rPr>
                  </w:pPr>
                  <w:r>
                    <w:rPr>
                      <w:rFonts w:hint="eastAsia" w:cs="Times New Roman"/>
                      <w:color w:val="auto"/>
                      <w:lang w:val="en-US" w:eastAsia="zh-CN"/>
                    </w:rPr>
                    <w:t>64.5</w:t>
                  </w:r>
                </w:p>
              </w:tc>
              <w:tc>
                <w:tcPr>
                  <w:tcW w:w="1558" w:type="dxa"/>
                  <w:vAlign w:val="center"/>
                </w:tcPr>
                <w:p w14:paraId="44BBE7F1">
                  <w:pPr>
                    <w:pStyle w:val="29"/>
                    <w:rPr>
                      <w:rFonts w:hint="default"/>
                      <w:color w:val="auto"/>
                      <w:lang w:val="en-US" w:eastAsia="zh-CN"/>
                    </w:rPr>
                  </w:pPr>
                  <w:r>
                    <w:rPr>
                      <w:rFonts w:hint="eastAsia"/>
                      <w:color w:val="auto"/>
                      <w:lang w:val="en-US" w:eastAsia="zh-CN"/>
                    </w:rPr>
                    <w:t>0</w:t>
                  </w:r>
                </w:p>
              </w:tc>
              <w:tc>
                <w:tcPr>
                  <w:tcW w:w="1558" w:type="dxa"/>
                  <w:vAlign w:val="center"/>
                </w:tcPr>
                <w:p w14:paraId="587C0E3D">
                  <w:pPr>
                    <w:pStyle w:val="29"/>
                    <w:rPr>
                      <w:rFonts w:hint="default"/>
                      <w:color w:val="auto"/>
                      <w:lang w:val="en-US" w:eastAsia="zh-CN"/>
                    </w:rPr>
                  </w:pPr>
                  <w:r>
                    <w:rPr>
                      <w:rFonts w:hint="eastAsia"/>
                      <w:color w:val="auto"/>
                      <w:lang w:val="en-US" w:eastAsia="zh-CN"/>
                    </w:rPr>
                    <w:t>0</w:t>
                  </w:r>
                </w:p>
              </w:tc>
            </w:tr>
            <w:tr w14:paraId="17E41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4F02E998">
                  <w:pPr>
                    <w:pStyle w:val="29"/>
                    <w:rPr>
                      <w:rFonts w:hint="default"/>
                      <w:color w:val="auto"/>
                    </w:rPr>
                  </w:pPr>
                  <w:r>
                    <w:rPr>
                      <w:rFonts w:hint="default"/>
                      <w:color w:val="auto"/>
                    </w:rPr>
                    <w:t>CIP清洗用水</w:t>
                  </w:r>
                </w:p>
              </w:tc>
              <w:tc>
                <w:tcPr>
                  <w:tcW w:w="1402" w:type="dxa"/>
                  <w:vAlign w:val="center"/>
                </w:tcPr>
                <w:p w14:paraId="43A2F406">
                  <w:pPr>
                    <w:pStyle w:val="29"/>
                    <w:rPr>
                      <w:rFonts w:hint="default" w:eastAsia="宋体"/>
                      <w:color w:val="auto"/>
                      <w:lang w:val="en-US" w:eastAsia="zh-CN"/>
                    </w:rPr>
                  </w:pPr>
                  <w:r>
                    <w:rPr>
                      <w:rFonts w:hint="eastAsia"/>
                      <w:color w:val="auto"/>
                      <w:lang w:val="en-US" w:eastAsia="zh-CN"/>
                    </w:rPr>
                    <w:t>3.208</w:t>
                  </w:r>
                </w:p>
              </w:tc>
              <w:tc>
                <w:tcPr>
                  <w:tcW w:w="1558" w:type="dxa"/>
                  <w:vAlign w:val="center"/>
                </w:tcPr>
                <w:p w14:paraId="2136FD03">
                  <w:pPr>
                    <w:pStyle w:val="29"/>
                    <w:rPr>
                      <w:rFonts w:hint="default" w:eastAsia="宋体"/>
                      <w:color w:val="auto"/>
                      <w:lang w:val="en-US" w:eastAsia="zh-CN"/>
                    </w:rPr>
                  </w:pPr>
                  <w:r>
                    <w:rPr>
                      <w:rFonts w:hint="eastAsia"/>
                      <w:color w:val="auto"/>
                      <w:lang w:val="en-US" w:eastAsia="zh-CN"/>
                    </w:rPr>
                    <w:t>962.5</w:t>
                  </w:r>
                </w:p>
              </w:tc>
              <w:tc>
                <w:tcPr>
                  <w:tcW w:w="1558" w:type="dxa"/>
                  <w:vAlign w:val="center"/>
                </w:tcPr>
                <w:p w14:paraId="15126BE1">
                  <w:pPr>
                    <w:pStyle w:val="29"/>
                    <w:rPr>
                      <w:rFonts w:hint="default" w:eastAsia="宋体"/>
                      <w:color w:val="auto"/>
                      <w:lang w:val="en-US" w:eastAsia="zh-CN"/>
                    </w:rPr>
                  </w:pPr>
                  <w:r>
                    <w:rPr>
                      <w:rFonts w:hint="eastAsia"/>
                      <w:color w:val="auto"/>
                      <w:lang w:val="en-US" w:eastAsia="zh-CN"/>
                    </w:rPr>
                    <w:t>2.567</w:t>
                  </w:r>
                </w:p>
              </w:tc>
              <w:tc>
                <w:tcPr>
                  <w:tcW w:w="1558" w:type="dxa"/>
                  <w:vAlign w:val="center"/>
                </w:tcPr>
                <w:p w14:paraId="60295875">
                  <w:pPr>
                    <w:pStyle w:val="29"/>
                    <w:rPr>
                      <w:rFonts w:hint="default" w:eastAsia="宋体"/>
                      <w:color w:val="auto"/>
                      <w:lang w:val="en-US" w:eastAsia="zh-CN"/>
                    </w:rPr>
                  </w:pPr>
                  <w:r>
                    <w:rPr>
                      <w:rFonts w:hint="eastAsia"/>
                      <w:color w:val="auto"/>
                      <w:lang w:val="en-US" w:eastAsia="zh-CN"/>
                    </w:rPr>
                    <w:t>770</w:t>
                  </w:r>
                </w:p>
              </w:tc>
            </w:tr>
            <w:tr w14:paraId="2B31A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20E2E158">
                  <w:pPr>
                    <w:pStyle w:val="29"/>
                    <w:rPr>
                      <w:color w:val="auto"/>
                    </w:rPr>
                  </w:pPr>
                  <w:r>
                    <w:rPr>
                      <w:rFonts w:hint="eastAsia"/>
                      <w:color w:val="auto"/>
                      <w:lang w:val="en-US" w:eastAsia="zh-CN"/>
                    </w:rPr>
                    <w:t>包装瓶清洗用水</w:t>
                  </w:r>
                </w:p>
              </w:tc>
              <w:tc>
                <w:tcPr>
                  <w:tcW w:w="1402" w:type="dxa"/>
                  <w:vAlign w:val="center"/>
                </w:tcPr>
                <w:p w14:paraId="0717DD67">
                  <w:pPr>
                    <w:pStyle w:val="29"/>
                    <w:rPr>
                      <w:rFonts w:hint="default"/>
                      <w:color w:val="auto"/>
                      <w:lang w:val="en-US" w:eastAsia="zh-CN"/>
                    </w:rPr>
                  </w:pPr>
                  <w:r>
                    <w:rPr>
                      <w:rFonts w:hint="eastAsia"/>
                      <w:color w:val="auto"/>
                      <w:lang w:val="en-US" w:eastAsia="zh-CN"/>
                    </w:rPr>
                    <w:t>4.9</w:t>
                  </w:r>
                </w:p>
              </w:tc>
              <w:tc>
                <w:tcPr>
                  <w:tcW w:w="1558" w:type="dxa"/>
                  <w:vAlign w:val="center"/>
                </w:tcPr>
                <w:p w14:paraId="20F7DB62">
                  <w:pPr>
                    <w:pStyle w:val="29"/>
                    <w:rPr>
                      <w:rFonts w:hint="default"/>
                      <w:color w:val="auto"/>
                      <w:lang w:val="en-US" w:eastAsia="zh-CN"/>
                    </w:rPr>
                  </w:pPr>
                  <w:r>
                    <w:rPr>
                      <w:rFonts w:hint="eastAsia"/>
                      <w:color w:val="auto"/>
                      <w:lang w:val="en-US" w:eastAsia="zh-CN"/>
                    </w:rPr>
                    <w:t>1470</w:t>
                  </w:r>
                </w:p>
              </w:tc>
              <w:tc>
                <w:tcPr>
                  <w:tcW w:w="1558" w:type="dxa"/>
                  <w:vAlign w:val="center"/>
                </w:tcPr>
                <w:p w14:paraId="0C384758">
                  <w:pPr>
                    <w:pStyle w:val="29"/>
                    <w:rPr>
                      <w:rFonts w:hint="default"/>
                      <w:color w:val="auto"/>
                      <w:lang w:val="en-US" w:eastAsia="zh-CN"/>
                    </w:rPr>
                  </w:pPr>
                  <w:r>
                    <w:rPr>
                      <w:rFonts w:hint="eastAsia"/>
                      <w:color w:val="auto"/>
                      <w:lang w:val="en-US" w:eastAsia="zh-CN"/>
                    </w:rPr>
                    <w:t>3.92</w:t>
                  </w:r>
                </w:p>
              </w:tc>
              <w:tc>
                <w:tcPr>
                  <w:tcW w:w="1558" w:type="dxa"/>
                  <w:vAlign w:val="center"/>
                </w:tcPr>
                <w:p w14:paraId="1474C56D">
                  <w:pPr>
                    <w:pStyle w:val="29"/>
                    <w:rPr>
                      <w:rFonts w:hint="default"/>
                      <w:color w:val="auto"/>
                      <w:lang w:val="en-US" w:eastAsia="zh-CN"/>
                    </w:rPr>
                  </w:pPr>
                  <w:r>
                    <w:rPr>
                      <w:rFonts w:hint="eastAsia"/>
                      <w:color w:val="auto"/>
                      <w:lang w:val="en-US" w:eastAsia="zh-CN"/>
                    </w:rPr>
                    <w:t>1176</w:t>
                  </w:r>
                </w:p>
              </w:tc>
            </w:tr>
            <w:tr w14:paraId="325F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6B753616">
                  <w:pPr>
                    <w:pStyle w:val="29"/>
                    <w:rPr>
                      <w:color w:val="auto"/>
                    </w:rPr>
                  </w:pPr>
                  <w:r>
                    <w:rPr>
                      <w:rFonts w:hint="eastAsia"/>
                      <w:color w:val="auto"/>
                      <w:lang w:val="en-US" w:eastAsia="zh-CN"/>
                    </w:rPr>
                    <w:t>锅炉用水</w:t>
                  </w:r>
                </w:p>
              </w:tc>
              <w:tc>
                <w:tcPr>
                  <w:tcW w:w="1402" w:type="dxa"/>
                  <w:vAlign w:val="center"/>
                </w:tcPr>
                <w:p w14:paraId="56533FE6">
                  <w:pPr>
                    <w:pStyle w:val="29"/>
                    <w:rPr>
                      <w:rFonts w:hint="default"/>
                      <w:color w:val="auto"/>
                      <w:lang w:val="en-US" w:eastAsia="zh-CN"/>
                    </w:rPr>
                  </w:pPr>
                  <w:r>
                    <w:rPr>
                      <w:rFonts w:hint="eastAsia"/>
                      <w:color w:val="auto"/>
                      <w:lang w:val="en-US" w:eastAsia="zh-CN"/>
                    </w:rPr>
                    <w:t>0.396</w:t>
                  </w:r>
                </w:p>
              </w:tc>
              <w:tc>
                <w:tcPr>
                  <w:tcW w:w="1558" w:type="dxa"/>
                  <w:vAlign w:val="center"/>
                </w:tcPr>
                <w:p w14:paraId="1D94424A">
                  <w:pPr>
                    <w:pStyle w:val="29"/>
                    <w:rPr>
                      <w:rFonts w:hint="default"/>
                      <w:color w:val="auto"/>
                      <w:lang w:val="en-US" w:eastAsia="zh-CN"/>
                    </w:rPr>
                  </w:pPr>
                  <w:r>
                    <w:rPr>
                      <w:rFonts w:hint="eastAsia"/>
                      <w:color w:val="auto"/>
                      <w:lang w:val="en-US" w:eastAsia="zh-CN"/>
                    </w:rPr>
                    <w:t>118.656</w:t>
                  </w:r>
                </w:p>
              </w:tc>
              <w:tc>
                <w:tcPr>
                  <w:tcW w:w="1558" w:type="dxa"/>
                  <w:vAlign w:val="center"/>
                </w:tcPr>
                <w:p w14:paraId="44F2452B">
                  <w:pPr>
                    <w:pStyle w:val="29"/>
                    <w:rPr>
                      <w:rFonts w:hint="default"/>
                      <w:color w:val="auto"/>
                      <w:lang w:val="en-US" w:eastAsia="zh-CN"/>
                    </w:rPr>
                  </w:pPr>
                  <w:r>
                    <w:rPr>
                      <w:rFonts w:hint="eastAsia"/>
                      <w:color w:val="auto"/>
                      <w:lang w:val="en-US" w:eastAsia="zh-CN"/>
                    </w:rPr>
                    <w:t>0.316</w:t>
                  </w:r>
                </w:p>
              </w:tc>
              <w:tc>
                <w:tcPr>
                  <w:tcW w:w="1558" w:type="dxa"/>
                  <w:vAlign w:val="center"/>
                </w:tcPr>
                <w:p w14:paraId="7DC339D4">
                  <w:pPr>
                    <w:pStyle w:val="29"/>
                    <w:rPr>
                      <w:rFonts w:hint="default"/>
                      <w:color w:val="auto"/>
                      <w:lang w:val="en-US" w:eastAsia="zh-CN"/>
                    </w:rPr>
                  </w:pPr>
                  <w:r>
                    <w:rPr>
                      <w:rFonts w:hint="eastAsia"/>
                      <w:color w:val="auto"/>
                      <w:lang w:val="en-US" w:eastAsia="zh-CN"/>
                    </w:rPr>
                    <w:t>94.656</w:t>
                  </w:r>
                </w:p>
              </w:tc>
            </w:tr>
            <w:tr w14:paraId="741DD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1237F685">
                  <w:pPr>
                    <w:pStyle w:val="29"/>
                    <w:rPr>
                      <w:color w:val="auto"/>
                    </w:rPr>
                  </w:pPr>
                  <w:r>
                    <w:rPr>
                      <w:rFonts w:hint="eastAsia"/>
                      <w:color w:val="auto"/>
                      <w:lang w:val="en-US" w:eastAsia="zh-CN"/>
                    </w:rPr>
                    <w:t>发酵酒工艺用水</w:t>
                  </w:r>
                </w:p>
              </w:tc>
              <w:tc>
                <w:tcPr>
                  <w:tcW w:w="1402" w:type="dxa"/>
                  <w:vAlign w:val="center"/>
                </w:tcPr>
                <w:p w14:paraId="50C57619">
                  <w:pPr>
                    <w:pStyle w:val="29"/>
                    <w:rPr>
                      <w:rFonts w:hint="default"/>
                      <w:color w:val="auto"/>
                      <w:lang w:val="en-US" w:eastAsia="zh-CN"/>
                    </w:rPr>
                  </w:pPr>
                  <w:r>
                    <w:rPr>
                      <w:rFonts w:hint="eastAsia"/>
                      <w:color w:val="auto"/>
                      <w:lang w:val="en-US" w:eastAsia="zh-CN"/>
                    </w:rPr>
                    <w:t>0.3004</w:t>
                  </w:r>
                </w:p>
              </w:tc>
              <w:tc>
                <w:tcPr>
                  <w:tcW w:w="1558" w:type="dxa"/>
                  <w:vAlign w:val="center"/>
                </w:tcPr>
                <w:p w14:paraId="6CDDAA43">
                  <w:pPr>
                    <w:pStyle w:val="29"/>
                    <w:rPr>
                      <w:rFonts w:hint="default"/>
                      <w:color w:val="auto"/>
                      <w:lang w:val="en-US" w:eastAsia="zh-CN"/>
                    </w:rPr>
                  </w:pPr>
                  <w:r>
                    <w:rPr>
                      <w:rFonts w:hint="eastAsia"/>
                      <w:color w:val="auto"/>
                      <w:lang w:val="en-US" w:eastAsia="zh-CN"/>
                    </w:rPr>
                    <w:t>90.133</w:t>
                  </w:r>
                </w:p>
              </w:tc>
              <w:tc>
                <w:tcPr>
                  <w:tcW w:w="1558" w:type="dxa"/>
                  <w:vAlign w:val="center"/>
                </w:tcPr>
                <w:p w14:paraId="26AB750D">
                  <w:pPr>
                    <w:pStyle w:val="29"/>
                    <w:rPr>
                      <w:rFonts w:hint="default"/>
                      <w:color w:val="auto"/>
                      <w:lang w:val="en-US" w:eastAsia="zh-CN"/>
                    </w:rPr>
                  </w:pPr>
                  <w:r>
                    <w:rPr>
                      <w:rFonts w:hint="eastAsia"/>
                      <w:color w:val="auto"/>
                      <w:lang w:val="en-US" w:eastAsia="zh-CN"/>
                    </w:rPr>
                    <w:t>0.0024</w:t>
                  </w:r>
                </w:p>
              </w:tc>
              <w:tc>
                <w:tcPr>
                  <w:tcW w:w="1558" w:type="dxa"/>
                  <w:vAlign w:val="center"/>
                </w:tcPr>
                <w:p w14:paraId="59DD05AD">
                  <w:pPr>
                    <w:pStyle w:val="29"/>
                    <w:rPr>
                      <w:rFonts w:hint="default"/>
                      <w:color w:val="auto"/>
                      <w:lang w:val="en-US" w:eastAsia="zh-CN"/>
                    </w:rPr>
                  </w:pPr>
                  <w:r>
                    <w:rPr>
                      <w:rFonts w:hint="eastAsia"/>
                      <w:color w:val="auto"/>
                      <w:lang w:val="en-US" w:eastAsia="zh-CN"/>
                    </w:rPr>
                    <w:t>0.713</w:t>
                  </w:r>
                </w:p>
              </w:tc>
            </w:tr>
            <w:tr w14:paraId="3C69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23DC820A">
                  <w:pPr>
                    <w:pStyle w:val="29"/>
                    <w:rPr>
                      <w:rFonts w:hint="default" w:eastAsia="宋体"/>
                      <w:color w:val="auto"/>
                      <w:lang w:val="en-US" w:eastAsia="zh-CN"/>
                    </w:rPr>
                  </w:pPr>
                  <w:r>
                    <w:rPr>
                      <w:rFonts w:hint="eastAsia"/>
                      <w:color w:val="auto"/>
                      <w:lang w:val="en-US" w:eastAsia="zh-CN"/>
                    </w:rPr>
                    <w:t>调配用水</w:t>
                  </w:r>
                </w:p>
              </w:tc>
              <w:tc>
                <w:tcPr>
                  <w:tcW w:w="1402" w:type="dxa"/>
                  <w:vAlign w:val="center"/>
                </w:tcPr>
                <w:p w14:paraId="2CC2C42D">
                  <w:pPr>
                    <w:pStyle w:val="29"/>
                    <w:rPr>
                      <w:rFonts w:hint="default"/>
                      <w:color w:val="auto"/>
                      <w:lang w:val="en-US" w:eastAsia="zh-CN"/>
                    </w:rPr>
                  </w:pPr>
                  <w:r>
                    <w:rPr>
                      <w:rFonts w:hint="eastAsia"/>
                      <w:color w:val="auto"/>
                      <w:lang w:val="en-US" w:eastAsia="zh-CN"/>
                    </w:rPr>
                    <w:t>0.833</w:t>
                  </w:r>
                </w:p>
              </w:tc>
              <w:tc>
                <w:tcPr>
                  <w:tcW w:w="1558" w:type="dxa"/>
                  <w:vAlign w:val="center"/>
                </w:tcPr>
                <w:p w14:paraId="05379A60">
                  <w:pPr>
                    <w:pStyle w:val="29"/>
                    <w:rPr>
                      <w:rFonts w:hint="default"/>
                      <w:color w:val="auto"/>
                      <w:lang w:val="en-US" w:eastAsia="zh-CN"/>
                    </w:rPr>
                  </w:pPr>
                  <w:r>
                    <w:rPr>
                      <w:rFonts w:hint="eastAsia"/>
                      <w:color w:val="auto"/>
                      <w:lang w:val="en-US" w:eastAsia="zh-CN"/>
                    </w:rPr>
                    <w:t>249.75</w:t>
                  </w:r>
                </w:p>
              </w:tc>
              <w:tc>
                <w:tcPr>
                  <w:tcW w:w="1558" w:type="dxa"/>
                  <w:vAlign w:val="center"/>
                </w:tcPr>
                <w:p w14:paraId="7739D1C2">
                  <w:pPr>
                    <w:pStyle w:val="29"/>
                    <w:rPr>
                      <w:rFonts w:hint="default"/>
                      <w:color w:val="auto"/>
                      <w:lang w:val="en-US" w:eastAsia="zh-CN"/>
                    </w:rPr>
                  </w:pPr>
                  <w:r>
                    <w:rPr>
                      <w:rFonts w:hint="eastAsia"/>
                      <w:color w:val="auto"/>
                      <w:lang w:val="en-US" w:eastAsia="zh-CN"/>
                    </w:rPr>
                    <w:t>0</w:t>
                  </w:r>
                </w:p>
              </w:tc>
              <w:tc>
                <w:tcPr>
                  <w:tcW w:w="1558" w:type="dxa"/>
                  <w:vAlign w:val="center"/>
                </w:tcPr>
                <w:p w14:paraId="4B52BC42">
                  <w:pPr>
                    <w:pStyle w:val="29"/>
                    <w:rPr>
                      <w:rFonts w:hint="default"/>
                      <w:color w:val="auto"/>
                      <w:lang w:val="en-US" w:eastAsia="zh-CN"/>
                    </w:rPr>
                  </w:pPr>
                  <w:r>
                    <w:rPr>
                      <w:rFonts w:hint="eastAsia"/>
                      <w:color w:val="auto"/>
                      <w:lang w:val="en-US" w:eastAsia="zh-CN"/>
                    </w:rPr>
                    <w:t>0</w:t>
                  </w:r>
                </w:p>
              </w:tc>
            </w:tr>
            <w:tr w14:paraId="2D34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047DA73E">
                  <w:pPr>
                    <w:pStyle w:val="29"/>
                    <w:rPr>
                      <w:rFonts w:hint="default"/>
                      <w:color w:val="auto"/>
                      <w:lang w:val="en-US" w:eastAsia="zh-CN"/>
                    </w:rPr>
                  </w:pPr>
                  <w:r>
                    <w:rPr>
                      <w:rFonts w:hint="eastAsia"/>
                      <w:color w:val="auto"/>
                      <w:lang w:val="en-US" w:eastAsia="zh-CN"/>
                    </w:rPr>
                    <w:t>检验室用水</w:t>
                  </w:r>
                </w:p>
              </w:tc>
              <w:tc>
                <w:tcPr>
                  <w:tcW w:w="1402" w:type="dxa"/>
                  <w:vAlign w:val="center"/>
                </w:tcPr>
                <w:p w14:paraId="3CA8D478">
                  <w:pPr>
                    <w:pStyle w:val="29"/>
                    <w:rPr>
                      <w:rFonts w:hint="default"/>
                      <w:color w:val="auto"/>
                      <w:lang w:val="en-US" w:eastAsia="zh-CN"/>
                    </w:rPr>
                  </w:pPr>
                  <w:r>
                    <w:rPr>
                      <w:rFonts w:hint="eastAsia"/>
                      <w:color w:val="auto"/>
                      <w:lang w:val="en-US" w:eastAsia="zh-CN"/>
                    </w:rPr>
                    <w:t>0.1</w:t>
                  </w:r>
                </w:p>
              </w:tc>
              <w:tc>
                <w:tcPr>
                  <w:tcW w:w="1558" w:type="dxa"/>
                  <w:vAlign w:val="center"/>
                </w:tcPr>
                <w:p w14:paraId="33C56C49">
                  <w:pPr>
                    <w:pStyle w:val="29"/>
                    <w:rPr>
                      <w:rFonts w:hint="default"/>
                      <w:color w:val="auto"/>
                      <w:lang w:val="en-US" w:eastAsia="zh-CN"/>
                    </w:rPr>
                  </w:pPr>
                  <w:r>
                    <w:rPr>
                      <w:rFonts w:hint="eastAsia"/>
                      <w:color w:val="auto"/>
                      <w:lang w:val="en-US" w:eastAsia="zh-CN"/>
                    </w:rPr>
                    <w:t>30</w:t>
                  </w:r>
                </w:p>
              </w:tc>
              <w:tc>
                <w:tcPr>
                  <w:tcW w:w="1558" w:type="dxa"/>
                  <w:vAlign w:val="center"/>
                </w:tcPr>
                <w:p w14:paraId="3C6A1FC5">
                  <w:pPr>
                    <w:pStyle w:val="29"/>
                    <w:rPr>
                      <w:rFonts w:hint="default"/>
                      <w:color w:val="auto"/>
                      <w:lang w:val="en-US" w:eastAsia="zh-CN"/>
                    </w:rPr>
                  </w:pPr>
                  <w:r>
                    <w:rPr>
                      <w:rFonts w:hint="eastAsia"/>
                      <w:color w:val="auto"/>
                      <w:lang w:val="en-US" w:eastAsia="zh-CN"/>
                    </w:rPr>
                    <w:t>0.08</w:t>
                  </w:r>
                </w:p>
              </w:tc>
              <w:tc>
                <w:tcPr>
                  <w:tcW w:w="1558" w:type="dxa"/>
                  <w:vAlign w:val="center"/>
                </w:tcPr>
                <w:p w14:paraId="47CF963A">
                  <w:pPr>
                    <w:pStyle w:val="29"/>
                    <w:rPr>
                      <w:rFonts w:hint="default"/>
                      <w:color w:val="auto"/>
                      <w:lang w:val="en-US" w:eastAsia="zh-CN"/>
                    </w:rPr>
                  </w:pPr>
                  <w:r>
                    <w:rPr>
                      <w:rFonts w:hint="eastAsia"/>
                      <w:color w:val="auto"/>
                      <w:lang w:val="en-US" w:eastAsia="zh-CN"/>
                    </w:rPr>
                    <w:t>24</w:t>
                  </w:r>
                </w:p>
              </w:tc>
            </w:tr>
            <w:tr w14:paraId="3A22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790A4D84">
                  <w:pPr>
                    <w:pStyle w:val="29"/>
                    <w:rPr>
                      <w:rFonts w:hint="eastAsia"/>
                      <w:color w:val="auto"/>
                      <w:lang w:val="en-US" w:eastAsia="zh-CN"/>
                    </w:rPr>
                  </w:pPr>
                  <w:r>
                    <w:rPr>
                      <w:rFonts w:hint="eastAsia"/>
                      <w:color w:val="auto"/>
                      <w:lang w:val="en-US" w:eastAsia="zh-CN"/>
                    </w:rPr>
                    <w:t>纯水制备用水</w:t>
                  </w:r>
                </w:p>
              </w:tc>
              <w:tc>
                <w:tcPr>
                  <w:tcW w:w="1402" w:type="dxa"/>
                  <w:vAlign w:val="center"/>
                </w:tcPr>
                <w:p w14:paraId="5FAFB49E">
                  <w:pPr>
                    <w:pStyle w:val="29"/>
                    <w:rPr>
                      <w:rFonts w:hint="default"/>
                      <w:color w:val="auto"/>
                      <w:lang w:val="en-US" w:eastAsia="zh-CN"/>
                    </w:rPr>
                  </w:pPr>
                  <w:r>
                    <w:rPr>
                      <w:rFonts w:hint="eastAsia"/>
                      <w:color w:val="auto"/>
                      <w:lang w:val="en-US" w:eastAsia="zh-CN"/>
                    </w:rPr>
                    <w:t>15.853</w:t>
                  </w:r>
                </w:p>
              </w:tc>
              <w:tc>
                <w:tcPr>
                  <w:tcW w:w="1558" w:type="dxa"/>
                  <w:vAlign w:val="center"/>
                </w:tcPr>
                <w:p w14:paraId="6563DE48">
                  <w:pPr>
                    <w:pStyle w:val="29"/>
                    <w:rPr>
                      <w:rFonts w:hint="default"/>
                      <w:color w:val="auto"/>
                      <w:lang w:val="en-US" w:eastAsia="zh-CN"/>
                    </w:rPr>
                  </w:pPr>
                  <w:r>
                    <w:rPr>
                      <w:rFonts w:hint="eastAsia"/>
                      <w:color w:val="auto"/>
                      <w:lang w:val="en-US" w:eastAsia="zh-CN"/>
                    </w:rPr>
                    <w:t>4756.046</w:t>
                  </w:r>
                </w:p>
              </w:tc>
              <w:tc>
                <w:tcPr>
                  <w:tcW w:w="1558" w:type="dxa"/>
                  <w:vAlign w:val="center"/>
                </w:tcPr>
                <w:p w14:paraId="3C039A33">
                  <w:pPr>
                    <w:pStyle w:val="29"/>
                    <w:rPr>
                      <w:rFonts w:hint="default"/>
                      <w:color w:val="auto"/>
                      <w:lang w:val="en-US" w:eastAsia="zh-CN"/>
                    </w:rPr>
                  </w:pPr>
                  <w:r>
                    <w:rPr>
                      <w:rFonts w:hint="eastAsia"/>
                      <w:color w:val="auto"/>
                      <w:lang w:val="en-US" w:eastAsia="zh-CN"/>
                    </w:rPr>
                    <w:t>3.963</w:t>
                  </w:r>
                </w:p>
              </w:tc>
              <w:tc>
                <w:tcPr>
                  <w:tcW w:w="1558" w:type="dxa"/>
                  <w:shd w:val="clear" w:color="auto" w:fill="auto"/>
                  <w:vAlign w:val="center"/>
                </w:tcPr>
                <w:p w14:paraId="484AE59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1189.0115</w:t>
                  </w:r>
                </w:p>
              </w:tc>
            </w:tr>
            <w:tr w14:paraId="1A93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714" w:type="dxa"/>
                  <w:vAlign w:val="center"/>
                </w:tcPr>
                <w:p w14:paraId="3E1AFD28">
                  <w:pPr>
                    <w:pStyle w:val="29"/>
                    <w:rPr>
                      <w:color w:val="auto"/>
                    </w:rPr>
                  </w:pPr>
                  <w:r>
                    <w:rPr>
                      <w:rFonts w:hint="default"/>
                      <w:color w:val="auto"/>
                      <w:lang w:val="en-US" w:eastAsia="zh-CN"/>
                    </w:rPr>
                    <w:t>地面冲洗用水</w:t>
                  </w:r>
                </w:p>
              </w:tc>
              <w:tc>
                <w:tcPr>
                  <w:tcW w:w="1402" w:type="dxa"/>
                  <w:vAlign w:val="center"/>
                </w:tcPr>
                <w:p w14:paraId="09A6FC49">
                  <w:pPr>
                    <w:pStyle w:val="29"/>
                    <w:rPr>
                      <w:rFonts w:hint="default"/>
                      <w:color w:val="auto"/>
                      <w:lang w:val="en-US" w:eastAsia="zh-CN"/>
                    </w:rPr>
                  </w:pPr>
                  <w:r>
                    <w:rPr>
                      <w:rFonts w:hint="eastAsia"/>
                      <w:color w:val="auto"/>
                      <w:lang w:val="en-US" w:eastAsia="zh-CN"/>
                    </w:rPr>
                    <w:t>2.202</w:t>
                  </w:r>
                </w:p>
              </w:tc>
              <w:tc>
                <w:tcPr>
                  <w:tcW w:w="1558" w:type="dxa"/>
                  <w:vAlign w:val="center"/>
                </w:tcPr>
                <w:p w14:paraId="481B3F7A">
                  <w:pPr>
                    <w:pStyle w:val="29"/>
                    <w:rPr>
                      <w:rFonts w:hint="default"/>
                      <w:color w:val="auto"/>
                      <w:lang w:val="en-US" w:eastAsia="zh-CN"/>
                    </w:rPr>
                  </w:pPr>
                  <w:r>
                    <w:rPr>
                      <w:rFonts w:hint="eastAsia"/>
                      <w:color w:val="auto"/>
                      <w:lang w:val="en-US" w:eastAsia="zh-CN"/>
                    </w:rPr>
                    <w:t>660.6</w:t>
                  </w:r>
                </w:p>
              </w:tc>
              <w:tc>
                <w:tcPr>
                  <w:tcW w:w="1558" w:type="dxa"/>
                  <w:vAlign w:val="center"/>
                </w:tcPr>
                <w:p w14:paraId="5AAC8DCA">
                  <w:pPr>
                    <w:pStyle w:val="29"/>
                    <w:rPr>
                      <w:rFonts w:hint="default"/>
                      <w:color w:val="auto"/>
                      <w:lang w:val="en-US" w:eastAsia="zh-CN"/>
                    </w:rPr>
                  </w:pPr>
                  <w:r>
                    <w:rPr>
                      <w:rFonts w:hint="eastAsia"/>
                      <w:color w:val="auto"/>
                      <w:lang w:val="en-US" w:eastAsia="zh-CN"/>
                    </w:rPr>
                    <w:t>1.762</w:t>
                  </w:r>
                </w:p>
              </w:tc>
              <w:tc>
                <w:tcPr>
                  <w:tcW w:w="1558" w:type="dxa"/>
                  <w:vAlign w:val="center"/>
                </w:tcPr>
                <w:p w14:paraId="44B27D96">
                  <w:pPr>
                    <w:pStyle w:val="29"/>
                    <w:rPr>
                      <w:rFonts w:hint="default"/>
                      <w:color w:val="auto"/>
                      <w:lang w:val="en-US" w:eastAsia="zh-CN"/>
                    </w:rPr>
                  </w:pPr>
                  <w:r>
                    <w:rPr>
                      <w:rFonts w:hint="eastAsia"/>
                      <w:color w:val="auto"/>
                      <w:lang w:val="en-US" w:eastAsia="zh-CN"/>
                    </w:rPr>
                    <w:t>528.48</w:t>
                  </w:r>
                </w:p>
              </w:tc>
            </w:tr>
            <w:tr w14:paraId="4FBC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69BCF7AD">
                  <w:pPr>
                    <w:pStyle w:val="29"/>
                    <w:rPr>
                      <w:color w:val="auto"/>
                    </w:rPr>
                  </w:pPr>
                  <w:r>
                    <w:rPr>
                      <w:color w:val="auto"/>
                    </w:rPr>
                    <w:t>生活用水</w:t>
                  </w:r>
                </w:p>
              </w:tc>
              <w:tc>
                <w:tcPr>
                  <w:tcW w:w="1402" w:type="dxa"/>
                  <w:vAlign w:val="center"/>
                </w:tcPr>
                <w:p w14:paraId="1C751DE3">
                  <w:pPr>
                    <w:pStyle w:val="29"/>
                    <w:rPr>
                      <w:rFonts w:hint="default"/>
                      <w:color w:val="auto"/>
                      <w:lang w:val="en-US" w:eastAsia="zh-CN"/>
                    </w:rPr>
                  </w:pPr>
                  <w:r>
                    <w:rPr>
                      <w:rFonts w:hint="eastAsia"/>
                      <w:color w:val="auto"/>
                      <w:lang w:val="en-US" w:eastAsia="zh-CN"/>
                    </w:rPr>
                    <w:t>0.5</w:t>
                  </w:r>
                </w:p>
              </w:tc>
              <w:tc>
                <w:tcPr>
                  <w:tcW w:w="1558" w:type="dxa"/>
                  <w:vAlign w:val="center"/>
                </w:tcPr>
                <w:p w14:paraId="34C2BD8A">
                  <w:pPr>
                    <w:pStyle w:val="29"/>
                    <w:rPr>
                      <w:rFonts w:hint="default"/>
                      <w:color w:val="auto"/>
                      <w:lang w:val="en-US" w:eastAsia="zh-CN"/>
                    </w:rPr>
                  </w:pPr>
                  <w:r>
                    <w:rPr>
                      <w:rFonts w:hint="eastAsia"/>
                      <w:color w:val="auto"/>
                      <w:lang w:val="en-US" w:eastAsia="zh-CN"/>
                    </w:rPr>
                    <w:t>150</w:t>
                  </w:r>
                </w:p>
              </w:tc>
              <w:tc>
                <w:tcPr>
                  <w:tcW w:w="1558" w:type="dxa"/>
                  <w:vAlign w:val="center"/>
                </w:tcPr>
                <w:p w14:paraId="4E819E58">
                  <w:pPr>
                    <w:pStyle w:val="29"/>
                    <w:rPr>
                      <w:rFonts w:hint="default"/>
                      <w:color w:val="auto"/>
                      <w:lang w:val="en-US" w:eastAsia="zh-CN"/>
                    </w:rPr>
                  </w:pPr>
                  <w:r>
                    <w:rPr>
                      <w:rFonts w:hint="eastAsia"/>
                      <w:color w:val="auto"/>
                      <w:lang w:val="en-US" w:eastAsia="zh-CN"/>
                    </w:rPr>
                    <w:t>0.4</w:t>
                  </w:r>
                </w:p>
              </w:tc>
              <w:tc>
                <w:tcPr>
                  <w:tcW w:w="1558" w:type="dxa"/>
                  <w:vAlign w:val="center"/>
                </w:tcPr>
                <w:p w14:paraId="7847F62B">
                  <w:pPr>
                    <w:pStyle w:val="29"/>
                    <w:rPr>
                      <w:rFonts w:hint="default"/>
                      <w:color w:val="auto"/>
                      <w:lang w:val="en-US" w:eastAsia="zh-CN"/>
                    </w:rPr>
                  </w:pPr>
                  <w:r>
                    <w:rPr>
                      <w:rFonts w:hint="eastAsia"/>
                      <w:color w:val="auto"/>
                      <w:lang w:val="en-US" w:eastAsia="zh-CN"/>
                    </w:rPr>
                    <w:t>120</w:t>
                  </w:r>
                </w:p>
              </w:tc>
            </w:tr>
            <w:tr w14:paraId="6AD5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14" w:type="dxa"/>
                  <w:vAlign w:val="center"/>
                </w:tcPr>
                <w:p w14:paraId="31E72C48">
                  <w:pPr>
                    <w:pStyle w:val="29"/>
                    <w:rPr>
                      <w:rFonts w:hint="default"/>
                      <w:color w:val="auto"/>
                    </w:rPr>
                  </w:pPr>
                  <w:r>
                    <w:rPr>
                      <w:rFonts w:hint="eastAsia"/>
                      <w:color w:val="auto"/>
                      <w:lang w:val="en-US" w:eastAsia="zh-CN"/>
                    </w:rPr>
                    <w:t>全厂用水</w:t>
                  </w:r>
                  <w:r>
                    <w:rPr>
                      <w:color w:val="auto"/>
                    </w:rPr>
                    <w:t>合计</w:t>
                  </w:r>
                </w:p>
              </w:tc>
              <w:tc>
                <w:tcPr>
                  <w:tcW w:w="1402" w:type="dxa"/>
                  <w:shd w:val="clear" w:color="auto" w:fill="auto"/>
                  <w:vAlign w:val="center"/>
                </w:tcPr>
                <w:p w14:paraId="7BC62933">
                  <w:pPr>
                    <w:pStyle w:val="29"/>
                    <w:rPr>
                      <w:rFonts w:hint="default"/>
                      <w:color w:val="auto"/>
                      <w:lang w:val="en-US" w:eastAsia="zh-CN"/>
                    </w:rPr>
                  </w:pPr>
                  <w:r>
                    <w:rPr>
                      <w:rFonts w:hint="eastAsia"/>
                      <w:color w:val="auto"/>
                      <w:lang w:val="en-US" w:eastAsia="zh-CN"/>
                    </w:rPr>
                    <w:t>18.555</w:t>
                  </w:r>
                </w:p>
              </w:tc>
              <w:tc>
                <w:tcPr>
                  <w:tcW w:w="1558" w:type="dxa"/>
                  <w:shd w:val="clear" w:color="auto" w:fill="auto"/>
                  <w:vAlign w:val="center"/>
                </w:tcPr>
                <w:p w14:paraId="68EFE3C1">
                  <w:pPr>
                    <w:pStyle w:val="29"/>
                    <w:rPr>
                      <w:rFonts w:hint="default"/>
                      <w:color w:val="auto"/>
                      <w:lang w:val="en-US" w:eastAsia="zh-CN"/>
                    </w:rPr>
                  </w:pPr>
                  <w:r>
                    <w:rPr>
                      <w:rFonts w:hint="eastAsia"/>
                      <w:color w:val="auto"/>
                      <w:lang w:val="en-US" w:eastAsia="zh-CN"/>
                    </w:rPr>
                    <w:t>5566.646</w:t>
                  </w:r>
                </w:p>
              </w:tc>
              <w:tc>
                <w:tcPr>
                  <w:tcW w:w="1558" w:type="dxa"/>
                  <w:shd w:val="clear" w:color="auto" w:fill="auto"/>
                  <w:vAlign w:val="center"/>
                </w:tcPr>
                <w:p w14:paraId="50D77967">
                  <w:pPr>
                    <w:pStyle w:val="29"/>
                    <w:rPr>
                      <w:rFonts w:hint="default"/>
                      <w:color w:val="auto"/>
                      <w:lang w:val="en-US" w:eastAsia="zh-CN"/>
                    </w:rPr>
                  </w:pPr>
                  <w:r>
                    <w:rPr>
                      <w:rFonts w:hint="eastAsia"/>
                      <w:color w:val="auto"/>
                      <w:lang w:val="en-US" w:eastAsia="zh-CN"/>
                    </w:rPr>
                    <w:t>13.0834</w:t>
                  </w:r>
                </w:p>
              </w:tc>
              <w:tc>
                <w:tcPr>
                  <w:tcW w:w="1558" w:type="dxa"/>
                  <w:shd w:val="clear" w:color="auto" w:fill="auto"/>
                  <w:vAlign w:val="center"/>
                </w:tcPr>
                <w:p w14:paraId="5872D53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2"/>
                      <w:sz w:val="24"/>
                      <w:szCs w:val="24"/>
                      <w:u w:val="none"/>
                      <w:lang w:val="en-US" w:eastAsia="zh-CN" w:bidi="ar-SA"/>
                    </w:rPr>
                  </w:pPr>
                  <w:r>
                    <w:rPr>
                      <w:rFonts w:hint="eastAsia" w:ascii="Times New Roman" w:hAnsi="Times New Roman" w:eastAsia="宋体" w:cs="Times New Roman"/>
                      <w:b w:val="0"/>
                      <w:color w:val="auto"/>
                      <w:kern w:val="2"/>
                      <w:sz w:val="21"/>
                      <w:szCs w:val="21"/>
                      <w:lang w:val="en-US" w:eastAsia="zh-CN" w:bidi="ar-SA"/>
                    </w:rPr>
                    <w:t>392</w:t>
                  </w:r>
                  <w:r>
                    <w:rPr>
                      <w:rFonts w:hint="eastAsia" w:cs="Times New Roman"/>
                      <w:b w:val="0"/>
                      <w:color w:val="auto"/>
                      <w:kern w:val="2"/>
                      <w:sz w:val="21"/>
                      <w:szCs w:val="21"/>
                      <w:lang w:val="en-US" w:eastAsia="zh-CN" w:bidi="ar-SA"/>
                    </w:rPr>
                    <w:t>4</w:t>
                  </w:r>
                  <w:r>
                    <w:rPr>
                      <w:rFonts w:hint="eastAsia" w:ascii="Times New Roman" w:hAnsi="Times New Roman" w:eastAsia="宋体" w:cs="Times New Roman"/>
                      <w:b w:val="0"/>
                      <w:color w:val="auto"/>
                      <w:kern w:val="2"/>
                      <w:sz w:val="21"/>
                      <w:szCs w:val="21"/>
                      <w:lang w:val="en-US" w:eastAsia="zh-CN" w:bidi="ar-SA"/>
                    </w:rPr>
                    <w:t>.</w:t>
                  </w:r>
                  <w:r>
                    <w:rPr>
                      <w:rFonts w:hint="eastAsia" w:cs="Times New Roman"/>
                      <w:b w:val="0"/>
                      <w:color w:val="auto"/>
                      <w:kern w:val="2"/>
                      <w:sz w:val="21"/>
                      <w:szCs w:val="21"/>
                      <w:lang w:val="en-US" w:eastAsia="zh-CN" w:bidi="ar-SA"/>
                    </w:rPr>
                    <w:t>727</w:t>
                  </w:r>
                </w:p>
              </w:tc>
            </w:tr>
          </w:tbl>
          <w:p w14:paraId="14F1A16A">
            <w:pPr>
              <w:ind w:firstLine="482"/>
              <w:rPr>
                <w:b/>
                <w:bCs/>
                <w:color w:val="auto"/>
              </w:rPr>
            </w:pPr>
            <w:r>
              <w:rPr>
                <w:rFonts w:hint="eastAsia"/>
                <w:b/>
                <w:bCs/>
                <w:color w:val="auto"/>
              </w:rPr>
              <w:t>（二）污染防治措施</w:t>
            </w:r>
          </w:p>
          <w:p w14:paraId="71EF76EC">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auto"/>
              <w:rPr>
                <w:rFonts w:hint="default"/>
                <w:b/>
                <w:bCs/>
                <w:color w:val="auto"/>
                <w:lang w:val="en-US" w:eastAsia="zh-CN"/>
              </w:rPr>
            </w:pPr>
            <w:r>
              <w:rPr>
                <w:rFonts w:hint="eastAsia"/>
                <w:b/>
                <w:bCs/>
                <w:color w:val="auto"/>
                <w:lang w:eastAsia="zh-CN"/>
              </w:rPr>
              <w:t>（</w:t>
            </w:r>
            <w:r>
              <w:rPr>
                <w:rFonts w:hint="eastAsia"/>
                <w:b/>
                <w:bCs/>
                <w:color w:val="auto"/>
                <w:lang w:val="en-US" w:eastAsia="zh-CN"/>
              </w:rPr>
              <w:t>1</w:t>
            </w:r>
            <w:r>
              <w:rPr>
                <w:rFonts w:hint="eastAsia"/>
                <w:b/>
                <w:bCs/>
                <w:color w:val="auto"/>
                <w:lang w:eastAsia="zh-CN"/>
              </w:rPr>
              <w:t>）</w:t>
            </w:r>
            <w:r>
              <w:rPr>
                <w:rFonts w:hint="eastAsia"/>
                <w:b/>
                <w:bCs/>
                <w:color w:val="auto"/>
                <w:lang w:val="en-US" w:eastAsia="zh-CN"/>
              </w:rPr>
              <w:t>项目废水情况</w:t>
            </w:r>
          </w:p>
          <w:p w14:paraId="029B4585">
            <w:pPr>
              <w:ind w:firstLine="482"/>
              <w:rPr>
                <w:rFonts w:hint="default" w:ascii="Times New Roman" w:hAnsi="Times New Roman" w:eastAsia="宋体" w:cs="Times New Roman"/>
                <w:b w:val="0"/>
                <w:bCs w:val="0"/>
                <w:color w:val="auto"/>
                <w:lang w:val="en-US" w:eastAsia="zh-CN"/>
              </w:rPr>
            </w:pPr>
            <w:r>
              <w:rPr>
                <w:rFonts w:hint="eastAsia" w:cs="Times New Roman"/>
                <w:b w:val="0"/>
                <w:bCs w:val="0"/>
                <w:color w:val="auto"/>
                <w:lang w:val="en-US" w:eastAsia="zh-CN"/>
              </w:rPr>
              <w:t>1）生活污水</w:t>
            </w:r>
          </w:p>
          <w:p w14:paraId="2017AEE9">
            <w:pPr>
              <w:ind w:firstLine="482"/>
              <w:rPr>
                <w:rFonts w:hint="eastAsia" w:cs="Times New Roman"/>
                <w:b w:val="0"/>
                <w:bCs w:val="0"/>
                <w:color w:val="auto"/>
                <w:lang w:val="en-US" w:eastAsia="zh-CN"/>
              </w:rPr>
            </w:pPr>
            <w:r>
              <w:rPr>
                <w:rFonts w:hint="eastAsia" w:cs="Times New Roman"/>
                <w:b w:val="0"/>
                <w:bCs w:val="0"/>
                <w:color w:val="auto"/>
                <w:lang w:val="en-US" w:eastAsia="zh-CN"/>
              </w:rPr>
              <w:t>生活污水参照《生活污染源产排污系数手册》，结合项目实际情况，此部分污水水质情况约为COD</w:t>
            </w:r>
            <w:r>
              <w:rPr>
                <w:rFonts w:hint="eastAsia" w:cs="Times New Roman"/>
                <w:b w:val="0"/>
                <w:bCs w:val="0"/>
                <w:color w:val="auto"/>
                <w:vertAlign w:val="subscript"/>
                <w:lang w:val="en-US" w:eastAsia="zh-CN"/>
              </w:rPr>
              <w:t>Cr</w:t>
            </w:r>
            <w:r>
              <w:rPr>
                <w:rFonts w:hint="eastAsia" w:cs="Times New Roman"/>
                <w:b w:val="0"/>
                <w:bCs w:val="0"/>
                <w:color w:val="auto"/>
                <w:lang w:val="en-US" w:eastAsia="zh-CN"/>
              </w:rPr>
              <w:t>：465mg/L、BOD</w:t>
            </w:r>
            <w:r>
              <w:rPr>
                <w:rFonts w:hint="eastAsia" w:cs="Times New Roman"/>
                <w:b w:val="0"/>
                <w:bCs w:val="0"/>
                <w:color w:val="auto"/>
                <w:vertAlign w:val="subscript"/>
                <w:lang w:val="en-US" w:eastAsia="zh-CN"/>
              </w:rPr>
              <w:t>5</w:t>
            </w:r>
            <w:r>
              <w:rPr>
                <w:rFonts w:hint="eastAsia" w:cs="Times New Roman"/>
                <w:b w:val="0"/>
                <w:bCs w:val="0"/>
                <w:color w:val="auto"/>
                <w:lang w:val="en-US" w:eastAsia="zh-CN"/>
              </w:rPr>
              <w:t>：200mg/L、SS：220mg/L、氨氮：25mg/L、总磷：5.76mg/L、总氮：40mg/L。根据《我国农村化粪池污染物去除效果及影响因素分析》（汪浩、蔡楠等），化粪池对污染物的去除效率为：COD：25%、BOD</w:t>
            </w:r>
            <w:r>
              <w:rPr>
                <w:rFonts w:hint="eastAsia" w:cs="Times New Roman"/>
                <w:b w:val="0"/>
                <w:bCs w:val="0"/>
                <w:color w:val="auto"/>
                <w:vertAlign w:val="subscript"/>
                <w:lang w:val="en-US" w:eastAsia="zh-CN"/>
              </w:rPr>
              <w:t>5</w:t>
            </w:r>
            <w:r>
              <w:rPr>
                <w:rFonts w:hint="eastAsia" w:cs="Times New Roman"/>
                <w:b w:val="0"/>
                <w:bCs w:val="0"/>
                <w:color w:val="auto"/>
                <w:lang w:val="en-US" w:eastAsia="zh-CN"/>
              </w:rPr>
              <w:t>：30%、SS：50%、NH</w:t>
            </w:r>
            <w:r>
              <w:rPr>
                <w:rFonts w:hint="eastAsia" w:cs="Times New Roman"/>
                <w:b w:val="0"/>
                <w:bCs w:val="0"/>
                <w:color w:val="auto"/>
                <w:vertAlign w:val="subscript"/>
                <w:lang w:val="en-US" w:eastAsia="zh-CN"/>
              </w:rPr>
              <w:t>3</w:t>
            </w:r>
            <w:r>
              <w:rPr>
                <w:rFonts w:hint="eastAsia" w:cs="Times New Roman"/>
                <w:b w:val="0"/>
                <w:bCs w:val="0"/>
                <w:color w:val="auto"/>
                <w:lang w:val="en-US" w:eastAsia="zh-CN"/>
              </w:rPr>
              <w:t>-N：11%、TP：8%、TN：12%。生活污水进入厂内已建化粪池的情况如下：</w:t>
            </w:r>
          </w:p>
          <w:p w14:paraId="3529C83D">
            <w:pPr>
              <w:pStyle w:val="30"/>
              <w:bidi w:val="0"/>
              <w:rPr>
                <w:rFonts w:hint="eastAsia"/>
                <w:color w:val="auto"/>
                <w:lang w:val="en-US" w:eastAsia="zh-CN"/>
              </w:rPr>
            </w:pPr>
            <w:r>
              <w:rPr>
                <w:rFonts w:hint="eastAsia"/>
                <w:color w:val="auto"/>
                <w:lang w:val="en-US" w:eastAsia="zh-CN"/>
              </w:rPr>
              <w:t>表4-13生活污水各污染物产排浓度情况一览表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4"/>
              <w:gridCol w:w="1424"/>
              <w:gridCol w:w="794"/>
              <w:gridCol w:w="771"/>
              <w:gridCol w:w="761"/>
              <w:gridCol w:w="848"/>
              <w:gridCol w:w="881"/>
              <w:gridCol w:w="1027"/>
            </w:tblGrid>
            <w:tr w14:paraId="5A5B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758" w:type="dxa"/>
                  <w:gridSpan w:val="2"/>
                  <w:vMerge w:val="restart"/>
                  <w:noWrap w:val="0"/>
                  <w:vAlign w:val="center"/>
                </w:tcPr>
                <w:p w14:paraId="3A3E38A6">
                  <w:pPr>
                    <w:pStyle w:val="29"/>
                    <w:bidi w:val="0"/>
                    <w:rPr>
                      <w:rFonts w:hint="eastAsia"/>
                      <w:color w:val="auto"/>
                      <w:lang w:val="en-US" w:eastAsia="zh-CN"/>
                    </w:rPr>
                  </w:pPr>
                  <w:r>
                    <w:rPr>
                      <w:rFonts w:hint="eastAsia"/>
                      <w:color w:val="auto"/>
                      <w:lang w:val="en-US" w:eastAsia="zh-CN"/>
                    </w:rPr>
                    <w:t>名称</w:t>
                  </w:r>
                </w:p>
              </w:tc>
              <w:tc>
                <w:tcPr>
                  <w:tcW w:w="5082" w:type="dxa"/>
                  <w:gridSpan w:val="6"/>
                  <w:noWrap w:val="0"/>
                  <w:vAlign w:val="center"/>
                </w:tcPr>
                <w:p w14:paraId="18057493">
                  <w:pPr>
                    <w:pStyle w:val="29"/>
                    <w:bidi w:val="0"/>
                    <w:rPr>
                      <w:rFonts w:hint="eastAsia"/>
                      <w:color w:val="auto"/>
                      <w:lang w:val="en-US" w:eastAsia="zh-CN"/>
                    </w:rPr>
                  </w:pPr>
                  <w:r>
                    <w:rPr>
                      <w:rFonts w:hint="eastAsia"/>
                      <w:color w:val="auto"/>
                      <w:lang w:val="en-US" w:eastAsia="zh-CN"/>
                    </w:rPr>
                    <w:t>污染物</w:t>
                  </w:r>
                </w:p>
              </w:tc>
            </w:tr>
            <w:tr w14:paraId="1BA9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2758" w:type="dxa"/>
                  <w:gridSpan w:val="2"/>
                  <w:vMerge w:val="continue"/>
                  <w:noWrap w:val="0"/>
                  <w:vAlign w:val="center"/>
                </w:tcPr>
                <w:p w14:paraId="2C57FF9D">
                  <w:pPr>
                    <w:pStyle w:val="29"/>
                    <w:bidi w:val="0"/>
                    <w:rPr>
                      <w:rFonts w:hint="eastAsia"/>
                      <w:color w:val="auto"/>
                      <w:lang w:val="en-US" w:eastAsia="zh-CN"/>
                    </w:rPr>
                  </w:pPr>
                </w:p>
              </w:tc>
              <w:tc>
                <w:tcPr>
                  <w:tcW w:w="794" w:type="dxa"/>
                  <w:noWrap w:val="0"/>
                  <w:vAlign w:val="center"/>
                </w:tcPr>
                <w:p w14:paraId="0CB1AB1E">
                  <w:pPr>
                    <w:pStyle w:val="29"/>
                    <w:bidi w:val="0"/>
                    <w:rPr>
                      <w:rFonts w:hint="eastAsia"/>
                      <w:color w:val="auto"/>
                      <w:lang w:val="en-US" w:eastAsia="zh-CN"/>
                    </w:rPr>
                  </w:pPr>
                  <w:r>
                    <w:rPr>
                      <w:rFonts w:hint="eastAsia"/>
                      <w:color w:val="auto"/>
                      <w:lang w:val="en-US" w:eastAsia="zh-CN"/>
                    </w:rPr>
                    <w:t>COD</w:t>
                  </w:r>
                </w:p>
              </w:tc>
              <w:tc>
                <w:tcPr>
                  <w:tcW w:w="771" w:type="dxa"/>
                  <w:noWrap w:val="0"/>
                  <w:vAlign w:val="center"/>
                </w:tcPr>
                <w:p w14:paraId="3F8A1247">
                  <w:pPr>
                    <w:pStyle w:val="29"/>
                    <w:bidi w:val="0"/>
                    <w:rPr>
                      <w:rFonts w:hint="eastAsia"/>
                      <w:color w:val="auto"/>
                      <w:lang w:val="en-US" w:eastAsia="zh-CN"/>
                    </w:rPr>
                  </w:pPr>
                  <w:r>
                    <w:rPr>
                      <w:rFonts w:hint="eastAsia"/>
                      <w:color w:val="auto"/>
                      <w:lang w:val="en-US" w:eastAsia="zh-CN"/>
                    </w:rPr>
                    <w:t>BOD</w:t>
                  </w:r>
                  <w:r>
                    <w:rPr>
                      <w:rFonts w:hint="eastAsia"/>
                      <w:color w:val="auto"/>
                      <w:vertAlign w:val="subscript"/>
                      <w:lang w:val="en-US" w:eastAsia="zh-CN"/>
                    </w:rPr>
                    <w:t>5</w:t>
                  </w:r>
                </w:p>
              </w:tc>
              <w:tc>
                <w:tcPr>
                  <w:tcW w:w="761" w:type="dxa"/>
                  <w:noWrap w:val="0"/>
                  <w:vAlign w:val="center"/>
                </w:tcPr>
                <w:p w14:paraId="2D817D1D">
                  <w:pPr>
                    <w:pStyle w:val="29"/>
                    <w:bidi w:val="0"/>
                    <w:rPr>
                      <w:rFonts w:hint="eastAsia"/>
                      <w:color w:val="auto"/>
                      <w:lang w:val="en-US" w:eastAsia="zh-CN"/>
                    </w:rPr>
                  </w:pPr>
                  <w:r>
                    <w:rPr>
                      <w:rFonts w:hint="eastAsia"/>
                      <w:color w:val="auto"/>
                      <w:lang w:val="en-US" w:eastAsia="zh-CN"/>
                    </w:rPr>
                    <w:t>SS</w:t>
                  </w:r>
                </w:p>
              </w:tc>
              <w:tc>
                <w:tcPr>
                  <w:tcW w:w="848" w:type="dxa"/>
                  <w:noWrap w:val="0"/>
                  <w:vAlign w:val="center"/>
                </w:tcPr>
                <w:p w14:paraId="736C00C7">
                  <w:pPr>
                    <w:pStyle w:val="29"/>
                    <w:bidi w:val="0"/>
                    <w:rPr>
                      <w:rFonts w:hint="eastAsia"/>
                      <w:color w:val="auto"/>
                      <w:lang w:val="en-US" w:eastAsia="zh-CN"/>
                    </w:rPr>
                  </w:pP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w:t>
                  </w:r>
                </w:p>
              </w:tc>
              <w:tc>
                <w:tcPr>
                  <w:tcW w:w="881" w:type="dxa"/>
                  <w:noWrap w:val="0"/>
                  <w:vAlign w:val="center"/>
                </w:tcPr>
                <w:p w14:paraId="0E50B661">
                  <w:pPr>
                    <w:pStyle w:val="29"/>
                    <w:bidi w:val="0"/>
                    <w:rPr>
                      <w:rFonts w:hint="eastAsia"/>
                      <w:color w:val="auto"/>
                      <w:lang w:val="en-US" w:eastAsia="zh-CN"/>
                    </w:rPr>
                  </w:pPr>
                  <w:r>
                    <w:rPr>
                      <w:rFonts w:hint="eastAsia"/>
                      <w:color w:val="auto"/>
                      <w:lang w:val="en-US" w:eastAsia="zh-CN"/>
                    </w:rPr>
                    <w:t>TP</w:t>
                  </w:r>
                </w:p>
              </w:tc>
              <w:tc>
                <w:tcPr>
                  <w:tcW w:w="1027" w:type="dxa"/>
                  <w:noWrap w:val="0"/>
                  <w:vAlign w:val="center"/>
                </w:tcPr>
                <w:p w14:paraId="72C564D9">
                  <w:pPr>
                    <w:pStyle w:val="29"/>
                    <w:bidi w:val="0"/>
                    <w:rPr>
                      <w:rFonts w:hint="default"/>
                      <w:color w:val="auto"/>
                      <w:lang w:val="en-US" w:eastAsia="zh-CN"/>
                    </w:rPr>
                  </w:pPr>
                  <w:r>
                    <w:rPr>
                      <w:rFonts w:hint="eastAsia"/>
                      <w:color w:val="auto"/>
                      <w:lang w:val="en-US" w:eastAsia="zh-CN"/>
                    </w:rPr>
                    <w:t>TN</w:t>
                  </w:r>
                </w:p>
              </w:tc>
            </w:tr>
            <w:tr w14:paraId="3EA4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1334" w:type="dxa"/>
                  <w:vMerge w:val="restart"/>
                  <w:noWrap w:val="0"/>
                  <w:vAlign w:val="center"/>
                </w:tcPr>
                <w:p w14:paraId="1F4F0888">
                  <w:pPr>
                    <w:pStyle w:val="29"/>
                    <w:bidi w:val="0"/>
                    <w:rPr>
                      <w:rFonts w:hint="eastAsia"/>
                      <w:color w:val="auto"/>
                      <w:lang w:val="en-US" w:eastAsia="zh-CN"/>
                    </w:rPr>
                  </w:pPr>
                  <w:r>
                    <w:rPr>
                      <w:rFonts w:hint="eastAsia"/>
                      <w:color w:val="auto"/>
                      <w:lang w:val="en-US" w:eastAsia="zh-CN"/>
                    </w:rPr>
                    <w:t>生活污水（120m</w:t>
                  </w:r>
                  <w:r>
                    <w:rPr>
                      <w:rFonts w:hint="eastAsia"/>
                      <w:color w:val="auto"/>
                      <w:vertAlign w:val="superscript"/>
                      <w:lang w:val="en-US" w:eastAsia="zh-CN"/>
                    </w:rPr>
                    <w:t>3</w:t>
                  </w:r>
                  <w:r>
                    <w:rPr>
                      <w:rFonts w:hint="eastAsia"/>
                      <w:color w:val="auto"/>
                      <w:lang w:val="en-US" w:eastAsia="zh-CN"/>
                    </w:rPr>
                    <w:t>/a）</w:t>
                  </w:r>
                </w:p>
              </w:tc>
              <w:tc>
                <w:tcPr>
                  <w:tcW w:w="1424" w:type="dxa"/>
                  <w:noWrap w:val="0"/>
                  <w:vAlign w:val="center"/>
                </w:tcPr>
                <w:p w14:paraId="65BB0193">
                  <w:pPr>
                    <w:pStyle w:val="29"/>
                    <w:bidi w:val="0"/>
                    <w:rPr>
                      <w:rFonts w:hint="eastAsia"/>
                      <w:color w:val="auto"/>
                      <w:lang w:val="en-US" w:eastAsia="zh-CN"/>
                    </w:rPr>
                  </w:pPr>
                  <w:r>
                    <w:rPr>
                      <w:rFonts w:hint="eastAsia"/>
                      <w:color w:val="auto"/>
                      <w:lang w:val="en-US" w:eastAsia="zh-CN"/>
                    </w:rPr>
                    <w:t>产生浓度（mg/L）</w:t>
                  </w:r>
                </w:p>
              </w:tc>
              <w:tc>
                <w:tcPr>
                  <w:tcW w:w="794" w:type="dxa"/>
                  <w:noWrap w:val="0"/>
                  <w:vAlign w:val="center"/>
                </w:tcPr>
                <w:p w14:paraId="4BDA66E3">
                  <w:pPr>
                    <w:pStyle w:val="29"/>
                    <w:bidi w:val="0"/>
                    <w:rPr>
                      <w:rFonts w:hint="default"/>
                      <w:color w:val="auto"/>
                      <w:lang w:val="en-US" w:eastAsia="zh-CN"/>
                    </w:rPr>
                  </w:pPr>
                  <w:r>
                    <w:rPr>
                      <w:rFonts w:hint="eastAsia"/>
                      <w:color w:val="auto"/>
                      <w:lang w:val="en-US" w:eastAsia="zh-CN"/>
                    </w:rPr>
                    <w:t>465</w:t>
                  </w:r>
                </w:p>
              </w:tc>
              <w:tc>
                <w:tcPr>
                  <w:tcW w:w="771" w:type="dxa"/>
                  <w:noWrap w:val="0"/>
                  <w:vAlign w:val="center"/>
                </w:tcPr>
                <w:p w14:paraId="23742098">
                  <w:pPr>
                    <w:pStyle w:val="29"/>
                    <w:bidi w:val="0"/>
                    <w:rPr>
                      <w:rFonts w:hint="eastAsia"/>
                      <w:color w:val="auto"/>
                      <w:lang w:val="en-US" w:eastAsia="zh-CN"/>
                    </w:rPr>
                  </w:pPr>
                  <w:r>
                    <w:rPr>
                      <w:rFonts w:hint="eastAsia"/>
                      <w:color w:val="auto"/>
                      <w:lang w:val="en-US" w:eastAsia="zh-CN"/>
                    </w:rPr>
                    <w:t>200</w:t>
                  </w:r>
                </w:p>
              </w:tc>
              <w:tc>
                <w:tcPr>
                  <w:tcW w:w="761" w:type="dxa"/>
                  <w:noWrap w:val="0"/>
                  <w:vAlign w:val="center"/>
                </w:tcPr>
                <w:p w14:paraId="488BA8EA">
                  <w:pPr>
                    <w:pStyle w:val="29"/>
                    <w:bidi w:val="0"/>
                    <w:rPr>
                      <w:rFonts w:hint="eastAsia"/>
                      <w:color w:val="auto"/>
                      <w:lang w:val="en-US" w:eastAsia="zh-CN"/>
                    </w:rPr>
                  </w:pPr>
                  <w:r>
                    <w:rPr>
                      <w:rFonts w:hint="eastAsia"/>
                      <w:color w:val="auto"/>
                      <w:lang w:val="en-US" w:eastAsia="zh-CN"/>
                    </w:rPr>
                    <w:t>220</w:t>
                  </w:r>
                </w:p>
              </w:tc>
              <w:tc>
                <w:tcPr>
                  <w:tcW w:w="848" w:type="dxa"/>
                  <w:noWrap w:val="0"/>
                  <w:vAlign w:val="center"/>
                </w:tcPr>
                <w:p w14:paraId="41350D92">
                  <w:pPr>
                    <w:pStyle w:val="29"/>
                    <w:bidi w:val="0"/>
                    <w:rPr>
                      <w:rFonts w:hint="default"/>
                      <w:color w:val="auto"/>
                      <w:lang w:val="en-US" w:eastAsia="zh-CN"/>
                    </w:rPr>
                  </w:pPr>
                  <w:r>
                    <w:rPr>
                      <w:rFonts w:hint="eastAsia"/>
                      <w:color w:val="auto"/>
                      <w:lang w:val="en-US" w:eastAsia="zh-CN"/>
                    </w:rPr>
                    <w:t>25</w:t>
                  </w:r>
                </w:p>
              </w:tc>
              <w:tc>
                <w:tcPr>
                  <w:tcW w:w="881" w:type="dxa"/>
                  <w:noWrap w:val="0"/>
                  <w:vAlign w:val="center"/>
                </w:tcPr>
                <w:p w14:paraId="1EB2E6B5">
                  <w:pPr>
                    <w:pStyle w:val="29"/>
                    <w:bidi w:val="0"/>
                    <w:rPr>
                      <w:rFonts w:hint="default"/>
                      <w:color w:val="auto"/>
                      <w:lang w:val="en-US" w:eastAsia="zh-CN"/>
                    </w:rPr>
                  </w:pPr>
                  <w:r>
                    <w:rPr>
                      <w:rFonts w:hint="eastAsia"/>
                      <w:color w:val="auto"/>
                      <w:lang w:val="en-US" w:eastAsia="zh-CN"/>
                    </w:rPr>
                    <w:t>5.76</w:t>
                  </w:r>
                </w:p>
              </w:tc>
              <w:tc>
                <w:tcPr>
                  <w:tcW w:w="1027" w:type="dxa"/>
                  <w:noWrap w:val="0"/>
                  <w:vAlign w:val="center"/>
                </w:tcPr>
                <w:p w14:paraId="2A8A99DD">
                  <w:pPr>
                    <w:pStyle w:val="29"/>
                    <w:bidi w:val="0"/>
                    <w:rPr>
                      <w:rFonts w:hint="default"/>
                      <w:color w:val="auto"/>
                      <w:lang w:val="en-US" w:eastAsia="zh-CN"/>
                    </w:rPr>
                  </w:pPr>
                  <w:r>
                    <w:rPr>
                      <w:rFonts w:hint="eastAsia"/>
                      <w:color w:val="auto"/>
                      <w:lang w:val="en-US" w:eastAsia="zh-CN"/>
                    </w:rPr>
                    <w:t>40</w:t>
                  </w:r>
                </w:p>
              </w:tc>
            </w:tr>
            <w:tr w14:paraId="45C7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334" w:type="dxa"/>
                  <w:vMerge w:val="continue"/>
                  <w:noWrap w:val="0"/>
                  <w:vAlign w:val="center"/>
                </w:tcPr>
                <w:p w14:paraId="7823F908">
                  <w:pPr>
                    <w:pStyle w:val="29"/>
                    <w:bidi w:val="0"/>
                    <w:rPr>
                      <w:rFonts w:hint="eastAsia"/>
                      <w:color w:val="auto"/>
                      <w:lang w:val="en-US" w:eastAsia="zh-CN"/>
                    </w:rPr>
                  </w:pPr>
                </w:p>
              </w:tc>
              <w:tc>
                <w:tcPr>
                  <w:tcW w:w="1424" w:type="dxa"/>
                  <w:noWrap w:val="0"/>
                  <w:vAlign w:val="center"/>
                </w:tcPr>
                <w:p w14:paraId="2C8AD37A">
                  <w:pPr>
                    <w:pStyle w:val="29"/>
                    <w:bidi w:val="0"/>
                    <w:rPr>
                      <w:rFonts w:hint="eastAsia"/>
                      <w:color w:val="auto"/>
                      <w:lang w:val="en-US" w:eastAsia="zh-CN"/>
                    </w:rPr>
                  </w:pPr>
                  <w:r>
                    <w:rPr>
                      <w:rFonts w:hint="eastAsia"/>
                      <w:color w:val="auto"/>
                      <w:lang w:val="en-US" w:eastAsia="zh-CN"/>
                    </w:rPr>
                    <w:t>产生量（t/a）</w:t>
                  </w:r>
                </w:p>
              </w:tc>
              <w:tc>
                <w:tcPr>
                  <w:tcW w:w="794" w:type="dxa"/>
                  <w:shd w:val="clear" w:color="auto" w:fill="auto"/>
                  <w:noWrap w:val="0"/>
                  <w:vAlign w:val="center"/>
                </w:tcPr>
                <w:p w14:paraId="02909CBA">
                  <w:pPr>
                    <w:pStyle w:val="29"/>
                    <w:bidi w:val="0"/>
                    <w:rPr>
                      <w:rFonts w:hint="default"/>
                      <w:color w:val="auto"/>
                      <w:lang w:val="en-US" w:eastAsia="zh-CN"/>
                    </w:rPr>
                  </w:pPr>
                  <w:r>
                    <w:rPr>
                      <w:rFonts w:hint="eastAsia"/>
                      <w:color w:val="auto"/>
                      <w:lang w:val="en-US" w:eastAsia="zh-CN"/>
                    </w:rPr>
                    <w:t>0.056</w:t>
                  </w:r>
                </w:p>
              </w:tc>
              <w:tc>
                <w:tcPr>
                  <w:tcW w:w="771" w:type="dxa"/>
                  <w:shd w:val="clear" w:color="auto" w:fill="auto"/>
                  <w:noWrap w:val="0"/>
                  <w:vAlign w:val="center"/>
                </w:tcPr>
                <w:p w14:paraId="5D78924B">
                  <w:pPr>
                    <w:pStyle w:val="29"/>
                    <w:bidi w:val="0"/>
                    <w:rPr>
                      <w:rFonts w:hint="default"/>
                      <w:color w:val="auto"/>
                      <w:lang w:val="en-US" w:eastAsia="zh-CN"/>
                    </w:rPr>
                  </w:pPr>
                  <w:r>
                    <w:rPr>
                      <w:rFonts w:hint="eastAsia"/>
                      <w:color w:val="auto"/>
                      <w:lang w:val="en-US" w:eastAsia="zh-CN"/>
                    </w:rPr>
                    <w:t>0.024</w:t>
                  </w:r>
                </w:p>
              </w:tc>
              <w:tc>
                <w:tcPr>
                  <w:tcW w:w="761" w:type="dxa"/>
                  <w:shd w:val="clear" w:color="auto" w:fill="auto"/>
                  <w:noWrap w:val="0"/>
                  <w:vAlign w:val="center"/>
                </w:tcPr>
                <w:p w14:paraId="4E2AAC08">
                  <w:pPr>
                    <w:pStyle w:val="29"/>
                    <w:bidi w:val="0"/>
                    <w:rPr>
                      <w:rFonts w:hint="default"/>
                      <w:color w:val="auto"/>
                      <w:lang w:val="en-US" w:eastAsia="zh-CN"/>
                    </w:rPr>
                  </w:pPr>
                  <w:r>
                    <w:rPr>
                      <w:rFonts w:hint="eastAsia"/>
                      <w:color w:val="auto"/>
                      <w:lang w:val="en-US" w:eastAsia="zh-CN"/>
                    </w:rPr>
                    <w:t>0.026</w:t>
                  </w:r>
                </w:p>
              </w:tc>
              <w:tc>
                <w:tcPr>
                  <w:tcW w:w="848" w:type="dxa"/>
                  <w:shd w:val="clear" w:color="auto" w:fill="auto"/>
                  <w:noWrap w:val="0"/>
                  <w:vAlign w:val="center"/>
                </w:tcPr>
                <w:p w14:paraId="0F51C38C">
                  <w:pPr>
                    <w:pStyle w:val="29"/>
                    <w:bidi w:val="0"/>
                    <w:rPr>
                      <w:rFonts w:hint="default"/>
                      <w:color w:val="auto"/>
                      <w:lang w:val="en-US" w:eastAsia="zh-CN"/>
                    </w:rPr>
                  </w:pPr>
                  <w:r>
                    <w:rPr>
                      <w:rFonts w:hint="eastAsia"/>
                      <w:color w:val="auto"/>
                      <w:lang w:val="en-US" w:eastAsia="zh-CN"/>
                    </w:rPr>
                    <w:t>0.003</w:t>
                  </w:r>
                </w:p>
              </w:tc>
              <w:tc>
                <w:tcPr>
                  <w:tcW w:w="881" w:type="dxa"/>
                  <w:shd w:val="clear" w:color="auto" w:fill="auto"/>
                  <w:noWrap w:val="0"/>
                  <w:vAlign w:val="center"/>
                </w:tcPr>
                <w:p w14:paraId="52CE345F">
                  <w:pPr>
                    <w:pStyle w:val="29"/>
                    <w:bidi w:val="0"/>
                    <w:rPr>
                      <w:rFonts w:hint="default"/>
                      <w:color w:val="auto"/>
                      <w:lang w:val="en-US" w:eastAsia="zh-CN"/>
                    </w:rPr>
                  </w:pPr>
                  <w:r>
                    <w:rPr>
                      <w:rFonts w:hint="eastAsia"/>
                      <w:color w:val="auto"/>
                      <w:lang w:val="en-US" w:eastAsia="zh-CN"/>
                    </w:rPr>
                    <w:t>0.001</w:t>
                  </w:r>
                </w:p>
              </w:tc>
              <w:tc>
                <w:tcPr>
                  <w:tcW w:w="1027" w:type="dxa"/>
                  <w:shd w:val="clear" w:color="auto" w:fill="auto"/>
                  <w:noWrap w:val="0"/>
                  <w:vAlign w:val="center"/>
                </w:tcPr>
                <w:p w14:paraId="54997482">
                  <w:pPr>
                    <w:pStyle w:val="29"/>
                    <w:bidi w:val="0"/>
                    <w:rPr>
                      <w:rFonts w:hint="default"/>
                      <w:color w:val="auto"/>
                      <w:lang w:val="en-US" w:eastAsia="zh-CN"/>
                    </w:rPr>
                  </w:pPr>
                  <w:r>
                    <w:rPr>
                      <w:rFonts w:hint="eastAsia"/>
                      <w:color w:val="auto"/>
                      <w:lang w:val="en-US" w:eastAsia="zh-CN"/>
                    </w:rPr>
                    <w:t>0.005</w:t>
                  </w:r>
                </w:p>
              </w:tc>
            </w:tr>
            <w:tr w14:paraId="462F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334" w:type="dxa"/>
                  <w:noWrap w:val="0"/>
                  <w:vAlign w:val="center"/>
                </w:tcPr>
                <w:p w14:paraId="618581A8">
                  <w:pPr>
                    <w:pStyle w:val="29"/>
                    <w:bidi w:val="0"/>
                    <w:rPr>
                      <w:rFonts w:hint="eastAsia"/>
                      <w:color w:val="auto"/>
                      <w:lang w:val="en-US" w:eastAsia="zh-CN"/>
                    </w:rPr>
                  </w:pPr>
                  <w:r>
                    <w:rPr>
                      <w:rFonts w:hint="eastAsia"/>
                      <w:color w:val="auto"/>
                      <w:lang w:val="en-US" w:eastAsia="zh-CN"/>
                    </w:rPr>
                    <w:t>化粪池</w:t>
                  </w:r>
                </w:p>
              </w:tc>
              <w:tc>
                <w:tcPr>
                  <w:tcW w:w="1424" w:type="dxa"/>
                  <w:noWrap w:val="0"/>
                  <w:vAlign w:val="center"/>
                </w:tcPr>
                <w:p w14:paraId="4A852604">
                  <w:pPr>
                    <w:pStyle w:val="29"/>
                    <w:bidi w:val="0"/>
                    <w:rPr>
                      <w:rFonts w:hint="eastAsia"/>
                      <w:color w:val="auto"/>
                      <w:lang w:val="en-US" w:eastAsia="zh-CN"/>
                    </w:rPr>
                  </w:pPr>
                  <w:r>
                    <w:rPr>
                      <w:rFonts w:hint="eastAsia"/>
                      <w:color w:val="auto"/>
                      <w:lang w:val="en-US" w:eastAsia="zh-CN"/>
                    </w:rPr>
                    <w:t>处理效率（%）</w:t>
                  </w:r>
                </w:p>
              </w:tc>
              <w:tc>
                <w:tcPr>
                  <w:tcW w:w="794" w:type="dxa"/>
                  <w:noWrap w:val="0"/>
                  <w:vAlign w:val="center"/>
                </w:tcPr>
                <w:p w14:paraId="11E1DCB1">
                  <w:pPr>
                    <w:pStyle w:val="29"/>
                    <w:bidi w:val="0"/>
                    <w:rPr>
                      <w:rFonts w:hint="default"/>
                      <w:color w:val="auto"/>
                      <w:lang w:val="en-US" w:eastAsia="zh-CN"/>
                    </w:rPr>
                  </w:pPr>
                  <w:r>
                    <w:rPr>
                      <w:rFonts w:hint="eastAsia"/>
                      <w:color w:val="auto"/>
                      <w:lang w:val="en-US" w:eastAsia="zh-CN"/>
                    </w:rPr>
                    <w:t>25</w:t>
                  </w:r>
                </w:p>
              </w:tc>
              <w:tc>
                <w:tcPr>
                  <w:tcW w:w="771" w:type="dxa"/>
                  <w:noWrap w:val="0"/>
                  <w:vAlign w:val="center"/>
                </w:tcPr>
                <w:p w14:paraId="34E430B0">
                  <w:pPr>
                    <w:pStyle w:val="29"/>
                    <w:bidi w:val="0"/>
                    <w:rPr>
                      <w:rFonts w:hint="default"/>
                      <w:color w:val="auto"/>
                      <w:lang w:val="en-US" w:eastAsia="zh-CN"/>
                    </w:rPr>
                  </w:pPr>
                  <w:r>
                    <w:rPr>
                      <w:rFonts w:hint="eastAsia"/>
                      <w:color w:val="auto"/>
                      <w:lang w:val="en-US" w:eastAsia="zh-CN"/>
                    </w:rPr>
                    <w:t>30</w:t>
                  </w:r>
                </w:p>
              </w:tc>
              <w:tc>
                <w:tcPr>
                  <w:tcW w:w="761" w:type="dxa"/>
                  <w:noWrap w:val="0"/>
                  <w:vAlign w:val="center"/>
                </w:tcPr>
                <w:p w14:paraId="2A9EA396">
                  <w:pPr>
                    <w:pStyle w:val="29"/>
                    <w:bidi w:val="0"/>
                    <w:rPr>
                      <w:rFonts w:hint="default"/>
                      <w:color w:val="auto"/>
                      <w:lang w:val="en-US" w:eastAsia="zh-CN"/>
                    </w:rPr>
                  </w:pPr>
                  <w:r>
                    <w:rPr>
                      <w:rFonts w:hint="eastAsia"/>
                      <w:color w:val="auto"/>
                      <w:lang w:val="en-US" w:eastAsia="zh-CN"/>
                    </w:rPr>
                    <w:t>50</w:t>
                  </w:r>
                </w:p>
              </w:tc>
              <w:tc>
                <w:tcPr>
                  <w:tcW w:w="848" w:type="dxa"/>
                  <w:noWrap w:val="0"/>
                  <w:vAlign w:val="center"/>
                </w:tcPr>
                <w:p w14:paraId="7D98765E">
                  <w:pPr>
                    <w:pStyle w:val="29"/>
                    <w:bidi w:val="0"/>
                    <w:rPr>
                      <w:rFonts w:hint="default"/>
                      <w:color w:val="auto"/>
                      <w:lang w:val="en-US" w:eastAsia="zh-CN"/>
                    </w:rPr>
                  </w:pPr>
                  <w:r>
                    <w:rPr>
                      <w:rFonts w:hint="eastAsia"/>
                      <w:color w:val="auto"/>
                      <w:lang w:val="en-US" w:eastAsia="zh-CN"/>
                    </w:rPr>
                    <w:t>11</w:t>
                  </w:r>
                </w:p>
              </w:tc>
              <w:tc>
                <w:tcPr>
                  <w:tcW w:w="881" w:type="dxa"/>
                  <w:noWrap w:val="0"/>
                  <w:vAlign w:val="center"/>
                </w:tcPr>
                <w:p w14:paraId="09095149">
                  <w:pPr>
                    <w:pStyle w:val="29"/>
                    <w:bidi w:val="0"/>
                    <w:rPr>
                      <w:rFonts w:hint="eastAsia"/>
                      <w:color w:val="auto"/>
                      <w:lang w:val="en-US" w:eastAsia="zh-CN"/>
                    </w:rPr>
                  </w:pPr>
                  <w:r>
                    <w:rPr>
                      <w:rFonts w:hint="eastAsia"/>
                      <w:color w:val="auto"/>
                      <w:lang w:val="en-US" w:eastAsia="zh-CN"/>
                    </w:rPr>
                    <w:t>8</w:t>
                  </w:r>
                </w:p>
              </w:tc>
              <w:tc>
                <w:tcPr>
                  <w:tcW w:w="1027" w:type="dxa"/>
                  <w:noWrap w:val="0"/>
                  <w:vAlign w:val="center"/>
                </w:tcPr>
                <w:p w14:paraId="5C428832">
                  <w:pPr>
                    <w:pStyle w:val="29"/>
                    <w:bidi w:val="0"/>
                    <w:rPr>
                      <w:rFonts w:hint="default"/>
                      <w:color w:val="auto"/>
                      <w:lang w:val="en-US" w:eastAsia="zh-CN"/>
                    </w:rPr>
                  </w:pPr>
                  <w:r>
                    <w:rPr>
                      <w:rFonts w:hint="eastAsia"/>
                      <w:color w:val="auto"/>
                      <w:lang w:val="en-US" w:eastAsia="zh-CN"/>
                    </w:rPr>
                    <w:t>12</w:t>
                  </w:r>
                </w:p>
              </w:tc>
            </w:tr>
            <w:tr w14:paraId="0B56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center"/>
              </w:trPr>
              <w:tc>
                <w:tcPr>
                  <w:tcW w:w="1334" w:type="dxa"/>
                  <w:vMerge w:val="restart"/>
                  <w:noWrap w:val="0"/>
                  <w:vAlign w:val="center"/>
                </w:tcPr>
                <w:p w14:paraId="3642C224">
                  <w:pPr>
                    <w:pStyle w:val="29"/>
                    <w:bidi w:val="0"/>
                    <w:rPr>
                      <w:rFonts w:hint="eastAsia"/>
                      <w:color w:val="auto"/>
                      <w:lang w:val="en-US" w:eastAsia="zh-CN"/>
                    </w:rPr>
                  </w:pPr>
                  <w:r>
                    <w:rPr>
                      <w:rFonts w:hint="eastAsia"/>
                      <w:color w:val="auto"/>
                      <w:lang w:val="en-US" w:eastAsia="zh-CN"/>
                    </w:rPr>
                    <w:t>（120m</w:t>
                  </w:r>
                  <w:r>
                    <w:rPr>
                      <w:rFonts w:hint="eastAsia"/>
                      <w:color w:val="auto"/>
                      <w:vertAlign w:val="superscript"/>
                      <w:lang w:val="en-US" w:eastAsia="zh-CN"/>
                    </w:rPr>
                    <w:t>3</w:t>
                  </w:r>
                  <w:r>
                    <w:rPr>
                      <w:rFonts w:hint="eastAsia"/>
                      <w:color w:val="auto"/>
                      <w:lang w:val="en-US" w:eastAsia="zh-CN"/>
                    </w:rPr>
                    <w:t>/a）</w:t>
                  </w:r>
                </w:p>
              </w:tc>
              <w:tc>
                <w:tcPr>
                  <w:tcW w:w="1424" w:type="dxa"/>
                  <w:noWrap w:val="0"/>
                  <w:vAlign w:val="center"/>
                </w:tcPr>
                <w:p w14:paraId="6FE52B85">
                  <w:pPr>
                    <w:pStyle w:val="29"/>
                    <w:bidi w:val="0"/>
                    <w:rPr>
                      <w:rFonts w:hint="eastAsia"/>
                      <w:color w:val="auto"/>
                      <w:lang w:val="en-US" w:eastAsia="zh-CN"/>
                    </w:rPr>
                  </w:pPr>
                  <w:r>
                    <w:rPr>
                      <w:rFonts w:hint="eastAsia"/>
                      <w:color w:val="auto"/>
                      <w:lang w:val="en-US" w:eastAsia="zh-CN"/>
                    </w:rPr>
                    <w:t>排放浓度（mg/L）</w:t>
                  </w:r>
                </w:p>
              </w:tc>
              <w:tc>
                <w:tcPr>
                  <w:tcW w:w="794" w:type="dxa"/>
                  <w:shd w:val="clear" w:color="auto" w:fill="auto"/>
                  <w:noWrap w:val="0"/>
                  <w:vAlign w:val="center"/>
                </w:tcPr>
                <w:p w14:paraId="04BDDDA8">
                  <w:pPr>
                    <w:pStyle w:val="29"/>
                    <w:bidi w:val="0"/>
                    <w:rPr>
                      <w:rFonts w:hint="default"/>
                      <w:color w:val="auto"/>
                      <w:lang w:val="en-US" w:eastAsia="zh-CN"/>
                    </w:rPr>
                  </w:pPr>
                  <w:r>
                    <w:rPr>
                      <w:rFonts w:hint="eastAsia"/>
                      <w:color w:val="auto"/>
                      <w:lang w:val="en-US" w:eastAsia="zh-CN"/>
                    </w:rPr>
                    <w:t>348.75</w:t>
                  </w:r>
                </w:p>
              </w:tc>
              <w:tc>
                <w:tcPr>
                  <w:tcW w:w="771" w:type="dxa"/>
                  <w:shd w:val="clear" w:color="auto" w:fill="auto"/>
                  <w:noWrap w:val="0"/>
                  <w:vAlign w:val="center"/>
                </w:tcPr>
                <w:p w14:paraId="22DAB061">
                  <w:pPr>
                    <w:pStyle w:val="29"/>
                    <w:bidi w:val="0"/>
                    <w:rPr>
                      <w:rFonts w:hint="default"/>
                      <w:color w:val="auto"/>
                      <w:lang w:val="en-US" w:eastAsia="zh-CN"/>
                    </w:rPr>
                  </w:pPr>
                  <w:r>
                    <w:rPr>
                      <w:rFonts w:hint="eastAsia"/>
                      <w:color w:val="auto"/>
                      <w:lang w:val="en-US" w:eastAsia="zh-CN"/>
                    </w:rPr>
                    <w:t>140</w:t>
                  </w:r>
                </w:p>
              </w:tc>
              <w:tc>
                <w:tcPr>
                  <w:tcW w:w="761" w:type="dxa"/>
                  <w:shd w:val="clear" w:color="auto" w:fill="auto"/>
                  <w:noWrap w:val="0"/>
                  <w:vAlign w:val="center"/>
                </w:tcPr>
                <w:p w14:paraId="61AA10D3">
                  <w:pPr>
                    <w:pStyle w:val="29"/>
                    <w:bidi w:val="0"/>
                    <w:rPr>
                      <w:rFonts w:hint="default"/>
                      <w:color w:val="auto"/>
                      <w:lang w:val="en-US" w:eastAsia="zh-CN"/>
                    </w:rPr>
                  </w:pPr>
                  <w:r>
                    <w:rPr>
                      <w:rFonts w:hint="eastAsia"/>
                      <w:color w:val="auto"/>
                      <w:lang w:val="en-US" w:eastAsia="zh-CN"/>
                    </w:rPr>
                    <w:t>110</w:t>
                  </w:r>
                </w:p>
              </w:tc>
              <w:tc>
                <w:tcPr>
                  <w:tcW w:w="848" w:type="dxa"/>
                  <w:shd w:val="clear" w:color="auto" w:fill="auto"/>
                  <w:noWrap w:val="0"/>
                  <w:vAlign w:val="center"/>
                </w:tcPr>
                <w:p w14:paraId="03D52D98">
                  <w:pPr>
                    <w:pStyle w:val="29"/>
                    <w:bidi w:val="0"/>
                    <w:rPr>
                      <w:rFonts w:hint="default"/>
                      <w:color w:val="auto"/>
                      <w:lang w:val="en-US" w:eastAsia="zh-CN"/>
                    </w:rPr>
                  </w:pPr>
                  <w:r>
                    <w:rPr>
                      <w:rFonts w:hint="eastAsia"/>
                      <w:color w:val="auto"/>
                      <w:lang w:val="en-US" w:eastAsia="zh-CN"/>
                    </w:rPr>
                    <w:t>22.25</w:t>
                  </w:r>
                </w:p>
              </w:tc>
              <w:tc>
                <w:tcPr>
                  <w:tcW w:w="881" w:type="dxa"/>
                  <w:shd w:val="clear" w:color="auto" w:fill="auto"/>
                  <w:noWrap w:val="0"/>
                  <w:vAlign w:val="center"/>
                </w:tcPr>
                <w:p w14:paraId="1E926B39">
                  <w:pPr>
                    <w:pStyle w:val="29"/>
                    <w:bidi w:val="0"/>
                    <w:rPr>
                      <w:rFonts w:hint="default"/>
                      <w:color w:val="auto"/>
                      <w:lang w:val="en-US" w:eastAsia="zh-CN"/>
                    </w:rPr>
                  </w:pPr>
                  <w:r>
                    <w:rPr>
                      <w:rFonts w:hint="eastAsia"/>
                      <w:color w:val="auto"/>
                      <w:lang w:val="en-US" w:eastAsia="zh-CN"/>
                    </w:rPr>
                    <w:t>5.299</w:t>
                  </w:r>
                </w:p>
              </w:tc>
              <w:tc>
                <w:tcPr>
                  <w:tcW w:w="1027" w:type="dxa"/>
                  <w:shd w:val="clear" w:color="auto" w:fill="auto"/>
                  <w:noWrap w:val="0"/>
                  <w:vAlign w:val="center"/>
                </w:tcPr>
                <w:p w14:paraId="0A4AC91B">
                  <w:pPr>
                    <w:pStyle w:val="29"/>
                    <w:bidi w:val="0"/>
                    <w:rPr>
                      <w:rFonts w:hint="default"/>
                      <w:color w:val="auto"/>
                      <w:lang w:val="en-US" w:eastAsia="zh-CN"/>
                    </w:rPr>
                  </w:pPr>
                  <w:r>
                    <w:rPr>
                      <w:rFonts w:hint="eastAsia"/>
                      <w:color w:val="auto"/>
                      <w:lang w:val="en-US" w:eastAsia="zh-CN"/>
                    </w:rPr>
                    <w:t>55</w:t>
                  </w:r>
                </w:p>
              </w:tc>
            </w:tr>
            <w:tr w14:paraId="77CA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1334" w:type="dxa"/>
                  <w:vMerge w:val="continue"/>
                  <w:noWrap w:val="0"/>
                  <w:vAlign w:val="center"/>
                </w:tcPr>
                <w:p w14:paraId="205940F7">
                  <w:pPr>
                    <w:pStyle w:val="29"/>
                    <w:bidi w:val="0"/>
                    <w:rPr>
                      <w:rFonts w:hint="eastAsia"/>
                      <w:color w:val="auto"/>
                      <w:lang w:val="en-US" w:eastAsia="zh-CN"/>
                    </w:rPr>
                  </w:pPr>
                </w:p>
              </w:tc>
              <w:tc>
                <w:tcPr>
                  <w:tcW w:w="1424" w:type="dxa"/>
                  <w:noWrap w:val="0"/>
                  <w:vAlign w:val="center"/>
                </w:tcPr>
                <w:p w14:paraId="09E7CACC">
                  <w:pPr>
                    <w:pStyle w:val="29"/>
                    <w:bidi w:val="0"/>
                    <w:rPr>
                      <w:rFonts w:hint="eastAsia"/>
                      <w:color w:val="auto"/>
                      <w:lang w:val="en-US" w:eastAsia="zh-CN"/>
                    </w:rPr>
                  </w:pPr>
                  <w:r>
                    <w:rPr>
                      <w:rFonts w:hint="eastAsia"/>
                      <w:color w:val="auto"/>
                      <w:lang w:val="en-US" w:eastAsia="zh-CN"/>
                    </w:rPr>
                    <w:t>排放量（t/a）</w:t>
                  </w:r>
                </w:p>
              </w:tc>
              <w:tc>
                <w:tcPr>
                  <w:tcW w:w="794" w:type="dxa"/>
                  <w:shd w:val="clear" w:color="auto" w:fill="auto"/>
                  <w:noWrap w:val="0"/>
                  <w:vAlign w:val="center"/>
                </w:tcPr>
                <w:p w14:paraId="2E9F1E43">
                  <w:pPr>
                    <w:pStyle w:val="29"/>
                    <w:bidi w:val="0"/>
                    <w:rPr>
                      <w:rFonts w:hint="default"/>
                      <w:color w:val="auto"/>
                      <w:lang w:val="en-US" w:eastAsia="zh-CN"/>
                    </w:rPr>
                  </w:pPr>
                  <w:r>
                    <w:rPr>
                      <w:rFonts w:hint="eastAsia"/>
                      <w:color w:val="auto"/>
                      <w:lang w:val="en-US" w:eastAsia="zh-CN"/>
                    </w:rPr>
                    <w:t>0.042</w:t>
                  </w:r>
                </w:p>
              </w:tc>
              <w:tc>
                <w:tcPr>
                  <w:tcW w:w="771" w:type="dxa"/>
                  <w:shd w:val="clear" w:color="auto" w:fill="auto"/>
                  <w:noWrap w:val="0"/>
                  <w:vAlign w:val="center"/>
                </w:tcPr>
                <w:p w14:paraId="07519C3F">
                  <w:pPr>
                    <w:pStyle w:val="29"/>
                    <w:bidi w:val="0"/>
                    <w:rPr>
                      <w:rFonts w:hint="default"/>
                      <w:color w:val="auto"/>
                      <w:lang w:val="en-US" w:eastAsia="zh-CN"/>
                    </w:rPr>
                  </w:pPr>
                  <w:r>
                    <w:rPr>
                      <w:rFonts w:hint="eastAsia"/>
                      <w:color w:val="auto"/>
                      <w:lang w:val="en-US" w:eastAsia="zh-CN"/>
                    </w:rPr>
                    <w:t>0.017</w:t>
                  </w:r>
                </w:p>
              </w:tc>
              <w:tc>
                <w:tcPr>
                  <w:tcW w:w="761" w:type="dxa"/>
                  <w:shd w:val="clear" w:color="auto" w:fill="auto"/>
                  <w:noWrap w:val="0"/>
                  <w:vAlign w:val="center"/>
                </w:tcPr>
                <w:p w14:paraId="01AFC1FC">
                  <w:pPr>
                    <w:pStyle w:val="29"/>
                    <w:bidi w:val="0"/>
                    <w:rPr>
                      <w:rFonts w:hint="default"/>
                      <w:color w:val="auto"/>
                      <w:lang w:val="en-US" w:eastAsia="zh-CN"/>
                    </w:rPr>
                  </w:pPr>
                  <w:r>
                    <w:rPr>
                      <w:rFonts w:hint="eastAsia"/>
                      <w:color w:val="auto"/>
                      <w:lang w:val="en-US" w:eastAsia="zh-CN"/>
                    </w:rPr>
                    <w:t>0.013</w:t>
                  </w:r>
                </w:p>
              </w:tc>
              <w:tc>
                <w:tcPr>
                  <w:tcW w:w="848" w:type="dxa"/>
                  <w:shd w:val="clear" w:color="auto" w:fill="auto"/>
                  <w:noWrap w:val="0"/>
                  <w:vAlign w:val="center"/>
                </w:tcPr>
                <w:p w14:paraId="6476C8B9">
                  <w:pPr>
                    <w:pStyle w:val="29"/>
                    <w:bidi w:val="0"/>
                    <w:rPr>
                      <w:rFonts w:hint="default"/>
                      <w:color w:val="auto"/>
                      <w:lang w:val="en-US" w:eastAsia="zh-CN"/>
                    </w:rPr>
                  </w:pPr>
                  <w:r>
                    <w:rPr>
                      <w:rFonts w:hint="eastAsia"/>
                      <w:color w:val="auto"/>
                      <w:lang w:val="en-US" w:eastAsia="zh-CN"/>
                    </w:rPr>
                    <w:t>0.003</w:t>
                  </w:r>
                </w:p>
              </w:tc>
              <w:tc>
                <w:tcPr>
                  <w:tcW w:w="881" w:type="dxa"/>
                  <w:shd w:val="clear" w:color="auto" w:fill="auto"/>
                  <w:noWrap w:val="0"/>
                  <w:vAlign w:val="center"/>
                </w:tcPr>
                <w:p w14:paraId="66B0B1E3">
                  <w:pPr>
                    <w:pStyle w:val="29"/>
                    <w:bidi w:val="0"/>
                    <w:rPr>
                      <w:rFonts w:hint="default"/>
                      <w:color w:val="auto"/>
                      <w:lang w:val="en-US" w:eastAsia="zh-CN"/>
                    </w:rPr>
                  </w:pPr>
                  <w:r>
                    <w:rPr>
                      <w:rFonts w:hint="eastAsia"/>
                      <w:color w:val="auto"/>
                      <w:lang w:val="en-US" w:eastAsia="zh-CN"/>
                    </w:rPr>
                    <w:t>0.0006</w:t>
                  </w:r>
                </w:p>
              </w:tc>
              <w:tc>
                <w:tcPr>
                  <w:tcW w:w="1027" w:type="dxa"/>
                  <w:shd w:val="clear" w:color="auto" w:fill="auto"/>
                  <w:noWrap w:val="0"/>
                  <w:vAlign w:val="center"/>
                </w:tcPr>
                <w:p w14:paraId="6DA72A2E">
                  <w:pPr>
                    <w:pStyle w:val="29"/>
                    <w:bidi w:val="0"/>
                    <w:rPr>
                      <w:rFonts w:hint="default"/>
                      <w:color w:val="auto"/>
                      <w:lang w:val="en-US" w:eastAsia="zh-CN"/>
                    </w:rPr>
                  </w:pPr>
                  <w:r>
                    <w:rPr>
                      <w:rFonts w:hint="eastAsia"/>
                      <w:color w:val="auto"/>
                      <w:lang w:val="en-US" w:eastAsia="zh-CN"/>
                    </w:rPr>
                    <w:t>0.004</w:t>
                  </w:r>
                </w:p>
              </w:tc>
            </w:tr>
            <w:tr w14:paraId="658F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2" w:hRule="atLeast"/>
                <w:jc w:val="center"/>
              </w:trPr>
              <w:tc>
                <w:tcPr>
                  <w:tcW w:w="2758" w:type="dxa"/>
                  <w:gridSpan w:val="2"/>
                  <w:noWrap w:val="0"/>
                  <w:vAlign w:val="center"/>
                </w:tcPr>
                <w:p w14:paraId="2F40D292">
                  <w:pPr>
                    <w:pStyle w:val="29"/>
                    <w:bidi w:val="0"/>
                    <w:rPr>
                      <w:rFonts w:hint="eastAsia"/>
                      <w:color w:val="auto"/>
                      <w:lang w:val="en-US" w:eastAsia="zh-CN"/>
                    </w:rPr>
                  </w:pPr>
                  <w:r>
                    <w:rPr>
                      <w:rFonts w:hint="eastAsia"/>
                      <w:color w:val="auto"/>
                      <w:lang w:val="en-US" w:eastAsia="zh-CN"/>
                    </w:rPr>
                    <w:t>《污水综合排放标准》（GB8978-1996）表4三级标准及《污水排入城镇下水道水质标准》（GB/T31962-2015）表1 A等级标准三级标准</w:t>
                  </w:r>
                </w:p>
              </w:tc>
              <w:tc>
                <w:tcPr>
                  <w:tcW w:w="794" w:type="dxa"/>
                  <w:noWrap w:val="0"/>
                  <w:vAlign w:val="center"/>
                </w:tcPr>
                <w:p w14:paraId="18D5A34F">
                  <w:pPr>
                    <w:pStyle w:val="29"/>
                    <w:bidi w:val="0"/>
                    <w:rPr>
                      <w:rFonts w:hint="eastAsia"/>
                      <w:color w:val="auto"/>
                      <w:lang w:val="en-US" w:eastAsia="zh-CN"/>
                    </w:rPr>
                  </w:pPr>
                  <w:r>
                    <w:rPr>
                      <w:rFonts w:hint="eastAsia"/>
                      <w:color w:val="auto"/>
                      <w:lang w:val="en-US" w:eastAsia="zh-CN"/>
                    </w:rPr>
                    <w:t>≤500</w:t>
                  </w:r>
                </w:p>
              </w:tc>
              <w:tc>
                <w:tcPr>
                  <w:tcW w:w="771" w:type="dxa"/>
                  <w:noWrap w:val="0"/>
                  <w:vAlign w:val="center"/>
                </w:tcPr>
                <w:p w14:paraId="7A2B4B55">
                  <w:pPr>
                    <w:pStyle w:val="29"/>
                    <w:bidi w:val="0"/>
                    <w:rPr>
                      <w:rFonts w:hint="eastAsia"/>
                      <w:color w:val="auto"/>
                      <w:lang w:val="en-US" w:eastAsia="zh-CN"/>
                    </w:rPr>
                  </w:pPr>
                  <w:r>
                    <w:rPr>
                      <w:rFonts w:hint="eastAsia"/>
                      <w:color w:val="auto"/>
                      <w:lang w:val="en-US" w:eastAsia="zh-CN"/>
                    </w:rPr>
                    <w:t>≤300</w:t>
                  </w:r>
                </w:p>
              </w:tc>
              <w:tc>
                <w:tcPr>
                  <w:tcW w:w="761" w:type="dxa"/>
                  <w:noWrap w:val="0"/>
                  <w:vAlign w:val="center"/>
                </w:tcPr>
                <w:p w14:paraId="78E6CC5E">
                  <w:pPr>
                    <w:pStyle w:val="29"/>
                    <w:bidi w:val="0"/>
                    <w:rPr>
                      <w:rFonts w:hint="eastAsia"/>
                      <w:color w:val="auto"/>
                      <w:lang w:val="en-US" w:eastAsia="zh-CN"/>
                    </w:rPr>
                  </w:pPr>
                  <w:r>
                    <w:rPr>
                      <w:rFonts w:hint="eastAsia"/>
                      <w:color w:val="auto"/>
                      <w:lang w:val="en-US" w:eastAsia="zh-CN"/>
                    </w:rPr>
                    <w:t>≤400</w:t>
                  </w:r>
                </w:p>
              </w:tc>
              <w:tc>
                <w:tcPr>
                  <w:tcW w:w="848" w:type="dxa"/>
                  <w:noWrap w:val="0"/>
                  <w:vAlign w:val="center"/>
                </w:tcPr>
                <w:p w14:paraId="287926DC">
                  <w:pPr>
                    <w:pStyle w:val="29"/>
                    <w:bidi w:val="0"/>
                    <w:rPr>
                      <w:rFonts w:hint="eastAsia"/>
                      <w:color w:val="auto"/>
                      <w:lang w:val="en-US" w:eastAsia="zh-CN"/>
                    </w:rPr>
                  </w:pPr>
                  <w:r>
                    <w:rPr>
                      <w:rFonts w:hint="eastAsia"/>
                      <w:color w:val="auto"/>
                      <w:lang w:val="en-US" w:eastAsia="zh-CN"/>
                    </w:rPr>
                    <w:t>≤45</w:t>
                  </w:r>
                </w:p>
              </w:tc>
              <w:tc>
                <w:tcPr>
                  <w:tcW w:w="881" w:type="dxa"/>
                  <w:noWrap w:val="0"/>
                  <w:vAlign w:val="center"/>
                </w:tcPr>
                <w:p w14:paraId="78CBFC50">
                  <w:pPr>
                    <w:pStyle w:val="29"/>
                    <w:bidi w:val="0"/>
                    <w:rPr>
                      <w:rFonts w:hint="eastAsia"/>
                      <w:color w:val="auto"/>
                      <w:lang w:val="en-US" w:eastAsia="zh-CN"/>
                    </w:rPr>
                  </w:pPr>
                  <w:r>
                    <w:rPr>
                      <w:rFonts w:hint="eastAsia"/>
                      <w:color w:val="auto"/>
                      <w:lang w:val="en-US" w:eastAsia="zh-CN"/>
                    </w:rPr>
                    <w:t>≤8</w:t>
                  </w:r>
                </w:p>
              </w:tc>
              <w:tc>
                <w:tcPr>
                  <w:tcW w:w="1027" w:type="dxa"/>
                  <w:noWrap w:val="0"/>
                  <w:vAlign w:val="center"/>
                </w:tcPr>
                <w:p w14:paraId="1211E519">
                  <w:pPr>
                    <w:pStyle w:val="29"/>
                    <w:bidi w:val="0"/>
                    <w:rPr>
                      <w:rFonts w:hint="default"/>
                      <w:color w:val="auto"/>
                      <w:lang w:val="en-US" w:eastAsia="zh-CN"/>
                    </w:rPr>
                  </w:pPr>
                  <w:r>
                    <w:rPr>
                      <w:rFonts w:hint="eastAsia"/>
                      <w:color w:val="auto"/>
                      <w:lang w:val="en-US" w:eastAsia="zh-CN"/>
                    </w:rPr>
                    <w:t>≤70</w:t>
                  </w:r>
                </w:p>
              </w:tc>
            </w:tr>
            <w:tr w14:paraId="55AE4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jc w:val="center"/>
              </w:trPr>
              <w:tc>
                <w:tcPr>
                  <w:tcW w:w="2758" w:type="dxa"/>
                  <w:gridSpan w:val="2"/>
                  <w:noWrap w:val="0"/>
                  <w:vAlign w:val="center"/>
                </w:tcPr>
                <w:p w14:paraId="7194B7B5">
                  <w:pPr>
                    <w:pStyle w:val="29"/>
                    <w:bidi w:val="0"/>
                    <w:rPr>
                      <w:rFonts w:hint="eastAsia"/>
                      <w:color w:val="auto"/>
                      <w:lang w:val="en-US" w:eastAsia="zh-CN"/>
                    </w:rPr>
                  </w:pPr>
                  <w:r>
                    <w:rPr>
                      <w:rFonts w:hint="eastAsia"/>
                      <w:color w:val="auto"/>
                      <w:lang w:val="en-US" w:eastAsia="zh-CN"/>
                    </w:rPr>
                    <w:t>达标情况</w:t>
                  </w:r>
                </w:p>
              </w:tc>
              <w:tc>
                <w:tcPr>
                  <w:tcW w:w="794" w:type="dxa"/>
                  <w:noWrap w:val="0"/>
                  <w:vAlign w:val="center"/>
                </w:tcPr>
                <w:p w14:paraId="3933820C">
                  <w:pPr>
                    <w:pStyle w:val="29"/>
                    <w:bidi w:val="0"/>
                    <w:rPr>
                      <w:rFonts w:hint="eastAsia"/>
                      <w:color w:val="auto"/>
                      <w:lang w:val="en-US" w:eastAsia="zh-CN"/>
                    </w:rPr>
                  </w:pPr>
                  <w:r>
                    <w:rPr>
                      <w:rFonts w:hint="eastAsia"/>
                      <w:color w:val="auto"/>
                      <w:lang w:val="en-US" w:eastAsia="zh-CN"/>
                    </w:rPr>
                    <w:t>达标</w:t>
                  </w:r>
                </w:p>
              </w:tc>
              <w:tc>
                <w:tcPr>
                  <w:tcW w:w="771" w:type="dxa"/>
                  <w:noWrap w:val="0"/>
                  <w:vAlign w:val="center"/>
                </w:tcPr>
                <w:p w14:paraId="4E35EB43">
                  <w:pPr>
                    <w:pStyle w:val="29"/>
                    <w:bidi w:val="0"/>
                    <w:rPr>
                      <w:rFonts w:hint="eastAsia"/>
                      <w:color w:val="auto"/>
                      <w:lang w:val="en-US" w:eastAsia="zh-CN"/>
                    </w:rPr>
                  </w:pPr>
                  <w:r>
                    <w:rPr>
                      <w:rFonts w:hint="eastAsia"/>
                      <w:color w:val="auto"/>
                      <w:lang w:val="en-US" w:eastAsia="zh-CN"/>
                    </w:rPr>
                    <w:t>达标</w:t>
                  </w:r>
                </w:p>
              </w:tc>
              <w:tc>
                <w:tcPr>
                  <w:tcW w:w="761" w:type="dxa"/>
                  <w:noWrap w:val="0"/>
                  <w:vAlign w:val="center"/>
                </w:tcPr>
                <w:p w14:paraId="6203C09F">
                  <w:pPr>
                    <w:pStyle w:val="29"/>
                    <w:bidi w:val="0"/>
                    <w:rPr>
                      <w:rFonts w:hint="eastAsia"/>
                      <w:color w:val="auto"/>
                      <w:lang w:val="en-US" w:eastAsia="zh-CN"/>
                    </w:rPr>
                  </w:pPr>
                  <w:r>
                    <w:rPr>
                      <w:rFonts w:hint="eastAsia"/>
                      <w:color w:val="auto"/>
                      <w:lang w:val="en-US" w:eastAsia="zh-CN"/>
                    </w:rPr>
                    <w:t>达标</w:t>
                  </w:r>
                </w:p>
              </w:tc>
              <w:tc>
                <w:tcPr>
                  <w:tcW w:w="848" w:type="dxa"/>
                  <w:noWrap w:val="0"/>
                  <w:vAlign w:val="center"/>
                </w:tcPr>
                <w:p w14:paraId="3EB7305B">
                  <w:pPr>
                    <w:pStyle w:val="29"/>
                    <w:bidi w:val="0"/>
                    <w:rPr>
                      <w:rFonts w:hint="eastAsia"/>
                      <w:color w:val="auto"/>
                      <w:lang w:val="en-US" w:eastAsia="zh-CN"/>
                    </w:rPr>
                  </w:pPr>
                  <w:r>
                    <w:rPr>
                      <w:rFonts w:hint="eastAsia"/>
                      <w:color w:val="auto"/>
                      <w:lang w:val="en-US" w:eastAsia="zh-CN"/>
                    </w:rPr>
                    <w:t>达标</w:t>
                  </w:r>
                </w:p>
              </w:tc>
              <w:tc>
                <w:tcPr>
                  <w:tcW w:w="881" w:type="dxa"/>
                  <w:noWrap w:val="0"/>
                  <w:vAlign w:val="center"/>
                </w:tcPr>
                <w:p w14:paraId="6BA2B8C1">
                  <w:pPr>
                    <w:pStyle w:val="29"/>
                    <w:bidi w:val="0"/>
                    <w:rPr>
                      <w:rFonts w:hint="eastAsia"/>
                      <w:color w:val="auto"/>
                      <w:lang w:val="en-US" w:eastAsia="zh-CN"/>
                    </w:rPr>
                  </w:pPr>
                  <w:r>
                    <w:rPr>
                      <w:rFonts w:hint="eastAsia"/>
                      <w:color w:val="auto"/>
                      <w:lang w:val="en-US" w:eastAsia="zh-CN"/>
                    </w:rPr>
                    <w:t>达标</w:t>
                  </w:r>
                </w:p>
              </w:tc>
              <w:tc>
                <w:tcPr>
                  <w:tcW w:w="1027" w:type="dxa"/>
                  <w:noWrap w:val="0"/>
                  <w:vAlign w:val="center"/>
                </w:tcPr>
                <w:p w14:paraId="738E50FD">
                  <w:pPr>
                    <w:pStyle w:val="29"/>
                    <w:bidi w:val="0"/>
                    <w:rPr>
                      <w:rFonts w:hint="eastAsia"/>
                      <w:color w:val="auto"/>
                      <w:lang w:val="en-US" w:eastAsia="zh-CN"/>
                    </w:rPr>
                  </w:pPr>
                  <w:r>
                    <w:rPr>
                      <w:rFonts w:hint="eastAsia"/>
                      <w:color w:val="auto"/>
                      <w:lang w:val="en-US" w:eastAsia="zh-CN"/>
                    </w:rPr>
                    <w:t>达标</w:t>
                  </w:r>
                </w:p>
              </w:tc>
            </w:tr>
          </w:tbl>
          <w:p w14:paraId="39B3C0CF">
            <w:pPr>
              <w:ind w:firstLine="482"/>
              <w:rPr>
                <w:rFonts w:hint="default" w:ascii="Times New Roman" w:hAnsi="Times New Roman" w:eastAsia="宋体" w:cs="Times New Roman"/>
                <w:b/>
                <w:bCs/>
                <w:color w:val="auto"/>
                <w:lang w:val="en-US" w:eastAsia="zh-CN"/>
              </w:rPr>
            </w:pPr>
            <w:r>
              <w:rPr>
                <w:rFonts w:hint="eastAsia" w:cs="Times New Roman"/>
                <w:b/>
                <w:bCs/>
                <w:color w:val="auto"/>
                <w:lang w:val="en-US" w:eastAsia="zh-CN"/>
              </w:rPr>
              <w:t>2）生产废水</w:t>
            </w:r>
          </w:p>
          <w:p w14:paraId="5B0671F7">
            <w:pPr>
              <w:ind w:firstLine="482"/>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根据运营期废水污染源强分析可知，项目进入厂内</w:t>
            </w:r>
            <w:r>
              <w:rPr>
                <w:rFonts w:hint="eastAsia" w:cs="Times New Roman"/>
                <w:b w:val="0"/>
                <w:bCs w:val="0"/>
                <w:color w:val="auto"/>
                <w:lang w:val="en-US" w:eastAsia="zh-CN"/>
              </w:rPr>
              <w:t>一体化污水处理设施</w:t>
            </w:r>
            <w:r>
              <w:rPr>
                <w:rFonts w:hint="default" w:ascii="Times New Roman" w:hAnsi="Times New Roman" w:eastAsia="宋体" w:cs="Times New Roman"/>
                <w:b w:val="0"/>
                <w:bCs w:val="0"/>
                <w:color w:val="auto"/>
                <w:lang w:val="en-US" w:eastAsia="zh-CN"/>
              </w:rPr>
              <w:t>的废水量为</w:t>
            </w:r>
            <w:r>
              <w:rPr>
                <w:rFonts w:hint="eastAsia" w:cs="Times New Roman"/>
                <w:b w:val="0"/>
                <w:bCs w:val="0"/>
                <w:color w:val="auto"/>
                <w:lang w:val="en-US" w:eastAsia="zh-CN"/>
              </w:rPr>
              <w:t>12.6824</w:t>
            </w:r>
            <w:r>
              <w:rPr>
                <w:rFonts w:hint="default" w:ascii="Times New Roman" w:hAnsi="Times New Roman" w:eastAsia="宋体" w:cs="Times New Roman"/>
                <w:b w:val="0"/>
                <w:bCs w:val="0"/>
                <w:color w:val="auto"/>
                <w:lang w:val="en-US" w:eastAsia="zh-CN"/>
              </w:rPr>
              <w:t>m</w:t>
            </w:r>
            <w:r>
              <w:rPr>
                <w:rFonts w:hint="default" w:ascii="Times New Roman" w:hAnsi="Times New Roman" w:eastAsia="宋体" w:cs="Times New Roman"/>
                <w:b w:val="0"/>
                <w:bCs w:val="0"/>
                <w:color w:val="auto"/>
                <w:vertAlign w:val="superscript"/>
                <w:lang w:val="en-US" w:eastAsia="zh-CN"/>
              </w:rPr>
              <w:t>3</w:t>
            </w:r>
            <w:r>
              <w:rPr>
                <w:rFonts w:hint="default" w:ascii="Times New Roman" w:hAnsi="Times New Roman" w:eastAsia="宋体" w:cs="Times New Roman"/>
                <w:b w:val="0"/>
                <w:bCs w:val="0"/>
                <w:color w:val="auto"/>
                <w:lang w:val="en-US" w:eastAsia="zh-CN"/>
              </w:rPr>
              <w:t>/d</w:t>
            </w:r>
            <w:r>
              <w:rPr>
                <w:rFonts w:hint="eastAsia" w:ascii="Times New Roman" w:hAnsi="Times New Roman" w:eastAsia="宋体" w:cs="Times New Roman"/>
                <w:b w:val="0"/>
                <w:bCs w:val="0"/>
                <w:color w:val="auto"/>
                <w:lang w:val="en-US" w:eastAsia="zh-CN"/>
              </w:rPr>
              <w:t>、</w:t>
            </w:r>
            <w:r>
              <w:rPr>
                <w:rFonts w:hint="eastAsia" w:cs="Times New Roman"/>
                <w:b w:val="0"/>
                <w:bCs w:val="0"/>
                <w:color w:val="auto"/>
                <w:lang w:val="en-US" w:eastAsia="zh-CN"/>
              </w:rPr>
              <w:t>3804.7265</w:t>
            </w:r>
            <w:r>
              <w:rPr>
                <w:rFonts w:hint="eastAsia" w:ascii="Times New Roman" w:hAnsi="Times New Roman" w:eastAsia="宋体" w:cs="Times New Roman"/>
                <w:b w:val="0"/>
                <w:bCs w:val="0"/>
                <w:color w:val="auto"/>
                <w:lang w:val="en-US" w:eastAsia="zh-CN"/>
              </w:rPr>
              <w:t>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/a</w:t>
            </w:r>
            <w:r>
              <w:rPr>
                <w:rFonts w:hint="eastAsia" w:cs="Times New Roman"/>
                <w:b w:val="0"/>
                <w:bCs w:val="0"/>
                <w:color w:val="auto"/>
                <w:lang w:val="en-US" w:eastAsia="zh-CN"/>
              </w:rPr>
              <w:t>（生活污水不计入）</w:t>
            </w:r>
            <w:r>
              <w:rPr>
                <w:rFonts w:hint="eastAsia" w:ascii="Times New Roman" w:hAnsi="Times New Roman" w:eastAsia="宋体" w:cs="Times New Roman"/>
                <w:b w:val="0"/>
                <w:bCs w:val="0"/>
                <w:color w:val="auto"/>
                <w:lang w:val="en-US" w:eastAsia="zh-CN"/>
              </w:rPr>
              <w:t>，</w:t>
            </w:r>
            <w:r>
              <w:rPr>
                <w:rFonts w:hint="eastAsia" w:cs="Times New Roman"/>
                <w:b w:val="0"/>
                <w:bCs w:val="0"/>
                <w:color w:val="auto"/>
                <w:lang w:val="en-US" w:eastAsia="zh-CN"/>
              </w:rPr>
              <w:t>需要新建一座处理规模15m</w:t>
            </w:r>
            <w:r>
              <w:rPr>
                <w:rFonts w:hint="eastAsia" w:cs="Times New Roman"/>
                <w:b w:val="0"/>
                <w:bCs w:val="0"/>
                <w:color w:val="auto"/>
                <w:vertAlign w:val="superscript"/>
                <w:lang w:val="en-US" w:eastAsia="zh-CN"/>
              </w:rPr>
              <w:t>3</w:t>
            </w:r>
            <w:r>
              <w:rPr>
                <w:rFonts w:hint="eastAsia" w:cs="Times New Roman"/>
                <w:b w:val="0"/>
                <w:bCs w:val="0"/>
                <w:color w:val="auto"/>
                <w:lang w:val="en-US" w:eastAsia="zh-CN"/>
              </w:rPr>
              <w:t>/d的一体化污水处理设施，</w:t>
            </w:r>
            <w:r>
              <w:rPr>
                <w:rFonts w:hint="default" w:ascii="Times New Roman" w:hAnsi="Times New Roman" w:eastAsia="宋体" w:cs="Times New Roman"/>
                <w:b w:val="0"/>
                <w:bCs w:val="0"/>
                <w:color w:val="auto"/>
                <w:lang w:val="en-US" w:eastAsia="zh-CN"/>
              </w:rPr>
              <w:t>根据《酿造工业废水治理工程技术规范》（HJ575-2010），容器管路一次洗涤废水属于高浓度废水，二次洗涤废水属于中低浓度废水。</w:t>
            </w:r>
            <w:r>
              <w:rPr>
                <w:rFonts w:hint="eastAsia" w:ascii="Times New Roman" w:hAnsi="Times New Roman" w:eastAsia="宋体" w:cs="Times New Roman"/>
                <w:b w:val="0"/>
                <w:bCs w:val="0"/>
                <w:color w:val="auto"/>
                <w:lang w:val="en-US" w:eastAsia="zh-CN"/>
              </w:rPr>
              <w:t>由于</w:t>
            </w:r>
            <w:r>
              <w:rPr>
                <w:rFonts w:hint="default" w:ascii="Times New Roman" w:hAnsi="Times New Roman" w:eastAsia="宋体" w:cs="Times New Roman"/>
                <w:b w:val="0"/>
                <w:bCs w:val="0"/>
                <w:color w:val="auto"/>
                <w:lang w:val="en-US" w:eastAsia="zh-CN"/>
              </w:rPr>
              <w:t>生产过程中一次清洗废水和二次清洗废水无法严格区分开，</w:t>
            </w:r>
            <w:r>
              <w:rPr>
                <w:rFonts w:hint="eastAsia" w:ascii="Times New Roman" w:hAnsi="Times New Roman" w:eastAsia="宋体" w:cs="Times New Roman"/>
                <w:b w:val="0"/>
                <w:bCs w:val="0"/>
                <w:color w:val="auto"/>
                <w:lang w:val="en-US" w:eastAsia="zh-CN"/>
              </w:rPr>
              <w:t>因此该部分废水与二次洗涤废水和其他废水混合后</w:t>
            </w:r>
            <w:r>
              <w:rPr>
                <w:rFonts w:hint="default" w:ascii="Times New Roman" w:hAnsi="Times New Roman" w:eastAsia="宋体" w:cs="Times New Roman"/>
                <w:b w:val="0"/>
                <w:bCs w:val="0"/>
                <w:color w:val="auto"/>
                <w:lang w:val="en-US" w:eastAsia="zh-CN"/>
              </w:rPr>
              <w:t>进入厂内自建</w:t>
            </w:r>
            <w:r>
              <w:rPr>
                <w:rFonts w:hint="eastAsia" w:cs="Times New Roman"/>
                <w:b w:val="0"/>
                <w:bCs w:val="0"/>
                <w:color w:val="auto"/>
                <w:lang w:val="en-US" w:eastAsia="zh-CN"/>
              </w:rPr>
              <w:t>一体化</w:t>
            </w:r>
            <w:r>
              <w:rPr>
                <w:rFonts w:hint="default" w:ascii="Times New Roman" w:hAnsi="Times New Roman" w:eastAsia="宋体" w:cs="Times New Roman"/>
                <w:b w:val="0"/>
                <w:bCs w:val="0"/>
                <w:color w:val="auto"/>
                <w:lang w:val="en-US" w:eastAsia="zh-CN"/>
              </w:rPr>
              <w:t>污水处理站处理</w:t>
            </w:r>
            <w:r>
              <w:rPr>
                <w:rFonts w:hint="eastAsia" w:ascii="Times New Roman" w:hAnsi="Times New Roman" w:eastAsia="宋体" w:cs="Times New Roman"/>
                <w:b w:val="0"/>
                <w:bCs w:val="0"/>
                <w:color w:val="auto"/>
                <w:lang w:val="en-US" w:eastAsia="zh-CN"/>
              </w:rPr>
              <w:t>。</w:t>
            </w:r>
          </w:p>
          <w:p w14:paraId="4FCEA544">
            <w:pPr>
              <w:ind w:firstLine="482"/>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根据《酿造工业废水治理工程技术规范》（HJ575-2010）中“表1酿造废水分类收集要求”和“表2各类酿造废水的污染负荷”可知，综合废水指表1列举的各类中、低浓度工艺废水的混合废水，以及高浓度工艺废水经厌氧预处理后排出的消化液和生产厂家自身排放的生活污水等。</w:t>
            </w:r>
          </w:p>
          <w:p w14:paraId="62C46E45">
            <w:pPr>
              <w:ind w:firstLine="482"/>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因此，</w:t>
            </w:r>
            <w:r>
              <w:rPr>
                <w:rFonts w:hint="default" w:ascii="Times New Roman" w:hAnsi="Times New Roman" w:eastAsia="宋体" w:cs="Times New Roman"/>
                <w:b w:val="0"/>
                <w:bCs w:val="0"/>
                <w:color w:val="auto"/>
                <w:lang w:val="en-US" w:eastAsia="zh-CN"/>
              </w:rPr>
              <w:t>本项目生产啤酒产生的生产废水为综合废水。综合废水主要污染物包括：PH、COD、BOD</w:t>
            </w:r>
            <w:r>
              <w:rPr>
                <w:rFonts w:hint="default" w:ascii="Times New Roman" w:hAnsi="Times New Roman" w:eastAsia="宋体" w:cs="Times New Roman"/>
                <w:b w:val="0"/>
                <w:bCs w:val="0"/>
                <w:color w:val="auto"/>
                <w:vertAlign w:val="subscript"/>
                <w:lang w:val="en-US" w:eastAsia="zh-CN"/>
              </w:rPr>
              <w:t>5</w:t>
            </w:r>
            <w:r>
              <w:rPr>
                <w:rFonts w:hint="default" w:ascii="Times New Roman" w:hAnsi="Times New Roman" w:eastAsia="宋体" w:cs="Times New Roman"/>
                <w:b w:val="0"/>
                <w:bCs w:val="0"/>
                <w:color w:val="auto"/>
                <w:lang w:val="en-US" w:eastAsia="zh-CN"/>
              </w:rPr>
              <w:t>、NH</w:t>
            </w:r>
            <w:r>
              <w:rPr>
                <w:rFonts w:hint="default" w:ascii="Times New Roman" w:hAnsi="Times New Roman" w:eastAsia="宋体" w:cs="Times New Roman"/>
                <w:b w:val="0"/>
                <w:bCs w:val="0"/>
                <w:color w:val="auto"/>
                <w:vertAlign w:val="subscript"/>
                <w:lang w:val="en-US" w:eastAsia="zh-CN"/>
              </w:rPr>
              <w:t>3</w:t>
            </w:r>
            <w:r>
              <w:rPr>
                <w:rFonts w:hint="default" w:ascii="Times New Roman" w:hAnsi="Times New Roman" w:eastAsia="宋体" w:cs="Times New Roman"/>
                <w:b w:val="0"/>
                <w:bCs w:val="0"/>
                <w:color w:val="auto"/>
                <w:lang w:val="en-US" w:eastAsia="zh-CN"/>
              </w:rPr>
              <w:t>-N、TN、TP，其污染物浓度为：pH</w:t>
            </w:r>
            <w:r>
              <w:rPr>
                <w:rFonts w:hint="eastAsia" w:cs="Times New Roman"/>
                <w:b w:val="0"/>
                <w:bCs w:val="0"/>
                <w:color w:val="auto"/>
                <w:lang w:val="en-US" w:eastAsia="zh-CN"/>
              </w:rPr>
              <w:t>值：</w:t>
            </w:r>
            <w:r>
              <w:rPr>
                <w:rFonts w:hint="default" w:ascii="Times New Roman" w:hAnsi="Times New Roman" w:eastAsia="宋体" w:cs="Times New Roman"/>
                <w:b w:val="0"/>
                <w:bCs w:val="0"/>
                <w:color w:val="auto"/>
                <w:lang w:val="en-US" w:eastAsia="zh-CN"/>
              </w:rPr>
              <w:t>5～6、COD</w:t>
            </w:r>
            <w:r>
              <w:rPr>
                <w:rFonts w:hint="eastAsia" w:cs="Times New Roman"/>
                <w:b w:val="0"/>
                <w:bCs w:val="0"/>
                <w:color w:val="auto"/>
                <w:lang w:val="en-US" w:eastAsia="zh-CN"/>
              </w:rPr>
              <w:t>：</w:t>
            </w:r>
            <w:r>
              <w:rPr>
                <w:rFonts w:hint="default" w:ascii="Times New Roman" w:hAnsi="Times New Roman" w:eastAsia="宋体" w:cs="Times New Roman"/>
                <w:b w:val="0"/>
                <w:bCs w:val="0"/>
                <w:color w:val="auto"/>
                <w:lang w:val="en-US" w:eastAsia="zh-CN"/>
              </w:rPr>
              <w:t>1500～2500mg/L、BOD</w:t>
            </w:r>
            <w:r>
              <w:rPr>
                <w:rFonts w:hint="default" w:ascii="Times New Roman" w:hAnsi="Times New Roman" w:eastAsia="宋体" w:cs="Times New Roman"/>
                <w:b w:val="0"/>
                <w:bCs w:val="0"/>
                <w:color w:val="auto"/>
                <w:vertAlign w:val="subscript"/>
                <w:lang w:val="en-US" w:eastAsia="zh-CN"/>
              </w:rPr>
              <w:t>5</w:t>
            </w:r>
            <w:r>
              <w:rPr>
                <w:rFonts w:hint="eastAsia" w:cs="Times New Roman"/>
                <w:b w:val="0"/>
                <w:bCs w:val="0"/>
                <w:color w:val="auto"/>
                <w:vertAlign w:val="baseline"/>
                <w:lang w:val="en-US" w:eastAsia="zh-CN"/>
              </w:rPr>
              <w:t>：</w:t>
            </w:r>
            <w:r>
              <w:rPr>
                <w:rFonts w:hint="default" w:ascii="Times New Roman" w:hAnsi="Times New Roman" w:eastAsia="宋体" w:cs="Times New Roman"/>
                <w:b w:val="0"/>
                <w:bCs w:val="0"/>
                <w:color w:val="auto"/>
                <w:lang w:val="en-US" w:eastAsia="zh-CN"/>
              </w:rPr>
              <w:t>900～1500mg/L、NH</w:t>
            </w:r>
            <w:r>
              <w:rPr>
                <w:rFonts w:hint="default" w:ascii="Times New Roman" w:hAnsi="Times New Roman" w:eastAsia="宋体" w:cs="Times New Roman"/>
                <w:b w:val="0"/>
                <w:bCs w:val="0"/>
                <w:color w:val="auto"/>
                <w:vertAlign w:val="subscript"/>
                <w:lang w:val="en-US" w:eastAsia="zh-CN"/>
              </w:rPr>
              <w:t>3</w:t>
            </w:r>
            <w:r>
              <w:rPr>
                <w:rFonts w:hint="default" w:ascii="Times New Roman" w:hAnsi="Times New Roman" w:eastAsia="宋体" w:cs="Times New Roman"/>
                <w:b w:val="0"/>
                <w:bCs w:val="0"/>
                <w:color w:val="auto"/>
                <w:lang w:val="en-US" w:eastAsia="zh-CN"/>
              </w:rPr>
              <w:t>-N</w:t>
            </w:r>
            <w:r>
              <w:rPr>
                <w:rFonts w:hint="eastAsia" w:cs="Times New Roman"/>
                <w:b w:val="0"/>
                <w:bCs w:val="0"/>
                <w:color w:val="auto"/>
                <w:lang w:val="en-US" w:eastAsia="zh-CN"/>
              </w:rPr>
              <w:t>：</w:t>
            </w:r>
            <w:r>
              <w:rPr>
                <w:rFonts w:hint="default" w:ascii="Times New Roman" w:hAnsi="Times New Roman" w:eastAsia="宋体" w:cs="Times New Roman"/>
                <w:b w:val="0"/>
                <w:bCs w:val="0"/>
                <w:color w:val="auto"/>
                <w:lang w:val="en-US" w:eastAsia="zh-CN"/>
              </w:rPr>
              <w:t>90～170mg/L、TN</w:t>
            </w:r>
            <w:r>
              <w:rPr>
                <w:rFonts w:hint="eastAsia" w:cs="Times New Roman"/>
                <w:b w:val="0"/>
                <w:bCs w:val="0"/>
                <w:color w:val="auto"/>
                <w:lang w:val="en-US" w:eastAsia="zh-CN"/>
              </w:rPr>
              <w:t>：</w:t>
            </w:r>
            <w:r>
              <w:rPr>
                <w:rFonts w:hint="default" w:ascii="Times New Roman" w:hAnsi="Times New Roman" w:eastAsia="宋体" w:cs="Times New Roman"/>
                <w:b w:val="0"/>
                <w:bCs w:val="0"/>
                <w:color w:val="auto"/>
                <w:lang w:val="en-US" w:eastAsia="zh-CN"/>
              </w:rPr>
              <w:t>125～250mg/L、TP</w:t>
            </w:r>
            <w:r>
              <w:rPr>
                <w:rFonts w:hint="eastAsia" w:cs="Times New Roman"/>
                <w:b w:val="0"/>
                <w:bCs w:val="0"/>
                <w:color w:val="auto"/>
                <w:lang w:val="en-US" w:eastAsia="zh-CN"/>
              </w:rPr>
              <w:t>：</w:t>
            </w:r>
            <w:r>
              <w:rPr>
                <w:rFonts w:hint="default" w:ascii="Times New Roman" w:hAnsi="Times New Roman" w:eastAsia="宋体" w:cs="Times New Roman"/>
                <w:b w:val="0"/>
                <w:bCs w:val="0"/>
                <w:color w:val="auto"/>
                <w:lang w:val="en-US" w:eastAsia="zh-CN"/>
              </w:rPr>
              <w:t>5～8mg/L，本项目生产废水各污染物浓度取</w:t>
            </w:r>
            <w:r>
              <w:rPr>
                <w:rFonts w:hint="eastAsia" w:ascii="Times New Roman" w:hAnsi="Times New Roman" w:eastAsia="宋体" w:cs="Times New Roman"/>
                <w:b w:val="0"/>
                <w:bCs w:val="0"/>
                <w:color w:val="auto"/>
                <w:lang w:val="en-US" w:eastAsia="zh-CN"/>
              </w:rPr>
              <w:t>最大</w:t>
            </w:r>
            <w:r>
              <w:rPr>
                <w:rFonts w:hint="default" w:ascii="Times New Roman" w:hAnsi="Times New Roman" w:eastAsia="宋体" w:cs="Times New Roman"/>
                <w:b w:val="0"/>
                <w:bCs w:val="0"/>
                <w:color w:val="auto"/>
                <w:lang w:val="en-US" w:eastAsia="zh-CN"/>
              </w:rPr>
              <w:t>值为：pH</w:t>
            </w:r>
            <w:r>
              <w:rPr>
                <w:rFonts w:hint="eastAsia" w:cs="Times New Roman"/>
                <w:b w:val="0"/>
                <w:bCs w:val="0"/>
                <w:color w:val="auto"/>
                <w:lang w:val="en-US" w:eastAsia="zh-CN"/>
              </w:rPr>
              <w:t>值</w:t>
            </w:r>
            <w:r>
              <w:rPr>
                <w:rFonts w:hint="eastAsia" w:ascii="Times New Roman" w:hAnsi="Times New Roman" w:eastAsia="宋体" w:cs="Times New Roman"/>
                <w:b w:val="0"/>
                <w:bCs w:val="0"/>
                <w:color w:val="auto"/>
                <w:lang w:val="en-US" w:eastAsia="zh-CN"/>
              </w:rPr>
              <w:t>6</w:t>
            </w:r>
            <w:r>
              <w:rPr>
                <w:rFonts w:hint="eastAsia" w:cs="Times New Roman"/>
                <w:b w:val="0"/>
                <w:bCs w:val="0"/>
                <w:color w:val="auto"/>
                <w:lang w:val="en-US" w:eastAsia="zh-CN"/>
              </w:rPr>
              <w:t>、</w:t>
            </w:r>
            <w:r>
              <w:rPr>
                <w:rFonts w:hint="default" w:ascii="Times New Roman" w:hAnsi="Times New Roman" w:eastAsia="宋体" w:cs="Times New Roman"/>
                <w:b w:val="0"/>
                <w:bCs w:val="0"/>
                <w:color w:val="auto"/>
                <w:lang w:val="en-US" w:eastAsia="zh-CN"/>
              </w:rPr>
              <w:t>COD</w:t>
            </w:r>
            <w:r>
              <w:rPr>
                <w:rFonts w:hint="eastAsia" w:cs="Times New Roman"/>
                <w:b w:val="0"/>
                <w:bCs w:val="0"/>
                <w:color w:val="auto"/>
                <w:lang w:val="en-US" w:eastAsia="zh-CN"/>
              </w:rPr>
              <w:t>：</w:t>
            </w:r>
            <w:r>
              <w:rPr>
                <w:rFonts w:hint="eastAsia" w:ascii="Times New Roman" w:hAnsi="Times New Roman" w:eastAsia="宋体" w:cs="Times New Roman"/>
                <w:b w:val="0"/>
                <w:bCs w:val="0"/>
                <w:color w:val="auto"/>
                <w:lang w:val="en-US" w:eastAsia="zh-CN"/>
              </w:rPr>
              <w:t>2500</w:t>
            </w:r>
            <w:r>
              <w:rPr>
                <w:rFonts w:hint="default" w:ascii="Times New Roman" w:hAnsi="Times New Roman" w:eastAsia="宋体" w:cs="Times New Roman"/>
                <w:b w:val="0"/>
                <w:bCs w:val="0"/>
                <w:color w:val="auto"/>
                <w:lang w:val="en-US" w:eastAsia="zh-CN"/>
              </w:rPr>
              <w:t>mg/L、BOD</w:t>
            </w:r>
            <w:r>
              <w:rPr>
                <w:rFonts w:hint="default" w:ascii="Times New Roman" w:hAnsi="Times New Roman" w:eastAsia="宋体" w:cs="Times New Roman"/>
                <w:b w:val="0"/>
                <w:bCs w:val="0"/>
                <w:color w:val="auto"/>
                <w:vertAlign w:val="subscript"/>
                <w:lang w:val="en-US" w:eastAsia="zh-CN"/>
              </w:rPr>
              <w:t>5</w:t>
            </w:r>
            <w:r>
              <w:rPr>
                <w:rFonts w:hint="eastAsia" w:cs="Times New Roman"/>
                <w:b w:val="0"/>
                <w:bCs w:val="0"/>
                <w:color w:val="auto"/>
                <w:vertAlign w:val="baseline"/>
                <w:lang w:val="en-US" w:eastAsia="zh-CN"/>
              </w:rPr>
              <w:t>：</w:t>
            </w:r>
            <w:r>
              <w:rPr>
                <w:rFonts w:hint="eastAsia" w:ascii="Times New Roman" w:hAnsi="Times New Roman" w:eastAsia="宋体" w:cs="Times New Roman"/>
                <w:b w:val="0"/>
                <w:bCs w:val="0"/>
                <w:color w:val="auto"/>
                <w:lang w:val="en-US" w:eastAsia="zh-CN"/>
              </w:rPr>
              <w:t>1500</w:t>
            </w:r>
            <w:r>
              <w:rPr>
                <w:rFonts w:hint="default" w:ascii="Times New Roman" w:hAnsi="Times New Roman" w:eastAsia="宋体" w:cs="Times New Roman"/>
                <w:b w:val="0"/>
                <w:bCs w:val="0"/>
                <w:color w:val="auto"/>
                <w:lang w:val="en-US" w:eastAsia="zh-CN"/>
              </w:rPr>
              <w:t>mg/L、NH</w:t>
            </w:r>
            <w:r>
              <w:rPr>
                <w:rFonts w:hint="default" w:ascii="Times New Roman" w:hAnsi="Times New Roman" w:eastAsia="宋体" w:cs="Times New Roman"/>
                <w:b w:val="0"/>
                <w:bCs w:val="0"/>
                <w:color w:val="auto"/>
                <w:vertAlign w:val="subscript"/>
                <w:lang w:val="en-US" w:eastAsia="zh-CN"/>
              </w:rPr>
              <w:t>3</w:t>
            </w:r>
            <w:r>
              <w:rPr>
                <w:rFonts w:hint="default" w:ascii="Times New Roman" w:hAnsi="Times New Roman" w:eastAsia="宋体" w:cs="Times New Roman"/>
                <w:b w:val="0"/>
                <w:bCs w:val="0"/>
                <w:color w:val="auto"/>
                <w:lang w:val="en-US" w:eastAsia="zh-CN"/>
              </w:rPr>
              <w:t>-N</w:t>
            </w:r>
            <w:r>
              <w:rPr>
                <w:rFonts w:hint="eastAsia" w:cs="Times New Roman"/>
                <w:b w:val="0"/>
                <w:bCs w:val="0"/>
                <w:color w:val="auto"/>
                <w:lang w:val="en-US" w:eastAsia="zh-CN"/>
              </w:rPr>
              <w:t>：</w:t>
            </w:r>
            <w:r>
              <w:rPr>
                <w:rFonts w:hint="eastAsia" w:ascii="Times New Roman" w:hAnsi="Times New Roman" w:eastAsia="宋体" w:cs="Times New Roman"/>
                <w:b w:val="0"/>
                <w:bCs w:val="0"/>
                <w:color w:val="auto"/>
                <w:lang w:val="en-US" w:eastAsia="zh-CN"/>
              </w:rPr>
              <w:t>170</w:t>
            </w:r>
            <w:r>
              <w:rPr>
                <w:rFonts w:hint="default" w:ascii="Times New Roman" w:hAnsi="Times New Roman" w:eastAsia="宋体" w:cs="Times New Roman"/>
                <w:b w:val="0"/>
                <w:bCs w:val="0"/>
                <w:color w:val="auto"/>
                <w:lang w:val="en-US" w:eastAsia="zh-CN"/>
              </w:rPr>
              <w:t>mg/L、TN</w:t>
            </w:r>
            <w:r>
              <w:rPr>
                <w:rFonts w:hint="eastAsia" w:cs="Times New Roman"/>
                <w:b w:val="0"/>
                <w:bCs w:val="0"/>
                <w:color w:val="auto"/>
                <w:lang w:val="en-US" w:eastAsia="zh-CN"/>
              </w:rPr>
              <w:t>：</w:t>
            </w:r>
            <w:r>
              <w:rPr>
                <w:rFonts w:hint="eastAsia" w:ascii="Times New Roman" w:hAnsi="Times New Roman" w:eastAsia="宋体" w:cs="Times New Roman"/>
                <w:b w:val="0"/>
                <w:bCs w:val="0"/>
                <w:color w:val="auto"/>
                <w:lang w:val="en-US" w:eastAsia="zh-CN"/>
              </w:rPr>
              <w:t>250</w:t>
            </w:r>
            <w:r>
              <w:rPr>
                <w:rFonts w:hint="default" w:ascii="Times New Roman" w:hAnsi="Times New Roman" w:eastAsia="宋体" w:cs="Times New Roman"/>
                <w:b w:val="0"/>
                <w:bCs w:val="0"/>
                <w:color w:val="auto"/>
                <w:lang w:val="en-US" w:eastAsia="zh-CN"/>
              </w:rPr>
              <w:t>mg/L、TP</w:t>
            </w:r>
            <w:r>
              <w:rPr>
                <w:rFonts w:hint="eastAsia" w:cs="Times New Roman"/>
                <w:b w:val="0"/>
                <w:bCs w:val="0"/>
                <w:color w:val="auto"/>
                <w:lang w:val="en-US" w:eastAsia="zh-CN"/>
              </w:rPr>
              <w:t>：</w:t>
            </w:r>
            <w:r>
              <w:rPr>
                <w:rFonts w:hint="eastAsia" w:ascii="Times New Roman" w:hAnsi="Times New Roman" w:eastAsia="宋体" w:cs="Times New Roman"/>
                <w:b w:val="0"/>
                <w:bCs w:val="0"/>
                <w:color w:val="auto"/>
                <w:lang w:val="en-US" w:eastAsia="zh-CN"/>
              </w:rPr>
              <w:t>8</w:t>
            </w:r>
            <w:r>
              <w:rPr>
                <w:rFonts w:hint="default" w:ascii="Times New Roman" w:hAnsi="Times New Roman" w:eastAsia="宋体" w:cs="Times New Roman"/>
                <w:b w:val="0"/>
                <w:bCs w:val="0"/>
                <w:color w:val="auto"/>
                <w:lang w:val="en-US" w:eastAsia="zh-CN"/>
              </w:rPr>
              <w:t>mg/L</w:t>
            </w:r>
            <w:r>
              <w:rPr>
                <w:rFonts w:hint="eastAsia" w:ascii="Times New Roman" w:hAnsi="Times New Roman" w:eastAsia="宋体" w:cs="Times New Roman"/>
                <w:b w:val="0"/>
                <w:bCs w:val="0"/>
                <w:color w:val="auto"/>
                <w:lang w:val="en-US" w:eastAsia="zh-CN"/>
              </w:rPr>
              <w:t>、SS</w:t>
            </w:r>
            <w:r>
              <w:rPr>
                <w:rFonts w:hint="eastAsia" w:cs="Times New Roman"/>
                <w:b w:val="0"/>
                <w:bCs w:val="0"/>
                <w:color w:val="auto"/>
                <w:lang w:val="en-US" w:eastAsia="zh-CN"/>
              </w:rPr>
              <w:t>：</w:t>
            </w:r>
            <w:r>
              <w:rPr>
                <w:rFonts w:hint="default" w:ascii="Times New Roman" w:hAnsi="Times New Roman" w:eastAsia="宋体" w:cs="Times New Roman"/>
                <w:b w:val="0"/>
                <w:bCs w:val="0"/>
                <w:color w:val="auto"/>
                <w:lang w:val="en-US" w:eastAsia="zh-CN"/>
              </w:rPr>
              <w:t>浓度在</w:t>
            </w:r>
            <w:r>
              <w:rPr>
                <w:rFonts w:hint="eastAsia" w:ascii="Times New Roman" w:hAnsi="Times New Roman" w:eastAsia="宋体" w:cs="Times New Roman"/>
                <w:b w:val="0"/>
                <w:bCs w:val="0"/>
                <w:color w:val="auto"/>
                <w:lang w:val="en-US" w:eastAsia="zh-CN"/>
              </w:rPr>
              <w:t>1500</w:t>
            </w:r>
            <w:r>
              <w:rPr>
                <w:rFonts w:hint="default" w:ascii="Times New Roman" w:hAnsi="Times New Roman" w:eastAsia="宋体" w:cs="Times New Roman"/>
                <w:b w:val="0"/>
                <w:bCs w:val="0"/>
                <w:color w:val="auto"/>
                <w:lang w:val="en-US" w:eastAsia="zh-CN"/>
              </w:rPr>
              <w:t>mg/L</w:t>
            </w:r>
            <w:r>
              <w:rPr>
                <w:rFonts w:hint="eastAsia" w:ascii="Times New Roman" w:hAnsi="Times New Roman" w:eastAsia="宋体" w:cs="Times New Roman"/>
                <w:b w:val="0"/>
                <w:bCs w:val="0"/>
                <w:color w:val="auto"/>
                <w:lang w:val="en-US" w:eastAsia="zh-CN"/>
              </w:rPr>
              <w:t>。</w:t>
            </w:r>
          </w:p>
          <w:p w14:paraId="5A3E878A">
            <w:pPr>
              <w:ind w:firstLine="482"/>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本项目一体化污水处理站拟采用“格栅渠+调节池+水解酸化池+接触氧化池+沉淀池+清水池”工艺进行污水处理，属于“</w:t>
            </w:r>
            <w:r>
              <w:rPr>
                <w:rFonts w:hint="default" w:ascii="Times New Roman" w:hAnsi="Times New Roman" w:eastAsia="宋体" w:cs="Times New Roman"/>
                <w:b w:val="0"/>
                <w:bCs w:val="0"/>
                <w:color w:val="auto"/>
                <w:lang w:val="en-US" w:eastAsia="zh-CN"/>
              </w:rPr>
              <w:t>物理法+厌氧</w:t>
            </w:r>
            <w:r>
              <w:rPr>
                <w:rFonts w:hint="eastAsia"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t>好氧</w:t>
            </w:r>
            <w:r>
              <w:rPr>
                <w:rFonts w:hint="eastAsia" w:ascii="Times New Roman" w:hAnsi="Times New Roman" w:eastAsia="宋体" w:cs="Times New Roman"/>
                <w:b w:val="0"/>
                <w:bCs w:val="0"/>
                <w:color w:val="auto"/>
                <w:lang w:val="en-US" w:eastAsia="zh-CN"/>
              </w:rPr>
              <w:t>组合法</w:t>
            </w:r>
            <w:r>
              <w:rPr>
                <w:rFonts w:hint="default" w:ascii="Times New Roman" w:hAnsi="Times New Roman" w:eastAsia="宋体" w:cs="Times New Roman"/>
                <w:b w:val="0"/>
                <w:bCs w:val="0"/>
                <w:color w:val="auto"/>
                <w:lang w:val="en-US" w:eastAsia="zh-CN"/>
              </w:rPr>
              <w:t>+化学处理法</w:t>
            </w:r>
            <w:r>
              <w:rPr>
                <w:rFonts w:hint="eastAsia" w:ascii="Times New Roman" w:hAnsi="Times New Roman" w:eastAsia="宋体" w:cs="Times New Roman"/>
                <w:b w:val="0"/>
                <w:bCs w:val="0"/>
                <w:color w:val="auto"/>
                <w:lang w:val="en-US" w:eastAsia="zh-CN"/>
              </w:rPr>
              <w:t>”组合技术，根据设备厂家提供的设计方案可知，采用“格栅渠+调节池+水解酸化池+接触氧化池+沉淀池+清水池”工艺进行污水处理时，</w:t>
            </w:r>
            <w:r>
              <w:rPr>
                <w:rFonts w:hint="default" w:ascii="Times New Roman" w:hAnsi="Times New Roman" w:eastAsia="宋体" w:cs="Times New Roman"/>
                <w:b w:val="0"/>
                <w:bCs w:val="0"/>
                <w:color w:val="auto"/>
                <w:lang w:val="en-US" w:eastAsia="zh-CN"/>
              </w:rPr>
              <w:t>对COD</w:t>
            </w:r>
            <w:r>
              <w:rPr>
                <w:rFonts w:hint="eastAsia" w:ascii="Times New Roman" w:hAnsi="Times New Roman" w:eastAsia="宋体" w:cs="Times New Roman"/>
                <w:b w:val="0"/>
                <w:bCs w:val="0"/>
                <w:color w:val="auto"/>
                <w:lang w:val="en-US" w:eastAsia="zh-CN"/>
              </w:rPr>
              <w:t>的去除效率为90%、BOD</w:t>
            </w:r>
            <w:r>
              <w:rPr>
                <w:rFonts w:hint="eastAsia" w:ascii="Times New Roman" w:hAnsi="Times New Roman" w:eastAsia="宋体" w:cs="Times New Roman"/>
                <w:b w:val="0"/>
                <w:bCs w:val="0"/>
                <w:color w:val="auto"/>
                <w:vertAlign w:val="subscript"/>
                <w:lang w:val="en-US" w:eastAsia="zh-CN"/>
              </w:rPr>
              <w:t>5</w:t>
            </w:r>
            <w:r>
              <w:rPr>
                <w:rFonts w:hint="eastAsia" w:ascii="Times New Roman" w:hAnsi="Times New Roman" w:eastAsia="宋体" w:cs="Times New Roman"/>
                <w:b w:val="0"/>
                <w:bCs w:val="0"/>
                <w:color w:val="auto"/>
                <w:lang w:val="en-US" w:eastAsia="zh-CN"/>
              </w:rPr>
              <w:t>为93%</w:t>
            </w:r>
            <w:r>
              <w:rPr>
                <w:rFonts w:hint="default" w:ascii="Times New Roman" w:hAnsi="Times New Roman" w:eastAsia="宋体" w:cs="Times New Roman"/>
                <w:b w:val="0"/>
                <w:bCs w:val="0"/>
                <w:color w:val="auto"/>
                <w:lang w:val="en-US" w:eastAsia="zh-CN"/>
              </w:rPr>
              <w:t>、NH</w:t>
            </w:r>
            <w:r>
              <w:rPr>
                <w:rFonts w:hint="default" w:ascii="Times New Roman" w:hAnsi="Times New Roman" w:eastAsia="宋体" w:cs="Times New Roman"/>
                <w:b w:val="0"/>
                <w:bCs w:val="0"/>
                <w:color w:val="auto"/>
                <w:vertAlign w:val="subscript"/>
                <w:lang w:val="en-US" w:eastAsia="zh-CN"/>
              </w:rPr>
              <w:t>3</w:t>
            </w:r>
            <w:r>
              <w:rPr>
                <w:rFonts w:hint="default" w:ascii="Times New Roman" w:hAnsi="Times New Roman" w:eastAsia="宋体" w:cs="Times New Roman"/>
                <w:b w:val="0"/>
                <w:bCs w:val="0"/>
                <w:color w:val="auto"/>
                <w:lang w:val="en-US" w:eastAsia="zh-CN"/>
              </w:rPr>
              <w:t>-N为</w:t>
            </w:r>
            <w:r>
              <w:rPr>
                <w:rFonts w:hint="eastAsia" w:ascii="Times New Roman" w:hAnsi="Times New Roman" w:eastAsia="宋体" w:cs="Times New Roman"/>
                <w:b w:val="0"/>
                <w:bCs w:val="0"/>
                <w:color w:val="auto"/>
                <w:lang w:val="en-US" w:eastAsia="zh-CN"/>
              </w:rPr>
              <w:t>90.5</w:t>
            </w:r>
            <w:r>
              <w:rPr>
                <w:rFonts w:hint="default" w:ascii="Times New Roman" w:hAnsi="Times New Roman" w:eastAsia="宋体" w:cs="Times New Roman"/>
                <w:b w:val="0"/>
                <w:bCs w:val="0"/>
                <w:color w:val="auto"/>
                <w:lang w:val="en-US" w:eastAsia="zh-CN"/>
              </w:rPr>
              <w:t>%、TN为</w:t>
            </w:r>
            <w:r>
              <w:rPr>
                <w:rFonts w:hint="eastAsia" w:ascii="Times New Roman" w:hAnsi="Times New Roman" w:eastAsia="宋体" w:cs="Times New Roman"/>
                <w:b w:val="0"/>
                <w:bCs w:val="0"/>
                <w:color w:val="auto"/>
                <w:lang w:val="en-US" w:eastAsia="zh-CN"/>
              </w:rPr>
              <w:t>76.25</w:t>
            </w:r>
            <w:r>
              <w:rPr>
                <w:rFonts w:hint="default" w:ascii="Times New Roman" w:hAnsi="Times New Roman" w:eastAsia="宋体" w:cs="Times New Roman"/>
                <w:b w:val="0"/>
                <w:bCs w:val="0"/>
                <w:color w:val="auto"/>
                <w:lang w:val="en-US" w:eastAsia="zh-CN"/>
              </w:rPr>
              <w:t>%、TP为</w:t>
            </w:r>
            <w:r>
              <w:rPr>
                <w:rFonts w:hint="eastAsia" w:ascii="Times New Roman" w:hAnsi="Times New Roman" w:eastAsia="宋体" w:cs="Times New Roman"/>
                <w:b w:val="0"/>
                <w:bCs w:val="0"/>
                <w:color w:val="auto"/>
                <w:lang w:val="en-US" w:eastAsia="zh-CN"/>
              </w:rPr>
              <w:t>93</w:t>
            </w:r>
            <w:r>
              <w:rPr>
                <w:rFonts w:hint="default" w:ascii="Times New Roman" w:hAnsi="Times New Roman" w:eastAsia="宋体" w:cs="Times New Roman"/>
                <w:b w:val="0"/>
                <w:bCs w:val="0"/>
                <w:color w:val="auto"/>
                <w:lang w:val="en-US" w:eastAsia="zh-CN"/>
              </w:rPr>
              <w:t>%</w:t>
            </w:r>
            <w:r>
              <w:rPr>
                <w:rFonts w:hint="eastAsia" w:ascii="Times New Roman" w:hAnsi="Times New Roman" w:eastAsia="宋体" w:cs="Times New Roman"/>
                <w:b w:val="0"/>
                <w:bCs w:val="0"/>
                <w:color w:val="auto"/>
                <w:lang w:val="en-US" w:eastAsia="zh-CN"/>
              </w:rPr>
              <w:t>、SS为96.4</w:t>
            </w:r>
            <w:r>
              <w:rPr>
                <w:rFonts w:hint="default" w:ascii="Times New Roman" w:hAnsi="Times New Roman" w:eastAsia="宋体" w:cs="Times New Roman"/>
                <w:b w:val="0"/>
                <w:bCs w:val="0"/>
                <w:color w:val="auto"/>
                <w:lang w:val="en-US" w:eastAsia="zh-CN"/>
              </w:rPr>
              <w:t>%。</w:t>
            </w:r>
            <w:r>
              <w:rPr>
                <w:rFonts w:hint="eastAsia" w:ascii="Times New Roman" w:hAnsi="Times New Roman" w:eastAsia="宋体" w:cs="Times New Roman"/>
                <w:b w:val="0"/>
                <w:bCs w:val="0"/>
                <w:color w:val="auto"/>
                <w:lang w:val="en-US" w:eastAsia="zh-CN"/>
              </w:rPr>
              <w:t>又</w:t>
            </w:r>
            <w:r>
              <w:rPr>
                <w:rFonts w:hint="default" w:ascii="Times New Roman" w:hAnsi="Times New Roman" w:eastAsia="宋体" w:cs="Times New Roman"/>
                <w:b w:val="0"/>
                <w:bCs w:val="0"/>
                <w:color w:val="auto"/>
                <w:lang w:val="en-US" w:eastAsia="zh-CN"/>
              </w:rPr>
              <w:t>根据《工业源系数手册 151</w:t>
            </w:r>
            <w:r>
              <w:rPr>
                <w:rFonts w:hint="eastAsia" w:ascii="Times New Roman" w:hAnsi="Times New Roman" w:eastAsia="宋体" w:cs="Times New Roman"/>
                <w:b w:val="0"/>
                <w:bCs w:val="0"/>
                <w:color w:val="auto"/>
                <w:lang w:val="en-US" w:eastAsia="zh-CN"/>
              </w:rPr>
              <w:t>3啤酒</w:t>
            </w:r>
            <w:r>
              <w:rPr>
                <w:rFonts w:hint="default" w:ascii="Times New Roman" w:hAnsi="Times New Roman" w:eastAsia="宋体" w:cs="Times New Roman"/>
                <w:b w:val="0"/>
                <w:bCs w:val="0"/>
                <w:color w:val="auto"/>
                <w:lang w:val="en-US" w:eastAsia="zh-CN"/>
              </w:rPr>
              <w:t>制造行业系数手册》采用“物理法+厌氧</w:t>
            </w:r>
            <w:r>
              <w:rPr>
                <w:rFonts w:hint="eastAsia" w:ascii="Times New Roman" w:hAnsi="Times New Roman" w:eastAsia="宋体" w:cs="Times New Roman"/>
                <w:b w:val="0"/>
                <w:bCs w:val="0"/>
                <w:color w:val="auto"/>
                <w:lang w:val="en-US" w:eastAsia="zh-CN"/>
              </w:rPr>
              <w:t>/</w:t>
            </w:r>
            <w:r>
              <w:rPr>
                <w:rFonts w:hint="default" w:ascii="Times New Roman" w:hAnsi="Times New Roman" w:eastAsia="宋体" w:cs="Times New Roman"/>
                <w:b w:val="0"/>
                <w:bCs w:val="0"/>
                <w:color w:val="auto"/>
                <w:lang w:val="en-US" w:eastAsia="zh-CN"/>
              </w:rPr>
              <w:t>好氧</w:t>
            </w:r>
            <w:r>
              <w:rPr>
                <w:rFonts w:hint="eastAsia" w:ascii="Times New Roman" w:hAnsi="Times New Roman" w:eastAsia="宋体" w:cs="Times New Roman"/>
                <w:b w:val="0"/>
                <w:bCs w:val="0"/>
                <w:color w:val="auto"/>
                <w:lang w:val="en-US" w:eastAsia="zh-CN"/>
              </w:rPr>
              <w:t>组合法</w:t>
            </w:r>
            <w:r>
              <w:rPr>
                <w:rFonts w:hint="default" w:ascii="Times New Roman" w:hAnsi="Times New Roman" w:eastAsia="宋体" w:cs="Times New Roman"/>
                <w:b w:val="0"/>
                <w:bCs w:val="0"/>
                <w:color w:val="auto"/>
                <w:lang w:val="en-US" w:eastAsia="zh-CN"/>
              </w:rPr>
              <w:t>+化学处理法”为末端治理技术时，对COD</w:t>
            </w:r>
            <w:r>
              <w:rPr>
                <w:rFonts w:hint="eastAsia" w:ascii="Times New Roman" w:hAnsi="Times New Roman" w:eastAsia="宋体" w:cs="Times New Roman"/>
                <w:b w:val="0"/>
                <w:bCs w:val="0"/>
                <w:color w:val="auto"/>
                <w:lang w:val="en-US" w:eastAsia="zh-CN"/>
              </w:rPr>
              <w:t>的处理效率为97%</w:t>
            </w:r>
            <w:r>
              <w:rPr>
                <w:rFonts w:hint="default" w:ascii="Times New Roman" w:hAnsi="Times New Roman" w:eastAsia="宋体" w:cs="Times New Roman"/>
                <w:b w:val="0"/>
                <w:bCs w:val="0"/>
                <w:color w:val="auto"/>
                <w:lang w:val="en-US" w:eastAsia="zh-CN"/>
              </w:rPr>
              <w:t>、NH</w:t>
            </w:r>
            <w:r>
              <w:rPr>
                <w:rFonts w:hint="default" w:ascii="Times New Roman" w:hAnsi="Times New Roman" w:eastAsia="宋体" w:cs="Times New Roman"/>
                <w:b w:val="0"/>
                <w:bCs w:val="0"/>
                <w:color w:val="auto"/>
                <w:vertAlign w:val="subscript"/>
                <w:lang w:val="en-US" w:eastAsia="zh-CN"/>
              </w:rPr>
              <w:t>3</w:t>
            </w:r>
            <w:r>
              <w:rPr>
                <w:rFonts w:hint="default" w:ascii="Times New Roman" w:hAnsi="Times New Roman" w:eastAsia="宋体" w:cs="Times New Roman"/>
                <w:b w:val="0"/>
                <w:bCs w:val="0"/>
                <w:color w:val="auto"/>
                <w:lang w:val="en-US" w:eastAsia="zh-CN"/>
              </w:rPr>
              <w:t>-N为</w:t>
            </w:r>
            <w:r>
              <w:rPr>
                <w:rFonts w:hint="eastAsia" w:ascii="Times New Roman" w:hAnsi="Times New Roman" w:eastAsia="宋体" w:cs="Times New Roman"/>
                <w:b w:val="0"/>
                <w:bCs w:val="0"/>
                <w:color w:val="auto"/>
                <w:lang w:val="en-US" w:eastAsia="zh-CN"/>
              </w:rPr>
              <w:t>70</w:t>
            </w:r>
            <w:r>
              <w:rPr>
                <w:rFonts w:hint="default" w:ascii="Times New Roman" w:hAnsi="Times New Roman" w:eastAsia="宋体" w:cs="Times New Roman"/>
                <w:b w:val="0"/>
                <w:bCs w:val="0"/>
                <w:color w:val="auto"/>
                <w:lang w:val="en-US" w:eastAsia="zh-CN"/>
              </w:rPr>
              <w:t>%、TN为</w:t>
            </w:r>
            <w:r>
              <w:rPr>
                <w:rFonts w:hint="eastAsia" w:ascii="Times New Roman" w:hAnsi="Times New Roman" w:eastAsia="宋体" w:cs="Times New Roman"/>
                <w:b w:val="0"/>
                <w:bCs w:val="0"/>
                <w:color w:val="auto"/>
                <w:lang w:val="en-US" w:eastAsia="zh-CN"/>
              </w:rPr>
              <w:t>72</w:t>
            </w:r>
            <w:r>
              <w:rPr>
                <w:rFonts w:hint="default" w:ascii="Times New Roman" w:hAnsi="Times New Roman" w:eastAsia="宋体" w:cs="Times New Roman"/>
                <w:b w:val="0"/>
                <w:bCs w:val="0"/>
                <w:color w:val="auto"/>
                <w:lang w:val="en-US" w:eastAsia="zh-CN"/>
              </w:rPr>
              <w:t>%、TP为</w:t>
            </w:r>
            <w:r>
              <w:rPr>
                <w:rFonts w:hint="eastAsia" w:ascii="Times New Roman" w:hAnsi="Times New Roman" w:eastAsia="宋体" w:cs="Times New Roman"/>
                <w:b w:val="0"/>
                <w:bCs w:val="0"/>
                <w:color w:val="auto"/>
                <w:lang w:val="en-US" w:eastAsia="zh-CN"/>
              </w:rPr>
              <w:t>93</w:t>
            </w:r>
            <w:r>
              <w:rPr>
                <w:rFonts w:hint="default" w:ascii="Times New Roman" w:hAnsi="Times New Roman" w:eastAsia="宋体" w:cs="Times New Roman"/>
                <w:b w:val="0"/>
                <w:bCs w:val="0"/>
                <w:color w:val="auto"/>
                <w:lang w:val="en-US" w:eastAsia="zh-CN"/>
              </w:rPr>
              <w:t>%。</w:t>
            </w:r>
          </w:p>
          <w:p w14:paraId="23389695">
            <w:pPr>
              <w:ind w:firstLine="482"/>
              <w:rPr>
                <w:rFonts w:hint="default" w:ascii="Times New Roman" w:hAnsi="Times New Roman" w:eastAsia="宋体" w:cs="Times New Roman"/>
                <w:b w:val="0"/>
                <w:bCs w:val="0"/>
                <w:color w:val="auto"/>
                <w:lang w:val="en-US" w:eastAsia="zh-CN"/>
              </w:rPr>
            </w:pPr>
            <w:r>
              <w:rPr>
                <w:rFonts w:hint="eastAsia" w:ascii="Times New Roman" w:hAnsi="Times New Roman" w:eastAsia="宋体" w:cs="Times New Roman"/>
                <w:b w:val="0"/>
                <w:bCs w:val="0"/>
                <w:color w:val="auto"/>
                <w:lang w:val="en-US" w:eastAsia="zh-CN"/>
              </w:rPr>
              <w:t>综合一体化污水处理站设计方案和《工业源系数手册 1513啤酒制造行业系数手册》各污染物浓度去除效率取中间值，则本项目</w:t>
            </w:r>
            <w:r>
              <w:rPr>
                <w:rFonts w:hint="default" w:ascii="Times New Roman" w:hAnsi="Times New Roman" w:eastAsia="宋体" w:cs="Times New Roman"/>
                <w:b w:val="0"/>
                <w:bCs w:val="0"/>
                <w:color w:val="auto"/>
                <w:lang w:val="en-US" w:eastAsia="zh-CN"/>
              </w:rPr>
              <w:t>COD</w:t>
            </w:r>
            <w:r>
              <w:rPr>
                <w:rFonts w:hint="eastAsia" w:ascii="Times New Roman" w:hAnsi="Times New Roman" w:eastAsia="宋体" w:cs="Times New Roman"/>
                <w:b w:val="0"/>
                <w:bCs w:val="0"/>
                <w:color w:val="auto"/>
                <w:lang w:val="en-US" w:eastAsia="zh-CN"/>
              </w:rPr>
              <w:t>的去除效率取93.5%、BOD</w:t>
            </w:r>
            <w:r>
              <w:rPr>
                <w:rFonts w:hint="eastAsia" w:ascii="Times New Roman" w:hAnsi="Times New Roman" w:eastAsia="宋体" w:cs="Times New Roman"/>
                <w:b w:val="0"/>
                <w:bCs w:val="0"/>
                <w:color w:val="auto"/>
                <w:vertAlign w:val="subscript"/>
                <w:lang w:val="en-US" w:eastAsia="zh-CN"/>
              </w:rPr>
              <w:t>5</w:t>
            </w:r>
            <w:r>
              <w:rPr>
                <w:rFonts w:hint="eastAsia" w:ascii="Times New Roman" w:hAnsi="Times New Roman" w:eastAsia="宋体" w:cs="Times New Roman"/>
                <w:b w:val="0"/>
                <w:bCs w:val="0"/>
                <w:color w:val="auto"/>
                <w:lang w:val="en-US" w:eastAsia="zh-CN"/>
              </w:rPr>
              <w:t>取93%</w:t>
            </w:r>
            <w:r>
              <w:rPr>
                <w:rFonts w:hint="default" w:ascii="Times New Roman" w:hAnsi="Times New Roman" w:eastAsia="宋体" w:cs="Times New Roman"/>
                <w:b w:val="0"/>
                <w:bCs w:val="0"/>
                <w:color w:val="auto"/>
                <w:lang w:val="en-US" w:eastAsia="zh-CN"/>
              </w:rPr>
              <w:t>、NH</w:t>
            </w:r>
            <w:r>
              <w:rPr>
                <w:rFonts w:hint="default" w:ascii="Times New Roman" w:hAnsi="Times New Roman" w:eastAsia="宋体" w:cs="Times New Roman"/>
                <w:b w:val="0"/>
                <w:bCs w:val="0"/>
                <w:color w:val="auto"/>
                <w:vertAlign w:val="subscript"/>
                <w:lang w:val="en-US" w:eastAsia="zh-CN"/>
              </w:rPr>
              <w:t>3</w:t>
            </w:r>
            <w:r>
              <w:rPr>
                <w:rFonts w:hint="default" w:ascii="Times New Roman" w:hAnsi="Times New Roman" w:eastAsia="宋体" w:cs="Times New Roman"/>
                <w:b w:val="0"/>
                <w:bCs w:val="0"/>
                <w:color w:val="auto"/>
                <w:lang w:val="en-US" w:eastAsia="zh-CN"/>
              </w:rPr>
              <w:t>-N</w:t>
            </w:r>
            <w:r>
              <w:rPr>
                <w:rFonts w:hint="eastAsia" w:ascii="Times New Roman" w:hAnsi="Times New Roman" w:eastAsia="宋体" w:cs="Times New Roman"/>
                <w:b w:val="0"/>
                <w:bCs w:val="0"/>
                <w:color w:val="auto"/>
                <w:lang w:val="en-US" w:eastAsia="zh-CN"/>
              </w:rPr>
              <w:t>取80.25</w:t>
            </w:r>
            <w:r>
              <w:rPr>
                <w:rFonts w:hint="default" w:ascii="Times New Roman" w:hAnsi="Times New Roman" w:eastAsia="宋体" w:cs="Times New Roman"/>
                <w:b w:val="0"/>
                <w:bCs w:val="0"/>
                <w:color w:val="auto"/>
                <w:lang w:val="en-US" w:eastAsia="zh-CN"/>
              </w:rPr>
              <w:t>%、TN为</w:t>
            </w:r>
            <w:r>
              <w:rPr>
                <w:rFonts w:hint="eastAsia" w:ascii="Times New Roman" w:hAnsi="Times New Roman" w:eastAsia="宋体" w:cs="Times New Roman"/>
                <w:b w:val="0"/>
                <w:bCs w:val="0"/>
                <w:color w:val="auto"/>
                <w:lang w:val="en-US" w:eastAsia="zh-CN"/>
              </w:rPr>
              <w:t>74.125</w:t>
            </w:r>
            <w:r>
              <w:rPr>
                <w:rFonts w:hint="default" w:ascii="Times New Roman" w:hAnsi="Times New Roman" w:eastAsia="宋体" w:cs="Times New Roman"/>
                <w:b w:val="0"/>
                <w:bCs w:val="0"/>
                <w:color w:val="auto"/>
                <w:lang w:val="en-US" w:eastAsia="zh-CN"/>
              </w:rPr>
              <w:t>%、TP为</w:t>
            </w:r>
            <w:r>
              <w:rPr>
                <w:rFonts w:hint="eastAsia" w:ascii="Times New Roman" w:hAnsi="Times New Roman" w:eastAsia="宋体" w:cs="Times New Roman"/>
                <w:b w:val="0"/>
                <w:bCs w:val="0"/>
                <w:color w:val="auto"/>
                <w:lang w:val="en-US" w:eastAsia="zh-CN"/>
              </w:rPr>
              <w:t>93</w:t>
            </w:r>
            <w:r>
              <w:rPr>
                <w:rFonts w:hint="default" w:ascii="Times New Roman" w:hAnsi="Times New Roman" w:eastAsia="宋体" w:cs="Times New Roman"/>
                <w:b w:val="0"/>
                <w:bCs w:val="0"/>
                <w:color w:val="auto"/>
                <w:lang w:val="en-US" w:eastAsia="zh-CN"/>
              </w:rPr>
              <w:t>%</w:t>
            </w:r>
            <w:r>
              <w:rPr>
                <w:rFonts w:hint="eastAsia" w:ascii="Times New Roman" w:hAnsi="Times New Roman" w:eastAsia="宋体" w:cs="Times New Roman"/>
                <w:b w:val="0"/>
                <w:bCs w:val="0"/>
                <w:color w:val="auto"/>
                <w:lang w:val="en-US" w:eastAsia="zh-CN"/>
              </w:rPr>
              <w:t>、SS为96.4</w:t>
            </w:r>
            <w:r>
              <w:rPr>
                <w:rFonts w:hint="default" w:ascii="Times New Roman" w:hAnsi="Times New Roman" w:eastAsia="宋体" w:cs="Times New Roman"/>
                <w:b w:val="0"/>
                <w:bCs w:val="0"/>
                <w:color w:val="auto"/>
                <w:lang w:val="en-US" w:eastAsia="zh-CN"/>
              </w:rPr>
              <w:t>%。</w:t>
            </w:r>
          </w:p>
          <w:p w14:paraId="3621B74E">
            <w:pPr>
              <w:pStyle w:val="60"/>
              <w:ind w:left="0" w:leftChars="0" w:firstLine="0" w:firstLineChars="0"/>
              <w:jc w:val="center"/>
              <w:rPr>
                <w:rFonts w:hint="eastAsia"/>
                <w:b/>
                <w:bCs/>
                <w:color w:val="auto"/>
                <w:sz w:val="21"/>
                <w:highlight w:val="none"/>
              </w:rPr>
            </w:pPr>
            <w:r>
              <w:rPr>
                <w:rFonts w:hint="eastAsia"/>
                <w:b/>
                <w:bCs/>
                <w:color w:val="auto"/>
                <w:sz w:val="21"/>
                <w:highlight w:val="none"/>
              </w:rPr>
              <w:t>表</w:t>
            </w:r>
            <w:r>
              <w:rPr>
                <w:rFonts w:cs="Times New Roman"/>
                <w:b/>
                <w:bCs/>
                <w:color w:val="auto"/>
                <w:sz w:val="21"/>
                <w:highlight w:val="none"/>
              </w:rPr>
              <w:t>4-</w:t>
            </w:r>
            <w:r>
              <w:rPr>
                <w:rFonts w:hint="eastAsia" w:cs="Times New Roman"/>
                <w:b/>
                <w:bCs/>
                <w:color w:val="auto"/>
                <w:sz w:val="21"/>
                <w:highlight w:val="none"/>
                <w:lang w:val="en-US" w:eastAsia="zh-CN"/>
              </w:rPr>
              <w:t>14 综合废水</w:t>
            </w:r>
            <w:r>
              <w:rPr>
                <w:rFonts w:hint="eastAsia"/>
                <w:b/>
                <w:bCs/>
                <w:color w:val="auto"/>
                <w:sz w:val="21"/>
                <w:highlight w:val="none"/>
              </w:rPr>
              <w:t>各污染物产排浓度情况一览表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4"/>
              <w:gridCol w:w="1091"/>
              <w:gridCol w:w="955"/>
              <w:gridCol w:w="981"/>
              <w:gridCol w:w="825"/>
              <w:gridCol w:w="811"/>
              <w:gridCol w:w="796"/>
              <w:gridCol w:w="797"/>
            </w:tblGrid>
            <w:tr w14:paraId="638C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675" w:type="dxa"/>
                  <w:gridSpan w:val="2"/>
                  <w:vMerge w:val="restart"/>
                  <w:noWrap w:val="0"/>
                  <w:vAlign w:val="center"/>
                </w:tcPr>
                <w:p w14:paraId="20F5AF13">
                  <w:pPr>
                    <w:pStyle w:val="29"/>
                    <w:rPr>
                      <w:rFonts w:hint="default" w:eastAsia="宋体"/>
                      <w:color w:val="auto"/>
                      <w:lang w:val="en-US" w:eastAsia="zh-CN"/>
                    </w:rPr>
                  </w:pPr>
                  <w:r>
                    <w:rPr>
                      <w:rFonts w:hint="default" w:ascii="Times New Roman" w:hAnsi="Times New Roman" w:cs="Times New Roman"/>
                      <w:b/>
                      <w:bCs/>
                      <w:color w:val="auto"/>
                      <w:sz w:val="21"/>
                      <w:szCs w:val="21"/>
                      <w:highlight w:val="none"/>
                    </w:rPr>
                    <w:t>名称</w:t>
                  </w:r>
                </w:p>
              </w:tc>
              <w:tc>
                <w:tcPr>
                  <w:tcW w:w="5165" w:type="dxa"/>
                  <w:gridSpan w:val="6"/>
                  <w:noWrap w:val="0"/>
                  <w:vAlign w:val="center"/>
                </w:tcPr>
                <w:p w14:paraId="3AD7B36E">
                  <w:pPr>
                    <w:pStyle w:val="29"/>
                    <w:rPr>
                      <w:rFonts w:hint="default" w:eastAsia="宋体"/>
                      <w:color w:val="auto"/>
                      <w:lang w:val="en-US" w:eastAsia="zh-CN"/>
                    </w:rPr>
                  </w:pPr>
                  <w:r>
                    <w:rPr>
                      <w:rFonts w:hint="eastAsia"/>
                      <w:color w:val="auto"/>
                      <w:lang w:val="en-US" w:eastAsia="zh-CN"/>
                    </w:rPr>
                    <w:t>污染物</w:t>
                  </w:r>
                </w:p>
              </w:tc>
            </w:tr>
            <w:tr w14:paraId="5C6F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2675" w:type="dxa"/>
                  <w:gridSpan w:val="2"/>
                  <w:vMerge w:val="continue"/>
                  <w:noWrap w:val="0"/>
                  <w:vAlign w:val="center"/>
                </w:tcPr>
                <w:p w14:paraId="76840939">
                  <w:pPr>
                    <w:pStyle w:val="29"/>
                    <w:rPr>
                      <w:rFonts w:hint="default"/>
                      <w:color w:val="auto"/>
                    </w:rPr>
                  </w:pPr>
                </w:p>
              </w:tc>
              <w:tc>
                <w:tcPr>
                  <w:tcW w:w="955" w:type="dxa"/>
                  <w:noWrap w:val="0"/>
                  <w:vAlign w:val="center"/>
                </w:tcPr>
                <w:p w14:paraId="34423F57">
                  <w:pPr>
                    <w:pStyle w:val="29"/>
                    <w:rPr>
                      <w:rFonts w:hint="default"/>
                      <w:color w:val="auto"/>
                    </w:rPr>
                  </w:pPr>
                  <w:r>
                    <w:rPr>
                      <w:rFonts w:hint="default"/>
                      <w:color w:val="auto"/>
                    </w:rPr>
                    <w:t>COD</w:t>
                  </w:r>
                </w:p>
              </w:tc>
              <w:tc>
                <w:tcPr>
                  <w:tcW w:w="981" w:type="dxa"/>
                  <w:noWrap w:val="0"/>
                  <w:vAlign w:val="center"/>
                </w:tcPr>
                <w:p w14:paraId="0D5D67C8">
                  <w:pPr>
                    <w:pStyle w:val="29"/>
                    <w:rPr>
                      <w:rFonts w:hint="default"/>
                      <w:color w:val="auto"/>
                    </w:rPr>
                  </w:pPr>
                  <w:r>
                    <w:rPr>
                      <w:rFonts w:hint="default"/>
                      <w:color w:val="auto"/>
                    </w:rPr>
                    <w:t>BOD</w:t>
                  </w:r>
                  <w:r>
                    <w:rPr>
                      <w:rFonts w:hint="default"/>
                      <w:color w:val="auto"/>
                      <w:vertAlign w:val="subscript"/>
                    </w:rPr>
                    <w:t>5</w:t>
                  </w:r>
                </w:p>
              </w:tc>
              <w:tc>
                <w:tcPr>
                  <w:tcW w:w="825" w:type="dxa"/>
                  <w:noWrap w:val="0"/>
                  <w:vAlign w:val="center"/>
                </w:tcPr>
                <w:p w14:paraId="5A1569EE">
                  <w:pPr>
                    <w:pStyle w:val="29"/>
                    <w:rPr>
                      <w:rFonts w:hint="default"/>
                      <w:color w:val="auto"/>
                    </w:rPr>
                  </w:pPr>
                  <w:r>
                    <w:rPr>
                      <w:rFonts w:hint="default"/>
                      <w:color w:val="auto"/>
                    </w:rPr>
                    <w:t>SS</w:t>
                  </w:r>
                </w:p>
              </w:tc>
              <w:tc>
                <w:tcPr>
                  <w:tcW w:w="811" w:type="dxa"/>
                  <w:noWrap w:val="0"/>
                  <w:vAlign w:val="center"/>
                </w:tcPr>
                <w:p w14:paraId="313EAE11">
                  <w:pPr>
                    <w:pStyle w:val="29"/>
                    <w:rPr>
                      <w:rFonts w:hint="default"/>
                      <w:color w:val="auto"/>
                    </w:rPr>
                  </w:pPr>
                  <w:r>
                    <w:rPr>
                      <w:rFonts w:hint="default"/>
                      <w:color w:val="auto"/>
                    </w:rPr>
                    <w:t>NH</w:t>
                  </w:r>
                  <w:r>
                    <w:rPr>
                      <w:rFonts w:hint="default"/>
                      <w:color w:val="auto"/>
                      <w:vertAlign w:val="subscript"/>
                    </w:rPr>
                    <w:t>3</w:t>
                  </w:r>
                  <w:r>
                    <w:rPr>
                      <w:rFonts w:hint="default"/>
                      <w:color w:val="auto"/>
                    </w:rPr>
                    <w:t>-N</w:t>
                  </w:r>
                </w:p>
              </w:tc>
              <w:tc>
                <w:tcPr>
                  <w:tcW w:w="796" w:type="dxa"/>
                  <w:noWrap w:val="0"/>
                  <w:vAlign w:val="center"/>
                </w:tcPr>
                <w:p w14:paraId="24820B30">
                  <w:pPr>
                    <w:pStyle w:val="29"/>
                    <w:rPr>
                      <w:rFonts w:hint="default"/>
                      <w:color w:val="auto"/>
                      <w:lang w:val="en-US" w:eastAsia="zh-CN"/>
                    </w:rPr>
                  </w:pPr>
                  <w:r>
                    <w:rPr>
                      <w:rFonts w:hint="eastAsia"/>
                      <w:color w:val="auto"/>
                      <w:lang w:val="en-US" w:eastAsia="zh-CN"/>
                    </w:rPr>
                    <w:t>TN</w:t>
                  </w:r>
                </w:p>
              </w:tc>
              <w:tc>
                <w:tcPr>
                  <w:tcW w:w="797" w:type="dxa"/>
                  <w:noWrap w:val="0"/>
                  <w:vAlign w:val="center"/>
                </w:tcPr>
                <w:p w14:paraId="112BCFBF">
                  <w:pPr>
                    <w:pStyle w:val="29"/>
                    <w:rPr>
                      <w:rFonts w:hint="eastAsia"/>
                      <w:color w:val="auto"/>
                      <w:lang w:eastAsia="zh-CN"/>
                    </w:rPr>
                  </w:pPr>
                  <w:r>
                    <w:rPr>
                      <w:rFonts w:hint="eastAsia"/>
                      <w:color w:val="auto"/>
                      <w:lang w:val="en-US" w:eastAsia="zh-CN"/>
                    </w:rPr>
                    <w:t>TP</w:t>
                  </w:r>
                </w:p>
              </w:tc>
            </w:tr>
            <w:tr w14:paraId="70D4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584" w:type="dxa"/>
                  <w:vMerge w:val="restart"/>
                  <w:noWrap w:val="0"/>
                  <w:vAlign w:val="center"/>
                </w:tcPr>
                <w:p w14:paraId="7FEE9F0F">
                  <w:pPr>
                    <w:pStyle w:val="29"/>
                    <w:rPr>
                      <w:rFonts w:hint="default"/>
                      <w:color w:val="auto"/>
                    </w:rPr>
                  </w:pPr>
                  <w:r>
                    <w:rPr>
                      <w:rFonts w:hint="eastAsia"/>
                      <w:color w:val="auto"/>
                      <w:lang w:val="en-US" w:eastAsia="zh-CN"/>
                    </w:rPr>
                    <w:t>生产废水3804.7265</w:t>
                  </w:r>
                  <w:r>
                    <w:rPr>
                      <w:rFonts w:hint="default"/>
                      <w:color w:val="auto"/>
                    </w:rPr>
                    <w:t>m</w:t>
                  </w:r>
                  <w:r>
                    <w:rPr>
                      <w:rFonts w:hint="default"/>
                      <w:color w:val="auto"/>
                      <w:vertAlign w:val="superscript"/>
                    </w:rPr>
                    <w:t>3</w:t>
                  </w:r>
                  <w:r>
                    <w:rPr>
                      <w:rFonts w:hint="default"/>
                      <w:color w:val="auto"/>
                    </w:rPr>
                    <w:t>/a</w:t>
                  </w:r>
                </w:p>
              </w:tc>
              <w:tc>
                <w:tcPr>
                  <w:tcW w:w="1091" w:type="dxa"/>
                  <w:noWrap w:val="0"/>
                  <w:vAlign w:val="center"/>
                </w:tcPr>
                <w:p w14:paraId="55076F38">
                  <w:pPr>
                    <w:pStyle w:val="29"/>
                    <w:rPr>
                      <w:rFonts w:hint="default"/>
                      <w:color w:val="auto"/>
                    </w:rPr>
                  </w:pPr>
                  <w:r>
                    <w:rPr>
                      <w:rFonts w:hint="eastAsia"/>
                      <w:color w:val="auto"/>
                      <w:lang w:val="en-US" w:eastAsia="zh-CN"/>
                    </w:rPr>
                    <w:t>产生</w:t>
                  </w:r>
                  <w:r>
                    <w:rPr>
                      <w:rFonts w:hint="default"/>
                      <w:color w:val="auto"/>
                    </w:rPr>
                    <w:t>浓度（mg/L）</w:t>
                  </w:r>
                </w:p>
              </w:tc>
              <w:tc>
                <w:tcPr>
                  <w:tcW w:w="955" w:type="dxa"/>
                  <w:noWrap w:val="0"/>
                  <w:vAlign w:val="center"/>
                </w:tcPr>
                <w:p w14:paraId="38427D15">
                  <w:pPr>
                    <w:pStyle w:val="29"/>
                    <w:rPr>
                      <w:rFonts w:hint="default"/>
                      <w:color w:val="auto"/>
                      <w:lang w:val="en-US" w:eastAsia="zh-CN"/>
                    </w:rPr>
                  </w:pPr>
                  <w:r>
                    <w:rPr>
                      <w:rFonts w:hint="eastAsia"/>
                      <w:color w:val="auto"/>
                      <w:lang w:val="en-US" w:eastAsia="zh-CN"/>
                    </w:rPr>
                    <w:t>2500</w:t>
                  </w:r>
                </w:p>
              </w:tc>
              <w:tc>
                <w:tcPr>
                  <w:tcW w:w="981" w:type="dxa"/>
                  <w:noWrap w:val="0"/>
                  <w:vAlign w:val="center"/>
                </w:tcPr>
                <w:p w14:paraId="612B0A4A">
                  <w:pPr>
                    <w:pStyle w:val="29"/>
                    <w:rPr>
                      <w:rFonts w:hint="default"/>
                      <w:color w:val="auto"/>
                      <w:lang w:val="en-US" w:eastAsia="zh-CN"/>
                    </w:rPr>
                  </w:pPr>
                  <w:r>
                    <w:rPr>
                      <w:rFonts w:hint="eastAsia"/>
                      <w:color w:val="auto"/>
                      <w:lang w:val="en-US" w:eastAsia="zh-CN"/>
                    </w:rPr>
                    <w:t>1500</w:t>
                  </w:r>
                </w:p>
              </w:tc>
              <w:tc>
                <w:tcPr>
                  <w:tcW w:w="825" w:type="dxa"/>
                  <w:noWrap w:val="0"/>
                  <w:vAlign w:val="center"/>
                </w:tcPr>
                <w:p w14:paraId="742D1AD4">
                  <w:pPr>
                    <w:pStyle w:val="29"/>
                    <w:rPr>
                      <w:rFonts w:hint="default"/>
                      <w:color w:val="auto"/>
                      <w:lang w:val="en-US" w:eastAsia="zh-CN"/>
                    </w:rPr>
                  </w:pPr>
                  <w:r>
                    <w:rPr>
                      <w:rFonts w:hint="eastAsia"/>
                      <w:color w:val="auto"/>
                      <w:lang w:val="en-US" w:eastAsia="zh-CN"/>
                    </w:rPr>
                    <w:t>1500</w:t>
                  </w:r>
                </w:p>
              </w:tc>
              <w:tc>
                <w:tcPr>
                  <w:tcW w:w="811" w:type="dxa"/>
                  <w:noWrap w:val="0"/>
                  <w:vAlign w:val="center"/>
                </w:tcPr>
                <w:p w14:paraId="71A08851">
                  <w:pPr>
                    <w:pStyle w:val="29"/>
                    <w:rPr>
                      <w:rFonts w:hint="default"/>
                      <w:color w:val="auto"/>
                      <w:lang w:val="en-US" w:eastAsia="zh-CN"/>
                    </w:rPr>
                  </w:pPr>
                  <w:r>
                    <w:rPr>
                      <w:rFonts w:hint="eastAsia"/>
                      <w:color w:val="auto"/>
                      <w:lang w:val="en-US" w:eastAsia="zh-CN"/>
                    </w:rPr>
                    <w:t>170</w:t>
                  </w:r>
                </w:p>
              </w:tc>
              <w:tc>
                <w:tcPr>
                  <w:tcW w:w="796" w:type="dxa"/>
                  <w:noWrap w:val="0"/>
                  <w:vAlign w:val="center"/>
                </w:tcPr>
                <w:p w14:paraId="6F2708A7">
                  <w:pPr>
                    <w:pStyle w:val="29"/>
                    <w:rPr>
                      <w:rFonts w:hint="default"/>
                      <w:color w:val="auto"/>
                      <w:lang w:val="en-US" w:eastAsia="zh-CN"/>
                    </w:rPr>
                  </w:pPr>
                  <w:r>
                    <w:rPr>
                      <w:rFonts w:hint="eastAsia"/>
                      <w:color w:val="auto"/>
                      <w:lang w:val="en-US" w:eastAsia="zh-CN"/>
                    </w:rPr>
                    <w:t>250</w:t>
                  </w:r>
                </w:p>
              </w:tc>
              <w:tc>
                <w:tcPr>
                  <w:tcW w:w="797" w:type="dxa"/>
                  <w:noWrap w:val="0"/>
                  <w:vAlign w:val="center"/>
                </w:tcPr>
                <w:p w14:paraId="1FB8011F">
                  <w:pPr>
                    <w:pStyle w:val="29"/>
                    <w:rPr>
                      <w:rFonts w:hint="default"/>
                      <w:color w:val="auto"/>
                      <w:lang w:val="en-US" w:eastAsia="zh-CN"/>
                    </w:rPr>
                  </w:pPr>
                  <w:r>
                    <w:rPr>
                      <w:rFonts w:hint="eastAsia"/>
                      <w:color w:val="auto"/>
                      <w:lang w:val="en-US" w:eastAsia="zh-CN"/>
                    </w:rPr>
                    <w:t>8</w:t>
                  </w:r>
                </w:p>
              </w:tc>
            </w:tr>
            <w:tr w14:paraId="1DD3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84" w:type="dxa"/>
                  <w:vMerge w:val="continue"/>
                  <w:noWrap w:val="0"/>
                  <w:vAlign w:val="center"/>
                </w:tcPr>
                <w:p w14:paraId="650A5FD3">
                  <w:pPr>
                    <w:pStyle w:val="29"/>
                    <w:rPr>
                      <w:rFonts w:hint="default"/>
                      <w:color w:val="auto"/>
                    </w:rPr>
                  </w:pPr>
                </w:p>
              </w:tc>
              <w:tc>
                <w:tcPr>
                  <w:tcW w:w="1091" w:type="dxa"/>
                  <w:noWrap w:val="0"/>
                  <w:vAlign w:val="center"/>
                </w:tcPr>
                <w:p w14:paraId="2CED2153">
                  <w:pPr>
                    <w:pStyle w:val="29"/>
                    <w:rPr>
                      <w:rFonts w:hint="default"/>
                      <w:color w:val="auto"/>
                    </w:rPr>
                  </w:pPr>
                  <w:r>
                    <w:rPr>
                      <w:rFonts w:hint="default"/>
                      <w:color w:val="auto"/>
                    </w:rPr>
                    <w:t>产生量（t/a）</w:t>
                  </w:r>
                </w:p>
              </w:tc>
              <w:tc>
                <w:tcPr>
                  <w:tcW w:w="955" w:type="dxa"/>
                  <w:shd w:val="clear" w:color="auto" w:fill="auto"/>
                  <w:noWrap w:val="0"/>
                  <w:vAlign w:val="center"/>
                </w:tcPr>
                <w:p w14:paraId="3E9F3437">
                  <w:pPr>
                    <w:pStyle w:val="29"/>
                    <w:rPr>
                      <w:rFonts w:hint="default"/>
                      <w:color w:val="auto"/>
                      <w:lang w:val="en-US" w:eastAsia="zh-CN"/>
                    </w:rPr>
                  </w:pPr>
                  <w:r>
                    <w:rPr>
                      <w:rFonts w:hint="eastAsia"/>
                      <w:color w:val="auto"/>
                      <w:lang w:val="en-US" w:eastAsia="zh-CN"/>
                    </w:rPr>
                    <w:t>9.512</w:t>
                  </w:r>
                </w:p>
              </w:tc>
              <w:tc>
                <w:tcPr>
                  <w:tcW w:w="981" w:type="dxa"/>
                  <w:shd w:val="clear" w:color="auto" w:fill="auto"/>
                  <w:noWrap w:val="0"/>
                  <w:vAlign w:val="center"/>
                </w:tcPr>
                <w:p w14:paraId="0D45EE93">
                  <w:pPr>
                    <w:pStyle w:val="29"/>
                    <w:rPr>
                      <w:rFonts w:hint="default"/>
                      <w:color w:val="auto"/>
                      <w:lang w:val="en-US" w:eastAsia="zh-CN"/>
                    </w:rPr>
                  </w:pPr>
                  <w:r>
                    <w:rPr>
                      <w:rFonts w:hint="eastAsia"/>
                      <w:color w:val="auto"/>
                      <w:lang w:val="en-US" w:eastAsia="zh-CN"/>
                    </w:rPr>
                    <w:t>5.707</w:t>
                  </w:r>
                </w:p>
              </w:tc>
              <w:tc>
                <w:tcPr>
                  <w:tcW w:w="825" w:type="dxa"/>
                  <w:shd w:val="clear" w:color="auto" w:fill="auto"/>
                  <w:noWrap w:val="0"/>
                  <w:vAlign w:val="center"/>
                </w:tcPr>
                <w:p w14:paraId="57CDCEEF">
                  <w:pPr>
                    <w:pStyle w:val="29"/>
                    <w:rPr>
                      <w:rFonts w:hint="default"/>
                      <w:color w:val="auto"/>
                      <w:lang w:val="en-US" w:eastAsia="zh-CN"/>
                    </w:rPr>
                  </w:pPr>
                  <w:r>
                    <w:rPr>
                      <w:rFonts w:hint="eastAsia"/>
                      <w:color w:val="auto"/>
                      <w:lang w:val="en-US" w:eastAsia="zh-CN"/>
                    </w:rPr>
                    <w:t>5.707</w:t>
                  </w:r>
                </w:p>
              </w:tc>
              <w:tc>
                <w:tcPr>
                  <w:tcW w:w="811" w:type="dxa"/>
                  <w:shd w:val="clear" w:color="auto" w:fill="auto"/>
                  <w:noWrap w:val="0"/>
                  <w:vAlign w:val="center"/>
                </w:tcPr>
                <w:p w14:paraId="0C1373C6">
                  <w:pPr>
                    <w:pStyle w:val="29"/>
                    <w:rPr>
                      <w:rFonts w:hint="default"/>
                      <w:color w:val="auto"/>
                      <w:lang w:val="en-US" w:eastAsia="zh-CN"/>
                    </w:rPr>
                  </w:pPr>
                  <w:r>
                    <w:rPr>
                      <w:rFonts w:hint="eastAsia"/>
                      <w:color w:val="auto"/>
                      <w:lang w:val="en-US" w:eastAsia="zh-CN"/>
                    </w:rPr>
                    <w:t>0.647</w:t>
                  </w:r>
                </w:p>
              </w:tc>
              <w:tc>
                <w:tcPr>
                  <w:tcW w:w="796" w:type="dxa"/>
                  <w:shd w:val="clear" w:color="auto" w:fill="auto"/>
                  <w:noWrap w:val="0"/>
                  <w:vAlign w:val="center"/>
                </w:tcPr>
                <w:p w14:paraId="675F249B">
                  <w:pPr>
                    <w:pStyle w:val="29"/>
                    <w:rPr>
                      <w:rFonts w:hint="default"/>
                      <w:color w:val="auto"/>
                      <w:lang w:val="en-US" w:eastAsia="zh-CN"/>
                    </w:rPr>
                  </w:pPr>
                  <w:r>
                    <w:rPr>
                      <w:rFonts w:hint="eastAsia"/>
                      <w:color w:val="auto"/>
                      <w:lang w:val="en-US" w:eastAsia="zh-CN"/>
                    </w:rPr>
                    <w:t>0.951</w:t>
                  </w:r>
                </w:p>
              </w:tc>
              <w:tc>
                <w:tcPr>
                  <w:tcW w:w="797" w:type="dxa"/>
                  <w:shd w:val="clear" w:color="auto" w:fill="auto"/>
                  <w:noWrap w:val="0"/>
                  <w:vAlign w:val="center"/>
                </w:tcPr>
                <w:p w14:paraId="7AC8041A">
                  <w:pPr>
                    <w:pStyle w:val="29"/>
                    <w:rPr>
                      <w:rFonts w:hint="default"/>
                      <w:color w:val="auto"/>
                      <w:lang w:val="en-US" w:eastAsia="zh-CN"/>
                    </w:rPr>
                  </w:pPr>
                  <w:r>
                    <w:rPr>
                      <w:rFonts w:hint="eastAsia"/>
                      <w:color w:val="auto"/>
                      <w:lang w:val="en-US" w:eastAsia="zh-CN"/>
                    </w:rPr>
                    <w:t>0.030</w:t>
                  </w:r>
                </w:p>
              </w:tc>
            </w:tr>
            <w:tr w14:paraId="2781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584" w:type="dxa"/>
                  <w:noWrap w:val="0"/>
                  <w:vAlign w:val="center"/>
                </w:tcPr>
                <w:p w14:paraId="78F2BBDC">
                  <w:pPr>
                    <w:pStyle w:val="29"/>
                    <w:rPr>
                      <w:rFonts w:hint="default"/>
                      <w:color w:val="auto"/>
                      <w:lang w:val="en-US" w:eastAsia="zh-CN"/>
                    </w:rPr>
                  </w:pPr>
                  <w:r>
                    <w:rPr>
                      <w:rFonts w:hint="default"/>
                      <w:color w:val="auto"/>
                      <w:lang w:val="en-US" w:eastAsia="zh-CN"/>
                    </w:rPr>
                    <w:t>格栅渠+调节池+水解酸化池+接触氧化池+沉淀池+清水池</w:t>
                  </w:r>
                </w:p>
              </w:tc>
              <w:tc>
                <w:tcPr>
                  <w:tcW w:w="1091" w:type="dxa"/>
                  <w:noWrap w:val="0"/>
                  <w:vAlign w:val="center"/>
                </w:tcPr>
                <w:p w14:paraId="12561479">
                  <w:pPr>
                    <w:pStyle w:val="29"/>
                    <w:rPr>
                      <w:rFonts w:hint="default"/>
                      <w:color w:val="auto"/>
                    </w:rPr>
                  </w:pPr>
                  <w:r>
                    <w:rPr>
                      <w:rFonts w:hint="default"/>
                      <w:color w:val="auto"/>
                    </w:rPr>
                    <w:t>处理效率（%）</w:t>
                  </w:r>
                </w:p>
              </w:tc>
              <w:tc>
                <w:tcPr>
                  <w:tcW w:w="955" w:type="dxa"/>
                  <w:noWrap w:val="0"/>
                  <w:vAlign w:val="center"/>
                </w:tcPr>
                <w:p w14:paraId="0253D692">
                  <w:pPr>
                    <w:pStyle w:val="29"/>
                    <w:rPr>
                      <w:rFonts w:hint="default"/>
                      <w:color w:val="auto"/>
                      <w:lang w:val="en-US" w:eastAsia="zh-CN"/>
                    </w:rPr>
                  </w:pPr>
                  <w:r>
                    <w:rPr>
                      <w:rFonts w:hint="eastAsia"/>
                      <w:color w:val="auto"/>
                      <w:lang w:val="en-US" w:eastAsia="zh-CN"/>
                    </w:rPr>
                    <w:t>93.5</w:t>
                  </w:r>
                </w:p>
              </w:tc>
              <w:tc>
                <w:tcPr>
                  <w:tcW w:w="981" w:type="dxa"/>
                  <w:noWrap w:val="0"/>
                  <w:vAlign w:val="center"/>
                </w:tcPr>
                <w:p w14:paraId="05BF3536">
                  <w:pPr>
                    <w:pStyle w:val="29"/>
                    <w:rPr>
                      <w:rFonts w:hint="default"/>
                      <w:color w:val="auto"/>
                      <w:lang w:val="en-US" w:eastAsia="zh-CN"/>
                    </w:rPr>
                  </w:pPr>
                  <w:r>
                    <w:rPr>
                      <w:rFonts w:hint="eastAsia"/>
                      <w:color w:val="auto"/>
                      <w:lang w:val="en-US" w:eastAsia="zh-CN"/>
                    </w:rPr>
                    <w:t>93</w:t>
                  </w:r>
                </w:p>
              </w:tc>
              <w:tc>
                <w:tcPr>
                  <w:tcW w:w="825" w:type="dxa"/>
                  <w:noWrap w:val="0"/>
                  <w:vAlign w:val="center"/>
                </w:tcPr>
                <w:p w14:paraId="53F27EBA">
                  <w:pPr>
                    <w:pStyle w:val="29"/>
                    <w:rPr>
                      <w:rFonts w:hint="default"/>
                      <w:color w:val="auto"/>
                      <w:lang w:val="en-US" w:eastAsia="zh-CN"/>
                    </w:rPr>
                  </w:pPr>
                  <w:r>
                    <w:rPr>
                      <w:rFonts w:hint="eastAsia"/>
                      <w:color w:val="auto"/>
                      <w:lang w:val="en-US" w:eastAsia="zh-CN"/>
                    </w:rPr>
                    <w:t>96.4</w:t>
                  </w:r>
                </w:p>
              </w:tc>
              <w:tc>
                <w:tcPr>
                  <w:tcW w:w="811" w:type="dxa"/>
                  <w:noWrap w:val="0"/>
                  <w:vAlign w:val="center"/>
                </w:tcPr>
                <w:p w14:paraId="651033CC">
                  <w:pPr>
                    <w:pStyle w:val="29"/>
                    <w:rPr>
                      <w:rFonts w:hint="default"/>
                      <w:color w:val="auto"/>
                      <w:lang w:val="en-US" w:eastAsia="zh-CN"/>
                    </w:rPr>
                  </w:pPr>
                  <w:r>
                    <w:rPr>
                      <w:rFonts w:hint="eastAsia"/>
                      <w:color w:val="auto"/>
                      <w:lang w:val="en-US" w:eastAsia="zh-CN"/>
                    </w:rPr>
                    <w:t>80.25</w:t>
                  </w:r>
                </w:p>
              </w:tc>
              <w:tc>
                <w:tcPr>
                  <w:tcW w:w="796" w:type="dxa"/>
                  <w:noWrap w:val="0"/>
                  <w:vAlign w:val="center"/>
                </w:tcPr>
                <w:p w14:paraId="13CA8BE5">
                  <w:pPr>
                    <w:pStyle w:val="29"/>
                    <w:rPr>
                      <w:rFonts w:hint="default"/>
                      <w:color w:val="auto"/>
                      <w:lang w:val="en-US" w:eastAsia="zh-CN"/>
                    </w:rPr>
                  </w:pPr>
                  <w:r>
                    <w:rPr>
                      <w:rFonts w:hint="eastAsia"/>
                      <w:color w:val="auto"/>
                      <w:lang w:val="en-US" w:eastAsia="zh-CN"/>
                    </w:rPr>
                    <w:t>74.125</w:t>
                  </w:r>
                </w:p>
              </w:tc>
              <w:tc>
                <w:tcPr>
                  <w:tcW w:w="797" w:type="dxa"/>
                  <w:noWrap w:val="0"/>
                  <w:vAlign w:val="center"/>
                </w:tcPr>
                <w:p w14:paraId="1825169D">
                  <w:pPr>
                    <w:pStyle w:val="29"/>
                    <w:rPr>
                      <w:rFonts w:hint="default"/>
                      <w:color w:val="auto"/>
                      <w:lang w:val="en-US" w:eastAsia="zh-CN"/>
                    </w:rPr>
                  </w:pPr>
                  <w:r>
                    <w:rPr>
                      <w:rFonts w:hint="eastAsia"/>
                      <w:color w:val="auto"/>
                      <w:lang w:val="en-US" w:eastAsia="zh-CN"/>
                    </w:rPr>
                    <w:t>93</w:t>
                  </w:r>
                </w:p>
              </w:tc>
            </w:tr>
            <w:tr w14:paraId="757F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584" w:type="dxa"/>
                  <w:vMerge w:val="restart"/>
                  <w:noWrap w:val="0"/>
                  <w:vAlign w:val="center"/>
                </w:tcPr>
                <w:p w14:paraId="03CD676F">
                  <w:pPr>
                    <w:pStyle w:val="29"/>
                    <w:rPr>
                      <w:rFonts w:hint="default"/>
                      <w:color w:val="auto"/>
                    </w:rPr>
                  </w:pPr>
                  <w:r>
                    <w:rPr>
                      <w:rFonts w:hint="eastAsia"/>
                      <w:color w:val="auto"/>
                      <w:lang w:val="en-US" w:eastAsia="zh-CN"/>
                    </w:rPr>
                    <w:t>排放废水3804.7265</w:t>
                  </w:r>
                  <w:r>
                    <w:rPr>
                      <w:rFonts w:hint="default"/>
                      <w:color w:val="auto"/>
                    </w:rPr>
                    <w:t>m</w:t>
                  </w:r>
                  <w:r>
                    <w:rPr>
                      <w:rFonts w:hint="default"/>
                      <w:color w:val="auto"/>
                      <w:vertAlign w:val="superscript"/>
                    </w:rPr>
                    <w:t>3</w:t>
                  </w:r>
                  <w:r>
                    <w:rPr>
                      <w:rFonts w:hint="default"/>
                      <w:color w:val="auto"/>
                    </w:rPr>
                    <w:t>/a</w:t>
                  </w:r>
                </w:p>
              </w:tc>
              <w:tc>
                <w:tcPr>
                  <w:tcW w:w="1091" w:type="dxa"/>
                  <w:noWrap w:val="0"/>
                  <w:vAlign w:val="center"/>
                </w:tcPr>
                <w:p w14:paraId="7FB2B1B7">
                  <w:pPr>
                    <w:pStyle w:val="29"/>
                    <w:rPr>
                      <w:rFonts w:hint="default"/>
                      <w:color w:val="auto"/>
                    </w:rPr>
                  </w:pPr>
                  <w:r>
                    <w:rPr>
                      <w:rFonts w:hint="eastAsia"/>
                      <w:color w:val="auto"/>
                      <w:lang w:val="en-US" w:eastAsia="zh-CN"/>
                    </w:rPr>
                    <w:t>排放</w:t>
                  </w:r>
                  <w:r>
                    <w:rPr>
                      <w:rFonts w:hint="default"/>
                      <w:color w:val="auto"/>
                    </w:rPr>
                    <w:t>浓度（mg/L）</w:t>
                  </w:r>
                </w:p>
              </w:tc>
              <w:tc>
                <w:tcPr>
                  <w:tcW w:w="955" w:type="dxa"/>
                  <w:shd w:val="clear" w:color="auto" w:fill="auto"/>
                  <w:noWrap w:val="0"/>
                  <w:vAlign w:val="center"/>
                </w:tcPr>
                <w:p w14:paraId="1D6A9BC0">
                  <w:pPr>
                    <w:pStyle w:val="29"/>
                    <w:rPr>
                      <w:rFonts w:hint="default"/>
                      <w:color w:val="auto"/>
                      <w:lang w:val="en-US" w:eastAsia="zh-CN"/>
                    </w:rPr>
                  </w:pPr>
                  <w:r>
                    <w:rPr>
                      <w:rFonts w:hint="eastAsia"/>
                      <w:color w:val="auto"/>
                      <w:lang w:val="en-US" w:eastAsia="zh-CN"/>
                    </w:rPr>
                    <w:t>162.5</w:t>
                  </w:r>
                </w:p>
              </w:tc>
              <w:tc>
                <w:tcPr>
                  <w:tcW w:w="981" w:type="dxa"/>
                  <w:shd w:val="clear" w:color="auto" w:fill="auto"/>
                  <w:noWrap w:val="0"/>
                  <w:vAlign w:val="center"/>
                </w:tcPr>
                <w:p w14:paraId="786FDB5A">
                  <w:pPr>
                    <w:pStyle w:val="29"/>
                    <w:rPr>
                      <w:rFonts w:hint="default"/>
                      <w:color w:val="auto"/>
                      <w:lang w:val="en-US" w:eastAsia="zh-CN"/>
                    </w:rPr>
                  </w:pPr>
                  <w:r>
                    <w:rPr>
                      <w:rFonts w:hint="eastAsia"/>
                      <w:color w:val="auto"/>
                      <w:lang w:val="en-US" w:eastAsia="zh-CN"/>
                    </w:rPr>
                    <w:t>105</w:t>
                  </w:r>
                </w:p>
              </w:tc>
              <w:tc>
                <w:tcPr>
                  <w:tcW w:w="825" w:type="dxa"/>
                  <w:shd w:val="clear" w:color="auto" w:fill="auto"/>
                  <w:noWrap w:val="0"/>
                  <w:vAlign w:val="center"/>
                </w:tcPr>
                <w:p w14:paraId="64977434">
                  <w:pPr>
                    <w:pStyle w:val="29"/>
                    <w:rPr>
                      <w:rFonts w:hint="default"/>
                      <w:color w:val="auto"/>
                      <w:lang w:val="en-US" w:eastAsia="zh-CN"/>
                    </w:rPr>
                  </w:pPr>
                  <w:r>
                    <w:rPr>
                      <w:rFonts w:hint="eastAsia"/>
                      <w:color w:val="auto"/>
                      <w:lang w:val="en-US" w:eastAsia="zh-CN"/>
                    </w:rPr>
                    <w:t>54</w:t>
                  </w:r>
                </w:p>
              </w:tc>
              <w:tc>
                <w:tcPr>
                  <w:tcW w:w="811" w:type="dxa"/>
                  <w:shd w:val="clear" w:color="auto" w:fill="auto"/>
                  <w:noWrap w:val="0"/>
                  <w:vAlign w:val="center"/>
                </w:tcPr>
                <w:p w14:paraId="38653EFB">
                  <w:pPr>
                    <w:pStyle w:val="29"/>
                    <w:rPr>
                      <w:rFonts w:hint="default"/>
                      <w:color w:val="auto"/>
                      <w:lang w:val="en-US" w:eastAsia="zh-CN"/>
                    </w:rPr>
                  </w:pPr>
                  <w:r>
                    <w:rPr>
                      <w:rFonts w:hint="eastAsia"/>
                      <w:color w:val="auto"/>
                      <w:lang w:val="en-US" w:eastAsia="zh-CN"/>
                    </w:rPr>
                    <w:t>33.575</w:t>
                  </w:r>
                </w:p>
              </w:tc>
              <w:tc>
                <w:tcPr>
                  <w:tcW w:w="796" w:type="dxa"/>
                  <w:shd w:val="clear" w:color="auto" w:fill="auto"/>
                  <w:noWrap w:val="0"/>
                  <w:vAlign w:val="center"/>
                </w:tcPr>
                <w:p w14:paraId="0FBF8492">
                  <w:pPr>
                    <w:pStyle w:val="29"/>
                    <w:rPr>
                      <w:rFonts w:hint="default"/>
                      <w:color w:val="auto"/>
                      <w:lang w:val="en-US" w:eastAsia="zh-CN"/>
                    </w:rPr>
                  </w:pPr>
                  <w:r>
                    <w:rPr>
                      <w:rFonts w:hint="eastAsia"/>
                      <w:color w:val="auto"/>
                      <w:lang w:val="en-US" w:eastAsia="zh-CN"/>
                    </w:rPr>
                    <w:t>64.688</w:t>
                  </w:r>
                </w:p>
              </w:tc>
              <w:tc>
                <w:tcPr>
                  <w:tcW w:w="797" w:type="dxa"/>
                  <w:shd w:val="clear" w:color="auto" w:fill="auto"/>
                  <w:noWrap w:val="0"/>
                  <w:vAlign w:val="center"/>
                </w:tcPr>
                <w:p w14:paraId="5B22B444">
                  <w:pPr>
                    <w:pStyle w:val="29"/>
                    <w:rPr>
                      <w:rFonts w:hint="default"/>
                      <w:color w:val="auto"/>
                      <w:lang w:val="en-US" w:eastAsia="zh-CN"/>
                    </w:rPr>
                  </w:pPr>
                  <w:r>
                    <w:rPr>
                      <w:rFonts w:hint="eastAsia"/>
                      <w:color w:val="auto"/>
                      <w:lang w:val="en-US" w:eastAsia="zh-CN"/>
                    </w:rPr>
                    <w:t>0.560</w:t>
                  </w:r>
                </w:p>
              </w:tc>
            </w:tr>
            <w:tr w14:paraId="60F6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584" w:type="dxa"/>
                  <w:vMerge w:val="continue"/>
                  <w:noWrap w:val="0"/>
                  <w:vAlign w:val="center"/>
                </w:tcPr>
                <w:p w14:paraId="4D492144">
                  <w:pPr>
                    <w:pStyle w:val="29"/>
                    <w:rPr>
                      <w:rFonts w:hint="default"/>
                      <w:color w:val="auto"/>
                    </w:rPr>
                  </w:pPr>
                </w:p>
              </w:tc>
              <w:tc>
                <w:tcPr>
                  <w:tcW w:w="1091" w:type="dxa"/>
                  <w:noWrap w:val="0"/>
                  <w:vAlign w:val="center"/>
                </w:tcPr>
                <w:p w14:paraId="58F80DED">
                  <w:pPr>
                    <w:pStyle w:val="29"/>
                    <w:rPr>
                      <w:rFonts w:hint="default"/>
                      <w:color w:val="auto"/>
                    </w:rPr>
                  </w:pPr>
                  <w:r>
                    <w:rPr>
                      <w:rFonts w:hint="default"/>
                      <w:color w:val="auto"/>
                    </w:rPr>
                    <w:t>排放量（t/a）</w:t>
                  </w:r>
                </w:p>
              </w:tc>
              <w:tc>
                <w:tcPr>
                  <w:tcW w:w="955" w:type="dxa"/>
                  <w:shd w:val="clear" w:color="auto" w:fill="auto"/>
                  <w:noWrap w:val="0"/>
                  <w:vAlign w:val="center"/>
                </w:tcPr>
                <w:p w14:paraId="3F48F4E6">
                  <w:pPr>
                    <w:pStyle w:val="29"/>
                    <w:rPr>
                      <w:rFonts w:hint="default"/>
                      <w:color w:val="auto"/>
                      <w:lang w:val="en-US" w:eastAsia="zh-CN"/>
                    </w:rPr>
                  </w:pPr>
                  <w:r>
                    <w:rPr>
                      <w:rFonts w:hint="eastAsia"/>
                      <w:color w:val="auto"/>
                      <w:lang w:val="en-US" w:eastAsia="zh-CN"/>
                    </w:rPr>
                    <w:t>0.618</w:t>
                  </w:r>
                </w:p>
              </w:tc>
              <w:tc>
                <w:tcPr>
                  <w:tcW w:w="981" w:type="dxa"/>
                  <w:shd w:val="clear" w:color="auto" w:fill="auto"/>
                  <w:noWrap w:val="0"/>
                  <w:vAlign w:val="center"/>
                </w:tcPr>
                <w:p w14:paraId="34A36745">
                  <w:pPr>
                    <w:pStyle w:val="29"/>
                    <w:rPr>
                      <w:rFonts w:hint="default"/>
                      <w:color w:val="auto"/>
                      <w:lang w:val="en-US" w:eastAsia="zh-CN"/>
                    </w:rPr>
                  </w:pPr>
                  <w:r>
                    <w:rPr>
                      <w:rFonts w:hint="eastAsia"/>
                      <w:color w:val="auto"/>
                      <w:lang w:val="en-US" w:eastAsia="zh-CN"/>
                    </w:rPr>
                    <w:t>0.399</w:t>
                  </w:r>
                </w:p>
              </w:tc>
              <w:tc>
                <w:tcPr>
                  <w:tcW w:w="825" w:type="dxa"/>
                  <w:shd w:val="clear" w:color="auto" w:fill="auto"/>
                  <w:noWrap w:val="0"/>
                  <w:vAlign w:val="center"/>
                </w:tcPr>
                <w:p w14:paraId="41618411">
                  <w:pPr>
                    <w:pStyle w:val="29"/>
                    <w:rPr>
                      <w:rFonts w:hint="default"/>
                      <w:color w:val="auto"/>
                      <w:lang w:val="en-US" w:eastAsia="zh-CN"/>
                    </w:rPr>
                  </w:pPr>
                  <w:r>
                    <w:rPr>
                      <w:rFonts w:hint="eastAsia"/>
                      <w:color w:val="auto"/>
                      <w:lang w:val="en-US" w:eastAsia="zh-CN"/>
                    </w:rPr>
                    <w:t>0.205</w:t>
                  </w:r>
                </w:p>
              </w:tc>
              <w:tc>
                <w:tcPr>
                  <w:tcW w:w="811" w:type="dxa"/>
                  <w:shd w:val="clear" w:color="auto" w:fill="auto"/>
                  <w:noWrap w:val="0"/>
                  <w:vAlign w:val="center"/>
                </w:tcPr>
                <w:p w14:paraId="5448FC0F">
                  <w:pPr>
                    <w:pStyle w:val="29"/>
                    <w:rPr>
                      <w:rFonts w:hint="default"/>
                      <w:color w:val="auto"/>
                      <w:lang w:val="en-US" w:eastAsia="zh-CN"/>
                    </w:rPr>
                  </w:pPr>
                  <w:r>
                    <w:rPr>
                      <w:rFonts w:hint="eastAsia"/>
                      <w:color w:val="auto"/>
                      <w:lang w:val="en-US" w:eastAsia="zh-CN"/>
                    </w:rPr>
                    <w:t>0.128</w:t>
                  </w:r>
                </w:p>
              </w:tc>
              <w:tc>
                <w:tcPr>
                  <w:tcW w:w="796" w:type="dxa"/>
                  <w:shd w:val="clear" w:color="auto" w:fill="auto"/>
                  <w:noWrap w:val="0"/>
                  <w:vAlign w:val="center"/>
                </w:tcPr>
                <w:p w14:paraId="3162E9B3">
                  <w:pPr>
                    <w:pStyle w:val="29"/>
                    <w:rPr>
                      <w:rFonts w:hint="default"/>
                      <w:color w:val="auto"/>
                      <w:lang w:val="en-US" w:eastAsia="zh-CN"/>
                    </w:rPr>
                  </w:pPr>
                  <w:r>
                    <w:rPr>
                      <w:rFonts w:hint="eastAsia"/>
                      <w:color w:val="auto"/>
                      <w:lang w:val="en-US" w:eastAsia="zh-CN"/>
                    </w:rPr>
                    <w:t>0.246</w:t>
                  </w:r>
                </w:p>
              </w:tc>
              <w:tc>
                <w:tcPr>
                  <w:tcW w:w="797" w:type="dxa"/>
                  <w:shd w:val="clear" w:color="auto" w:fill="auto"/>
                  <w:noWrap w:val="0"/>
                  <w:vAlign w:val="center"/>
                </w:tcPr>
                <w:p w14:paraId="528A3827">
                  <w:pPr>
                    <w:pStyle w:val="29"/>
                    <w:rPr>
                      <w:rFonts w:hint="default"/>
                      <w:color w:val="auto"/>
                      <w:lang w:val="en-US" w:eastAsia="zh-CN"/>
                    </w:rPr>
                  </w:pPr>
                  <w:r>
                    <w:rPr>
                      <w:rFonts w:hint="eastAsia"/>
                      <w:color w:val="auto"/>
                      <w:lang w:val="en-US" w:eastAsia="zh-CN"/>
                    </w:rPr>
                    <w:t>0.002</w:t>
                  </w:r>
                </w:p>
              </w:tc>
            </w:tr>
            <w:tr w14:paraId="55B7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2675" w:type="dxa"/>
                  <w:gridSpan w:val="2"/>
                  <w:shd w:val="clear" w:color="auto" w:fill="auto"/>
                  <w:noWrap w:val="0"/>
                  <w:vAlign w:val="center"/>
                </w:tcPr>
                <w:p w14:paraId="7272383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《酒类制造业水污染物排放标准》（GB 19821—2025）表1规定的间接排放限值标准</w:t>
                  </w:r>
                  <w:r>
                    <w:rPr>
                      <w:rFonts w:hint="eastAsia"/>
                      <w:color w:val="auto"/>
                      <w:lang w:val="en-US" w:eastAsia="zh-CN"/>
                    </w:rPr>
                    <w:t>以及《污水综合排放标准》（GB8978-1996）表4三级标准及《污水排入城镇下水道水质标准》（GB/T31962-2015）表1 A等级标准三级标准从严值</w:t>
                  </w:r>
                </w:p>
              </w:tc>
              <w:tc>
                <w:tcPr>
                  <w:tcW w:w="955" w:type="dxa"/>
                  <w:shd w:val="clear" w:color="auto" w:fill="auto"/>
                  <w:noWrap w:val="0"/>
                  <w:vAlign w:val="center"/>
                </w:tcPr>
                <w:p w14:paraId="5751AD6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≤500</w:t>
                  </w:r>
                </w:p>
              </w:tc>
              <w:tc>
                <w:tcPr>
                  <w:tcW w:w="981" w:type="dxa"/>
                  <w:shd w:val="clear" w:color="auto" w:fill="auto"/>
                  <w:noWrap w:val="0"/>
                  <w:vAlign w:val="center"/>
                </w:tcPr>
                <w:p w14:paraId="742D4BD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≤300</w:t>
                  </w:r>
                </w:p>
              </w:tc>
              <w:tc>
                <w:tcPr>
                  <w:tcW w:w="825" w:type="dxa"/>
                  <w:shd w:val="clear" w:color="auto" w:fill="auto"/>
                  <w:noWrap w:val="0"/>
                  <w:vAlign w:val="center"/>
                </w:tcPr>
                <w:p w14:paraId="22520E3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≤400</w:t>
                  </w:r>
                </w:p>
              </w:tc>
              <w:tc>
                <w:tcPr>
                  <w:tcW w:w="811" w:type="dxa"/>
                  <w:shd w:val="clear" w:color="auto" w:fill="auto"/>
                  <w:noWrap w:val="0"/>
                  <w:vAlign w:val="center"/>
                </w:tcPr>
                <w:p w14:paraId="48041F5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≤45</w:t>
                  </w:r>
                </w:p>
              </w:tc>
              <w:tc>
                <w:tcPr>
                  <w:tcW w:w="796" w:type="dxa"/>
                  <w:shd w:val="clear" w:color="auto" w:fill="auto"/>
                  <w:noWrap w:val="0"/>
                  <w:vAlign w:val="center"/>
                </w:tcPr>
                <w:p w14:paraId="483DE9D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w:t>
                  </w:r>
                  <w:r>
                    <w:rPr>
                      <w:rFonts w:hint="eastAsia"/>
                      <w:color w:val="auto"/>
                      <w:lang w:val="en-US" w:eastAsia="zh-CN"/>
                    </w:rPr>
                    <w:t>70</w:t>
                  </w:r>
                </w:p>
              </w:tc>
              <w:tc>
                <w:tcPr>
                  <w:tcW w:w="797" w:type="dxa"/>
                  <w:shd w:val="clear" w:color="auto" w:fill="auto"/>
                  <w:noWrap w:val="0"/>
                  <w:vAlign w:val="center"/>
                </w:tcPr>
                <w:p w14:paraId="5D716DF8">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w:t>
                  </w:r>
                  <w:r>
                    <w:rPr>
                      <w:rFonts w:hint="eastAsia"/>
                      <w:color w:val="auto"/>
                      <w:lang w:val="en-US" w:eastAsia="zh-CN"/>
                    </w:rPr>
                    <w:t>8</w:t>
                  </w:r>
                </w:p>
              </w:tc>
            </w:tr>
            <w:tr w14:paraId="2D7A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2675" w:type="dxa"/>
                  <w:gridSpan w:val="2"/>
                  <w:shd w:val="clear" w:color="auto" w:fill="auto"/>
                  <w:noWrap w:val="0"/>
                  <w:vAlign w:val="center"/>
                </w:tcPr>
                <w:p w14:paraId="32B4F89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达标情况</w:t>
                  </w:r>
                </w:p>
              </w:tc>
              <w:tc>
                <w:tcPr>
                  <w:tcW w:w="955" w:type="dxa"/>
                  <w:shd w:val="clear" w:color="auto" w:fill="auto"/>
                  <w:noWrap w:val="0"/>
                  <w:vAlign w:val="center"/>
                </w:tcPr>
                <w:p w14:paraId="20882A9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w:t>
                  </w:r>
                </w:p>
              </w:tc>
              <w:tc>
                <w:tcPr>
                  <w:tcW w:w="981" w:type="dxa"/>
                  <w:shd w:val="clear" w:color="auto" w:fill="auto"/>
                  <w:noWrap w:val="0"/>
                  <w:vAlign w:val="center"/>
                </w:tcPr>
                <w:p w14:paraId="53A3725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w:t>
                  </w:r>
                </w:p>
              </w:tc>
              <w:tc>
                <w:tcPr>
                  <w:tcW w:w="825" w:type="dxa"/>
                  <w:shd w:val="clear" w:color="auto" w:fill="auto"/>
                  <w:noWrap w:val="0"/>
                  <w:vAlign w:val="center"/>
                </w:tcPr>
                <w:p w14:paraId="5FDD9CB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w:t>
                  </w:r>
                </w:p>
              </w:tc>
              <w:tc>
                <w:tcPr>
                  <w:tcW w:w="811" w:type="dxa"/>
                  <w:shd w:val="clear" w:color="auto" w:fill="auto"/>
                  <w:noWrap w:val="0"/>
                  <w:vAlign w:val="center"/>
                </w:tcPr>
                <w:p w14:paraId="3837FE6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w:t>
                  </w:r>
                </w:p>
              </w:tc>
              <w:tc>
                <w:tcPr>
                  <w:tcW w:w="796" w:type="dxa"/>
                  <w:shd w:val="clear" w:color="auto" w:fill="auto"/>
                  <w:noWrap w:val="0"/>
                  <w:vAlign w:val="center"/>
                </w:tcPr>
                <w:p w14:paraId="6E47ACF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w:t>
                  </w:r>
                </w:p>
              </w:tc>
              <w:tc>
                <w:tcPr>
                  <w:tcW w:w="797" w:type="dxa"/>
                  <w:shd w:val="clear" w:color="auto" w:fill="auto"/>
                  <w:noWrap w:val="0"/>
                  <w:vAlign w:val="center"/>
                </w:tcPr>
                <w:p w14:paraId="689F5DA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达标</w:t>
                  </w:r>
                </w:p>
              </w:tc>
            </w:tr>
          </w:tbl>
          <w:p w14:paraId="314DE69C">
            <w:pPr>
              <w:bidi w:val="0"/>
              <w:rPr>
                <w:rFonts w:hint="default" w:ascii="Times New Roman" w:hAnsi="Times New Roman" w:eastAsia="宋体" w:cs="Times New Roman"/>
                <w:b/>
                <w:bCs/>
                <w:color w:val="auto"/>
                <w:lang w:val="en-US" w:eastAsia="zh-CN"/>
              </w:rPr>
            </w:pPr>
            <w:r>
              <w:rPr>
                <w:rFonts w:hint="eastAsia" w:ascii="Times New Roman" w:hAnsi="Times New Roman" w:eastAsia="宋体" w:cs="Times New Roman"/>
                <w:b/>
                <w:bCs/>
                <w:color w:val="auto"/>
                <w:lang w:val="en-US" w:eastAsia="zh-CN"/>
              </w:rPr>
              <w:t>3）单位产品实际排水量与单位产品基准排水量达标性分析</w:t>
            </w:r>
          </w:p>
          <w:p w14:paraId="5DD11B38">
            <w:pPr>
              <w:bidi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本项目主要包含啤酒、发酵酒、配制酒三种酒，单位产品总基准排水量计算如下表所示</w:t>
            </w:r>
          </w:p>
          <w:p w14:paraId="2A4CC5D8">
            <w:pPr>
              <w:pStyle w:val="30"/>
              <w:bidi w:val="0"/>
              <w:rPr>
                <w:rFonts w:hint="default"/>
                <w:color w:val="auto"/>
                <w:lang w:val="en-US" w:eastAsia="zh-CN"/>
              </w:rPr>
            </w:pPr>
            <w:r>
              <w:rPr>
                <w:rFonts w:hint="eastAsia"/>
                <w:color w:val="auto"/>
                <w:lang w:val="en-US" w:eastAsia="zh-CN"/>
              </w:rPr>
              <w:t>表4-15 单位产品基准排水量一览表</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1708"/>
              <w:gridCol w:w="2213"/>
              <w:gridCol w:w="1960"/>
            </w:tblGrid>
            <w:tr w14:paraId="1CC7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vAlign w:val="center"/>
                </w:tcPr>
                <w:p w14:paraId="02CD00CD">
                  <w:pPr>
                    <w:pStyle w:val="29"/>
                    <w:bidi w:val="0"/>
                    <w:rPr>
                      <w:rFonts w:hint="default"/>
                      <w:color w:val="auto"/>
                      <w:lang w:val="en-US" w:eastAsia="zh-CN"/>
                    </w:rPr>
                  </w:pPr>
                  <w:r>
                    <w:rPr>
                      <w:rFonts w:hint="eastAsia"/>
                      <w:color w:val="auto"/>
                      <w:lang w:val="en-US" w:eastAsia="zh-CN"/>
                    </w:rPr>
                    <w:t>产品类型</w:t>
                  </w:r>
                </w:p>
              </w:tc>
              <w:tc>
                <w:tcPr>
                  <w:tcW w:w="1708" w:type="dxa"/>
                  <w:vAlign w:val="center"/>
                </w:tcPr>
                <w:p w14:paraId="1E60F6FE">
                  <w:pPr>
                    <w:pStyle w:val="29"/>
                    <w:bidi w:val="0"/>
                    <w:rPr>
                      <w:rFonts w:hint="default"/>
                      <w:color w:val="auto"/>
                      <w:lang w:val="en-US" w:eastAsia="zh-CN"/>
                    </w:rPr>
                  </w:pPr>
                  <w:r>
                    <w:rPr>
                      <w:rFonts w:hint="eastAsia"/>
                      <w:color w:val="auto"/>
                      <w:lang w:val="en-US" w:eastAsia="zh-CN"/>
                    </w:rPr>
                    <w:t>年产量（KL）</w:t>
                  </w:r>
                </w:p>
              </w:tc>
              <w:tc>
                <w:tcPr>
                  <w:tcW w:w="2213" w:type="dxa"/>
                  <w:vAlign w:val="center"/>
                </w:tcPr>
                <w:p w14:paraId="17AC78A9">
                  <w:pPr>
                    <w:pStyle w:val="29"/>
                    <w:bidi w:val="0"/>
                    <w:rPr>
                      <w:rFonts w:hint="default"/>
                      <w:color w:val="auto"/>
                      <w:lang w:val="en-US" w:eastAsia="zh-CN"/>
                    </w:rPr>
                  </w:pPr>
                  <w:r>
                    <w:rPr>
                      <w:rFonts w:hint="default"/>
                      <w:color w:val="auto"/>
                      <w:lang w:val="en-US" w:eastAsia="zh-CN"/>
                    </w:rPr>
                    <w:t>单位基准排水量(m³/kL)</w:t>
                  </w:r>
                </w:p>
              </w:tc>
              <w:tc>
                <w:tcPr>
                  <w:tcW w:w="1960" w:type="dxa"/>
                  <w:vAlign w:val="center"/>
                </w:tcPr>
                <w:p w14:paraId="56E8841E">
                  <w:pPr>
                    <w:pStyle w:val="29"/>
                    <w:bidi w:val="0"/>
                    <w:rPr>
                      <w:rFonts w:hint="default"/>
                      <w:color w:val="auto"/>
                      <w:lang w:val="en-US" w:eastAsia="zh-CN"/>
                    </w:rPr>
                  </w:pPr>
                  <w:r>
                    <w:rPr>
                      <w:rFonts w:hint="default"/>
                      <w:color w:val="auto"/>
                      <w:lang w:val="en-US" w:eastAsia="zh-CN"/>
                    </w:rPr>
                    <w:t>总基准水量(m³)</w:t>
                  </w:r>
                </w:p>
              </w:tc>
            </w:tr>
            <w:tr w14:paraId="1AC45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9" w:type="dxa"/>
                  <w:vAlign w:val="center"/>
                </w:tcPr>
                <w:p w14:paraId="74795D71">
                  <w:pPr>
                    <w:pStyle w:val="29"/>
                    <w:bidi w:val="0"/>
                    <w:rPr>
                      <w:rFonts w:hint="default"/>
                      <w:color w:val="auto"/>
                      <w:lang w:val="en-US" w:eastAsia="zh-CN"/>
                    </w:rPr>
                  </w:pPr>
                  <w:r>
                    <w:rPr>
                      <w:rFonts w:hint="eastAsia"/>
                      <w:color w:val="auto"/>
                      <w:lang w:val="en-US" w:eastAsia="zh-CN"/>
                    </w:rPr>
                    <w:t>啤酒</w:t>
                  </w:r>
                </w:p>
              </w:tc>
              <w:tc>
                <w:tcPr>
                  <w:tcW w:w="1708" w:type="dxa"/>
                  <w:vAlign w:val="center"/>
                </w:tcPr>
                <w:p w14:paraId="098B6339">
                  <w:pPr>
                    <w:pStyle w:val="29"/>
                    <w:bidi w:val="0"/>
                    <w:rPr>
                      <w:rFonts w:hint="default"/>
                      <w:color w:val="auto"/>
                      <w:lang w:val="en-US" w:eastAsia="zh-CN"/>
                    </w:rPr>
                  </w:pPr>
                  <w:r>
                    <w:rPr>
                      <w:rFonts w:hint="eastAsia"/>
                      <w:color w:val="auto"/>
                      <w:lang w:val="en-US" w:eastAsia="zh-CN"/>
                    </w:rPr>
                    <w:t>500</w:t>
                  </w:r>
                </w:p>
              </w:tc>
              <w:tc>
                <w:tcPr>
                  <w:tcW w:w="2213" w:type="dxa"/>
                  <w:vAlign w:val="center"/>
                </w:tcPr>
                <w:p w14:paraId="22F6B7A2">
                  <w:pPr>
                    <w:pStyle w:val="29"/>
                    <w:bidi w:val="0"/>
                    <w:rPr>
                      <w:rFonts w:hint="default"/>
                      <w:color w:val="auto"/>
                      <w:lang w:val="en-US" w:eastAsia="zh-CN"/>
                    </w:rPr>
                  </w:pPr>
                  <w:r>
                    <w:rPr>
                      <w:rFonts w:hint="eastAsia"/>
                      <w:color w:val="auto"/>
                      <w:lang w:val="en-US" w:eastAsia="zh-CN"/>
                    </w:rPr>
                    <w:t>4</w:t>
                  </w:r>
                </w:p>
              </w:tc>
              <w:tc>
                <w:tcPr>
                  <w:tcW w:w="1960" w:type="dxa"/>
                  <w:shd w:val="clear" w:color="auto" w:fill="auto"/>
                  <w:vAlign w:val="center"/>
                </w:tcPr>
                <w:p w14:paraId="67E9B55D">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2000</w:t>
                  </w:r>
                </w:p>
              </w:tc>
            </w:tr>
            <w:tr w14:paraId="48E4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vAlign w:val="center"/>
                </w:tcPr>
                <w:p w14:paraId="1BB13D85">
                  <w:pPr>
                    <w:pStyle w:val="29"/>
                    <w:bidi w:val="0"/>
                    <w:rPr>
                      <w:rFonts w:hint="default"/>
                      <w:color w:val="auto"/>
                      <w:lang w:val="en-US" w:eastAsia="zh-CN"/>
                    </w:rPr>
                  </w:pPr>
                  <w:r>
                    <w:rPr>
                      <w:rFonts w:hint="eastAsia"/>
                      <w:color w:val="auto"/>
                      <w:lang w:val="en-US" w:eastAsia="zh-CN"/>
                    </w:rPr>
                    <w:t>发酵酒</w:t>
                  </w:r>
                </w:p>
              </w:tc>
              <w:tc>
                <w:tcPr>
                  <w:tcW w:w="1708" w:type="dxa"/>
                  <w:vAlign w:val="center"/>
                </w:tcPr>
                <w:p w14:paraId="589BE2A7">
                  <w:pPr>
                    <w:pStyle w:val="29"/>
                    <w:bidi w:val="0"/>
                    <w:rPr>
                      <w:rFonts w:hint="default"/>
                      <w:color w:val="auto"/>
                      <w:lang w:val="en-US" w:eastAsia="zh-CN"/>
                    </w:rPr>
                  </w:pPr>
                  <w:r>
                    <w:rPr>
                      <w:rFonts w:hint="eastAsia"/>
                      <w:color w:val="auto"/>
                      <w:lang w:val="en-US" w:eastAsia="zh-CN"/>
                    </w:rPr>
                    <w:t>200</w:t>
                  </w:r>
                </w:p>
              </w:tc>
              <w:tc>
                <w:tcPr>
                  <w:tcW w:w="2213" w:type="dxa"/>
                  <w:vAlign w:val="center"/>
                </w:tcPr>
                <w:p w14:paraId="0EAB5FD8">
                  <w:pPr>
                    <w:pStyle w:val="29"/>
                    <w:bidi w:val="0"/>
                    <w:rPr>
                      <w:rFonts w:hint="default"/>
                      <w:color w:val="auto"/>
                      <w:lang w:val="en-US" w:eastAsia="zh-CN"/>
                    </w:rPr>
                  </w:pPr>
                  <w:r>
                    <w:rPr>
                      <w:rFonts w:hint="eastAsia"/>
                      <w:color w:val="auto"/>
                      <w:lang w:val="en-US" w:eastAsia="zh-CN"/>
                    </w:rPr>
                    <w:t>6</w:t>
                  </w:r>
                </w:p>
              </w:tc>
              <w:tc>
                <w:tcPr>
                  <w:tcW w:w="1960" w:type="dxa"/>
                  <w:shd w:val="clear" w:color="auto" w:fill="auto"/>
                  <w:vAlign w:val="center"/>
                </w:tcPr>
                <w:p w14:paraId="5B157A03">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1200</w:t>
                  </w:r>
                </w:p>
              </w:tc>
            </w:tr>
            <w:tr w14:paraId="266B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vAlign w:val="center"/>
                </w:tcPr>
                <w:p w14:paraId="43D0E5CC">
                  <w:pPr>
                    <w:pStyle w:val="29"/>
                    <w:bidi w:val="0"/>
                    <w:rPr>
                      <w:rFonts w:hint="default"/>
                      <w:color w:val="auto"/>
                      <w:lang w:val="en-US" w:eastAsia="zh-CN"/>
                    </w:rPr>
                  </w:pPr>
                  <w:r>
                    <w:rPr>
                      <w:rFonts w:hint="eastAsia"/>
                      <w:color w:val="auto"/>
                      <w:lang w:val="en-US" w:eastAsia="zh-CN"/>
                    </w:rPr>
                    <w:t>配制酒</w:t>
                  </w:r>
                </w:p>
              </w:tc>
              <w:tc>
                <w:tcPr>
                  <w:tcW w:w="1708" w:type="dxa"/>
                  <w:vAlign w:val="center"/>
                </w:tcPr>
                <w:p w14:paraId="587C7270">
                  <w:pPr>
                    <w:pStyle w:val="29"/>
                    <w:bidi w:val="0"/>
                    <w:rPr>
                      <w:rFonts w:hint="default"/>
                      <w:color w:val="auto"/>
                      <w:lang w:val="en-US" w:eastAsia="zh-CN"/>
                    </w:rPr>
                  </w:pPr>
                  <w:r>
                    <w:rPr>
                      <w:rFonts w:hint="eastAsia"/>
                      <w:color w:val="auto"/>
                      <w:lang w:val="en-US" w:eastAsia="zh-CN"/>
                    </w:rPr>
                    <w:t>108.7</w:t>
                  </w:r>
                </w:p>
              </w:tc>
              <w:tc>
                <w:tcPr>
                  <w:tcW w:w="2213" w:type="dxa"/>
                  <w:vAlign w:val="center"/>
                </w:tcPr>
                <w:p w14:paraId="20C9BD94">
                  <w:pPr>
                    <w:pStyle w:val="29"/>
                    <w:bidi w:val="0"/>
                    <w:rPr>
                      <w:rFonts w:hint="default"/>
                      <w:color w:val="auto"/>
                      <w:lang w:val="en-US" w:eastAsia="zh-CN"/>
                    </w:rPr>
                  </w:pPr>
                  <w:r>
                    <w:rPr>
                      <w:rFonts w:hint="eastAsia"/>
                      <w:color w:val="auto"/>
                      <w:lang w:val="en-US" w:eastAsia="zh-CN"/>
                    </w:rPr>
                    <w:t>6</w:t>
                  </w:r>
                </w:p>
              </w:tc>
              <w:tc>
                <w:tcPr>
                  <w:tcW w:w="1960" w:type="dxa"/>
                  <w:shd w:val="clear" w:color="auto" w:fill="auto"/>
                  <w:vAlign w:val="center"/>
                </w:tcPr>
                <w:p w14:paraId="4DC5B428">
                  <w:pPr>
                    <w:pStyle w:val="29"/>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652.2</w:t>
                  </w:r>
                </w:p>
              </w:tc>
            </w:tr>
            <w:tr w14:paraId="1E72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vAlign w:val="center"/>
                </w:tcPr>
                <w:p w14:paraId="60222AC5">
                  <w:pPr>
                    <w:pStyle w:val="29"/>
                    <w:bidi w:val="0"/>
                    <w:rPr>
                      <w:rFonts w:hint="default"/>
                      <w:color w:val="auto"/>
                      <w:lang w:val="en-US" w:eastAsia="zh-CN"/>
                    </w:rPr>
                  </w:pPr>
                  <w:r>
                    <w:rPr>
                      <w:rFonts w:hint="eastAsia"/>
                      <w:color w:val="auto"/>
                      <w:lang w:val="en-US" w:eastAsia="zh-CN"/>
                    </w:rPr>
                    <w:t>合计</w:t>
                  </w:r>
                </w:p>
              </w:tc>
              <w:tc>
                <w:tcPr>
                  <w:tcW w:w="1708" w:type="dxa"/>
                  <w:vAlign w:val="center"/>
                </w:tcPr>
                <w:p w14:paraId="41A5C965">
                  <w:pPr>
                    <w:pStyle w:val="29"/>
                    <w:bidi w:val="0"/>
                    <w:rPr>
                      <w:rFonts w:hint="default"/>
                      <w:color w:val="auto"/>
                      <w:lang w:val="en-US" w:eastAsia="zh-CN"/>
                    </w:rPr>
                  </w:pPr>
                  <w:r>
                    <w:rPr>
                      <w:rFonts w:hint="eastAsia"/>
                      <w:color w:val="auto"/>
                      <w:lang w:val="en-US" w:eastAsia="zh-CN"/>
                    </w:rPr>
                    <w:t>800</w:t>
                  </w:r>
                </w:p>
              </w:tc>
              <w:tc>
                <w:tcPr>
                  <w:tcW w:w="2213" w:type="dxa"/>
                  <w:vAlign w:val="center"/>
                </w:tcPr>
                <w:p w14:paraId="777B61CF">
                  <w:pPr>
                    <w:pStyle w:val="29"/>
                    <w:bidi w:val="0"/>
                    <w:rPr>
                      <w:rFonts w:hint="default"/>
                      <w:color w:val="auto"/>
                      <w:lang w:val="en-US" w:eastAsia="zh-CN"/>
                    </w:rPr>
                  </w:pPr>
                  <w:r>
                    <w:rPr>
                      <w:rFonts w:hint="eastAsia"/>
                      <w:color w:val="auto"/>
                      <w:lang w:val="en-US" w:eastAsia="zh-CN"/>
                    </w:rPr>
                    <w:t>——</w:t>
                  </w:r>
                </w:p>
              </w:tc>
              <w:tc>
                <w:tcPr>
                  <w:tcW w:w="1960" w:type="dxa"/>
                  <w:vAlign w:val="center"/>
                </w:tcPr>
                <w:p w14:paraId="43F8042B">
                  <w:pPr>
                    <w:pStyle w:val="29"/>
                    <w:bidi w:val="0"/>
                    <w:rPr>
                      <w:rFonts w:hint="default"/>
                      <w:color w:val="auto"/>
                      <w:lang w:val="en-US" w:eastAsia="zh-CN"/>
                    </w:rPr>
                  </w:pPr>
                  <w:r>
                    <w:rPr>
                      <w:rFonts w:hint="eastAsia"/>
                      <w:color w:val="auto"/>
                      <w:lang w:val="en-US" w:eastAsia="zh-CN"/>
                    </w:rPr>
                    <w:t>3852.2</w:t>
                  </w:r>
                </w:p>
              </w:tc>
            </w:tr>
            <w:tr w14:paraId="561B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0" w:type="dxa"/>
                  <w:gridSpan w:val="4"/>
                  <w:vAlign w:val="center"/>
                </w:tcPr>
                <w:p w14:paraId="2F33D1E6">
                  <w:pPr>
                    <w:pStyle w:val="29"/>
                    <w:bidi w:val="0"/>
                    <w:jc w:val="left"/>
                    <w:rPr>
                      <w:rFonts w:hint="default"/>
                      <w:color w:val="auto"/>
                      <w:lang w:val="en-US" w:eastAsia="zh-CN"/>
                    </w:rPr>
                  </w:pPr>
                  <w:r>
                    <w:rPr>
                      <w:rFonts w:hint="eastAsia"/>
                      <w:color w:val="auto"/>
                      <w:lang w:val="en-US" w:eastAsia="zh-CN"/>
                    </w:rPr>
                    <w:t>注：由于啤酒和发酵酒度数较低，密度以水的密度换算，配制酒密度按照0.92t/kL进行换算。</w:t>
                  </w:r>
                </w:p>
              </w:tc>
            </w:tr>
          </w:tbl>
          <w:p w14:paraId="31976B61">
            <w:pPr>
              <w:bidi w:val="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根据以上计算可知，本项目单位产品实际排水量为3804.7265m</w:t>
            </w:r>
            <w:r>
              <w:rPr>
                <w:rFonts w:hint="eastAsia" w:ascii="Times New Roman" w:hAnsi="Times New Roman" w:eastAsia="宋体" w:cs="Times New Roman"/>
                <w:color w:val="auto"/>
                <w:vertAlign w:val="superscript"/>
                <w:lang w:val="en-US" w:eastAsia="zh-CN"/>
              </w:rPr>
              <w:t>3</w:t>
            </w:r>
            <w:r>
              <w:rPr>
                <w:rFonts w:hint="eastAsia" w:ascii="Times New Roman" w:hAnsi="Times New Roman" w:eastAsia="宋体" w:cs="Times New Roman"/>
                <w:color w:val="auto"/>
                <w:lang w:val="en-US" w:eastAsia="zh-CN"/>
              </w:rPr>
              <w:t>/a（生活污水与生产废水独立排放，不纳入生产废水排水量统计范围），单位产品实际排水量/单位产品总基准排水量=3804.7265/3852.2≈0.988＜1，则本项目单位产品实际排水量低于单位产品总基准排水量，在排水量方面满足《酒类制造业水污染物排放标准》（GB 19821—2025）表2规定相关标准要求，排水指标达标，故项目在水资源利用和废水排放控制方面表现较好，符合节水减污要求，利于排污许可核定与环境执法监管等工作。</w:t>
            </w:r>
          </w:p>
          <w:p w14:paraId="5A933873">
            <w:pPr>
              <w:ind w:firstLine="482"/>
              <w:rPr>
                <w:rFonts w:hint="eastAsia"/>
                <w:b/>
                <w:bCs/>
                <w:color w:val="auto"/>
              </w:rPr>
            </w:pPr>
            <w:r>
              <w:rPr>
                <w:rFonts w:hint="eastAsia"/>
                <w:b/>
                <w:bCs/>
                <w:color w:val="auto"/>
              </w:rPr>
              <w:t>（三）影响分析</w:t>
            </w:r>
          </w:p>
          <w:p w14:paraId="66D7743B">
            <w:pPr>
              <w:adjustRightInd w:val="0"/>
              <w:snapToGrid w:val="0"/>
              <w:ind w:firstLine="480"/>
              <w:rPr>
                <w:rFonts w:hint="eastAsia" w:cs="Times New Roman"/>
                <w:b/>
                <w:bCs w:val="0"/>
                <w:color w:val="auto"/>
                <w:lang w:val="en-US" w:eastAsia="zh-CN"/>
              </w:rPr>
            </w:pPr>
            <w:r>
              <w:rPr>
                <w:rFonts w:hint="eastAsia" w:cs="Times New Roman"/>
                <w:b/>
                <w:bCs w:val="0"/>
                <w:color w:val="auto"/>
                <w:lang w:val="en-US" w:eastAsia="zh-CN"/>
              </w:rPr>
              <w:t>1、措施可行性分析</w:t>
            </w:r>
          </w:p>
          <w:p w14:paraId="23A1C1BB">
            <w:pPr>
              <w:numPr>
                <w:ilvl w:val="0"/>
                <w:numId w:val="0"/>
              </w:numPr>
              <w:adjustRightInd w:val="0"/>
              <w:snapToGrid w:val="0"/>
              <w:ind w:firstLine="482" w:firstLineChars="200"/>
              <w:rPr>
                <w:rFonts w:hint="eastAsia" w:cs="Times New Roman"/>
                <w:b/>
                <w:bCs w:val="0"/>
                <w:color w:val="auto"/>
                <w:szCs w:val="24"/>
                <w:lang w:val="en-US" w:eastAsia="zh-CN"/>
              </w:rPr>
            </w:pPr>
            <w:r>
              <w:rPr>
                <w:rFonts w:hint="eastAsia" w:ascii="Times New Roman" w:hAnsi="Times New Roman" w:eastAsia="宋体" w:cs="Times New Roman"/>
                <w:b/>
                <w:bCs w:val="0"/>
                <w:color w:val="auto"/>
                <w:kern w:val="2"/>
                <w:sz w:val="24"/>
                <w:szCs w:val="24"/>
                <w:lang w:val="en-US" w:eastAsia="zh-CN" w:bidi="ar-SA"/>
              </w:rPr>
              <w:t>（</w:t>
            </w:r>
            <w:r>
              <w:rPr>
                <w:rFonts w:hint="eastAsia" w:cs="Times New Roman"/>
                <w:b/>
                <w:bCs w:val="0"/>
                <w:color w:val="auto"/>
                <w:kern w:val="2"/>
                <w:sz w:val="24"/>
                <w:szCs w:val="24"/>
                <w:lang w:val="en-US" w:eastAsia="zh-CN" w:bidi="ar-SA"/>
              </w:rPr>
              <w:t>1</w:t>
            </w:r>
            <w:r>
              <w:rPr>
                <w:rFonts w:hint="eastAsia" w:ascii="Times New Roman" w:hAnsi="Times New Roman" w:eastAsia="宋体" w:cs="Times New Roman"/>
                <w:b/>
                <w:bCs w:val="0"/>
                <w:color w:val="auto"/>
                <w:kern w:val="2"/>
                <w:sz w:val="24"/>
                <w:szCs w:val="24"/>
                <w:lang w:val="en-US" w:eastAsia="zh-CN" w:bidi="ar-SA"/>
              </w:rPr>
              <w:t>）</w:t>
            </w:r>
            <w:r>
              <w:rPr>
                <w:rFonts w:hint="eastAsia" w:cs="Times New Roman"/>
                <w:b/>
                <w:bCs w:val="0"/>
                <w:color w:val="auto"/>
                <w:szCs w:val="24"/>
                <w:lang w:val="en-US" w:eastAsia="zh-CN"/>
              </w:rPr>
              <w:t>化粪池容积合理性及依托可行性分析</w:t>
            </w:r>
          </w:p>
          <w:p w14:paraId="5BCAC561">
            <w:pPr>
              <w:bidi w:val="0"/>
              <w:rPr>
                <w:rFonts w:hint="eastAsia"/>
                <w:color w:val="auto"/>
                <w:lang w:eastAsia="zh-CN"/>
              </w:rPr>
            </w:pPr>
            <w:r>
              <w:rPr>
                <w:rFonts w:hint="eastAsia"/>
                <w:color w:val="auto"/>
                <w:lang w:eastAsia="zh-CN"/>
              </w:rPr>
              <w:t>项目生活污水产生量为</w:t>
            </w:r>
            <w:r>
              <w:rPr>
                <w:rFonts w:hint="eastAsia"/>
                <w:color w:val="auto"/>
                <w:lang w:val="en-US" w:eastAsia="zh-CN"/>
              </w:rPr>
              <w:t>0.5</w:t>
            </w:r>
            <w:r>
              <w:rPr>
                <w:color w:val="auto"/>
              </w:rPr>
              <w:t>m</w:t>
            </w:r>
            <w:r>
              <w:rPr>
                <w:color w:val="auto"/>
                <w:vertAlign w:val="superscript"/>
              </w:rPr>
              <w:t>3</w:t>
            </w:r>
            <w:r>
              <w:rPr>
                <w:color w:val="auto"/>
              </w:rPr>
              <w:t>/d</w:t>
            </w:r>
            <w:r>
              <w:rPr>
                <w:rFonts w:hint="eastAsia"/>
                <w:color w:val="auto"/>
                <w:lang w:val="en-US" w:eastAsia="zh-CN"/>
              </w:rPr>
              <w:t>，考虑1.2的安全变化系数，</w:t>
            </w:r>
            <w:r>
              <w:rPr>
                <w:rFonts w:hint="eastAsia"/>
                <w:color w:val="auto"/>
                <w:lang w:eastAsia="zh-CN"/>
              </w:rPr>
              <w:t>需满足容积为</w:t>
            </w:r>
            <w:r>
              <w:rPr>
                <w:rFonts w:hint="eastAsia"/>
                <w:color w:val="auto"/>
                <w:lang w:val="en-US" w:eastAsia="zh-CN"/>
              </w:rPr>
              <w:t>0.6m</w:t>
            </w:r>
            <w:r>
              <w:rPr>
                <w:rFonts w:hint="eastAsia"/>
                <w:color w:val="auto"/>
                <w:vertAlign w:val="superscript"/>
                <w:lang w:val="en-US" w:eastAsia="zh-CN"/>
              </w:rPr>
              <w:t>3</w:t>
            </w:r>
            <w:r>
              <w:rPr>
                <w:rFonts w:hint="eastAsia"/>
                <w:color w:val="auto"/>
                <w:lang w:val="en-US" w:eastAsia="zh-CN"/>
              </w:rPr>
              <w:t>的</w:t>
            </w:r>
            <w:r>
              <w:rPr>
                <w:rFonts w:hint="eastAsia"/>
                <w:color w:val="auto"/>
                <w:lang w:eastAsia="zh-CN"/>
              </w:rPr>
              <w:t>化粪池，才</w:t>
            </w:r>
            <w:r>
              <w:rPr>
                <w:color w:val="auto"/>
              </w:rPr>
              <w:t>可以保证生活</w:t>
            </w:r>
            <w:r>
              <w:rPr>
                <w:rFonts w:hint="eastAsia"/>
                <w:color w:val="auto"/>
                <w:lang w:val="en-US" w:eastAsia="zh-CN"/>
              </w:rPr>
              <w:t>污水</w:t>
            </w:r>
            <w:r>
              <w:rPr>
                <w:color w:val="auto"/>
              </w:rPr>
              <w:t>在预处理构筑物内停留时间。</w:t>
            </w:r>
            <w:r>
              <w:rPr>
                <w:rFonts w:hint="eastAsia"/>
                <w:color w:val="auto"/>
                <w:lang w:eastAsia="zh-CN"/>
              </w:rPr>
              <w:t>根据《建筑给水排水设计规范》（GB50015-2019）要求：化粪池有效停留时间取12~24h。污水的排放量变化大会影响化粪池的污水处理效果，预留污水有效停留时间有利于保证化粪池污水处理效果。本</w:t>
            </w:r>
            <w:r>
              <w:rPr>
                <w:rFonts w:hint="eastAsia"/>
                <w:color w:val="auto"/>
                <w:lang w:val="en-US" w:eastAsia="zh-CN"/>
              </w:rPr>
              <w:t>项目租用厂房</w:t>
            </w:r>
            <w:r>
              <w:rPr>
                <w:rFonts w:hint="eastAsia"/>
                <w:color w:val="auto"/>
                <w:lang w:eastAsia="zh-CN"/>
              </w:rPr>
              <w:t>配套的30m</w:t>
            </w:r>
            <w:r>
              <w:rPr>
                <w:rFonts w:hint="eastAsia"/>
                <w:color w:val="auto"/>
                <w:vertAlign w:val="superscript"/>
                <w:lang w:val="en-US" w:eastAsia="zh-CN"/>
              </w:rPr>
              <w:t>3</w:t>
            </w:r>
            <w:r>
              <w:rPr>
                <w:rFonts w:hint="eastAsia"/>
                <w:color w:val="auto"/>
                <w:lang w:eastAsia="zh-CN"/>
              </w:rPr>
              <w:t>化粪池为整栋四层共用的集中预处理设施，当前其余三层糕点生产企业仅排放常规生活污水，无高浓度生产废水排入，经核算其已占用的化粪池容积占比不足40%，剩余富余容积仍超过18m³，远高于规范要求的化粪池最低安全缓冲余量。本项目仅设置于一层，运营期无生产性废水排放，仅产生每日0.5m³的常规生活污水，该新增水量仅占化粪池剩余富余容积的2.7%，接入后化粪池整体负荷仍远低于设计处理上限，完全不会出现容积不足、水力停留时间不足的问题，可稳定保障本项目生活污水的厌氧沉淀预处理效果，出水水质可满足后续市政污水管网的纳管要求。</w:t>
            </w:r>
          </w:p>
          <w:p w14:paraId="0FEA4BCA">
            <w:pPr>
              <w:bidi w:val="0"/>
              <w:rPr>
                <w:rFonts w:hint="eastAsia" w:eastAsia="宋体"/>
                <w:color w:val="auto"/>
                <w:lang w:eastAsia="zh-CN"/>
              </w:rPr>
            </w:pPr>
            <w:r>
              <w:rPr>
                <w:rFonts w:hint="eastAsia"/>
                <w:color w:val="auto"/>
                <w:lang w:eastAsia="zh-CN"/>
              </w:rPr>
              <w:t>本项目生活污水</w:t>
            </w:r>
            <w:r>
              <w:rPr>
                <w:rFonts w:hint="eastAsia"/>
                <w:color w:val="auto"/>
                <w:lang w:val="en-US" w:eastAsia="zh-CN"/>
              </w:rPr>
              <w:t>经园区已建化粪池进行预处理后与项目生产废水一起汇入排入园区污水管网，再排入市政污水管网，最终进入玉溪市第一、第三污水处理厂处理，故该措施是可行的。</w:t>
            </w:r>
          </w:p>
          <w:p w14:paraId="1B6DBFCC">
            <w:pPr>
              <w:bidi w:val="0"/>
              <w:rPr>
                <w:rFonts w:hint="eastAsia" w:cs="Times New Roman"/>
                <w:b/>
                <w:bCs w:val="0"/>
                <w:color w:val="auto"/>
                <w:szCs w:val="24"/>
                <w:lang w:eastAsia="zh-CN"/>
              </w:rPr>
            </w:pPr>
            <w:r>
              <w:rPr>
                <w:rFonts w:hint="eastAsia" w:cs="Times New Roman"/>
                <w:b/>
                <w:bCs w:val="0"/>
                <w:color w:val="auto"/>
                <w:szCs w:val="24"/>
                <w:lang w:eastAsia="zh-CN"/>
              </w:rPr>
              <w:t>（</w:t>
            </w:r>
            <w:r>
              <w:rPr>
                <w:rFonts w:hint="eastAsia" w:cs="Times New Roman"/>
                <w:b/>
                <w:bCs w:val="0"/>
                <w:color w:val="auto"/>
                <w:szCs w:val="24"/>
                <w:lang w:val="en-US" w:eastAsia="zh-CN"/>
              </w:rPr>
              <w:t>2</w:t>
            </w:r>
            <w:r>
              <w:rPr>
                <w:rFonts w:hint="eastAsia" w:cs="Times New Roman"/>
                <w:b/>
                <w:bCs w:val="0"/>
                <w:color w:val="auto"/>
                <w:szCs w:val="24"/>
                <w:lang w:eastAsia="zh-CN"/>
              </w:rPr>
              <w:t>）生活污水处理措施可行性</w:t>
            </w:r>
          </w:p>
          <w:p w14:paraId="4C85603F">
            <w:pPr>
              <w:bidi w:val="0"/>
              <w:rPr>
                <w:rFonts w:hint="eastAsia"/>
                <w:color w:val="auto"/>
                <w:lang w:eastAsia="zh-CN"/>
              </w:rPr>
            </w:pPr>
            <w:r>
              <w:rPr>
                <w:rFonts w:hint="eastAsia"/>
                <w:color w:val="auto"/>
                <w:lang w:eastAsia="zh-CN"/>
              </w:rPr>
              <w:t>本项目生活污水产生量为</w:t>
            </w:r>
            <w:r>
              <w:rPr>
                <w:rFonts w:hint="eastAsia"/>
                <w:color w:val="auto"/>
                <w:lang w:val="en-US" w:eastAsia="zh-CN"/>
              </w:rPr>
              <w:t>0.5</w:t>
            </w:r>
            <w:r>
              <w:rPr>
                <w:rFonts w:hint="eastAsia"/>
                <w:color w:val="auto"/>
                <w:lang w:eastAsia="zh-CN"/>
              </w:rPr>
              <w:t>m</w:t>
            </w:r>
            <w:r>
              <w:rPr>
                <w:rFonts w:hint="eastAsia"/>
                <w:color w:val="auto"/>
                <w:vertAlign w:val="superscript"/>
                <w:lang w:eastAsia="zh-CN"/>
              </w:rPr>
              <w:t>3</w:t>
            </w:r>
            <w:r>
              <w:rPr>
                <w:rFonts w:hint="eastAsia"/>
                <w:color w:val="auto"/>
                <w:lang w:eastAsia="zh-CN"/>
              </w:rPr>
              <w:t>/d，</w:t>
            </w:r>
            <w:r>
              <w:rPr>
                <w:rFonts w:hint="eastAsia"/>
                <w:color w:val="auto"/>
                <w:lang w:val="en-US" w:eastAsia="zh-CN"/>
              </w:rPr>
              <w:t>150</w:t>
            </w:r>
            <w:r>
              <w:rPr>
                <w:rFonts w:hint="eastAsia"/>
                <w:color w:val="auto"/>
                <w:lang w:eastAsia="zh-CN"/>
              </w:rPr>
              <w:t>m</w:t>
            </w:r>
            <w:r>
              <w:rPr>
                <w:rFonts w:hint="eastAsia"/>
                <w:color w:val="auto"/>
                <w:vertAlign w:val="superscript"/>
                <w:lang w:eastAsia="zh-CN"/>
              </w:rPr>
              <w:t>3</w:t>
            </w:r>
            <w:r>
              <w:rPr>
                <w:rFonts w:hint="eastAsia"/>
                <w:color w:val="auto"/>
                <w:lang w:eastAsia="zh-CN"/>
              </w:rPr>
              <w:t>/a，化粪池是处理粪便并加以过滤沉淀的设备，其原理是：经分解和澄清后的上层的水化物进入管道流走，下层沉淀的固化物（粪便等垃圾）进一步水解，最后成为污泥被清掏。一般情况下，化粪池对于COD及SS的去除率为20%</w:t>
            </w:r>
            <w:r>
              <w:rPr>
                <w:rFonts w:hint="eastAsia"/>
                <w:color w:val="auto"/>
                <w:lang w:val="en-US" w:eastAsia="zh-CN"/>
              </w:rPr>
              <w:t>~50</w:t>
            </w:r>
            <w:r>
              <w:rPr>
                <w:rFonts w:hint="eastAsia"/>
                <w:color w:val="auto"/>
                <w:lang w:eastAsia="zh-CN"/>
              </w:rPr>
              <w:t>%左右，对其他污染物去除能力较差。生活污水经化粪池预处理后，各污染物排放浓度能够达到玉溪市第</w:t>
            </w:r>
            <w:r>
              <w:rPr>
                <w:rFonts w:hint="eastAsia"/>
                <w:color w:val="auto"/>
                <w:lang w:val="en-US" w:eastAsia="zh-CN"/>
              </w:rPr>
              <w:t>一、第三</w:t>
            </w:r>
            <w:r>
              <w:rPr>
                <w:rFonts w:hint="eastAsia"/>
                <w:color w:val="auto"/>
                <w:lang w:eastAsia="zh-CN"/>
              </w:rPr>
              <w:t>污水处理厂的接收标准，故生活污水处理措施有可行性。</w:t>
            </w:r>
          </w:p>
          <w:p w14:paraId="65BDA76A">
            <w:pPr>
              <w:bidi w:val="0"/>
              <w:rPr>
                <w:rFonts w:hint="eastAsia"/>
                <w:b/>
                <w:bCs/>
                <w:color w:val="auto"/>
              </w:rPr>
            </w:pPr>
            <w:r>
              <w:rPr>
                <w:rFonts w:hint="eastAsia"/>
                <w:b/>
                <w:bCs/>
                <w:color w:val="auto"/>
              </w:rPr>
              <w:t>（</w:t>
            </w:r>
            <w:r>
              <w:rPr>
                <w:rFonts w:hint="eastAsia"/>
                <w:b/>
                <w:bCs/>
                <w:color w:val="auto"/>
                <w:lang w:val="en-US" w:eastAsia="zh-CN"/>
              </w:rPr>
              <w:t>3</w:t>
            </w:r>
            <w:r>
              <w:rPr>
                <w:rFonts w:hint="eastAsia"/>
                <w:b/>
                <w:bCs/>
                <w:color w:val="auto"/>
              </w:rPr>
              <w:t>）沉淀池容积合理性可行性分析</w:t>
            </w:r>
          </w:p>
          <w:p w14:paraId="1A52A067">
            <w:pPr>
              <w:bidi w:val="0"/>
              <w:rPr>
                <w:rFonts w:hint="default"/>
                <w:color w:val="auto"/>
                <w:lang w:val="en-US" w:eastAsia="zh-CN"/>
              </w:rPr>
            </w:pPr>
            <w:r>
              <w:rPr>
                <w:rFonts w:hint="eastAsia"/>
                <w:color w:val="auto"/>
                <w:lang w:val="en-US" w:eastAsia="zh-CN"/>
              </w:rPr>
              <w:t>本项目每日生产废水总排水量为12.6824</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/d</w:t>
            </w:r>
            <w:r>
              <w:rPr>
                <w:rFonts w:hint="eastAsia"/>
                <w:color w:val="auto"/>
              </w:rPr>
              <w:t>，</w:t>
            </w:r>
            <w:r>
              <w:rPr>
                <w:rFonts w:hint="eastAsia"/>
                <w:color w:val="auto"/>
                <w:lang w:val="en-US" w:eastAsia="zh-CN"/>
              </w:rPr>
              <w:t>则每天的平均排水量为</w:t>
            </w:r>
            <w:r>
              <w:rPr>
                <w:rFonts w:hint="eastAsia" w:cs="Times New Roman"/>
                <w:color w:val="auto"/>
                <w:sz w:val="24"/>
                <w:szCs w:val="24"/>
                <w:lang w:val="en-US" w:eastAsia="zh-CN"/>
              </w:rPr>
              <w:t>1.585</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h</w:t>
            </w:r>
            <w:r>
              <w:rPr>
                <w:rFonts w:hint="eastAsia" w:ascii="Times New Roman" w:hAnsi="Times New Roman" w:eastAsia="宋体" w:cs="Times New Roman"/>
                <w:color w:val="auto"/>
                <w:sz w:val="24"/>
                <w:szCs w:val="24"/>
              </w:rPr>
              <w:t>，</w:t>
            </w:r>
            <w:r>
              <w:rPr>
                <w:rFonts w:hint="eastAsia"/>
                <w:color w:val="auto"/>
                <w:lang w:val="en-US" w:eastAsia="zh-CN"/>
              </w:rPr>
              <w:t>目前厂区已有3个沉淀池（1m</w:t>
            </w:r>
            <w:r>
              <w:rPr>
                <w:rFonts w:hint="eastAsia"/>
                <w:color w:val="auto"/>
                <w:vertAlign w:val="superscript"/>
                <w:lang w:val="en-US" w:eastAsia="zh-CN"/>
              </w:rPr>
              <w:t>3</w:t>
            </w:r>
            <w:r>
              <w:rPr>
                <w:rFonts w:hint="eastAsia"/>
                <w:color w:val="auto"/>
                <w:lang w:val="en-US" w:eastAsia="zh-CN"/>
              </w:rPr>
              <w:t>/个），而啤酒厂啤酒生产是‌间歇式操作‌：糖化、煮沸、发酵、清洗等工序集中排水，常在‌几小时内集中排放大量废水‌，其余时间可能无水或极少。高峰小时流量=平均小时流量×高峰系数，按照啤酒厂（中小型）行业经验，高峰系数一般在3.0，则沉淀池必须能承受每小时最高4.755</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color w:val="auto"/>
                <w:lang w:val="en-US" w:eastAsia="zh-CN"/>
              </w:rPr>
              <w:t>的瞬时冲击流量，而项目区目前的三个沉淀池容积仅为3m</w:t>
            </w:r>
            <w:r>
              <w:rPr>
                <w:rFonts w:hint="eastAsia"/>
                <w:color w:val="auto"/>
                <w:vertAlign w:val="superscript"/>
                <w:lang w:val="en-US" w:eastAsia="zh-CN"/>
              </w:rPr>
              <w:t>3</w:t>
            </w:r>
            <w:r>
              <w:rPr>
                <w:rFonts w:hint="eastAsia"/>
                <w:color w:val="auto"/>
                <w:lang w:val="en-US" w:eastAsia="zh-CN"/>
              </w:rPr>
              <w:t>，为了满足2小时水力停留时间，4.755</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h</w:t>
            </w:r>
            <w:r>
              <w:rPr>
                <w:rFonts w:hint="eastAsia" w:ascii="Times New Roman" w:hAnsi="Times New Roman" w:eastAsia="宋体" w:cs="Times New Roman"/>
                <w:color w:val="auto"/>
                <w:sz w:val="24"/>
                <w:szCs w:val="24"/>
                <w:lang w:val="en-US" w:eastAsia="zh-CN"/>
              </w:rPr>
              <w:t>×2h=</w:t>
            </w:r>
            <w:r>
              <w:rPr>
                <w:rFonts w:hint="eastAsia" w:cs="Times New Roman"/>
                <w:color w:val="auto"/>
                <w:sz w:val="24"/>
                <w:szCs w:val="24"/>
                <w:lang w:val="en-US" w:eastAsia="zh-CN"/>
              </w:rPr>
              <w:t>9.51</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ascii="Times New Roman" w:hAnsi="Times New Roman" w:eastAsia="宋体" w:cs="Times New Roman"/>
                <w:color w:val="auto"/>
                <w:sz w:val="24"/>
                <w:szCs w:val="24"/>
                <w:lang w:val="en-US" w:eastAsia="zh-CN"/>
              </w:rPr>
              <w:t>，单池必须满足</w:t>
            </w:r>
            <w:r>
              <w:rPr>
                <w:rFonts w:hint="eastAsia" w:cs="Times New Roman"/>
                <w:color w:val="auto"/>
                <w:sz w:val="24"/>
                <w:szCs w:val="24"/>
                <w:lang w:val="en-US" w:eastAsia="zh-CN"/>
              </w:rPr>
              <w:t>3.17</w:t>
            </w:r>
            <w:r>
              <w:rPr>
                <w:rFonts w:hint="eastAsia" w:ascii="Times New Roman" w:hAnsi="Times New Roman" w:eastAsia="宋体" w:cs="Times New Roman"/>
                <w:color w:val="auto"/>
                <w:sz w:val="24"/>
                <w:szCs w:val="24"/>
                <w:lang w:val="en-US" w:eastAsia="zh-CN"/>
              </w:rPr>
              <w:t>m</w:t>
            </w:r>
            <w:r>
              <w:rPr>
                <w:rFonts w:hint="eastAsia" w:ascii="Times New Roman" w:hAnsi="Times New Roman" w:eastAsia="宋体" w:cs="Times New Roman"/>
                <w:color w:val="auto"/>
                <w:sz w:val="24"/>
                <w:szCs w:val="24"/>
                <w:vertAlign w:val="superscript"/>
                <w:lang w:val="en-US" w:eastAsia="zh-CN"/>
              </w:rPr>
              <w:t>3</w:t>
            </w:r>
            <w:r>
              <w:rPr>
                <w:rFonts w:hint="eastAsia" w:cs="Times New Roman"/>
                <w:color w:val="auto"/>
                <w:sz w:val="24"/>
                <w:szCs w:val="24"/>
                <w:lang w:val="en-US" w:eastAsia="zh-CN"/>
              </w:rPr>
              <w:t>。</w:t>
            </w:r>
          </w:p>
          <w:p w14:paraId="3F0326D5">
            <w:pPr>
              <w:bidi w:val="0"/>
              <w:rPr>
                <w:rFonts w:hint="eastAsia"/>
                <w:color w:val="auto"/>
                <w:sz w:val="24"/>
                <w:szCs w:val="24"/>
                <w:lang w:val="en-US" w:eastAsia="zh-CN"/>
              </w:rPr>
            </w:pPr>
            <w:r>
              <w:rPr>
                <w:rFonts w:hint="eastAsia"/>
                <w:color w:val="auto"/>
                <w:sz w:val="24"/>
                <w:szCs w:val="24"/>
                <w:lang w:val="en-US" w:eastAsia="zh-CN"/>
              </w:rPr>
              <w:t>环</w:t>
            </w:r>
            <w:r>
              <w:rPr>
                <w:rFonts w:hint="eastAsia" w:eastAsia="宋体"/>
                <w:color w:val="auto"/>
                <w:sz w:val="24"/>
                <w:szCs w:val="24"/>
              </w:rPr>
              <w:t>评要求：建设单位</w:t>
            </w:r>
            <w:r>
              <w:rPr>
                <w:rFonts w:hint="eastAsia"/>
                <w:color w:val="auto"/>
                <w:sz w:val="24"/>
                <w:szCs w:val="24"/>
                <w:lang w:val="en-US" w:eastAsia="zh-CN"/>
              </w:rPr>
              <w:t>的单个沉淀池</w:t>
            </w:r>
            <w:r>
              <w:rPr>
                <w:rFonts w:hint="eastAsia" w:eastAsia="宋体"/>
                <w:color w:val="auto"/>
                <w:sz w:val="24"/>
                <w:szCs w:val="24"/>
              </w:rPr>
              <w:t>容积不小于</w:t>
            </w:r>
            <w:r>
              <w:rPr>
                <w:rFonts w:hint="eastAsia"/>
                <w:color w:val="auto"/>
                <w:sz w:val="24"/>
                <w:szCs w:val="24"/>
                <w:lang w:val="en-US" w:eastAsia="zh-CN"/>
              </w:rPr>
              <w:t>3.17</w:t>
            </w:r>
            <w:r>
              <w:rPr>
                <w:rFonts w:hint="eastAsia" w:eastAsia="宋体"/>
                <w:color w:val="auto"/>
                <w:sz w:val="24"/>
                <w:szCs w:val="24"/>
              </w:rPr>
              <w:t>m</w:t>
            </w:r>
            <w:r>
              <w:rPr>
                <w:rFonts w:hint="eastAsia" w:eastAsia="宋体"/>
                <w:color w:val="auto"/>
                <w:sz w:val="24"/>
                <w:szCs w:val="24"/>
                <w:vertAlign w:val="superscript"/>
              </w:rPr>
              <w:t>3</w:t>
            </w:r>
            <w:r>
              <w:rPr>
                <w:rFonts w:hint="eastAsia" w:eastAsia="宋体"/>
                <w:color w:val="auto"/>
                <w:sz w:val="24"/>
                <w:szCs w:val="24"/>
              </w:rPr>
              <w:t>，</w:t>
            </w:r>
            <w:r>
              <w:rPr>
                <w:rFonts w:hint="eastAsia"/>
                <w:color w:val="auto"/>
                <w:sz w:val="24"/>
                <w:szCs w:val="24"/>
                <w:lang w:val="en-US" w:eastAsia="zh-CN"/>
              </w:rPr>
              <w:t>由于现有沉淀池总容积仅有3m</w:t>
            </w:r>
            <w:r>
              <w:rPr>
                <w:rFonts w:hint="eastAsia"/>
                <w:color w:val="auto"/>
                <w:sz w:val="24"/>
                <w:szCs w:val="24"/>
                <w:vertAlign w:val="superscript"/>
                <w:lang w:val="en-US" w:eastAsia="zh-CN"/>
              </w:rPr>
              <w:t>3</w:t>
            </w:r>
            <w:r>
              <w:rPr>
                <w:rFonts w:hint="eastAsia"/>
                <w:color w:val="auto"/>
                <w:sz w:val="24"/>
                <w:szCs w:val="24"/>
                <w:lang w:val="en-US" w:eastAsia="zh-CN"/>
              </w:rPr>
              <w:t>，建设单位应将每个沉淀池扩容至‌≥3.17m³‌，总容积达9.51m</w:t>
            </w:r>
            <w:r>
              <w:rPr>
                <w:rFonts w:hint="eastAsia"/>
                <w:color w:val="auto"/>
                <w:sz w:val="24"/>
                <w:szCs w:val="24"/>
                <w:vertAlign w:val="superscript"/>
                <w:lang w:val="en-US" w:eastAsia="zh-CN"/>
              </w:rPr>
              <w:t>3</w:t>
            </w:r>
            <w:r>
              <w:rPr>
                <w:rFonts w:hint="eastAsia"/>
                <w:color w:val="auto"/>
                <w:sz w:val="24"/>
                <w:szCs w:val="24"/>
                <w:lang w:val="en-US" w:eastAsia="zh-CN"/>
              </w:rPr>
              <w:t>‌若无法立即扩容，可先建一个‌缓冲调节池不小于6.5m³‌，平抑冲击负荷，再进入沉淀池，才能满足要求。</w:t>
            </w:r>
          </w:p>
          <w:p w14:paraId="5E198579">
            <w:pPr>
              <w:bidi w:val="0"/>
              <w:rPr>
                <w:rFonts w:hint="eastAsia" w:cs="Times New Roman"/>
                <w:b/>
                <w:bCs w:val="0"/>
                <w:color w:val="auto"/>
                <w:szCs w:val="24"/>
                <w:lang w:eastAsia="zh-CN"/>
              </w:rPr>
            </w:pPr>
            <w:r>
              <w:rPr>
                <w:rFonts w:hint="eastAsia" w:cs="Times New Roman"/>
                <w:b/>
                <w:bCs w:val="0"/>
                <w:color w:val="auto"/>
                <w:szCs w:val="24"/>
                <w:lang w:eastAsia="zh-CN"/>
              </w:rPr>
              <w:t>（</w:t>
            </w:r>
            <w:r>
              <w:rPr>
                <w:rFonts w:hint="eastAsia" w:cs="Times New Roman"/>
                <w:b/>
                <w:bCs w:val="0"/>
                <w:color w:val="auto"/>
                <w:szCs w:val="24"/>
                <w:lang w:val="en-US" w:eastAsia="zh-CN"/>
              </w:rPr>
              <w:t>4</w:t>
            </w:r>
            <w:r>
              <w:rPr>
                <w:rFonts w:hint="eastAsia" w:cs="Times New Roman"/>
                <w:b/>
                <w:bCs w:val="0"/>
                <w:color w:val="auto"/>
                <w:szCs w:val="24"/>
                <w:lang w:eastAsia="zh-CN"/>
              </w:rPr>
              <w:t>）生产废水处置措施合理性分析</w:t>
            </w:r>
          </w:p>
          <w:p w14:paraId="7D622124">
            <w:pPr>
              <w:bidi w:val="0"/>
              <w:rPr>
                <w:rFonts w:hint="default" w:cs="Times New Roman"/>
                <w:b w:val="0"/>
                <w:bCs/>
                <w:color w:val="auto"/>
                <w:szCs w:val="24"/>
                <w:lang w:val="en-US" w:eastAsia="zh-CN"/>
              </w:rPr>
            </w:pPr>
            <w:r>
              <w:rPr>
                <w:rFonts w:hint="eastAsia" w:cs="Times New Roman"/>
                <w:b w:val="0"/>
                <w:bCs/>
                <w:color w:val="auto"/>
                <w:szCs w:val="24"/>
                <w:lang w:val="en-US" w:eastAsia="zh-CN"/>
              </w:rPr>
              <w:t>本项目一体化污水处理工艺为“格栅渠+调节池+水解酸化池+接触氧化池+沉淀池+清水池”工艺，污水处理工艺详见下图。</w:t>
            </w:r>
          </w:p>
          <w:p w14:paraId="6981A07B">
            <w:pPr>
              <w:bidi w:val="0"/>
              <w:jc w:val="center"/>
              <w:rPr>
                <w:rFonts w:hint="eastAsia" w:cs="Times New Roman"/>
                <w:b/>
                <w:bCs w:val="0"/>
                <w:color w:val="auto"/>
                <w:szCs w:val="24"/>
                <w:lang w:eastAsia="zh-CN"/>
              </w:rPr>
            </w:pPr>
            <w:r>
              <w:rPr>
                <w:rFonts w:hint="eastAsia" w:cs="Times New Roman"/>
                <w:b/>
                <w:bCs w:val="0"/>
                <w:color w:val="auto"/>
                <w:szCs w:val="24"/>
                <w:lang w:eastAsia="zh-CN"/>
              </w:rPr>
              <w:drawing>
                <wp:inline distT="0" distB="0" distL="114300" distR="114300">
                  <wp:extent cx="3082925" cy="3150870"/>
                  <wp:effectExtent l="0" t="0" r="0" b="0"/>
                  <wp:docPr id="34" name="ECB019B1-382A-4266-B25C-5B523AA43C14-12" descr="C:/Users/Administrator/AppData/Local/Temp/wps.QsgUPH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CB019B1-382A-4266-B25C-5B523AA43C14-12" descr="C:/Users/Administrator/AppData/Local/Temp/wps.QsgUPHwps"/>
                          <pic:cNvPicPr>
                            <a:picLocks noChangeAspect="1"/>
                          </pic:cNvPicPr>
                        </pic:nvPicPr>
                        <pic:blipFill>
                          <a:blip r:embed="rId27"/>
                          <a:stretch>
                            <a:fillRect/>
                          </a:stretch>
                        </pic:blipFill>
                        <pic:spPr>
                          <a:xfrm>
                            <a:off x="0" y="0"/>
                            <a:ext cx="3082925" cy="3150870"/>
                          </a:xfrm>
                          <a:prstGeom prst="rect">
                            <a:avLst/>
                          </a:prstGeom>
                        </pic:spPr>
                      </pic:pic>
                    </a:graphicData>
                  </a:graphic>
                </wp:inline>
              </w:drawing>
            </w:r>
          </w:p>
          <w:p w14:paraId="311E4CDF">
            <w:pPr>
              <w:pStyle w:val="30"/>
              <w:bidi w:val="0"/>
              <w:rPr>
                <w:rFonts w:hint="default"/>
                <w:color w:val="auto"/>
                <w:lang w:val="en-US" w:eastAsia="zh-CN"/>
              </w:rPr>
            </w:pPr>
            <w:r>
              <w:rPr>
                <w:rFonts w:hint="eastAsia"/>
                <w:color w:val="auto"/>
                <w:lang w:val="en-US" w:eastAsia="zh-CN"/>
              </w:rPr>
              <w:t>图4-1 污水处理工艺流程图</w:t>
            </w:r>
          </w:p>
          <w:p w14:paraId="741ECA99">
            <w:pPr>
              <w:bidi w:val="0"/>
              <w:rPr>
                <w:rFonts w:hint="default" w:cs="Times New Roman"/>
                <w:b/>
                <w:bCs w:val="0"/>
                <w:color w:val="auto"/>
                <w:szCs w:val="24"/>
                <w:lang w:val="en-US" w:eastAsia="zh-CN"/>
              </w:rPr>
            </w:pPr>
            <w:r>
              <w:rPr>
                <w:rFonts w:hint="eastAsia" w:cs="Times New Roman"/>
                <w:b/>
                <w:bCs w:val="0"/>
                <w:color w:val="auto"/>
                <w:szCs w:val="24"/>
                <w:lang w:val="en-US" w:eastAsia="zh-CN"/>
              </w:rPr>
              <w:t>一体化污水处理工艺说明：</w:t>
            </w:r>
          </w:p>
          <w:p w14:paraId="3171F97A">
            <w:pPr>
              <w:bidi w:val="0"/>
              <w:rPr>
                <w:rFonts w:hint="default" w:ascii="Times New Roman" w:hAnsi="Times New Roman" w:eastAsia="宋体" w:cs="Times New Roman"/>
                <w:b/>
                <w:bCs w:val="0"/>
                <w:color w:val="auto"/>
                <w:szCs w:val="24"/>
                <w:lang w:eastAsia="zh-CN"/>
              </w:rPr>
            </w:pPr>
            <w:r>
              <w:rPr>
                <w:rFonts w:hint="default" w:ascii="Times New Roman" w:hAnsi="Times New Roman" w:eastAsia="宋体" w:cs="Times New Roman"/>
                <w:b/>
                <w:bCs w:val="0"/>
                <w:color w:val="auto"/>
                <w:szCs w:val="24"/>
                <w:lang w:eastAsia="zh-CN"/>
              </w:rPr>
              <w:t>①物理法预处理段</w:t>
            </w:r>
          </w:p>
          <w:p w14:paraId="652FF0AB">
            <w:pPr>
              <w:ind w:firstLine="480"/>
              <w:rPr>
                <w:rFonts w:hint="eastAsia"/>
                <w:b w:val="0"/>
                <w:bCs w:val="0"/>
                <w:color w:val="auto"/>
                <w:lang w:val="en-US" w:eastAsia="zh-CN"/>
              </w:rPr>
            </w:pPr>
            <w:r>
              <w:rPr>
                <w:rFonts w:hint="eastAsia"/>
                <w:b w:val="0"/>
                <w:bCs w:val="0"/>
                <w:color w:val="auto"/>
                <w:lang w:val="en-US" w:eastAsia="zh-CN"/>
              </w:rPr>
              <w:t>废水首先进入‌格栅渠‌，通过粗细两道格栅拦截废水中夹带的麦皮、悬浮物、大颗粒杂质，避免后续管道和设备堵塞，完成第一级物理固液分离。</w:t>
            </w:r>
          </w:p>
          <w:p w14:paraId="4D572165">
            <w:pPr>
              <w:ind w:firstLine="480"/>
              <w:rPr>
                <w:rFonts w:hint="eastAsia"/>
                <w:b w:val="0"/>
                <w:bCs w:val="0"/>
                <w:color w:val="auto"/>
                <w:lang w:val="en-US" w:eastAsia="zh-CN"/>
              </w:rPr>
            </w:pPr>
            <w:r>
              <w:rPr>
                <w:rFonts w:hint="eastAsia"/>
                <w:b w:val="0"/>
                <w:bCs w:val="0"/>
                <w:color w:val="auto"/>
                <w:lang w:val="en-US" w:eastAsia="zh-CN"/>
              </w:rPr>
              <w:t>出水自流进入‌调节池‌，通过池内的曝气搅拌装置均质均量，削平水质水量的波动峰值，同时沉淀部分比重较大的无机颗粒物，为后续生化单元提供稳定的进水条件。</w:t>
            </w:r>
          </w:p>
          <w:p w14:paraId="6034AFCC">
            <w:pPr>
              <w:bidi w:val="0"/>
              <w:rPr>
                <w:rFonts w:hint="eastAsia" w:cs="Times New Roman"/>
                <w:b/>
                <w:bCs/>
                <w:color w:val="auto"/>
                <w:szCs w:val="24"/>
                <w:lang w:eastAsia="zh-CN"/>
              </w:rPr>
            </w:pPr>
            <w:r>
              <w:rPr>
                <w:rFonts w:hint="eastAsia" w:cs="Times New Roman"/>
                <w:b/>
                <w:bCs/>
                <w:color w:val="auto"/>
                <w:szCs w:val="24"/>
                <w:lang w:eastAsia="zh-CN"/>
              </w:rPr>
              <w:fldChar w:fldCharType="begin"/>
            </w:r>
            <w:r>
              <w:rPr>
                <w:rFonts w:hint="eastAsia" w:cs="Times New Roman"/>
                <w:b/>
                <w:bCs/>
                <w:color w:val="auto"/>
                <w:szCs w:val="24"/>
                <w:lang w:eastAsia="zh-CN"/>
              </w:rPr>
              <w:instrText xml:space="preserve"> = 2 \* GB3 \* MERGEFORMAT </w:instrText>
            </w:r>
            <w:r>
              <w:rPr>
                <w:rFonts w:hint="eastAsia" w:cs="Times New Roman"/>
                <w:b/>
                <w:bCs/>
                <w:color w:val="auto"/>
                <w:szCs w:val="24"/>
                <w:lang w:eastAsia="zh-CN"/>
              </w:rPr>
              <w:fldChar w:fldCharType="separate"/>
            </w:r>
            <w:r>
              <w:rPr>
                <w:b/>
                <w:bCs/>
                <w:color w:val="auto"/>
              </w:rPr>
              <w:t>②</w:t>
            </w:r>
            <w:r>
              <w:rPr>
                <w:rFonts w:hint="eastAsia" w:cs="Times New Roman"/>
                <w:b/>
                <w:bCs/>
                <w:color w:val="auto"/>
                <w:szCs w:val="24"/>
                <w:lang w:eastAsia="zh-CN"/>
              </w:rPr>
              <w:fldChar w:fldCharType="end"/>
            </w:r>
            <w:r>
              <w:rPr>
                <w:rFonts w:hint="eastAsia" w:cs="Times New Roman"/>
                <w:b/>
                <w:bCs/>
                <w:color w:val="auto"/>
                <w:szCs w:val="24"/>
                <w:lang w:eastAsia="zh-CN"/>
              </w:rPr>
              <w:t>厌氧+好氧生化处理段</w:t>
            </w:r>
          </w:p>
          <w:p w14:paraId="4573A805">
            <w:pPr>
              <w:ind w:firstLine="480"/>
              <w:rPr>
                <w:rFonts w:hint="eastAsia"/>
                <w:b w:val="0"/>
                <w:bCs w:val="0"/>
                <w:color w:val="auto"/>
                <w:lang w:val="en-US" w:eastAsia="zh-CN"/>
              </w:rPr>
            </w:pPr>
            <w:r>
              <w:rPr>
                <w:rFonts w:hint="eastAsia"/>
                <w:b w:val="0"/>
                <w:bCs w:val="0"/>
                <w:color w:val="auto"/>
                <w:lang w:val="en-US" w:eastAsia="zh-CN"/>
              </w:rPr>
              <w:t>调节池出水提升进入‌水解酸化池‌，在厌氧环境下通过水解产酸菌的作用，将啤酒废水中难降解的大分子有机物分解为小分子易生物降解物质，大幅提升废水可生化性，同时削减约30%的COD负荷。</w:t>
            </w:r>
          </w:p>
          <w:p w14:paraId="66AE26E4">
            <w:pPr>
              <w:ind w:firstLine="480"/>
              <w:rPr>
                <w:rFonts w:hint="eastAsia"/>
                <w:b w:val="0"/>
                <w:bCs w:val="0"/>
                <w:color w:val="auto"/>
                <w:lang w:val="en-US" w:eastAsia="zh-CN"/>
              </w:rPr>
            </w:pPr>
            <w:r>
              <w:rPr>
                <w:rFonts w:hint="eastAsia"/>
                <w:b w:val="0"/>
                <w:bCs w:val="0"/>
                <w:color w:val="auto"/>
                <w:lang w:val="en-US" w:eastAsia="zh-CN"/>
              </w:rPr>
              <w:t>出水自流进入‌接触氧化池‌，池内填充弹性立体填料，填料表面附着高活性生物膜，通过好氧曝气作用，微生物高效分解废水中的绝大部分溶解性有机物，COD去除率可达90%以上，同步完成脱氮过程。</w:t>
            </w:r>
          </w:p>
          <w:p w14:paraId="0D8E12AA">
            <w:pPr>
              <w:bidi w:val="0"/>
              <w:rPr>
                <w:rFonts w:hint="eastAsia" w:cs="Times New Roman"/>
                <w:b/>
                <w:bCs/>
                <w:color w:val="auto"/>
                <w:szCs w:val="24"/>
                <w:lang w:eastAsia="zh-CN"/>
              </w:rPr>
            </w:pPr>
            <w:r>
              <w:rPr>
                <w:rFonts w:hint="eastAsia" w:cs="Times New Roman"/>
                <w:b/>
                <w:bCs/>
                <w:color w:val="auto"/>
                <w:szCs w:val="24"/>
                <w:lang w:eastAsia="zh-CN"/>
              </w:rPr>
              <w:fldChar w:fldCharType="begin"/>
            </w:r>
            <w:r>
              <w:rPr>
                <w:rFonts w:hint="eastAsia" w:cs="Times New Roman"/>
                <w:b/>
                <w:bCs/>
                <w:color w:val="auto"/>
                <w:szCs w:val="24"/>
                <w:lang w:eastAsia="zh-CN"/>
              </w:rPr>
              <w:instrText xml:space="preserve"> = 3 \* GB3 \* MERGEFORMAT </w:instrText>
            </w:r>
            <w:r>
              <w:rPr>
                <w:rFonts w:hint="eastAsia" w:cs="Times New Roman"/>
                <w:b/>
                <w:bCs/>
                <w:color w:val="auto"/>
                <w:szCs w:val="24"/>
                <w:lang w:eastAsia="zh-CN"/>
              </w:rPr>
              <w:fldChar w:fldCharType="separate"/>
            </w:r>
            <w:r>
              <w:rPr>
                <w:b/>
                <w:bCs/>
                <w:color w:val="auto"/>
              </w:rPr>
              <w:t>③</w:t>
            </w:r>
            <w:r>
              <w:rPr>
                <w:rFonts w:hint="eastAsia" w:cs="Times New Roman"/>
                <w:b/>
                <w:bCs/>
                <w:color w:val="auto"/>
                <w:szCs w:val="24"/>
                <w:lang w:eastAsia="zh-CN"/>
              </w:rPr>
              <w:fldChar w:fldCharType="end"/>
            </w:r>
            <w:r>
              <w:rPr>
                <w:rFonts w:hint="eastAsia" w:cs="Times New Roman"/>
                <w:b/>
                <w:bCs/>
                <w:color w:val="auto"/>
                <w:szCs w:val="24"/>
                <w:lang w:eastAsia="zh-CN"/>
              </w:rPr>
              <w:t>物化沉淀消毒段</w:t>
            </w:r>
          </w:p>
          <w:p w14:paraId="7D955808">
            <w:pPr>
              <w:ind w:firstLine="480"/>
              <w:rPr>
                <w:rFonts w:hint="eastAsia"/>
                <w:b w:val="0"/>
                <w:bCs w:val="0"/>
                <w:color w:val="auto"/>
                <w:lang w:val="en-US" w:eastAsia="zh-CN"/>
              </w:rPr>
            </w:pPr>
            <w:r>
              <w:rPr>
                <w:rFonts w:hint="eastAsia"/>
                <w:b w:val="0"/>
                <w:bCs w:val="0"/>
                <w:color w:val="auto"/>
                <w:lang w:val="en-US" w:eastAsia="zh-CN"/>
              </w:rPr>
              <w:t>生化处理后的混合液进入‌沉淀池‌，通过重力沉淀作用分离脱落的生物膜和生化出水中的悬浮物，实现泥水分离，上清液自流进入‌清水池‌。</w:t>
            </w:r>
          </w:p>
          <w:p w14:paraId="5AAF12DA">
            <w:pPr>
              <w:ind w:firstLine="480"/>
              <w:rPr>
                <w:rFonts w:hint="eastAsia"/>
                <w:b w:val="0"/>
                <w:bCs w:val="0"/>
                <w:color w:val="auto"/>
                <w:lang w:val="en-US" w:eastAsia="zh-CN"/>
              </w:rPr>
            </w:pPr>
            <w:r>
              <w:rPr>
                <w:rFonts w:hint="eastAsia"/>
                <w:b w:val="0"/>
                <w:bCs w:val="0"/>
                <w:color w:val="auto"/>
                <w:lang w:val="en-US" w:eastAsia="zh-CN"/>
              </w:rPr>
              <w:t>清水池内配套投加少量消毒剂完成末端消毒，进一步去除残留的悬浮物和微量污染物，最终出水水质稳定达到园区纳管标准，可排入园区集中污水处理厂进一步深度处理。</w:t>
            </w:r>
          </w:p>
          <w:p w14:paraId="1C212EC3">
            <w:pPr>
              <w:ind w:firstLine="480"/>
              <w:rPr>
                <w:rFonts w:hint="eastAsia"/>
                <w:b w:val="0"/>
                <w:bCs w:val="0"/>
                <w:color w:val="auto"/>
                <w:lang w:val="en-US" w:eastAsia="zh-CN"/>
              </w:rPr>
            </w:pPr>
            <w:r>
              <w:rPr>
                <w:rFonts w:hint="eastAsia"/>
                <w:b w:val="0"/>
                <w:bCs w:val="0"/>
                <w:color w:val="auto"/>
                <w:lang w:val="en-US" w:eastAsia="zh-CN"/>
              </w:rPr>
              <w:t>根据《排污许可证申请与核发技术规范 酒、饮料制造工业》（HJ1028-2019），啤酒制造行业排污单位废水污染防治可行技术参考见下表。</w:t>
            </w:r>
          </w:p>
          <w:p w14:paraId="43743011">
            <w:pPr>
              <w:pStyle w:val="30"/>
              <w:bidi w:val="0"/>
              <w:rPr>
                <w:rFonts w:hint="default"/>
                <w:color w:val="auto"/>
                <w:lang w:val="en-US" w:eastAsia="zh-CN"/>
              </w:rPr>
            </w:pPr>
            <w:r>
              <w:rPr>
                <w:rFonts w:hint="eastAsia"/>
                <w:color w:val="auto"/>
                <w:lang w:val="en-US" w:eastAsia="zh-CN"/>
              </w:rPr>
              <w:t>表4-16 废水治理可行技术一览表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118"/>
              <w:gridCol w:w="667"/>
              <w:gridCol w:w="1021"/>
              <w:gridCol w:w="1673"/>
              <w:gridCol w:w="1435"/>
              <w:gridCol w:w="805"/>
            </w:tblGrid>
            <w:tr w14:paraId="1680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pct"/>
                  <w:vAlign w:val="center"/>
                </w:tcPr>
                <w:p w14:paraId="76F74A03">
                  <w:pPr>
                    <w:pStyle w:val="29"/>
                    <w:bidi w:val="0"/>
                    <w:rPr>
                      <w:rFonts w:hint="default"/>
                      <w:color w:val="auto"/>
                      <w:lang w:val="en-US" w:eastAsia="zh-CN"/>
                    </w:rPr>
                  </w:pPr>
                  <w:r>
                    <w:rPr>
                      <w:rFonts w:hint="eastAsia"/>
                      <w:color w:val="auto"/>
                      <w:lang w:val="en-US" w:eastAsia="zh-CN"/>
                    </w:rPr>
                    <w:t>废水类别</w:t>
                  </w:r>
                </w:p>
              </w:tc>
              <w:tc>
                <w:tcPr>
                  <w:tcW w:w="713" w:type="pct"/>
                  <w:vAlign w:val="center"/>
                </w:tcPr>
                <w:p w14:paraId="686012DD">
                  <w:pPr>
                    <w:pStyle w:val="29"/>
                    <w:bidi w:val="0"/>
                    <w:rPr>
                      <w:rFonts w:hint="default"/>
                      <w:color w:val="auto"/>
                      <w:lang w:val="en-US" w:eastAsia="zh-CN"/>
                    </w:rPr>
                  </w:pPr>
                  <w:r>
                    <w:rPr>
                      <w:rFonts w:hint="eastAsia"/>
                      <w:color w:val="auto"/>
                      <w:lang w:val="en-US" w:eastAsia="zh-CN"/>
                    </w:rPr>
                    <w:t>污染物项目</w:t>
                  </w:r>
                </w:p>
              </w:tc>
              <w:tc>
                <w:tcPr>
                  <w:tcW w:w="425" w:type="pct"/>
                  <w:vAlign w:val="center"/>
                </w:tcPr>
                <w:p w14:paraId="0680E570">
                  <w:pPr>
                    <w:pStyle w:val="29"/>
                    <w:bidi w:val="0"/>
                    <w:rPr>
                      <w:rFonts w:hint="default"/>
                      <w:color w:val="auto"/>
                      <w:lang w:val="en-US" w:eastAsia="zh-CN"/>
                    </w:rPr>
                  </w:pPr>
                  <w:r>
                    <w:rPr>
                      <w:rFonts w:hint="eastAsia"/>
                      <w:color w:val="auto"/>
                      <w:lang w:val="en-US" w:eastAsia="zh-CN"/>
                    </w:rPr>
                    <w:t>排放去向</w:t>
                  </w:r>
                </w:p>
              </w:tc>
              <w:tc>
                <w:tcPr>
                  <w:tcW w:w="651" w:type="pct"/>
                  <w:vAlign w:val="center"/>
                </w:tcPr>
                <w:p w14:paraId="5B9CDD82">
                  <w:pPr>
                    <w:pStyle w:val="29"/>
                    <w:bidi w:val="0"/>
                    <w:rPr>
                      <w:rFonts w:hint="default"/>
                      <w:color w:val="auto"/>
                      <w:lang w:val="en-US" w:eastAsia="zh-CN"/>
                    </w:rPr>
                  </w:pPr>
                  <w:r>
                    <w:rPr>
                      <w:rFonts w:hint="eastAsia"/>
                      <w:color w:val="auto"/>
                      <w:lang w:val="en-US" w:eastAsia="zh-CN"/>
                    </w:rPr>
                    <w:t>污染物监控位置</w:t>
                  </w:r>
                </w:p>
              </w:tc>
              <w:tc>
                <w:tcPr>
                  <w:tcW w:w="1067" w:type="pct"/>
                  <w:vAlign w:val="center"/>
                </w:tcPr>
                <w:p w14:paraId="5C0115ED">
                  <w:pPr>
                    <w:pStyle w:val="29"/>
                    <w:bidi w:val="0"/>
                    <w:rPr>
                      <w:rFonts w:hint="default"/>
                      <w:color w:val="auto"/>
                      <w:lang w:val="en-US" w:eastAsia="zh-CN"/>
                    </w:rPr>
                  </w:pPr>
                  <w:r>
                    <w:rPr>
                      <w:rFonts w:hint="eastAsia"/>
                      <w:color w:val="auto"/>
                      <w:lang w:val="en-US" w:eastAsia="zh-CN"/>
                    </w:rPr>
                    <w:t>可行技术</w:t>
                  </w:r>
                </w:p>
              </w:tc>
              <w:tc>
                <w:tcPr>
                  <w:tcW w:w="915" w:type="pct"/>
                  <w:vAlign w:val="center"/>
                </w:tcPr>
                <w:p w14:paraId="2A694F8D">
                  <w:pPr>
                    <w:pStyle w:val="29"/>
                    <w:bidi w:val="0"/>
                    <w:rPr>
                      <w:rFonts w:hint="default"/>
                      <w:color w:val="auto"/>
                      <w:lang w:val="en-US" w:eastAsia="zh-CN"/>
                    </w:rPr>
                  </w:pPr>
                  <w:r>
                    <w:rPr>
                      <w:rFonts w:hint="eastAsia"/>
                      <w:color w:val="auto"/>
                      <w:lang w:val="en-US" w:eastAsia="zh-CN"/>
                    </w:rPr>
                    <w:t>本项目采用的技术</w:t>
                  </w:r>
                </w:p>
              </w:tc>
              <w:tc>
                <w:tcPr>
                  <w:tcW w:w="513" w:type="pct"/>
                  <w:vAlign w:val="center"/>
                </w:tcPr>
                <w:p w14:paraId="0185B29B">
                  <w:pPr>
                    <w:pStyle w:val="29"/>
                    <w:bidi w:val="0"/>
                    <w:rPr>
                      <w:rFonts w:hint="default"/>
                      <w:color w:val="auto"/>
                      <w:lang w:val="en-US" w:eastAsia="zh-CN"/>
                    </w:rPr>
                  </w:pPr>
                  <w:r>
                    <w:rPr>
                      <w:rFonts w:hint="eastAsia"/>
                      <w:color w:val="auto"/>
                      <w:lang w:val="en-US" w:eastAsia="zh-CN"/>
                    </w:rPr>
                    <w:t>是否是可行技术</w:t>
                  </w:r>
                </w:p>
              </w:tc>
            </w:tr>
            <w:tr w14:paraId="4BC0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pct"/>
                  <w:vAlign w:val="center"/>
                </w:tcPr>
                <w:p w14:paraId="06D17830">
                  <w:pPr>
                    <w:pStyle w:val="29"/>
                    <w:bidi w:val="0"/>
                    <w:rPr>
                      <w:rFonts w:hint="eastAsia"/>
                      <w:color w:val="auto"/>
                      <w:lang w:eastAsia="zh-CN"/>
                    </w:rPr>
                  </w:pPr>
                  <w:r>
                    <w:rPr>
                      <w:rFonts w:hint="eastAsia"/>
                      <w:color w:val="auto"/>
                      <w:lang w:val="en-US" w:eastAsia="zh-CN"/>
                    </w:rPr>
                    <w:t>厂内综合污水处理站的综合污水（生产废水、生活污水）</w:t>
                  </w:r>
                </w:p>
              </w:tc>
              <w:tc>
                <w:tcPr>
                  <w:tcW w:w="713" w:type="pct"/>
                  <w:vAlign w:val="center"/>
                </w:tcPr>
                <w:p w14:paraId="70DAB794">
                  <w:pPr>
                    <w:pStyle w:val="29"/>
                    <w:bidi w:val="0"/>
                    <w:rPr>
                      <w:rFonts w:hint="eastAsia"/>
                      <w:color w:val="auto"/>
                      <w:lang w:eastAsia="zh-CN"/>
                    </w:rPr>
                  </w:pPr>
                  <w:r>
                    <w:rPr>
                      <w:rFonts w:hint="eastAsia"/>
                      <w:color w:val="auto"/>
                      <w:lang w:val="en-US" w:eastAsia="zh-CN"/>
                    </w:rPr>
                    <w:t>pH值、悬浮物、化学需氧量、五日生化需氧量、氨氮、总氮、总磷、色度</w:t>
                  </w:r>
                </w:p>
              </w:tc>
              <w:tc>
                <w:tcPr>
                  <w:tcW w:w="425" w:type="pct"/>
                  <w:vAlign w:val="center"/>
                </w:tcPr>
                <w:p w14:paraId="62F8695B">
                  <w:pPr>
                    <w:pStyle w:val="29"/>
                    <w:bidi w:val="0"/>
                    <w:rPr>
                      <w:rFonts w:hint="default"/>
                      <w:color w:val="auto"/>
                      <w:lang w:val="en-US" w:eastAsia="zh-CN"/>
                    </w:rPr>
                  </w:pPr>
                  <w:r>
                    <w:rPr>
                      <w:rFonts w:hint="eastAsia"/>
                      <w:color w:val="auto"/>
                      <w:lang w:val="en-US" w:eastAsia="zh-CN"/>
                    </w:rPr>
                    <w:t>间接排放</w:t>
                  </w:r>
                </w:p>
              </w:tc>
              <w:tc>
                <w:tcPr>
                  <w:tcW w:w="651" w:type="pct"/>
                  <w:vAlign w:val="center"/>
                </w:tcPr>
                <w:p w14:paraId="363F7477">
                  <w:pPr>
                    <w:pStyle w:val="29"/>
                    <w:bidi w:val="0"/>
                    <w:rPr>
                      <w:rFonts w:hint="eastAsia"/>
                      <w:color w:val="auto"/>
                      <w:lang w:eastAsia="zh-CN"/>
                    </w:rPr>
                  </w:pPr>
                  <w:r>
                    <w:rPr>
                      <w:rFonts w:hint="eastAsia"/>
                      <w:color w:val="auto"/>
                      <w:lang w:val="en-US" w:eastAsia="zh-CN"/>
                    </w:rPr>
                    <w:t>排污单位废水总排口</w:t>
                  </w:r>
                </w:p>
                <w:p w14:paraId="51068BEE">
                  <w:pPr>
                    <w:pStyle w:val="29"/>
                    <w:bidi w:val="0"/>
                    <w:rPr>
                      <w:rFonts w:hint="eastAsia"/>
                      <w:color w:val="auto"/>
                      <w:lang w:eastAsia="zh-CN"/>
                    </w:rPr>
                  </w:pPr>
                </w:p>
              </w:tc>
              <w:tc>
                <w:tcPr>
                  <w:tcW w:w="1067" w:type="pct"/>
                  <w:vAlign w:val="center"/>
                </w:tcPr>
                <w:p w14:paraId="28A72ECA">
                  <w:pPr>
                    <w:pStyle w:val="29"/>
                    <w:bidi w:val="0"/>
                    <w:rPr>
                      <w:rFonts w:hint="eastAsia"/>
                      <w:color w:val="auto"/>
                      <w:lang w:eastAsia="zh-CN"/>
                    </w:rPr>
                  </w:pPr>
                  <w:r>
                    <w:rPr>
                      <w:rFonts w:hint="eastAsia"/>
                      <w:color w:val="auto"/>
                      <w:lang w:val="en-US" w:eastAsia="zh-CN"/>
                    </w:rPr>
                    <w:t>预处理：除油、沉淀、过滤二级处理：好氧、水解酸化-好氧、厌氧-好氧、兼性-好氧、氧化沟、生物转盘</w:t>
                  </w:r>
                </w:p>
              </w:tc>
              <w:tc>
                <w:tcPr>
                  <w:tcW w:w="915" w:type="pct"/>
                  <w:vAlign w:val="center"/>
                </w:tcPr>
                <w:p w14:paraId="78789FDD">
                  <w:pPr>
                    <w:pStyle w:val="29"/>
                    <w:bidi w:val="0"/>
                    <w:rPr>
                      <w:rFonts w:hint="eastAsia"/>
                      <w:color w:val="auto"/>
                      <w:lang w:eastAsia="zh-CN"/>
                    </w:rPr>
                  </w:pPr>
                  <w:r>
                    <w:rPr>
                      <w:rFonts w:hint="eastAsia"/>
                      <w:color w:val="auto"/>
                      <w:lang w:val="en-US" w:eastAsia="zh-CN"/>
                    </w:rPr>
                    <w:t>格栅渠+调节池+水解酸化池+接触氧化池+沉淀池+清水池</w:t>
                  </w:r>
                </w:p>
              </w:tc>
              <w:tc>
                <w:tcPr>
                  <w:tcW w:w="513" w:type="pct"/>
                  <w:vAlign w:val="center"/>
                </w:tcPr>
                <w:p w14:paraId="747FE32F">
                  <w:pPr>
                    <w:pStyle w:val="29"/>
                    <w:bidi w:val="0"/>
                    <w:rPr>
                      <w:rFonts w:hint="default"/>
                      <w:color w:val="auto"/>
                      <w:lang w:val="en-US" w:eastAsia="zh-CN"/>
                    </w:rPr>
                  </w:pPr>
                  <w:r>
                    <w:rPr>
                      <w:rFonts w:hint="eastAsia"/>
                      <w:color w:val="auto"/>
                      <w:lang w:val="en-US" w:eastAsia="zh-CN"/>
                    </w:rPr>
                    <w:t>是</w:t>
                  </w:r>
                </w:p>
              </w:tc>
            </w:tr>
          </w:tbl>
          <w:p w14:paraId="16AFE435">
            <w:pPr>
              <w:bidi w:val="0"/>
              <w:rPr>
                <w:rFonts w:hint="eastAsia" w:cs="Times New Roman"/>
                <w:b w:val="0"/>
                <w:bCs/>
                <w:color w:val="auto"/>
                <w:szCs w:val="24"/>
                <w:lang w:val="en-US" w:eastAsia="zh-CN"/>
              </w:rPr>
            </w:pPr>
            <w:r>
              <w:rPr>
                <w:rFonts w:hint="eastAsia" w:cs="Times New Roman"/>
                <w:b w:val="0"/>
                <w:bCs/>
                <w:color w:val="auto"/>
                <w:szCs w:val="24"/>
                <w:lang w:val="en-US" w:eastAsia="zh-CN"/>
              </w:rPr>
              <w:t>根据上表分析，本项目采用的“格栅渠+调节池+水解酸化池+接触氧化池+沉淀池+清水池”工艺，为《排污许可证申请与核发技术规范酒、饮料制造工业》（HJ1028-2019）中推荐的可行技术，污水处理工艺可行。</w:t>
            </w:r>
          </w:p>
          <w:p w14:paraId="5B930B23">
            <w:pPr>
              <w:bidi w:val="0"/>
              <w:rPr>
                <w:rFonts w:hint="eastAsia" w:cs="Times New Roman"/>
                <w:b/>
                <w:bCs w:val="0"/>
                <w:color w:val="auto"/>
                <w:szCs w:val="24"/>
                <w:lang w:eastAsia="zh-CN"/>
              </w:rPr>
            </w:pPr>
            <w:r>
              <w:rPr>
                <w:rFonts w:hint="eastAsia" w:cs="Times New Roman"/>
                <w:b/>
                <w:bCs w:val="0"/>
                <w:color w:val="auto"/>
                <w:szCs w:val="24"/>
                <w:lang w:eastAsia="zh-CN"/>
              </w:rPr>
              <w:t>（</w:t>
            </w:r>
            <w:r>
              <w:rPr>
                <w:rFonts w:hint="eastAsia" w:cs="Times New Roman"/>
                <w:b/>
                <w:bCs w:val="0"/>
                <w:color w:val="auto"/>
                <w:szCs w:val="24"/>
                <w:lang w:val="en-US" w:eastAsia="zh-CN"/>
              </w:rPr>
              <w:t>5</w:t>
            </w:r>
            <w:r>
              <w:rPr>
                <w:rFonts w:hint="eastAsia" w:cs="Times New Roman"/>
                <w:b/>
                <w:bCs w:val="0"/>
                <w:color w:val="auto"/>
                <w:szCs w:val="24"/>
                <w:lang w:eastAsia="zh-CN"/>
              </w:rPr>
              <w:t>）</w:t>
            </w:r>
            <w:r>
              <w:rPr>
                <w:rFonts w:hint="eastAsia" w:cs="Times New Roman"/>
                <w:b/>
                <w:bCs w:val="0"/>
                <w:color w:val="auto"/>
                <w:szCs w:val="24"/>
                <w:lang w:val="en-US" w:eastAsia="zh-CN"/>
              </w:rPr>
              <w:t>项目废水排入</w:t>
            </w:r>
            <w:r>
              <w:rPr>
                <w:rFonts w:hint="eastAsia" w:cs="Times New Roman"/>
                <w:b/>
                <w:bCs w:val="0"/>
                <w:color w:val="auto"/>
                <w:szCs w:val="24"/>
                <w:lang w:eastAsia="zh-CN"/>
              </w:rPr>
              <w:t>玉溪市</w:t>
            </w:r>
            <w:r>
              <w:rPr>
                <w:rFonts w:hint="eastAsia" w:cs="Times New Roman"/>
                <w:b/>
                <w:bCs w:val="0"/>
                <w:color w:val="auto"/>
                <w:szCs w:val="24"/>
                <w:lang w:val="en-US" w:eastAsia="zh-CN"/>
              </w:rPr>
              <w:t>第一、</w:t>
            </w:r>
            <w:r>
              <w:rPr>
                <w:rFonts w:hint="eastAsia" w:cs="Times New Roman"/>
                <w:b/>
                <w:bCs w:val="0"/>
                <w:color w:val="auto"/>
                <w:szCs w:val="24"/>
                <w:lang w:eastAsia="zh-CN"/>
              </w:rPr>
              <w:t>第</w:t>
            </w:r>
            <w:r>
              <w:rPr>
                <w:rFonts w:hint="eastAsia" w:cs="Times New Roman"/>
                <w:b/>
                <w:bCs w:val="0"/>
                <w:color w:val="auto"/>
                <w:szCs w:val="24"/>
                <w:lang w:val="en-US" w:eastAsia="zh-CN"/>
              </w:rPr>
              <w:t>三</w:t>
            </w:r>
            <w:r>
              <w:rPr>
                <w:rFonts w:hint="eastAsia" w:cs="Times New Roman"/>
                <w:b/>
                <w:bCs w:val="0"/>
                <w:color w:val="auto"/>
                <w:szCs w:val="24"/>
                <w:lang w:eastAsia="zh-CN"/>
              </w:rPr>
              <w:t>污水处理厂的可行性分析</w:t>
            </w:r>
          </w:p>
          <w:p w14:paraId="046FF00C">
            <w:pPr>
              <w:ind w:firstLine="480"/>
              <w:rPr>
                <w:rFonts w:hint="default"/>
                <w:b w:val="0"/>
                <w:bCs w:val="0"/>
                <w:color w:val="auto"/>
                <w:lang w:val="en-US" w:eastAsia="zh-CN"/>
              </w:rPr>
            </w:pPr>
            <w:r>
              <w:rPr>
                <w:rFonts w:hint="eastAsia"/>
                <w:b w:val="0"/>
                <w:bCs w:val="0"/>
                <w:color w:val="auto"/>
                <w:lang w:val="en-US" w:eastAsia="zh-CN"/>
              </w:rPr>
              <w:t>1）园区污水处理情况</w:t>
            </w:r>
          </w:p>
          <w:p w14:paraId="650E2BEB">
            <w:pPr>
              <w:ind w:firstLine="480"/>
              <w:rPr>
                <w:rFonts w:hint="eastAsia"/>
                <w:b w:val="0"/>
                <w:bCs w:val="0"/>
                <w:color w:val="auto"/>
                <w:lang w:val="en-US" w:eastAsia="zh-CN"/>
              </w:rPr>
            </w:pPr>
            <w:r>
              <w:rPr>
                <w:rFonts w:hint="eastAsia"/>
                <w:b w:val="0"/>
                <w:bCs w:val="0"/>
                <w:color w:val="auto"/>
                <w:lang w:val="en-US" w:eastAsia="zh-CN"/>
              </w:rPr>
              <w:t>园区污水处理情况根据《玉溪高新技术产业开发区总体规划修编(2021~2035年)》《玉溪高新技术产业开发区总体规划修编(2021~2035年)环境影响报告书》，玉溪高新技术产业开发区采用雨污分流排水体制，红塔片区、核心区现状设置有玉溪市第:一污水处理厂，建设第三污水处理厂，用于收集处置南片区、九龙片区、大营街地块、观音山地块、莲池地块等区域现状污水，第三污水处理厂近期处理规模5万m</w:t>
            </w:r>
            <w:r>
              <w:rPr>
                <w:rFonts w:hint="eastAsia"/>
                <w:b w:val="0"/>
                <w:bCs w:val="0"/>
                <w:color w:val="auto"/>
                <w:vertAlign w:val="superscript"/>
                <w:lang w:val="en-US" w:eastAsia="zh-CN"/>
              </w:rPr>
              <w:t>3</w:t>
            </w:r>
            <w:r>
              <w:rPr>
                <w:rFonts w:hint="eastAsia"/>
                <w:b w:val="0"/>
                <w:bCs w:val="0"/>
                <w:color w:val="auto"/>
                <w:lang w:val="en-US" w:eastAsia="zh-CN"/>
              </w:rPr>
              <w:t>/d，远期15万m</w:t>
            </w:r>
            <w:r>
              <w:rPr>
                <w:rFonts w:hint="eastAsia"/>
                <w:b w:val="0"/>
                <w:bCs w:val="0"/>
                <w:color w:val="auto"/>
                <w:vertAlign w:val="superscript"/>
                <w:lang w:val="en-US" w:eastAsia="zh-CN"/>
              </w:rPr>
              <w:t>3</w:t>
            </w:r>
            <w:r>
              <w:rPr>
                <w:rFonts w:hint="eastAsia"/>
                <w:b w:val="0"/>
                <w:bCs w:val="0"/>
                <w:color w:val="auto"/>
                <w:lang w:val="en-US" w:eastAsia="zh-CN"/>
              </w:rPr>
              <w:t>/d。2021年8月玉溪市第三污水处理厂及配套管网项目收集管网部分先期开工，并于2022年12月启动厂区主体工程建设，于2023年7月份已开始试运行。</w:t>
            </w:r>
          </w:p>
          <w:p w14:paraId="3F117C54">
            <w:pPr>
              <w:ind w:firstLine="480"/>
              <w:rPr>
                <w:rFonts w:hint="eastAsia"/>
                <w:b w:val="0"/>
                <w:bCs w:val="0"/>
                <w:color w:val="auto"/>
                <w:lang w:val="en-US" w:eastAsia="zh-CN"/>
              </w:rPr>
            </w:pPr>
            <w:r>
              <w:rPr>
                <w:rFonts w:hint="eastAsia"/>
                <w:b w:val="0"/>
                <w:bCs w:val="0"/>
                <w:color w:val="auto"/>
                <w:lang w:val="en-US" w:eastAsia="zh-CN"/>
              </w:rPr>
              <w:t>目前红塔片区、核心区内企业排水主要通过自行处理后回用或排入第一污水处理厂和第三污水处理厂处置。</w:t>
            </w:r>
          </w:p>
          <w:p w14:paraId="4C7B76C8">
            <w:pPr>
              <w:ind w:firstLine="480"/>
              <w:rPr>
                <w:rFonts w:hint="eastAsia"/>
                <w:b w:val="0"/>
                <w:bCs w:val="0"/>
                <w:color w:val="auto"/>
                <w:lang w:val="en-US" w:eastAsia="zh-CN"/>
              </w:rPr>
            </w:pPr>
            <w:r>
              <w:rPr>
                <w:rFonts w:hint="eastAsia"/>
                <w:b w:val="0"/>
                <w:bCs w:val="0"/>
                <w:color w:val="auto"/>
                <w:lang w:val="en-US" w:eastAsia="zh-CN"/>
              </w:rPr>
              <w:t>2）玉溪市第一污水处理厂概况</w:t>
            </w:r>
          </w:p>
          <w:p w14:paraId="6ADF12C4">
            <w:pPr>
              <w:ind w:firstLine="480"/>
              <w:rPr>
                <w:rFonts w:hint="eastAsia"/>
                <w:b w:val="0"/>
                <w:bCs w:val="0"/>
                <w:color w:val="auto"/>
                <w:lang w:val="en-US" w:eastAsia="zh-CN"/>
              </w:rPr>
            </w:pPr>
            <w:r>
              <w:rPr>
                <w:rFonts w:hint="eastAsia"/>
                <w:b/>
                <w:bCs/>
                <w:color w:val="auto"/>
                <w:lang w:val="en-US" w:eastAsia="zh-CN"/>
              </w:rPr>
              <w:t>处理规模:</w:t>
            </w:r>
            <w:r>
              <w:rPr>
                <w:rFonts w:hint="eastAsia"/>
                <w:b w:val="0"/>
                <w:bCs w:val="0"/>
                <w:color w:val="auto"/>
                <w:lang w:val="en-US" w:eastAsia="zh-CN"/>
              </w:rPr>
              <w:t>玉溪市第一污水处理厂位于红塔区大营街镇唐旗小区，占地面积为148亩，污水处理厂处理规模为</w:t>
            </w:r>
            <w:r>
              <w:rPr>
                <w:rFonts w:hint="default" w:ascii="Times New Roman" w:hAnsi="Times New Roman" w:cs="Times New Roman"/>
                <w:b w:val="0"/>
                <w:bCs w:val="0"/>
                <w:color w:val="auto"/>
                <w:lang w:val="en-US" w:eastAsia="zh-CN"/>
              </w:rPr>
              <w:t>10×10m</w:t>
            </w:r>
            <w:r>
              <w:rPr>
                <w:rFonts w:hint="default" w:ascii="Times New Roman" w:hAnsi="Times New Roman" w:cs="Times New Roman"/>
                <w:b w:val="0"/>
                <w:bCs w:val="0"/>
                <w:color w:val="auto"/>
                <w:vertAlign w:val="superscript"/>
                <w:lang w:val="en-US" w:eastAsia="zh-CN"/>
              </w:rPr>
              <w:t>3</w:t>
            </w:r>
            <w:r>
              <w:rPr>
                <w:rFonts w:hint="default" w:ascii="Times New Roman" w:hAnsi="Times New Roman" w:cs="Times New Roman"/>
                <w:b w:val="0"/>
                <w:bCs w:val="0"/>
                <w:color w:val="auto"/>
                <w:lang w:val="en-US" w:eastAsia="zh-CN"/>
              </w:rPr>
              <w:t>/d，</w:t>
            </w:r>
            <w:r>
              <w:rPr>
                <w:rFonts w:hint="eastAsia"/>
                <w:b w:val="0"/>
                <w:bCs w:val="0"/>
                <w:color w:val="auto"/>
                <w:lang w:val="en-US" w:eastAsia="zh-CN"/>
              </w:rPr>
              <w:t>建成规模</w:t>
            </w:r>
            <w:r>
              <w:rPr>
                <w:rFonts w:hint="default" w:ascii="Times New Roman" w:hAnsi="Times New Roman" w:eastAsia="宋体" w:cs="Times New Roman"/>
                <w:b w:val="0"/>
                <w:bCs w:val="0"/>
                <w:color w:val="auto"/>
                <w:lang w:val="en-US" w:eastAsia="zh-CN"/>
              </w:rPr>
              <w:t>10×10</w:t>
            </w:r>
            <w:r>
              <w:rPr>
                <w:rFonts w:hint="default" w:ascii="Times New Roman" w:hAnsi="Times New Roman" w:eastAsia="宋体" w:cs="Times New Roman"/>
                <w:b w:val="0"/>
                <w:bCs w:val="0"/>
                <w:color w:val="auto"/>
                <w:vertAlign w:val="superscript"/>
                <w:lang w:val="en-US" w:eastAsia="zh-CN"/>
              </w:rPr>
              <w:t>4</w:t>
            </w:r>
            <w:r>
              <w:rPr>
                <w:rFonts w:hint="eastAsia" w:ascii="Times New Roman" w:hAnsi="Times New Roman" w:eastAsia="宋体" w:cs="Times New Roman"/>
                <w:b w:val="0"/>
                <w:bCs w:val="0"/>
                <w:color w:val="auto"/>
                <w:lang w:val="en-US" w:eastAsia="zh-CN"/>
              </w:rPr>
              <w:t>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/d，根据《玉溪高新技术产业开发区总体规划修编(2021~2035年)环境影响报告书》调查，玉溪市第一污水处理厂近期实际处理负量为8</w:t>
            </w:r>
            <w:r>
              <w:rPr>
                <w:rFonts w:hint="default" w:ascii="Times New Roman" w:hAnsi="Times New Roman" w:eastAsia="宋体" w:cs="Times New Roman"/>
                <w:b w:val="0"/>
                <w:bCs w:val="0"/>
                <w:color w:val="auto"/>
                <w:lang w:val="en-US" w:eastAsia="zh-CN"/>
              </w:rPr>
              <w:t>×</w:t>
            </w:r>
            <w:r>
              <w:rPr>
                <w:rFonts w:hint="eastAsia" w:ascii="Times New Roman" w:hAnsi="Times New Roman" w:eastAsia="宋体" w:cs="Times New Roman"/>
                <w:b w:val="0"/>
                <w:bCs w:val="0"/>
                <w:color w:val="auto"/>
                <w:lang w:val="en-US" w:eastAsia="zh-CN"/>
              </w:rPr>
              <w:t>10</w:t>
            </w:r>
            <w:r>
              <w:rPr>
                <w:rFonts w:hint="eastAsia" w:ascii="Times New Roman" w:hAnsi="Times New Roman" w:eastAsia="宋体" w:cs="Times New Roman"/>
                <w:b w:val="0"/>
                <w:bCs w:val="0"/>
                <w:color w:val="auto"/>
                <w:vertAlign w:val="superscript"/>
                <w:lang w:val="en-US" w:eastAsia="zh-CN"/>
              </w:rPr>
              <w:t>4</w:t>
            </w:r>
            <w:r>
              <w:rPr>
                <w:rFonts w:hint="eastAsia" w:ascii="Times New Roman" w:hAnsi="Times New Roman" w:eastAsia="宋体" w:cs="Times New Roman"/>
                <w:b w:val="0"/>
                <w:bCs w:val="0"/>
                <w:color w:val="auto"/>
                <w:lang w:val="en-US" w:eastAsia="zh-CN"/>
              </w:rPr>
              <w:t>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/a，运行负荷约80%，尚有部分余量。玉溪市第三污水处理厂位于玉溪市中心城区西南边大营街甸尾村，建设规模为近期5万m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/a，远期10万m</w:t>
            </w:r>
            <w:r>
              <w:rPr>
                <w:rFonts w:hint="eastAsia" w:ascii="Times New Roman" w:hAnsi="Times New Roman" w:eastAsia="宋体" w:cs="Times New Roman"/>
                <w:b w:val="0"/>
                <w:bCs w:val="0"/>
                <w:color w:val="auto"/>
                <w:vertAlign w:val="superscript"/>
                <w:lang w:val="en-US" w:eastAsia="zh-CN"/>
              </w:rPr>
              <w:t>3</w:t>
            </w:r>
            <w:r>
              <w:rPr>
                <w:rFonts w:hint="eastAsia" w:ascii="Times New Roman" w:hAnsi="Times New Roman" w:eastAsia="宋体" w:cs="Times New Roman"/>
                <w:b w:val="0"/>
                <w:bCs w:val="0"/>
                <w:color w:val="auto"/>
                <w:lang w:val="en-US" w:eastAsia="zh-CN"/>
              </w:rPr>
              <w:t>/a。目</w:t>
            </w:r>
            <w:r>
              <w:rPr>
                <w:rFonts w:hint="eastAsia"/>
                <w:b w:val="0"/>
                <w:bCs w:val="0"/>
                <w:color w:val="auto"/>
                <w:lang w:val="en-US" w:eastAsia="zh-CN"/>
              </w:rPr>
              <w:t>前已投入运行，与玉溪市第一污水处理厂联合调度运行，通过玉溪市第一污水处理厂调节池调度，可向第三污水处理厂分配污水进行处理。</w:t>
            </w:r>
          </w:p>
          <w:p w14:paraId="0CB971FA">
            <w:pPr>
              <w:bidi w:val="0"/>
              <w:rPr>
                <w:rFonts w:hint="default"/>
                <w:color w:val="auto"/>
                <w:lang w:val="en-US" w:eastAsia="zh-CN"/>
              </w:rPr>
            </w:pPr>
            <w:r>
              <w:rPr>
                <w:rFonts w:hint="eastAsia"/>
                <w:color w:val="auto"/>
                <w:lang w:val="en-US" w:eastAsia="zh-CN"/>
              </w:rPr>
              <w:t>处理工艺：玉溪市第一污水处理厂现状污水处理厂处理工艺为“A</w:t>
            </w:r>
            <w:r>
              <w:rPr>
                <w:rFonts w:hint="eastAsia"/>
                <w:color w:val="auto"/>
                <w:vertAlign w:val="superscript"/>
                <w:lang w:val="en-US" w:eastAsia="zh-CN"/>
              </w:rPr>
              <w:t>2</w:t>
            </w:r>
            <w:r>
              <w:rPr>
                <w:rFonts w:hint="eastAsia"/>
                <w:color w:val="auto"/>
                <w:lang w:val="en-US" w:eastAsia="zh-CN"/>
              </w:rPr>
              <w:t>0+孔室絮:凝斜管沉淀池+气水反冲洗滤池”工艺，处置后尾水标准为《污水处理厂污染物排放标准》(GB18918-2002)一级A标准。玉溪市第三污水处理厂现状污水处理厂处理工艺为“A</w:t>
            </w:r>
            <w:r>
              <w:rPr>
                <w:rFonts w:hint="eastAsia"/>
                <w:color w:val="auto"/>
                <w:vertAlign w:val="superscript"/>
                <w:lang w:val="en-US" w:eastAsia="zh-CN"/>
              </w:rPr>
              <w:t>2</w:t>
            </w:r>
            <w:r>
              <w:rPr>
                <w:rFonts w:hint="eastAsia"/>
                <w:color w:val="auto"/>
                <w:lang w:val="en-US" w:eastAsia="zh-CN"/>
              </w:rPr>
              <w:t>/0工艺+深度处理”工艺，处置后尾水标准为《污水处理厂污染物排放标准》(GB18918-2002)一级A标准。</w:t>
            </w:r>
          </w:p>
          <w:p w14:paraId="3FF18C66">
            <w:pPr>
              <w:ind w:firstLine="480"/>
              <w:rPr>
                <w:rFonts w:hint="default"/>
                <w:b w:val="0"/>
                <w:bCs w:val="0"/>
                <w:color w:val="auto"/>
                <w:lang w:val="en-US" w:eastAsia="zh-CN"/>
              </w:rPr>
            </w:pPr>
            <w:r>
              <w:rPr>
                <w:rFonts w:hint="eastAsia"/>
                <w:b w:val="0"/>
                <w:bCs w:val="0"/>
                <w:color w:val="auto"/>
                <w:lang w:val="en-US" w:eastAsia="zh-CN"/>
              </w:rPr>
              <w:t>服务范围：玉溪市第一污水处理厂服务范围为玉溪市中心城区，包括规划区内的核心区及红塔片区处理达到《污水排入城镇下水道水质标准》(GBT31962-2015)的生活污水和生产废水。</w:t>
            </w:r>
          </w:p>
          <w:p w14:paraId="7B8720AB">
            <w:pPr>
              <w:ind w:firstLine="480"/>
              <w:rPr>
                <w:rFonts w:hint="eastAsia"/>
                <w:b w:val="0"/>
                <w:bCs w:val="0"/>
                <w:color w:val="auto"/>
                <w:lang w:val="en-US" w:eastAsia="zh-CN"/>
              </w:rPr>
            </w:pPr>
            <w:r>
              <w:rPr>
                <w:rFonts w:hint="eastAsia"/>
                <w:b w:val="0"/>
                <w:bCs w:val="0"/>
                <w:color w:val="auto"/>
                <w:lang w:val="en-US" w:eastAsia="zh-CN"/>
              </w:rPr>
              <w:t>3）玉溪市第三污水处理厂概况</w:t>
            </w:r>
          </w:p>
          <w:p w14:paraId="6788A20F">
            <w:pPr>
              <w:ind w:firstLine="480"/>
              <w:rPr>
                <w:rFonts w:hint="eastAsia"/>
                <w:b w:val="0"/>
                <w:bCs w:val="0"/>
                <w:color w:val="auto"/>
                <w:lang w:val="en-US" w:eastAsia="zh-CN"/>
              </w:rPr>
            </w:pPr>
            <w:r>
              <w:rPr>
                <w:rFonts w:hint="eastAsia"/>
                <w:b w:val="0"/>
                <w:bCs w:val="0"/>
                <w:color w:val="auto"/>
                <w:lang w:val="en-US" w:eastAsia="zh-CN"/>
              </w:rPr>
              <w:t>根据《玉溪高新技术产业开发区总体规划修编（2021-2035）》《玉溪高新技术产业开发区总体规划修编（2021-2035）环境影响报告书》，玉溪高新技术产业开发区采用雨污分流体制，2021年8月玉溪市第三污水处理厂及配套管网项目收集管网部分先开工，并于2022年12月启动厂区主体工程建设，该厂于2023年3月底正式完工并进行进水调试，7月进行试运行阶段。第三污水处理厂近期处理规模5万m</w:t>
            </w:r>
            <w:r>
              <w:rPr>
                <w:rFonts w:hint="eastAsia"/>
                <w:b w:val="0"/>
                <w:bCs w:val="0"/>
                <w:color w:val="auto"/>
                <w:vertAlign w:val="superscript"/>
                <w:lang w:val="en-US" w:eastAsia="zh-CN"/>
              </w:rPr>
              <w:t>3</w:t>
            </w:r>
            <w:r>
              <w:rPr>
                <w:rFonts w:hint="eastAsia"/>
                <w:b w:val="0"/>
                <w:bCs w:val="0"/>
                <w:color w:val="auto"/>
                <w:lang w:val="en-US" w:eastAsia="zh-CN"/>
              </w:rPr>
              <w:t>/d，远期15万m</w:t>
            </w:r>
            <w:r>
              <w:rPr>
                <w:rFonts w:hint="eastAsia"/>
                <w:b w:val="0"/>
                <w:bCs w:val="0"/>
                <w:color w:val="auto"/>
                <w:vertAlign w:val="superscript"/>
                <w:lang w:val="en-US" w:eastAsia="zh-CN"/>
              </w:rPr>
              <w:t>3</w:t>
            </w:r>
            <w:r>
              <w:rPr>
                <w:rFonts w:hint="eastAsia"/>
                <w:b w:val="0"/>
                <w:bCs w:val="0"/>
                <w:color w:val="auto"/>
                <w:lang w:val="en-US" w:eastAsia="zh-CN"/>
              </w:rPr>
              <w:t>/d。</w:t>
            </w:r>
          </w:p>
          <w:p w14:paraId="0B21540D">
            <w:pPr>
              <w:ind w:firstLine="480"/>
              <w:rPr>
                <w:rFonts w:hint="eastAsia"/>
                <w:b w:val="0"/>
                <w:bCs w:val="0"/>
                <w:color w:val="auto"/>
                <w:lang w:val="en-US" w:eastAsia="zh-CN"/>
              </w:rPr>
            </w:pPr>
            <w:r>
              <w:rPr>
                <w:rFonts w:hint="eastAsia"/>
                <w:b w:val="0"/>
                <w:bCs w:val="0"/>
                <w:color w:val="auto"/>
                <w:lang w:val="en-US" w:eastAsia="zh-CN"/>
              </w:rPr>
              <w:t>处理工艺：玉溪市第三污水处理厂处理工艺为“A</w:t>
            </w:r>
            <w:r>
              <w:rPr>
                <w:rFonts w:hint="eastAsia"/>
                <w:b w:val="0"/>
                <w:bCs w:val="0"/>
                <w:color w:val="auto"/>
                <w:vertAlign w:val="superscript"/>
                <w:lang w:val="en-US" w:eastAsia="zh-CN"/>
              </w:rPr>
              <w:t>2</w:t>
            </w:r>
            <w:r>
              <w:rPr>
                <w:rFonts w:hint="eastAsia"/>
                <w:b w:val="0"/>
                <w:bCs w:val="0"/>
                <w:color w:val="auto"/>
                <w:lang w:val="en-US" w:eastAsia="zh-CN"/>
              </w:rPr>
              <w:t>/O工艺+深度处理”工艺，处置后尾水标准为《污水处理厂污染物排放标准》（GB18918-2002）一级A标准。</w:t>
            </w:r>
          </w:p>
          <w:p w14:paraId="2FA3C7D2">
            <w:pPr>
              <w:ind w:firstLine="480"/>
              <w:rPr>
                <w:rFonts w:hint="default"/>
                <w:b w:val="0"/>
                <w:bCs w:val="0"/>
                <w:color w:val="auto"/>
                <w:lang w:val="en-US" w:eastAsia="zh-CN"/>
              </w:rPr>
            </w:pPr>
            <w:r>
              <w:rPr>
                <w:rFonts w:hint="eastAsia"/>
                <w:b w:val="0"/>
                <w:bCs w:val="0"/>
                <w:color w:val="auto"/>
                <w:lang w:val="en-US" w:eastAsia="zh-CN"/>
              </w:rPr>
              <w:t>服务范围：玉溪市第三污水处理厂服务范围为春和片区、大营街片区、北城片区和生态文化片区。</w:t>
            </w:r>
          </w:p>
          <w:p w14:paraId="437FD320">
            <w:pPr>
              <w:ind w:firstLine="480"/>
              <w:rPr>
                <w:rFonts w:hint="eastAsia"/>
                <w:b w:val="0"/>
                <w:bCs w:val="0"/>
                <w:color w:val="auto"/>
                <w:lang w:val="en-US" w:eastAsia="zh-CN"/>
              </w:rPr>
            </w:pPr>
            <w:r>
              <w:rPr>
                <w:rFonts w:hint="eastAsia"/>
                <w:b w:val="0"/>
                <w:bCs w:val="0"/>
                <w:color w:val="auto"/>
                <w:lang w:val="en-US" w:eastAsia="zh-CN"/>
              </w:rPr>
              <w:t>4）管网设置情况</w:t>
            </w:r>
          </w:p>
          <w:p w14:paraId="7A351919">
            <w:pPr>
              <w:ind w:firstLine="480"/>
              <w:rPr>
                <w:rFonts w:hint="eastAsia"/>
                <w:b w:val="0"/>
                <w:bCs w:val="0"/>
                <w:color w:val="auto"/>
                <w:lang w:val="en-US" w:eastAsia="zh-CN"/>
              </w:rPr>
            </w:pPr>
            <w:r>
              <w:rPr>
                <w:rFonts w:hint="eastAsia"/>
                <w:b w:val="0"/>
                <w:bCs w:val="0"/>
                <w:color w:val="auto"/>
                <w:lang w:val="en-US" w:eastAsia="zh-CN"/>
              </w:rPr>
              <w:t>中心城区管网按照雨污分流进行布设，主要沿道路及河流进行布设，污水管网总长度为298.67公里，基本覆盖中心城区。</w:t>
            </w:r>
          </w:p>
          <w:p w14:paraId="7FC3D566">
            <w:pPr>
              <w:ind w:firstLine="480"/>
              <w:rPr>
                <w:rFonts w:hint="default"/>
                <w:b w:val="0"/>
                <w:bCs w:val="0"/>
                <w:color w:val="auto"/>
                <w:lang w:val="en-US" w:eastAsia="zh-CN"/>
              </w:rPr>
            </w:pPr>
            <w:r>
              <w:rPr>
                <w:rFonts w:hint="eastAsia"/>
                <w:b w:val="0"/>
                <w:bCs w:val="0"/>
                <w:color w:val="auto"/>
                <w:lang w:val="en-US" w:eastAsia="zh-CN"/>
              </w:rPr>
              <w:t>5）水量可行性</w:t>
            </w:r>
          </w:p>
          <w:p w14:paraId="4C150278">
            <w:pPr>
              <w:ind w:firstLine="480"/>
              <w:rPr>
                <w:rFonts w:hint="eastAsia"/>
                <w:b w:val="0"/>
                <w:bCs w:val="0"/>
                <w:color w:val="auto"/>
                <w:lang w:val="en-US" w:eastAsia="zh-CN"/>
              </w:rPr>
            </w:pPr>
            <w:r>
              <w:rPr>
                <w:rFonts w:hint="eastAsia"/>
                <w:b w:val="0"/>
                <w:bCs w:val="0"/>
                <w:color w:val="auto"/>
                <w:lang w:val="en-US" w:eastAsia="zh-CN"/>
              </w:rPr>
              <w:t>本项目最大排水量（生产废水12.6824m</w:t>
            </w:r>
            <w:r>
              <w:rPr>
                <w:rFonts w:hint="eastAsia"/>
                <w:b w:val="0"/>
                <w:bCs w:val="0"/>
                <w:color w:val="auto"/>
                <w:vertAlign w:val="superscript"/>
                <w:lang w:val="en-US" w:eastAsia="zh-CN"/>
              </w:rPr>
              <w:t>3</w:t>
            </w:r>
            <w:r>
              <w:rPr>
                <w:rFonts w:hint="eastAsia"/>
                <w:b w:val="0"/>
                <w:bCs w:val="0"/>
                <w:color w:val="auto"/>
                <w:lang w:val="en-US" w:eastAsia="zh-CN"/>
              </w:rPr>
              <w:t>/d+生活污水0.4m</w:t>
            </w:r>
            <w:r>
              <w:rPr>
                <w:rFonts w:hint="eastAsia"/>
                <w:b w:val="0"/>
                <w:bCs w:val="0"/>
                <w:color w:val="auto"/>
                <w:vertAlign w:val="superscript"/>
                <w:lang w:val="en-US" w:eastAsia="zh-CN"/>
              </w:rPr>
              <w:t>3</w:t>
            </w:r>
            <w:r>
              <w:rPr>
                <w:rFonts w:hint="eastAsia"/>
                <w:b w:val="0"/>
                <w:bCs w:val="0"/>
                <w:color w:val="auto"/>
                <w:lang w:val="en-US" w:eastAsia="zh-CN"/>
              </w:rPr>
              <w:t>/d）共计13.0824m</w:t>
            </w:r>
            <w:r>
              <w:rPr>
                <w:rFonts w:hint="eastAsia"/>
                <w:b w:val="0"/>
                <w:bCs w:val="0"/>
                <w:color w:val="auto"/>
                <w:vertAlign w:val="superscript"/>
                <w:lang w:val="en-US" w:eastAsia="zh-CN"/>
              </w:rPr>
              <w:t>3</w:t>
            </w:r>
            <w:r>
              <w:rPr>
                <w:rFonts w:hint="eastAsia"/>
                <w:b w:val="0"/>
                <w:bCs w:val="0"/>
                <w:color w:val="auto"/>
                <w:lang w:val="en-US" w:eastAsia="zh-CN"/>
              </w:rPr>
              <w:t>/d。鉴于本项目废水排放量较小，且玉溪市第三污水处理厂近期已建设完成，玉溪市第一污水处理厂污水总处理规模为8×10</w:t>
            </w:r>
            <w:r>
              <w:rPr>
                <w:rFonts w:hint="eastAsia"/>
                <w:b w:val="0"/>
                <w:bCs w:val="0"/>
                <w:color w:val="auto"/>
                <w:vertAlign w:val="superscript"/>
                <w:lang w:val="en-US" w:eastAsia="zh-CN"/>
              </w:rPr>
              <w:t>4</w:t>
            </w:r>
            <w:r>
              <w:rPr>
                <w:rFonts w:hint="eastAsia"/>
                <w:b w:val="0"/>
                <w:bCs w:val="0"/>
                <w:color w:val="auto"/>
                <w:lang w:val="en-US" w:eastAsia="zh-CN"/>
              </w:rPr>
              <w:t>m</w:t>
            </w:r>
            <w:r>
              <w:rPr>
                <w:rFonts w:hint="eastAsia"/>
                <w:b w:val="0"/>
                <w:bCs w:val="0"/>
                <w:color w:val="auto"/>
                <w:vertAlign w:val="superscript"/>
                <w:lang w:val="en-US" w:eastAsia="zh-CN"/>
              </w:rPr>
              <w:t>3</w:t>
            </w:r>
            <w:r>
              <w:rPr>
                <w:rFonts w:hint="eastAsia"/>
                <w:b w:val="0"/>
                <w:bCs w:val="0"/>
                <w:color w:val="auto"/>
                <w:lang w:val="en-US" w:eastAsia="zh-CN"/>
              </w:rPr>
              <w:t>/a；第三污水处理厂污水总处理规模为5.0万m</w:t>
            </w:r>
            <w:r>
              <w:rPr>
                <w:rFonts w:hint="eastAsia"/>
                <w:b w:val="0"/>
                <w:bCs w:val="0"/>
                <w:color w:val="auto"/>
                <w:vertAlign w:val="superscript"/>
                <w:lang w:val="en-US" w:eastAsia="zh-CN"/>
              </w:rPr>
              <w:t>3</w:t>
            </w:r>
            <w:r>
              <w:rPr>
                <w:rFonts w:hint="eastAsia"/>
                <w:b w:val="0"/>
                <w:bCs w:val="0"/>
                <w:color w:val="auto"/>
                <w:lang w:val="en-US" w:eastAsia="zh-CN"/>
              </w:rPr>
              <w:t>/d，远期还将达到15万m</w:t>
            </w:r>
            <w:r>
              <w:rPr>
                <w:rFonts w:hint="eastAsia"/>
                <w:b w:val="0"/>
                <w:bCs w:val="0"/>
                <w:color w:val="auto"/>
                <w:vertAlign w:val="superscript"/>
                <w:lang w:val="en-US" w:eastAsia="zh-CN"/>
              </w:rPr>
              <w:t>3</w:t>
            </w:r>
            <w:r>
              <w:rPr>
                <w:rFonts w:hint="eastAsia"/>
                <w:b w:val="0"/>
                <w:bCs w:val="0"/>
                <w:color w:val="auto"/>
                <w:lang w:val="en-US" w:eastAsia="zh-CN"/>
              </w:rPr>
              <w:t>/d的规模，玉溪市第一污水处理厂与玉溪市第三污水处理厂之间有调节池及排水管网连通，可调度调配处理水量，分担玉溪市第一污水处理厂的处理压力，增加玉溪市第一污水处理厂的接纳量。本项目位于玉溪市第一污水处理厂纳污范围，外排废水经市政管网收入玉溪市第一污水处理厂调节池，在目前玉溪市第一、第三污水处理厂联合调度运行的情况下，故本项目外排废水进入玉溪市第一和第三污水处理厂处理，具有水量可行性。</w:t>
            </w:r>
          </w:p>
          <w:p w14:paraId="274F7F7C">
            <w:pPr>
              <w:ind w:firstLine="480"/>
              <w:rPr>
                <w:rFonts w:hint="default"/>
                <w:b w:val="0"/>
                <w:bCs w:val="0"/>
                <w:color w:val="auto"/>
                <w:lang w:val="en-US" w:eastAsia="zh-CN"/>
              </w:rPr>
            </w:pPr>
            <w:r>
              <w:rPr>
                <w:rFonts w:hint="eastAsia"/>
                <w:b w:val="0"/>
                <w:bCs w:val="0"/>
                <w:color w:val="auto"/>
                <w:lang w:val="en-US" w:eastAsia="zh-CN"/>
              </w:rPr>
              <w:t>2）水质可行性</w:t>
            </w:r>
          </w:p>
          <w:p w14:paraId="08732935">
            <w:pPr>
              <w:ind w:firstLine="480"/>
              <w:rPr>
                <w:rFonts w:hint="eastAsia"/>
                <w:b w:val="0"/>
                <w:bCs w:val="0"/>
                <w:color w:val="auto"/>
                <w:lang w:val="en-US" w:eastAsia="zh-CN"/>
              </w:rPr>
            </w:pPr>
            <w:r>
              <w:rPr>
                <w:rFonts w:hint="eastAsia"/>
                <w:b w:val="0"/>
                <w:bCs w:val="0"/>
                <w:color w:val="auto"/>
                <w:lang w:val="en-US" w:eastAsia="zh-CN"/>
              </w:rPr>
              <w:t>项目废水中主要污染物为SS、COD、BOD</w:t>
            </w:r>
            <w:r>
              <w:rPr>
                <w:rFonts w:hint="eastAsia"/>
                <w:b w:val="0"/>
                <w:bCs w:val="0"/>
                <w:color w:val="auto"/>
                <w:vertAlign w:val="subscript"/>
                <w:lang w:val="en-US" w:eastAsia="zh-CN"/>
              </w:rPr>
              <w:t>5</w:t>
            </w:r>
            <w:r>
              <w:rPr>
                <w:rFonts w:hint="eastAsia"/>
                <w:b w:val="0"/>
                <w:bCs w:val="0"/>
                <w:color w:val="auto"/>
                <w:lang w:val="en-US" w:eastAsia="zh-CN"/>
              </w:rPr>
              <w:t>、NH</w:t>
            </w:r>
            <w:r>
              <w:rPr>
                <w:rFonts w:hint="eastAsia"/>
                <w:b w:val="0"/>
                <w:bCs w:val="0"/>
                <w:color w:val="auto"/>
                <w:vertAlign w:val="subscript"/>
                <w:lang w:val="en-US" w:eastAsia="zh-CN"/>
              </w:rPr>
              <w:t>3</w:t>
            </w:r>
            <w:r>
              <w:rPr>
                <w:rFonts w:hint="eastAsia"/>
                <w:b w:val="0"/>
                <w:bCs w:val="0"/>
                <w:color w:val="auto"/>
                <w:lang w:val="en-US" w:eastAsia="zh-CN"/>
              </w:rPr>
              <w:t>-N、TP、TN等，不含有毒有害物质。项目生产废水经自建一体化污水处理设施处理后，能够达到《酒类制造业水污染物排放标准》（GB 19821—2025）表1规定的间接排放限值标准以及《污水综合排放标准》（GB8978-1996）表4三级标准及《污水排入城镇下水道水质标准》（GB/T31962-2015）表1 A等级标准三级标准从严值；生活污水经园区已建化粪池处理后达到《污水综合排放标准》（GB8978-1996）表4三级标准及《污水排入城镇下水道水质标准》（GB/T31962-2015）表1A等级标准满足玉溪市第一、第三污水处理厂纳管要求。</w:t>
            </w:r>
          </w:p>
          <w:p w14:paraId="1153480C">
            <w:pPr>
              <w:ind w:firstLine="480"/>
              <w:rPr>
                <w:rFonts w:hint="default"/>
                <w:b w:val="0"/>
                <w:bCs w:val="0"/>
                <w:color w:val="auto"/>
                <w:lang w:val="en-US" w:eastAsia="zh-CN"/>
              </w:rPr>
            </w:pPr>
            <w:r>
              <w:rPr>
                <w:rFonts w:hint="eastAsia"/>
                <w:b w:val="0"/>
                <w:bCs w:val="0"/>
                <w:color w:val="auto"/>
                <w:lang w:val="en-US" w:eastAsia="zh-CN"/>
              </w:rPr>
              <w:t>3）接管可行性</w:t>
            </w:r>
          </w:p>
          <w:p w14:paraId="2BABD988">
            <w:pPr>
              <w:ind w:firstLine="480"/>
              <w:rPr>
                <w:rFonts w:hint="eastAsia"/>
                <w:b w:val="0"/>
                <w:bCs w:val="0"/>
                <w:color w:val="auto"/>
                <w:lang w:val="en-US" w:eastAsia="zh-CN"/>
              </w:rPr>
            </w:pPr>
            <w:r>
              <w:rPr>
                <w:rFonts w:hint="eastAsia"/>
                <w:b w:val="0"/>
                <w:bCs w:val="0"/>
                <w:color w:val="auto"/>
                <w:lang w:val="en-US" w:eastAsia="zh-CN"/>
              </w:rPr>
              <w:t>本项目位于玉溪市高新区九龙池片区工业园区内D4栋第一层，根据现场调查，项目已有化粪池排口接入园区管网，通过园区管网进入市政污水管网，未进入产业园中水处理站；产业园污水经总排口接入春和路市政污水管网，流经九龙路、西河路、汇溪路市政污水管网，再汇入中心沟污水干管，接入玉溪市第一、第三污水处理厂处理。</w:t>
            </w:r>
          </w:p>
          <w:p w14:paraId="247EF99A">
            <w:pPr>
              <w:ind w:firstLine="480"/>
              <w:rPr>
                <w:rFonts w:hint="default"/>
                <w:b w:val="0"/>
                <w:bCs w:val="0"/>
                <w:color w:val="auto"/>
                <w:lang w:val="en-US" w:eastAsia="zh-CN"/>
              </w:rPr>
            </w:pPr>
            <w:r>
              <w:rPr>
                <w:rFonts w:hint="eastAsia"/>
                <w:b w:val="0"/>
                <w:bCs w:val="0"/>
                <w:color w:val="auto"/>
                <w:lang w:val="en-US" w:eastAsia="zh-CN"/>
              </w:rPr>
              <w:t>项目在现有厂房的基础上根据功能分区进行改建，生活污水经已有化粪池预处理，生产废水经三级沉淀池预处理后，进入自建一体化污水处理设施处理，处理达标后，与生活污水一起汇入园区管网，通过园区总排口，排入春和路市政污水管网，流经九龙路、西河路、汇溪路支管，再汇入中心沟污水干管，最终进入玉溪市第一、第三污水处理厂处理。且本项目已取得玉溪市红塔区综合行政执法局出具的纳管证明（详见附件14）同意本项目废水接入对应市政污水管网。</w:t>
            </w:r>
          </w:p>
          <w:p w14:paraId="23B3CB4A">
            <w:pPr>
              <w:ind w:firstLine="480"/>
              <w:rPr>
                <w:rFonts w:hint="eastAsia"/>
                <w:b w:val="0"/>
                <w:bCs w:val="0"/>
                <w:color w:val="auto"/>
                <w:lang w:val="en-US" w:eastAsia="zh-CN"/>
              </w:rPr>
            </w:pPr>
            <w:r>
              <w:rPr>
                <w:rFonts w:hint="eastAsia"/>
                <w:b w:val="0"/>
                <w:bCs w:val="0"/>
                <w:color w:val="auto"/>
                <w:lang w:val="en-US" w:eastAsia="zh-CN"/>
              </w:rPr>
              <w:t>项目产生的废水为常规的污水，无特殊有毒有害物质，同时项目污水可生化性好，不会影响污水处理厂运行负荷。因此本项目生活污水和生产废水进入玉溪市第一、第三污水处理厂处理是可行的。</w:t>
            </w:r>
          </w:p>
          <w:p w14:paraId="20434011">
            <w:pPr>
              <w:ind w:firstLine="480"/>
              <w:rPr>
                <w:rFonts w:hint="default"/>
                <w:b/>
                <w:bCs/>
                <w:color w:val="auto"/>
                <w:lang w:val="en-US" w:eastAsia="zh-CN"/>
              </w:rPr>
            </w:pPr>
            <w:r>
              <w:rPr>
                <w:rFonts w:hint="eastAsia"/>
                <w:b/>
                <w:bCs/>
                <w:color w:val="auto"/>
                <w:lang w:val="en-US" w:eastAsia="zh-CN"/>
              </w:rPr>
              <w:t>2</w:t>
            </w:r>
            <w:r>
              <w:rPr>
                <w:rFonts w:hint="default"/>
                <w:b/>
                <w:bCs/>
                <w:color w:val="auto"/>
                <w:lang w:val="en-US" w:eastAsia="zh-CN"/>
              </w:rPr>
              <w:t>、项目废水非正常排放对周围环境的影响分析</w:t>
            </w:r>
          </w:p>
          <w:p w14:paraId="02FAEFD1">
            <w:pPr>
              <w:ind w:firstLine="480"/>
              <w:rPr>
                <w:rFonts w:hint="default"/>
                <w:b w:val="0"/>
                <w:bCs w:val="0"/>
                <w:color w:val="auto"/>
                <w:lang w:val="en-US" w:eastAsia="zh-CN"/>
              </w:rPr>
            </w:pPr>
            <w:r>
              <w:rPr>
                <w:rFonts w:hint="eastAsia"/>
                <w:b w:val="0"/>
                <w:bCs w:val="0"/>
                <w:color w:val="auto"/>
                <w:lang w:val="en-US" w:eastAsia="zh-CN"/>
              </w:rPr>
              <w:t>（1）非正常排放</w:t>
            </w:r>
          </w:p>
          <w:p w14:paraId="61C8A8E1">
            <w:pPr>
              <w:ind w:firstLine="480"/>
              <w:rPr>
                <w:rFonts w:hint="default"/>
                <w:b w:val="0"/>
                <w:bCs w:val="0"/>
                <w:color w:val="auto"/>
                <w:lang w:val="en-US" w:eastAsia="zh-CN"/>
              </w:rPr>
            </w:pPr>
            <w:r>
              <w:rPr>
                <w:rFonts w:hint="default"/>
                <w:b w:val="0"/>
                <w:bCs w:val="0"/>
                <w:color w:val="auto"/>
                <w:lang w:val="en-US" w:eastAsia="zh-CN"/>
              </w:rPr>
              <w:t>项目废水非正常排放主要为污水处理设施发生故障或停电造成污水处理设施发生运转非正常</w:t>
            </w:r>
            <w:r>
              <w:rPr>
                <w:rFonts w:hint="eastAsia"/>
                <w:b w:val="0"/>
                <w:bCs w:val="0"/>
                <w:color w:val="auto"/>
                <w:lang w:val="en-US" w:eastAsia="zh-CN"/>
              </w:rPr>
              <w:t>。</w:t>
            </w:r>
          </w:p>
          <w:p w14:paraId="20AC5497">
            <w:pPr>
              <w:ind w:firstLine="480"/>
              <w:rPr>
                <w:rFonts w:hint="default"/>
                <w:b w:val="0"/>
                <w:bCs w:val="0"/>
                <w:color w:val="auto"/>
                <w:lang w:val="en-US" w:eastAsia="zh-CN"/>
              </w:rPr>
            </w:pPr>
            <w:r>
              <w:rPr>
                <w:rFonts w:hint="eastAsia"/>
                <w:b w:val="0"/>
                <w:bCs w:val="0"/>
                <w:color w:val="auto"/>
                <w:lang w:val="en-US" w:eastAsia="zh-CN"/>
              </w:rPr>
              <w:t>设备故障：</w:t>
            </w:r>
            <w:r>
              <w:rPr>
                <w:rFonts w:hint="default"/>
                <w:b w:val="0"/>
                <w:bCs w:val="0"/>
                <w:color w:val="auto"/>
                <w:lang w:val="en-US" w:eastAsia="zh-CN"/>
              </w:rPr>
              <w:t>三级沉淀池可能出现沉淀效果不佳，如污泥斗排泥不畅，导致污泥堆积影响沉淀效率；一体化污水处理设备可能出现曝气系统故障，使得好氧处理环节微生物得不到充足氧气，处理效果下降；或者膜分离组件损坏，导致出水水质不达标等。</w:t>
            </w:r>
          </w:p>
          <w:p w14:paraId="001B23D4">
            <w:pPr>
              <w:ind w:firstLine="480"/>
              <w:rPr>
                <w:rFonts w:hint="default"/>
                <w:b w:val="0"/>
                <w:bCs w:val="0"/>
                <w:color w:val="auto"/>
                <w:lang w:val="en-US" w:eastAsia="zh-CN"/>
              </w:rPr>
            </w:pPr>
            <w:r>
              <w:rPr>
                <w:rFonts w:hint="eastAsia"/>
                <w:b w:val="0"/>
                <w:bCs w:val="0"/>
                <w:color w:val="auto"/>
                <w:lang w:val="en-US" w:eastAsia="zh-CN"/>
              </w:rPr>
              <w:t>停电停机：突然停电会使整个污水处理系统停止运行，废水无法得到及时处理，在管道和设备内积聚，来电后重新启动设备可能会因水质、水量冲击影响处理效果。</w:t>
            </w:r>
          </w:p>
          <w:p w14:paraId="12899DBA">
            <w:pPr>
              <w:ind w:firstLine="480"/>
              <w:rPr>
                <w:rFonts w:hint="default"/>
                <w:b w:val="0"/>
                <w:bCs w:val="0"/>
                <w:color w:val="auto"/>
                <w:lang w:val="en-US" w:eastAsia="zh-CN"/>
              </w:rPr>
            </w:pPr>
            <w:r>
              <w:rPr>
                <w:rFonts w:hint="eastAsia"/>
                <w:b w:val="0"/>
                <w:bCs w:val="0"/>
                <w:color w:val="auto"/>
                <w:lang w:val="en-US" w:eastAsia="zh-CN"/>
              </w:rPr>
              <w:t>（2）对污水处理厂的影响</w:t>
            </w:r>
          </w:p>
          <w:p w14:paraId="1A3F10D7">
            <w:pPr>
              <w:ind w:firstLine="480"/>
              <w:rPr>
                <w:rFonts w:hint="eastAsia"/>
                <w:b w:val="0"/>
                <w:bCs w:val="0"/>
                <w:color w:val="auto"/>
                <w:lang w:val="en-US" w:eastAsia="zh-CN"/>
              </w:rPr>
            </w:pPr>
            <w:r>
              <w:rPr>
                <w:rFonts w:hint="eastAsia"/>
                <w:b w:val="0"/>
                <w:bCs w:val="0"/>
                <w:color w:val="auto"/>
                <w:lang w:val="en-US" w:eastAsia="zh-CN"/>
              </w:rPr>
              <w:t>‌水质超标‌：设备故障或停电停机后未经有效处理的废水直接排放，可能导致进入污水处理厂的废水COD、BOD、SS等污染物浓度大幅升高，冲击污水处理厂的生物处理系统，影响活性污泥的活性和处理效果。</w:t>
            </w:r>
          </w:p>
          <w:p w14:paraId="228FA95A">
            <w:pPr>
              <w:ind w:firstLine="480"/>
              <w:rPr>
                <w:rFonts w:hint="eastAsia"/>
                <w:b w:val="0"/>
                <w:bCs w:val="0"/>
                <w:color w:val="auto"/>
                <w:lang w:val="en-US" w:eastAsia="zh-CN"/>
              </w:rPr>
            </w:pPr>
            <w:r>
              <w:rPr>
                <w:rFonts w:hint="eastAsia"/>
                <w:b w:val="0"/>
                <w:bCs w:val="0"/>
                <w:color w:val="auto"/>
                <w:lang w:val="en-US" w:eastAsia="zh-CN"/>
              </w:rPr>
              <w:t>‌水量冲击‌：停电停机期间积聚的废水在恢复处理后可能会短时间内大量涌入污水处理厂，超出其设计处理负荷，影响污水处理厂的正常运行。</w:t>
            </w:r>
          </w:p>
          <w:p w14:paraId="740935DB">
            <w:pPr>
              <w:ind w:firstLine="480"/>
              <w:rPr>
                <w:rFonts w:hint="default"/>
                <w:b w:val="0"/>
                <w:bCs w:val="0"/>
                <w:color w:val="auto"/>
                <w:lang w:val="en-US" w:eastAsia="zh-CN"/>
              </w:rPr>
            </w:pPr>
            <w:r>
              <w:rPr>
                <w:rFonts w:hint="eastAsia"/>
                <w:b w:val="0"/>
                <w:bCs w:val="0"/>
                <w:color w:val="auto"/>
                <w:lang w:val="en-US" w:eastAsia="zh-CN"/>
              </w:rPr>
              <w:t>（3）防治措施</w:t>
            </w:r>
          </w:p>
          <w:p w14:paraId="58054239">
            <w:pPr>
              <w:ind w:firstLine="480"/>
              <w:rPr>
                <w:rFonts w:hint="default"/>
                <w:b w:val="0"/>
                <w:bCs w:val="0"/>
                <w:color w:val="auto"/>
                <w:lang w:val="en-US" w:eastAsia="zh-CN"/>
              </w:rPr>
            </w:pPr>
            <w:r>
              <w:rPr>
                <w:rFonts w:hint="default"/>
                <w:b w:val="0"/>
                <w:bCs w:val="0"/>
                <w:color w:val="auto"/>
                <w:lang w:val="en-US" w:eastAsia="zh-CN"/>
              </w:rPr>
              <w:t>‌设备故障</w:t>
            </w:r>
            <w:r>
              <w:rPr>
                <w:rFonts w:hint="eastAsia"/>
                <w:b w:val="0"/>
                <w:bCs w:val="0"/>
                <w:color w:val="auto"/>
                <w:lang w:val="en-US" w:eastAsia="zh-CN"/>
              </w:rPr>
              <w:t>：</w:t>
            </w:r>
            <w:r>
              <w:rPr>
                <w:rFonts w:hint="default"/>
                <w:b w:val="0"/>
                <w:bCs w:val="0"/>
                <w:color w:val="auto"/>
                <w:lang w:val="en-US" w:eastAsia="zh-CN"/>
              </w:rPr>
              <w:t>‌定期对三级沉淀池和一体化污水处理设备进行巡检和维护，建立设备维护档案，记录设备运行状况和维护情况。一旦发现设备故障，立即组织专业维修人员进行抢修，对于易损件如曝气头、膜组件等应储备一定数量的备品备件，缩短维修时间。在设备维修期间，可将部分废水暂存于应急调节池（若有），避免未经处理的废水直接排放。</w:t>
            </w:r>
          </w:p>
          <w:p w14:paraId="3D1460C7">
            <w:pPr>
              <w:ind w:firstLine="480"/>
              <w:rPr>
                <w:rFonts w:hint="default"/>
                <w:b w:val="0"/>
                <w:bCs w:val="0"/>
                <w:color w:val="auto"/>
                <w:lang w:val="en-US" w:eastAsia="zh-CN"/>
              </w:rPr>
            </w:pPr>
            <w:r>
              <w:rPr>
                <w:rFonts w:hint="default"/>
                <w:b w:val="0"/>
                <w:bCs w:val="0"/>
                <w:color w:val="auto"/>
                <w:lang w:val="en-US" w:eastAsia="zh-CN"/>
              </w:rPr>
              <w:t>‌停电停机</w:t>
            </w:r>
            <w:r>
              <w:rPr>
                <w:rFonts w:hint="eastAsia"/>
                <w:b w:val="0"/>
                <w:bCs w:val="0"/>
                <w:color w:val="auto"/>
                <w:lang w:val="en-US" w:eastAsia="zh-CN"/>
              </w:rPr>
              <w:t>：</w:t>
            </w:r>
            <w:r>
              <w:rPr>
                <w:rFonts w:hint="default"/>
                <w:b w:val="0"/>
                <w:bCs w:val="0"/>
                <w:color w:val="auto"/>
                <w:lang w:val="en-US" w:eastAsia="zh-CN"/>
              </w:rPr>
              <w:t>‌配备应急发电机，在停电时能够及时启动，保障污水处理设备的关键系统（如曝气系统、提升泵等）运行，维持基本处理功能。来电后，按照操作规程逐步恢复设备运行，先对水质、水量进行监测，根据情况调整处理工艺参数，如曝气时间、污泥回流比等，确保处理效果稳定。</w:t>
            </w:r>
          </w:p>
          <w:p w14:paraId="6C2C3CA4">
            <w:pPr>
              <w:ind w:firstLine="480"/>
              <w:rPr>
                <w:rFonts w:hint="default"/>
                <w:b w:val="0"/>
                <w:bCs w:val="0"/>
                <w:color w:val="auto"/>
                <w:lang w:val="en-US" w:eastAsia="zh-CN"/>
              </w:rPr>
            </w:pPr>
            <w:r>
              <w:rPr>
                <w:rFonts w:hint="default"/>
                <w:b w:val="0"/>
                <w:bCs w:val="0"/>
                <w:color w:val="auto"/>
                <w:lang w:val="en-US" w:eastAsia="zh-CN"/>
              </w:rPr>
              <w:t>与污水处理厂沟通‌：啤酒厂应与污水处理厂建立密切的沟通机制，在发生设备故障、停电停机等非正常排放情况时，第一时间通知污水处理厂，以便污水处理厂能够提前采取应对措施，如调整运行参数、增加污泥回流等。</w:t>
            </w:r>
          </w:p>
          <w:p w14:paraId="1DA0FCFC">
            <w:pPr>
              <w:ind w:firstLine="480"/>
              <w:rPr>
                <w:rFonts w:hint="default"/>
                <w:b w:val="0"/>
                <w:bCs w:val="0"/>
                <w:color w:val="auto"/>
                <w:lang w:val="en-US" w:eastAsia="zh-CN"/>
              </w:rPr>
            </w:pPr>
            <w:r>
              <w:rPr>
                <w:rFonts w:hint="default"/>
                <w:b w:val="0"/>
                <w:bCs w:val="0"/>
                <w:color w:val="auto"/>
                <w:lang w:val="en-US" w:eastAsia="zh-CN"/>
              </w:rPr>
              <w:t>建设足够容积的事故池，用于储存设备故障、停电停机等非正常情况下产生的未处理废水，待污水处理系统恢复正常后，再将事故池内废水逐步泵入处理系统进行处理。针对可能出现的废水事故排放情况，设置一个</w:t>
            </w:r>
            <w:r>
              <w:rPr>
                <w:rFonts w:hint="eastAsia"/>
                <w:b w:val="0"/>
                <w:bCs w:val="0"/>
                <w:color w:val="auto"/>
                <w:lang w:val="en-US" w:eastAsia="zh-CN"/>
              </w:rPr>
              <w:t>15</w:t>
            </w:r>
            <w:r>
              <w:rPr>
                <w:rFonts w:hint="default"/>
                <w:b w:val="0"/>
                <w:bCs w:val="0"/>
                <w:color w:val="auto"/>
                <w:lang w:val="en-US" w:eastAsia="zh-CN"/>
              </w:rPr>
              <w:t>m</w:t>
            </w:r>
            <w:r>
              <w:rPr>
                <w:rFonts w:hint="default"/>
                <w:b w:val="0"/>
                <w:bCs w:val="0"/>
                <w:color w:val="auto"/>
                <w:vertAlign w:val="superscript"/>
                <w:lang w:val="en-US" w:eastAsia="zh-CN"/>
              </w:rPr>
              <w:t>3</w:t>
            </w:r>
            <w:r>
              <w:rPr>
                <w:rFonts w:hint="default"/>
                <w:b w:val="0"/>
                <w:bCs w:val="0"/>
                <w:color w:val="auto"/>
                <w:lang w:val="en-US" w:eastAsia="zh-CN"/>
              </w:rPr>
              <w:t>事故应急池，在事故条件下项目区内生产废水和生活污水可在</w:t>
            </w:r>
            <w:r>
              <w:rPr>
                <w:rFonts w:hint="eastAsia"/>
                <w:b w:val="0"/>
                <w:bCs w:val="0"/>
                <w:color w:val="auto"/>
                <w:lang w:val="en-US" w:eastAsia="zh-CN"/>
              </w:rPr>
              <w:t>一体化污水处理</w:t>
            </w:r>
            <w:r>
              <w:rPr>
                <w:rFonts w:hint="default"/>
                <w:b w:val="0"/>
                <w:bCs w:val="0"/>
                <w:color w:val="auto"/>
                <w:lang w:val="en-US" w:eastAsia="zh-CN"/>
              </w:rPr>
              <w:t>站停留8h；本评价要求若一体化污水处理站发生故障在8小时之内停止生产，并立即进行检修，污水处理站正常运行后方可投入运行；同时，一体化污水处理站平时运转应加强维护管理，以避免故障的发生或提前发现并及时清除。</w:t>
            </w:r>
          </w:p>
          <w:p w14:paraId="14CDF703">
            <w:pPr>
              <w:ind w:firstLine="480"/>
              <w:rPr>
                <w:rFonts w:hint="default"/>
                <w:b w:val="0"/>
                <w:bCs w:val="0"/>
                <w:color w:val="auto"/>
                <w:lang w:val="en-US" w:eastAsia="zh-CN"/>
              </w:rPr>
            </w:pPr>
            <w:r>
              <w:rPr>
                <w:rFonts w:hint="eastAsia"/>
                <w:b w:val="0"/>
                <w:bCs w:val="0"/>
                <w:color w:val="auto"/>
                <w:lang w:val="en-US" w:eastAsia="zh-CN"/>
              </w:rPr>
              <w:t>（4）环评要求建设单位提出的治理措施</w:t>
            </w:r>
          </w:p>
          <w:p w14:paraId="552819E9">
            <w:pPr>
              <w:ind w:firstLine="480"/>
              <w:rPr>
                <w:rFonts w:hint="default"/>
                <w:b w:val="0"/>
                <w:bCs w:val="0"/>
                <w:color w:val="auto"/>
                <w:lang w:val="en-US" w:eastAsia="zh-CN"/>
              </w:rPr>
            </w:pPr>
            <w:r>
              <w:rPr>
                <w:rFonts w:hint="default"/>
                <w:b w:val="0"/>
                <w:bCs w:val="0"/>
                <w:color w:val="auto"/>
                <w:lang w:val="en-US" w:eastAsia="zh-CN"/>
              </w:rPr>
              <w:t>‌源头控制‌：优化啤酒生产工艺，减少废水产生量和污染物浓度，如采用清洁生产技术，降低麦汁损失，减少废水中有机物含量。</w:t>
            </w:r>
          </w:p>
          <w:p w14:paraId="3762A5FC">
            <w:pPr>
              <w:ind w:firstLine="480"/>
              <w:rPr>
                <w:rFonts w:hint="default"/>
                <w:b w:val="0"/>
                <w:bCs w:val="0"/>
                <w:color w:val="auto"/>
                <w:lang w:val="en-US" w:eastAsia="zh-CN"/>
              </w:rPr>
            </w:pPr>
            <w:r>
              <w:rPr>
                <w:rFonts w:hint="default"/>
                <w:b w:val="0"/>
                <w:bCs w:val="0"/>
                <w:color w:val="auto"/>
                <w:lang w:val="en-US" w:eastAsia="zh-CN"/>
              </w:rPr>
              <w:t>‌过程处理强化‌：确保三级沉淀池和一体化污水处理设备稳定运行，定期对设备进行升级改造，提高处理效率和稳定性。例如，对沉淀池进行结构优化，提高沉淀效果；对一体化设备的处理工艺进行改进，增强对难降解有机物的去除能力。</w:t>
            </w:r>
          </w:p>
          <w:p w14:paraId="03E61EA2">
            <w:pPr>
              <w:ind w:firstLine="480"/>
              <w:rPr>
                <w:rFonts w:hint="default"/>
                <w:b w:val="0"/>
                <w:bCs w:val="0"/>
                <w:color w:val="auto"/>
                <w:lang w:val="en-US" w:eastAsia="zh-CN"/>
              </w:rPr>
            </w:pPr>
            <w:r>
              <w:rPr>
                <w:rFonts w:hint="default"/>
                <w:b w:val="0"/>
                <w:bCs w:val="0"/>
                <w:color w:val="auto"/>
                <w:lang w:val="en-US" w:eastAsia="zh-CN"/>
              </w:rPr>
              <w:t>‌应急保障‌：完善应急管理体系，制定详细的应急预案，明确设备故障、停电停机等非正常情况下的应急处理流程和责任分工。同时，加强员工培训，提高应急处理能力。</w:t>
            </w:r>
          </w:p>
          <w:p w14:paraId="3539A76B">
            <w:pPr>
              <w:ind w:firstLine="480"/>
              <w:rPr>
                <w:rFonts w:hint="default"/>
                <w:b w:val="0"/>
                <w:bCs w:val="0"/>
                <w:color w:val="auto"/>
                <w:lang w:val="en-US" w:eastAsia="zh-CN"/>
              </w:rPr>
            </w:pPr>
            <w:r>
              <w:rPr>
                <w:rFonts w:hint="default"/>
                <w:b w:val="0"/>
                <w:bCs w:val="0"/>
                <w:color w:val="auto"/>
                <w:lang w:val="en-US" w:eastAsia="zh-CN"/>
              </w:rPr>
              <w:t>‌监测与评估‌：建立长期的废水监测计划，定期对污水处理设施进出口水质、水量进行监测，评估处理效果，根据监测结果及时调整处理工艺和管理措施</w:t>
            </w:r>
            <w:r>
              <w:rPr>
                <w:rFonts w:hint="eastAsia"/>
                <w:b w:val="0"/>
                <w:bCs w:val="0"/>
                <w:color w:val="auto"/>
                <w:lang w:val="en-US" w:eastAsia="zh-CN"/>
              </w:rPr>
              <w:t>。</w:t>
            </w:r>
          </w:p>
          <w:p w14:paraId="091898C0">
            <w:pPr>
              <w:ind w:firstLine="480"/>
              <w:rPr>
                <w:rFonts w:hint="default"/>
                <w:b w:val="0"/>
                <w:bCs w:val="0"/>
                <w:color w:val="auto"/>
                <w:lang w:val="en-US" w:eastAsia="zh-CN"/>
              </w:rPr>
            </w:pPr>
            <w:r>
              <w:rPr>
                <w:rFonts w:hint="default"/>
                <w:b w:val="0"/>
                <w:bCs w:val="0"/>
                <w:color w:val="auto"/>
                <w:lang w:val="en-US" w:eastAsia="zh-CN"/>
              </w:rPr>
              <w:t>综上所述，本评价要求污水处理站出水口设置标准化的排污口，并设置在线监测设备，实时监控外排水水质情况；污水处理站各池体采取了防渗处理；运营过程中，加强管理，落实各项环保规章制度，落实岗位环保责任制，加强环境风险防范工作，防止事故排放导致环境问题；项目废水对周围水环境影响较小。</w:t>
            </w:r>
          </w:p>
          <w:p w14:paraId="0F134EC9">
            <w:pPr>
              <w:ind w:firstLine="482"/>
              <w:rPr>
                <w:rFonts w:hint="eastAsia"/>
                <w:b/>
                <w:bCs/>
                <w:color w:val="auto"/>
              </w:rPr>
            </w:pPr>
            <w:r>
              <w:rPr>
                <w:rFonts w:hint="eastAsia"/>
                <w:b/>
                <w:bCs/>
                <w:color w:val="auto"/>
              </w:rPr>
              <w:t>（四）水环境影响评价结论</w:t>
            </w:r>
          </w:p>
          <w:p w14:paraId="3A5C9F92">
            <w:pPr>
              <w:ind w:firstLine="480"/>
              <w:rPr>
                <w:rFonts w:hint="default"/>
                <w:color w:val="auto"/>
                <w:lang w:val="en-US" w:eastAsia="zh-CN"/>
              </w:rPr>
            </w:pPr>
            <w:r>
              <w:rPr>
                <w:rFonts w:hint="eastAsia"/>
                <w:color w:val="auto"/>
                <w:lang w:eastAsia="zh-CN"/>
              </w:rPr>
              <w:t>项目区实行雨污分流制，</w:t>
            </w:r>
            <w:r>
              <w:rPr>
                <w:rFonts w:hint="eastAsia"/>
                <w:color w:val="auto"/>
                <w:lang w:val="en-US" w:eastAsia="zh-CN"/>
              </w:rPr>
              <w:t>项目区</w:t>
            </w:r>
            <w:r>
              <w:rPr>
                <w:rFonts w:hint="eastAsia"/>
                <w:color w:val="auto"/>
                <w:lang w:eastAsia="zh-CN"/>
              </w:rPr>
              <w:t>雨水</w:t>
            </w:r>
            <w:r>
              <w:rPr>
                <w:rFonts w:hint="eastAsia"/>
                <w:color w:val="auto"/>
                <w:lang w:val="en-US" w:eastAsia="zh-CN"/>
              </w:rPr>
              <w:t>经厂房周边园区雨水沟流入市政雨水管网</w:t>
            </w:r>
            <w:r>
              <w:rPr>
                <w:rFonts w:hint="eastAsia"/>
                <w:color w:val="auto"/>
                <w:lang w:eastAsia="zh-CN"/>
              </w:rPr>
              <w:t>；</w:t>
            </w:r>
            <w:r>
              <w:rPr>
                <w:rFonts w:hint="eastAsia"/>
                <w:color w:val="auto"/>
                <w:lang w:val="en-US" w:eastAsia="zh-CN"/>
              </w:rPr>
              <w:t>生产废水经自建的三级沉淀池沉淀预处理后进入自建的一体化污水处理设施处理后达到《酒类制造业水污染物排放标准》（GB 19821—2025）表1规定的间接排放限值标准《酒类制造业水污染物排放标准》（GB 19821—2025）表1规定的间接排放限值标准以及《污水综合排放标准》（GB8978-1996）表4三级标准及《污水排入城镇下水道水质标准》（GB/T31962-2015）表1 A等级标准三级标准从严值后排入园区污水管网经市政污水管网进入玉溪市第一、第三污水处理厂处理；生活污水经园区已建化粪池处理达到《污水综合排放标准》（GB8978-1996）表4三级标准及《污水排入城镇下水道水质标准》（GB/T31962-2015）表1A等级标准从严值后排入园区污水管网经市政污水管网进入玉溪市第一、第三污水处理厂处理。</w:t>
            </w:r>
          </w:p>
          <w:p w14:paraId="2F2EA13B">
            <w:pPr>
              <w:ind w:firstLine="480"/>
              <w:rPr>
                <w:color w:val="auto"/>
              </w:rPr>
            </w:pPr>
            <w:r>
              <w:rPr>
                <w:rFonts w:hint="eastAsia"/>
                <w:color w:val="auto"/>
              </w:rPr>
              <w:t>综上，本项目运营期废水处理措施可行，对周围环境影响不大。</w:t>
            </w:r>
          </w:p>
          <w:p w14:paraId="1E9F8B54">
            <w:pPr>
              <w:bidi w:val="0"/>
              <w:rPr>
                <w:rFonts w:hint="default"/>
                <w:b/>
                <w:bCs/>
                <w:color w:val="auto"/>
                <w:lang w:val="en-US" w:eastAsia="zh-CN"/>
              </w:rPr>
            </w:pPr>
            <w:r>
              <w:rPr>
                <w:rFonts w:hint="eastAsia"/>
                <w:b/>
                <w:bCs/>
                <w:color w:val="auto"/>
                <w:lang w:eastAsia="zh-CN"/>
              </w:rPr>
              <w:t>（</w:t>
            </w:r>
            <w:r>
              <w:rPr>
                <w:rFonts w:hint="eastAsia"/>
                <w:b/>
                <w:bCs/>
                <w:color w:val="auto"/>
                <w:lang w:val="en-US" w:eastAsia="zh-CN"/>
              </w:rPr>
              <w:t>五</w:t>
            </w:r>
            <w:r>
              <w:rPr>
                <w:rFonts w:hint="eastAsia"/>
                <w:b/>
                <w:bCs/>
                <w:color w:val="auto"/>
                <w:lang w:eastAsia="zh-CN"/>
              </w:rPr>
              <w:t>）</w:t>
            </w:r>
            <w:r>
              <w:rPr>
                <w:rFonts w:hint="eastAsia"/>
                <w:b/>
                <w:bCs/>
                <w:color w:val="auto"/>
                <w:lang w:val="en-US" w:eastAsia="zh-CN"/>
              </w:rPr>
              <w:t>废水监测计划</w:t>
            </w:r>
          </w:p>
          <w:p w14:paraId="5E505181">
            <w:pPr>
              <w:bidi w:val="0"/>
              <w:rPr>
                <w:rFonts w:hint="eastAsia"/>
                <w:b/>
                <w:bCs/>
                <w:color w:val="auto"/>
                <w:lang w:val="en-US" w:eastAsia="zh-CN"/>
              </w:rPr>
            </w:pPr>
            <w:r>
              <w:rPr>
                <w:rFonts w:hint="eastAsia"/>
                <w:b/>
                <w:bCs/>
                <w:color w:val="auto"/>
                <w:lang w:val="en-US" w:eastAsia="zh-CN"/>
              </w:rPr>
              <w:t>1、竣工环保验收监测</w:t>
            </w:r>
          </w:p>
          <w:p w14:paraId="5BE5017C">
            <w:pPr>
              <w:pStyle w:val="16"/>
              <w:rPr>
                <w:rFonts w:hint="eastAsia" w:cs="Times New Roman"/>
                <w:color w:val="auto"/>
                <w:kern w:val="2"/>
                <w:sz w:val="24"/>
                <w:szCs w:val="24"/>
                <w:lang w:val="en-US" w:eastAsia="zh-CN" w:bidi="ar-SA"/>
              </w:rPr>
            </w:pPr>
            <w:r>
              <w:rPr>
                <w:rFonts w:hint="eastAsia" w:cs="Times New Roman"/>
                <w:color w:val="auto"/>
                <w:kern w:val="2"/>
                <w:sz w:val="24"/>
                <w:szCs w:val="24"/>
                <w:lang w:val="en-US" w:eastAsia="zh-CN" w:bidi="ar-SA"/>
              </w:rPr>
              <w:t>项目环境保护竣工验收监测计划如下：</w:t>
            </w:r>
          </w:p>
          <w:p w14:paraId="60DF02CB">
            <w:pPr>
              <w:pStyle w:val="30"/>
              <w:bidi w:val="0"/>
              <w:rPr>
                <w:rFonts w:hint="default"/>
                <w:color w:val="auto"/>
                <w:lang w:val="en-US" w:eastAsia="zh-CN"/>
              </w:rPr>
            </w:pPr>
            <w:r>
              <w:rPr>
                <w:rFonts w:hint="eastAsia"/>
                <w:color w:val="auto"/>
                <w:lang w:val="en-US" w:eastAsia="zh-CN"/>
              </w:rPr>
              <w:t>表4-16 废水竣工环保验收监测方案一览表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
              <w:gridCol w:w="1301"/>
              <w:gridCol w:w="1040"/>
              <w:gridCol w:w="1837"/>
              <w:gridCol w:w="1309"/>
              <w:gridCol w:w="1310"/>
            </w:tblGrid>
            <w:tr w14:paraId="1B2C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vAlign w:val="center"/>
                </w:tcPr>
                <w:p w14:paraId="6928ABC2">
                  <w:pPr>
                    <w:pStyle w:val="29"/>
                    <w:bidi w:val="0"/>
                    <w:rPr>
                      <w:rFonts w:hint="default"/>
                      <w:color w:val="auto"/>
                      <w:lang w:val="en-US" w:eastAsia="zh-CN"/>
                    </w:rPr>
                  </w:pPr>
                  <w:r>
                    <w:rPr>
                      <w:rFonts w:hint="eastAsia"/>
                      <w:color w:val="auto"/>
                      <w:lang w:val="en-US" w:eastAsia="zh-CN"/>
                    </w:rPr>
                    <w:t>排放口名称</w:t>
                  </w:r>
                </w:p>
              </w:tc>
              <w:tc>
                <w:tcPr>
                  <w:tcW w:w="801" w:type="pct"/>
                  <w:vAlign w:val="center"/>
                </w:tcPr>
                <w:p w14:paraId="4C61AF42">
                  <w:pPr>
                    <w:pStyle w:val="29"/>
                    <w:bidi w:val="0"/>
                    <w:rPr>
                      <w:rFonts w:hint="default"/>
                      <w:color w:val="auto"/>
                      <w:lang w:val="en-US" w:eastAsia="zh-CN"/>
                    </w:rPr>
                  </w:pPr>
                  <w:r>
                    <w:rPr>
                      <w:rFonts w:hint="eastAsia"/>
                      <w:color w:val="auto"/>
                      <w:lang w:val="en-US" w:eastAsia="zh-CN"/>
                    </w:rPr>
                    <w:t>监测点位</w:t>
                  </w:r>
                </w:p>
              </w:tc>
              <w:tc>
                <w:tcPr>
                  <w:tcW w:w="669" w:type="pct"/>
                  <w:vAlign w:val="center"/>
                </w:tcPr>
                <w:p w14:paraId="1D07FD2A">
                  <w:pPr>
                    <w:pStyle w:val="29"/>
                    <w:bidi w:val="0"/>
                    <w:rPr>
                      <w:rFonts w:hint="default"/>
                      <w:color w:val="auto"/>
                      <w:lang w:val="en-US" w:eastAsia="zh-CN"/>
                    </w:rPr>
                  </w:pPr>
                  <w:r>
                    <w:rPr>
                      <w:rFonts w:hint="eastAsia"/>
                      <w:color w:val="auto"/>
                      <w:lang w:val="en-US" w:eastAsia="zh-CN"/>
                    </w:rPr>
                    <w:t>排放口性质</w:t>
                  </w:r>
                </w:p>
              </w:tc>
              <w:tc>
                <w:tcPr>
                  <w:tcW w:w="1177" w:type="pct"/>
                  <w:vAlign w:val="center"/>
                </w:tcPr>
                <w:p w14:paraId="6A1C0C72">
                  <w:pPr>
                    <w:pStyle w:val="29"/>
                    <w:bidi w:val="0"/>
                    <w:rPr>
                      <w:rFonts w:hint="default"/>
                      <w:color w:val="auto"/>
                      <w:lang w:val="en-US" w:eastAsia="zh-CN"/>
                    </w:rPr>
                  </w:pPr>
                  <w:r>
                    <w:rPr>
                      <w:rFonts w:hint="eastAsia"/>
                      <w:color w:val="auto"/>
                      <w:lang w:val="en-US" w:eastAsia="zh-CN"/>
                    </w:rPr>
                    <w:t>监测因子</w:t>
                  </w:r>
                </w:p>
              </w:tc>
              <w:tc>
                <w:tcPr>
                  <w:tcW w:w="840" w:type="pct"/>
                  <w:vAlign w:val="center"/>
                </w:tcPr>
                <w:p w14:paraId="5BCE3AF7">
                  <w:pPr>
                    <w:pStyle w:val="29"/>
                    <w:bidi w:val="0"/>
                    <w:rPr>
                      <w:rFonts w:hint="default"/>
                      <w:color w:val="auto"/>
                      <w:lang w:val="en-US" w:eastAsia="zh-CN"/>
                    </w:rPr>
                  </w:pPr>
                  <w:r>
                    <w:rPr>
                      <w:rFonts w:hint="eastAsia"/>
                      <w:color w:val="auto"/>
                      <w:lang w:val="en-US" w:eastAsia="zh-CN"/>
                    </w:rPr>
                    <w:t>监测频次</w:t>
                  </w:r>
                </w:p>
              </w:tc>
              <w:tc>
                <w:tcPr>
                  <w:tcW w:w="840" w:type="pct"/>
                  <w:vAlign w:val="center"/>
                </w:tcPr>
                <w:p w14:paraId="0C451B44">
                  <w:pPr>
                    <w:pStyle w:val="29"/>
                    <w:bidi w:val="0"/>
                    <w:rPr>
                      <w:rFonts w:hint="default"/>
                      <w:color w:val="auto"/>
                      <w:lang w:val="en-US" w:eastAsia="zh-CN"/>
                    </w:rPr>
                  </w:pPr>
                  <w:r>
                    <w:rPr>
                      <w:rFonts w:hint="eastAsia"/>
                      <w:color w:val="auto"/>
                      <w:lang w:val="en-US" w:eastAsia="zh-CN"/>
                    </w:rPr>
                    <w:t>备注</w:t>
                  </w:r>
                </w:p>
              </w:tc>
            </w:tr>
            <w:tr w14:paraId="6B18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vAlign w:val="center"/>
                </w:tcPr>
                <w:p w14:paraId="22923D10">
                  <w:pPr>
                    <w:pStyle w:val="29"/>
                    <w:bidi w:val="0"/>
                    <w:rPr>
                      <w:rFonts w:hint="default"/>
                      <w:color w:val="auto"/>
                      <w:lang w:val="en-US" w:eastAsia="zh-CN"/>
                    </w:rPr>
                  </w:pPr>
                  <w:r>
                    <w:rPr>
                      <w:rFonts w:hint="eastAsia"/>
                      <w:color w:val="auto"/>
                      <w:lang w:val="en-US" w:eastAsia="zh-CN"/>
                    </w:rPr>
                    <w:t>生产废水排放口</w:t>
                  </w:r>
                </w:p>
              </w:tc>
              <w:tc>
                <w:tcPr>
                  <w:tcW w:w="801" w:type="pct"/>
                  <w:vAlign w:val="center"/>
                </w:tcPr>
                <w:p w14:paraId="23109ABD">
                  <w:pPr>
                    <w:pStyle w:val="29"/>
                    <w:bidi w:val="0"/>
                    <w:rPr>
                      <w:rFonts w:hint="default"/>
                      <w:color w:val="auto"/>
                      <w:lang w:val="en-US" w:eastAsia="zh-CN"/>
                    </w:rPr>
                  </w:pPr>
                  <w:r>
                    <w:rPr>
                      <w:rFonts w:hint="eastAsia"/>
                      <w:color w:val="auto"/>
                      <w:lang w:val="en-US" w:eastAsia="zh-CN"/>
                    </w:rPr>
                    <w:t>一体化污水处理设施的出水端（DW001）</w:t>
                  </w:r>
                </w:p>
              </w:tc>
              <w:tc>
                <w:tcPr>
                  <w:tcW w:w="669" w:type="pct"/>
                  <w:vAlign w:val="center"/>
                </w:tcPr>
                <w:p w14:paraId="60F4D2DD">
                  <w:pPr>
                    <w:pStyle w:val="29"/>
                    <w:bidi w:val="0"/>
                    <w:rPr>
                      <w:rFonts w:hint="default"/>
                      <w:color w:val="auto"/>
                      <w:lang w:val="en-US" w:eastAsia="zh-CN"/>
                    </w:rPr>
                  </w:pPr>
                  <w:r>
                    <w:rPr>
                      <w:rFonts w:hint="eastAsia"/>
                      <w:color w:val="auto"/>
                      <w:lang w:val="en-US" w:eastAsia="zh-CN"/>
                    </w:rPr>
                    <w:t>一般排放口</w:t>
                  </w:r>
                </w:p>
              </w:tc>
              <w:tc>
                <w:tcPr>
                  <w:tcW w:w="1177" w:type="pct"/>
                  <w:vAlign w:val="center"/>
                </w:tcPr>
                <w:p w14:paraId="657219D5">
                  <w:pPr>
                    <w:pStyle w:val="29"/>
                    <w:bidi w:val="0"/>
                    <w:rPr>
                      <w:rFonts w:hint="eastAsia"/>
                      <w:color w:val="auto"/>
                      <w:lang w:eastAsia="zh-CN"/>
                    </w:rPr>
                  </w:pPr>
                  <w:r>
                    <w:rPr>
                      <w:rFonts w:hint="eastAsia"/>
                      <w:color w:val="auto"/>
                      <w:lang w:eastAsia="zh-CN"/>
                    </w:rPr>
                    <w:t>pH（无量纲）、色度（倍）、悬浮物SS、BOD</w:t>
                  </w:r>
                  <w:r>
                    <w:rPr>
                      <w:rFonts w:hint="eastAsia"/>
                      <w:color w:val="auto"/>
                      <w:vertAlign w:val="subscript"/>
                      <w:lang w:eastAsia="zh-CN"/>
                    </w:rPr>
                    <w:t>5</w:t>
                  </w:r>
                  <w:r>
                    <w:rPr>
                      <w:rFonts w:hint="eastAsia"/>
                      <w:color w:val="auto"/>
                      <w:lang w:eastAsia="zh-CN"/>
                    </w:rPr>
                    <w:t>、COD</w:t>
                  </w:r>
                  <w:r>
                    <w:rPr>
                      <w:rFonts w:hint="eastAsia"/>
                      <w:color w:val="auto"/>
                      <w:vertAlign w:val="subscript"/>
                      <w:lang w:val="en-US" w:eastAsia="zh-CN"/>
                    </w:rPr>
                    <w:t>cr</w:t>
                  </w:r>
                  <w:r>
                    <w:rPr>
                      <w:rFonts w:hint="eastAsia"/>
                      <w:color w:val="auto"/>
                      <w:lang w:val="en-US" w:eastAsia="zh-CN"/>
                    </w:rPr>
                    <w:t>、</w:t>
                  </w:r>
                  <w:r>
                    <w:rPr>
                      <w:rFonts w:hint="eastAsia"/>
                      <w:color w:val="auto"/>
                      <w:lang w:eastAsia="zh-CN"/>
                    </w:rPr>
                    <w:t>氨氮、总磷、总氮</w:t>
                  </w:r>
                </w:p>
              </w:tc>
              <w:tc>
                <w:tcPr>
                  <w:tcW w:w="840" w:type="pct"/>
                  <w:vAlign w:val="center"/>
                </w:tcPr>
                <w:p w14:paraId="44D98A9D">
                  <w:pPr>
                    <w:pStyle w:val="29"/>
                    <w:bidi w:val="0"/>
                    <w:rPr>
                      <w:rFonts w:hint="default"/>
                      <w:color w:val="auto"/>
                      <w:lang w:val="en-US" w:eastAsia="zh-CN"/>
                    </w:rPr>
                  </w:pPr>
                  <w:r>
                    <w:rPr>
                      <w:rFonts w:hint="eastAsia"/>
                      <w:color w:val="auto"/>
                      <w:lang w:val="en-US" w:eastAsia="zh-CN"/>
                    </w:rPr>
                    <w:t>连续监测2天，每天监测4次</w:t>
                  </w:r>
                </w:p>
              </w:tc>
              <w:tc>
                <w:tcPr>
                  <w:tcW w:w="840" w:type="pct"/>
                  <w:vAlign w:val="center"/>
                </w:tcPr>
                <w:p w14:paraId="185D9513">
                  <w:pPr>
                    <w:pStyle w:val="29"/>
                    <w:bidi w:val="0"/>
                    <w:rPr>
                      <w:rFonts w:hint="default"/>
                      <w:color w:val="auto"/>
                      <w:lang w:val="en-US" w:eastAsia="zh-CN"/>
                    </w:rPr>
                  </w:pPr>
                  <w:r>
                    <w:rPr>
                      <w:rFonts w:hint="eastAsia"/>
                      <w:color w:val="auto"/>
                      <w:lang w:val="en-US" w:eastAsia="zh-CN"/>
                    </w:rPr>
                    <w:t>自行监测</w:t>
                  </w:r>
                </w:p>
              </w:tc>
            </w:tr>
            <w:tr w14:paraId="6D8AD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pct"/>
                  <w:vAlign w:val="center"/>
                </w:tcPr>
                <w:p w14:paraId="252DC856">
                  <w:pPr>
                    <w:pStyle w:val="29"/>
                    <w:bidi w:val="0"/>
                    <w:rPr>
                      <w:rFonts w:hint="default"/>
                      <w:color w:val="auto"/>
                      <w:lang w:val="en-US" w:eastAsia="zh-CN"/>
                    </w:rPr>
                  </w:pPr>
                  <w:r>
                    <w:rPr>
                      <w:rFonts w:hint="eastAsia"/>
                      <w:color w:val="auto"/>
                      <w:lang w:val="en-US" w:eastAsia="zh-CN"/>
                    </w:rPr>
                    <w:t>生活污水排放口</w:t>
                  </w:r>
                </w:p>
              </w:tc>
              <w:tc>
                <w:tcPr>
                  <w:tcW w:w="801" w:type="pct"/>
                  <w:vAlign w:val="center"/>
                </w:tcPr>
                <w:p w14:paraId="4517B3B1">
                  <w:pPr>
                    <w:pStyle w:val="29"/>
                    <w:bidi w:val="0"/>
                    <w:rPr>
                      <w:rFonts w:hint="default"/>
                      <w:color w:val="auto"/>
                      <w:lang w:val="en-US" w:eastAsia="zh-CN"/>
                    </w:rPr>
                  </w:pPr>
                  <w:r>
                    <w:rPr>
                      <w:rFonts w:hint="eastAsia"/>
                      <w:color w:val="auto"/>
                      <w:lang w:val="en-US" w:eastAsia="zh-CN"/>
                    </w:rPr>
                    <w:t>/</w:t>
                  </w:r>
                </w:p>
              </w:tc>
              <w:tc>
                <w:tcPr>
                  <w:tcW w:w="669" w:type="pct"/>
                  <w:vAlign w:val="center"/>
                </w:tcPr>
                <w:p w14:paraId="115C1F63">
                  <w:pPr>
                    <w:pStyle w:val="29"/>
                    <w:bidi w:val="0"/>
                    <w:rPr>
                      <w:rFonts w:hint="default"/>
                      <w:color w:val="auto"/>
                      <w:lang w:val="en-US" w:eastAsia="zh-CN"/>
                    </w:rPr>
                  </w:pPr>
                  <w:r>
                    <w:rPr>
                      <w:rFonts w:hint="eastAsia"/>
                      <w:color w:val="auto"/>
                      <w:lang w:val="en-US" w:eastAsia="zh-CN"/>
                    </w:rPr>
                    <w:t>/</w:t>
                  </w:r>
                </w:p>
              </w:tc>
              <w:tc>
                <w:tcPr>
                  <w:tcW w:w="1177" w:type="pct"/>
                  <w:vAlign w:val="center"/>
                </w:tcPr>
                <w:p w14:paraId="7E27F72A">
                  <w:pPr>
                    <w:pStyle w:val="29"/>
                    <w:bidi w:val="0"/>
                    <w:rPr>
                      <w:rFonts w:hint="eastAsia"/>
                      <w:color w:val="auto"/>
                      <w:lang w:eastAsia="zh-CN"/>
                    </w:rPr>
                  </w:pPr>
                  <w:r>
                    <w:rPr>
                      <w:rFonts w:hint="eastAsia"/>
                      <w:color w:val="auto"/>
                      <w:lang w:eastAsia="zh-CN"/>
                    </w:rPr>
                    <w:t>pH（无量纲）、色度（倍）、悬浮物SS、BOD</w:t>
                  </w:r>
                  <w:r>
                    <w:rPr>
                      <w:rFonts w:hint="eastAsia"/>
                      <w:color w:val="auto"/>
                      <w:vertAlign w:val="subscript"/>
                      <w:lang w:eastAsia="zh-CN"/>
                    </w:rPr>
                    <w:t>5</w:t>
                  </w:r>
                  <w:r>
                    <w:rPr>
                      <w:rFonts w:hint="eastAsia"/>
                      <w:color w:val="auto"/>
                      <w:lang w:eastAsia="zh-CN"/>
                    </w:rPr>
                    <w:t>、COD</w:t>
                  </w:r>
                  <w:r>
                    <w:rPr>
                      <w:rFonts w:hint="eastAsia"/>
                      <w:color w:val="auto"/>
                      <w:vertAlign w:val="subscript"/>
                      <w:lang w:val="en-US" w:eastAsia="zh-CN"/>
                    </w:rPr>
                    <w:t>cr</w:t>
                  </w:r>
                  <w:r>
                    <w:rPr>
                      <w:rFonts w:hint="eastAsia"/>
                      <w:color w:val="auto"/>
                      <w:lang w:val="en-US" w:eastAsia="zh-CN"/>
                    </w:rPr>
                    <w:t>、</w:t>
                  </w:r>
                  <w:r>
                    <w:rPr>
                      <w:rFonts w:hint="eastAsia"/>
                      <w:color w:val="auto"/>
                      <w:lang w:eastAsia="zh-CN"/>
                    </w:rPr>
                    <w:t>氨氮、总磷、总氮</w:t>
                  </w:r>
                </w:p>
              </w:tc>
              <w:tc>
                <w:tcPr>
                  <w:tcW w:w="840" w:type="pct"/>
                  <w:vAlign w:val="center"/>
                </w:tcPr>
                <w:p w14:paraId="4EE3661C">
                  <w:pPr>
                    <w:pStyle w:val="29"/>
                    <w:bidi w:val="0"/>
                    <w:rPr>
                      <w:rFonts w:hint="eastAsia"/>
                      <w:color w:val="auto"/>
                      <w:lang w:val="en-US" w:eastAsia="zh-CN"/>
                    </w:rPr>
                  </w:pPr>
                  <w:r>
                    <w:rPr>
                      <w:rFonts w:hint="eastAsia"/>
                      <w:color w:val="auto"/>
                      <w:lang w:val="en-US" w:eastAsia="zh-CN"/>
                    </w:rPr>
                    <w:t>/</w:t>
                  </w:r>
                </w:p>
              </w:tc>
              <w:tc>
                <w:tcPr>
                  <w:tcW w:w="840" w:type="pct"/>
                  <w:vAlign w:val="center"/>
                </w:tcPr>
                <w:p w14:paraId="60DD1275">
                  <w:pPr>
                    <w:pStyle w:val="29"/>
                    <w:bidi w:val="0"/>
                    <w:rPr>
                      <w:rFonts w:hint="eastAsia"/>
                      <w:color w:val="auto"/>
                      <w:lang w:val="en-US" w:eastAsia="zh-CN"/>
                    </w:rPr>
                  </w:pPr>
                  <w:r>
                    <w:rPr>
                      <w:rFonts w:hint="eastAsia"/>
                      <w:color w:val="auto"/>
                      <w:lang w:val="en-US" w:eastAsia="zh-CN"/>
                    </w:rPr>
                    <w:t>依托园区已建排口，不设置单独外排口</w:t>
                  </w:r>
                </w:p>
              </w:tc>
            </w:tr>
          </w:tbl>
          <w:p w14:paraId="79A8BA75">
            <w:pPr>
              <w:bidi w:val="0"/>
              <w:rPr>
                <w:rFonts w:hint="default"/>
                <w:b/>
                <w:bCs/>
                <w:color w:val="auto"/>
                <w:lang w:val="en-US" w:eastAsia="zh-CN"/>
              </w:rPr>
            </w:pPr>
            <w:r>
              <w:rPr>
                <w:rFonts w:hint="eastAsia"/>
                <w:b/>
                <w:bCs/>
                <w:color w:val="auto"/>
                <w:lang w:val="en-US" w:eastAsia="zh-CN"/>
              </w:rPr>
              <w:t>2、自行监测</w:t>
            </w:r>
          </w:p>
          <w:p w14:paraId="37BEE76A">
            <w:pPr>
              <w:bidi w:val="0"/>
              <w:rPr>
                <w:rFonts w:hint="eastAsia"/>
                <w:b w:val="0"/>
                <w:bCs w:val="0"/>
                <w:color w:val="auto"/>
                <w:lang w:val="en-US" w:eastAsia="zh-CN"/>
              </w:rPr>
            </w:pPr>
            <w:r>
              <w:rPr>
                <w:rFonts w:hint="eastAsia"/>
                <w:b w:val="0"/>
                <w:bCs w:val="0"/>
                <w:color w:val="auto"/>
                <w:lang w:val="en-US" w:eastAsia="zh-CN"/>
              </w:rPr>
              <w:t>本项目投入运营后，根据《排污许可证申请与核发技术规范酒、饮料制造工业》（HJ 1028-2019）和《排污单位自行监测技术指南酒、饮料制造》（HJ 1085-2020），废水监测要求如下表所示。</w:t>
            </w:r>
          </w:p>
          <w:p w14:paraId="54C82C2D">
            <w:pPr>
              <w:pStyle w:val="30"/>
              <w:spacing w:beforeLines="0" w:afterLines="0"/>
              <w:rPr>
                <w:rFonts w:hint="eastAsia" w:eastAsia="Times New Roman"/>
                <w:color w:val="auto"/>
                <w:sz w:val="21"/>
                <w:szCs w:val="24"/>
              </w:rPr>
            </w:pPr>
            <w:r>
              <w:rPr>
                <w:rFonts w:hint="eastAsia"/>
                <w:color w:val="auto"/>
                <w:sz w:val="21"/>
                <w:szCs w:val="24"/>
              </w:rPr>
              <w:t>表4-1</w:t>
            </w:r>
            <w:r>
              <w:rPr>
                <w:rFonts w:hint="eastAsia"/>
                <w:color w:val="auto"/>
                <w:sz w:val="21"/>
                <w:szCs w:val="24"/>
                <w:lang w:val="en-US" w:eastAsia="zh-CN"/>
              </w:rPr>
              <w:t>7</w:t>
            </w:r>
            <w:r>
              <w:rPr>
                <w:rFonts w:hint="eastAsia"/>
                <w:color w:val="auto"/>
                <w:sz w:val="21"/>
                <w:szCs w:val="24"/>
              </w:rPr>
              <w:t xml:space="preserve"> </w:t>
            </w:r>
            <w:r>
              <w:rPr>
                <w:rFonts w:hint="eastAsia"/>
                <w:color w:val="auto"/>
                <w:sz w:val="21"/>
                <w:szCs w:val="24"/>
                <w:lang w:val="en-US" w:eastAsia="zh-CN"/>
              </w:rPr>
              <w:t>废水</w:t>
            </w:r>
            <w:r>
              <w:rPr>
                <w:rFonts w:hint="eastAsia"/>
                <w:color w:val="auto"/>
                <w:sz w:val="21"/>
                <w:szCs w:val="24"/>
              </w:rPr>
              <w:t>自行监测方案一览表</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2"/>
              <w:gridCol w:w="1510"/>
              <w:gridCol w:w="1262"/>
              <w:gridCol w:w="2218"/>
              <w:gridCol w:w="1585"/>
            </w:tblGrid>
            <w:tr w14:paraId="06773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29BDF5B">
                  <w:pPr>
                    <w:pStyle w:val="29"/>
                    <w:bidi w:val="0"/>
                    <w:rPr>
                      <w:rFonts w:hint="eastAsia"/>
                      <w:color w:val="auto"/>
                    </w:rPr>
                  </w:pPr>
                  <w:r>
                    <w:rPr>
                      <w:rFonts w:hint="eastAsia"/>
                      <w:color w:val="auto"/>
                      <w:lang w:val="en-US" w:eastAsia="zh-CN"/>
                    </w:rPr>
                    <w:t>监测项目</w:t>
                  </w:r>
                </w:p>
              </w:tc>
              <w:tc>
                <w:tcPr>
                  <w:tcW w:w="963"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8DEBE4">
                  <w:pPr>
                    <w:pStyle w:val="29"/>
                    <w:bidi w:val="0"/>
                    <w:rPr>
                      <w:rFonts w:hint="eastAsia"/>
                      <w:color w:val="auto"/>
                    </w:rPr>
                  </w:pPr>
                  <w:r>
                    <w:rPr>
                      <w:rFonts w:hint="eastAsia"/>
                      <w:color w:val="auto"/>
                    </w:rPr>
                    <w:t>监测点位</w:t>
                  </w:r>
                </w:p>
              </w:tc>
              <w:tc>
                <w:tcPr>
                  <w:tcW w:w="8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F5B04CC">
                  <w:pPr>
                    <w:pStyle w:val="29"/>
                    <w:bidi w:val="0"/>
                    <w:rPr>
                      <w:rFonts w:hint="eastAsia"/>
                      <w:color w:val="auto"/>
                    </w:rPr>
                  </w:pPr>
                  <w:r>
                    <w:rPr>
                      <w:rFonts w:hint="eastAsia"/>
                      <w:color w:val="auto"/>
                    </w:rPr>
                    <w:t>排放口性质</w:t>
                  </w:r>
                </w:p>
              </w:tc>
              <w:tc>
                <w:tcPr>
                  <w:tcW w:w="1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455F4F">
                  <w:pPr>
                    <w:pStyle w:val="29"/>
                    <w:bidi w:val="0"/>
                    <w:rPr>
                      <w:rFonts w:hint="eastAsia"/>
                      <w:color w:val="auto"/>
                    </w:rPr>
                  </w:pPr>
                  <w:r>
                    <w:rPr>
                      <w:rFonts w:hint="eastAsia"/>
                      <w:color w:val="auto"/>
                    </w:rPr>
                    <w:t>监测因子</w:t>
                  </w:r>
                </w:p>
              </w:tc>
              <w:tc>
                <w:tcPr>
                  <w:tcW w:w="101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1E4B8E3">
                  <w:pPr>
                    <w:pStyle w:val="29"/>
                    <w:bidi w:val="0"/>
                    <w:rPr>
                      <w:rFonts w:hint="eastAsia"/>
                      <w:color w:val="auto"/>
                    </w:rPr>
                  </w:pPr>
                  <w:r>
                    <w:rPr>
                      <w:rFonts w:hint="eastAsia"/>
                      <w:color w:val="auto"/>
                    </w:rPr>
                    <w:t>监测频次</w:t>
                  </w:r>
                </w:p>
              </w:tc>
            </w:tr>
            <w:tr w14:paraId="432D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2"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DA9AC9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生产废水排放口</w:t>
                  </w:r>
                </w:p>
              </w:tc>
              <w:tc>
                <w:tcPr>
                  <w:tcW w:w="1510"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1BBCCA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一体化污水处理设施的出水端（DW001）</w:t>
                  </w:r>
                </w:p>
              </w:tc>
              <w:tc>
                <w:tcPr>
                  <w:tcW w:w="8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D07D932">
                  <w:pPr>
                    <w:pStyle w:val="29"/>
                    <w:bidi w:val="0"/>
                    <w:rPr>
                      <w:rFonts w:hint="eastAsia"/>
                      <w:color w:val="auto"/>
                    </w:rPr>
                  </w:pPr>
                  <w:r>
                    <w:rPr>
                      <w:rFonts w:hint="eastAsia"/>
                      <w:color w:val="auto"/>
                    </w:rPr>
                    <w:t>一般排放口</w:t>
                  </w:r>
                </w:p>
              </w:tc>
              <w:tc>
                <w:tcPr>
                  <w:tcW w:w="141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22FB51DE">
                  <w:pPr>
                    <w:pStyle w:val="29"/>
                    <w:bidi w:val="0"/>
                    <w:rPr>
                      <w:rFonts w:hint="eastAsia"/>
                      <w:color w:val="auto"/>
                    </w:rPr>
                  </w:pPr>
                  <w:r>
                    <w:rPr>
                      <w:rFonts w:hint="eastAsia"/>
                      <w:color w:val="auto"/>
                    </w:rPr>
                    <w:t>pH（无量纲）、色度（倍）、悬浮物SS、BOD</w:t>
                  </w:r>
                  <w:r>
                    <w:rPr>
                      <w:rFonts w:hint="eastAsia"/>
                      <w:color w:val="auto"/>
                      <w:vertAlign w:val="subscript"/>
                    </w:rPr>
                    <w:t>5</w:t>
                  </w:r>
                  <w:r>
                    <w:rPr>
                      <w:rFonts w:hint="eastAsia"/>
                      <w:color w:val="auto"/>
                    </w:rPr>
                    <w:t>、COD</w:t>
                  </w:r>
                  <w:r>
                    <w:rPr>
                      <w:rFonts w:hint="eastAsia"/>
                      <w:color w:val="auto"/>
                      <w:vertAlign w:val="subscript"/>
                    </w:rPr>
                    <w:t>cr</w:t>
                  </w:r>
                  <w:r>
                    <w:rPr>
                      <w:rFonts w:hint="eastAsia"/>
                      <w:color w:val="auto"/>
                    </w:rPr>
                    <w:t>、氨氮、总磷、总氮</w:t>
                  </w:r>
                </w:p>
              </w:tc>
              <w:tc>
                <w:tcPr>
                  <w:tcW w:w="1011"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E053EDD">
                  <w:pPr>
                    <w:pStyle w:val="29"/>
                    <w:bidi w:val="0"/>
                    <w:rPr>
                      <w:rFonts w:hint="default" w:eastAsia="宋体"/>
                      <w:color w:val="auto"/>
                      <w:lang w:val="en-US" w:eastAsia="zh-CN"/>
                    </w:rPr>
                  </w:pPr>
                  <w:r>
                    <w:rPr>
                      <w:rFonts w:hint="eastAsia"/>
                      <w:color w:val="auto"/>
                      <w:lang w:val="en-US" w:eastAsia="zh-CN"/>
                    </w:rPr>
                    <w:t>1次/半年</w:t>
                  </w:r>
                </w:p>
              </w:tc>
            </w:tr>
          </w:tbl>
          <w:p w14:paraId="46A6519E">
            <w:pPr>
              <w:bidi w:val="0"/>
              <w:rPr>
                <w:rFonts w:hint="default"/>
                <w:b/>
                <w:bCs/>
                <w:color w:val="auto"/>
              </w:rPr>
            </w:pPr>
            <w:r>
              <w:rPr>
                <w:rFonts w:hint="eastAsia"/>
                <w:b/>
                <w:bCs/>
                <w:color w:val="auto"/>
                <w:lang w:eastAsia="zh-CN"/>
              </w:rPr>
              <w:t>三、</w:t>
            </w:r>
            <w:r>
              <w:rPr>
                <w:b/>
                <w:bCs/>
                <w:color w:val="auto"/>
              </w:rPr>
              <w:t>噪声</w:t>
            </w:r>
          </w:p>
          <w:p w14:paraId="46C99B5D">
            <w:pPr>
              <w:ind w:firstLine="482"/>
              <w:rPr>
                <w:b/>
                <w:bCs/>
                <w:color w:val="auto"/>
              </w:rPr>
            </w:pPr>
            <w:r>
              <w:rPr>
                <w:rFonts w:hint="eastAsia"/>
                <w:b/>
                <w:bCs/>
                <w:color w:val="auto"/>
              </w:rPr>
              <w:t>（一）噪声源强及治理措施</w:t>
            </w:r>
          </w:p>
          <w:p w14:paraId="6DC4D003">
            <w:pPr>
              <w:ind w:firstLine="482"/>
              <w:rPr>
                <w:b/>
                <w:bCs/>
                <w:color w:val="auto"/>
              </w:rPr>
            </w:pPr>
            <w:r>
              <w:rPr>
                <w:rFonts w:hint="eastAsia"/>
                <w:b/>
                <w:bCs/>
                <w:color w:val="auto"/>
              </w:rPr>
              <w:t>1</w:t>
            </w:r>
            <w:r>
              <w:rPr>
                <w:rFonts w:hint="eastAsia"/>
                <w:b/>
                <w:bCs/>
                <w:color w:val="auto"/>
                <w:lang w:eastAsia="zh-CN"/>
              </w:rPr>
              <w:t>、</w:t>
            </w:r>
            <w:r>
              <w:rPr>
                <w:rFonts w:hint="eastAsia"/>
                <w:b/>
                <w:bCs/>
                <w:color w:val="auto"/>
              </w:rPr>
              <w:t>车辆交通噪声</w:t>
            </w:r>
          </w:p>
          <w:p w14:paraId="1E195C12">
            <w:pPr>
              <w:spacing w:beforeLines="0" w:afterLines="0"/>
              <w:ind w:firstLine="480"/>
              <w:rPr>
                <w:rFonts w:hint="eastAsia" w:ascii="宋体" w:hAnsi="宋体" w:eastAsia="宋体" w:cs="宋体"/>
                <w:color w:val="auto"/>
                <w:sz w:val="24"/>
                <w:szCs w:val="24"/>
              </w:rPr>
            </w:pPr>
            <w:r>
              <w:rPr>
                <w:rFonts w:hint="eastAsia" w:eastAsia="宋体"/>
                <w:color w:val="auto"/>
                <w:sz w:val="24"/>
                <w:szCs w:val="24"/>
              </w:rPr>
              <w:t>运营期车辆噪声主要来自运输车辆，机动车噪声值一般在80～85dB(A)，为减轻运输对居民的影响，环评要求：a.加强进出车辆管理。项目内禁鸣喇叭，设置禁鸣标识，尽量减少机动车频繁启运和怠速，规范进入项目内车辆的停车秩序等措施，能有效降低车辆噪声10～15dB；b.合理安排运输车次和运输时间，避免道路拥堵，在敏感路段设置限速和禁鸣路牌；c.加强对运输汽车驾驶员的管理，汽车临近沿途村镇路段时要减速行驶(≤10km/h)、禁止鸣高音喇叭，将运输时间控制在06:00～22:00时范围。</w:t>
            </w:r>
          </w:p>
          <w:p w14:paraId="1C7F8E17">
            <w:pPr>
              <w:ind w:firstLine="482"/>
              <w:rPr>
                <w:b/>
                <w:bCs/>
                <w:color w:val="auto"/>
              </w:rPr>
            </w:pPr>
            <w:r>
              <w:rPr>
                <w:rFonts w:hint="eastAsia"/>
                <w:b/>
                <w:bCs/>
                <w:color w:val="auto"/>
              </w:rPr>
              <w:t>2</w:t>
            </w:r>
            <w:r>
              <w:rPr>
                <w:rFonts w:hint="eastAsia"/>
                <w:b/>
                <w:bCs/>
                <w:color w:val="auto"/>
                <w:lang w:eastAsia="zh-CN"/>
              </w:rPr>
              <w:t>、</w:t>
            </w:r>
            <w:r>
              <w:rPr>
                <w:rFonts w:hint="eastAsia"/>
                <w:b/>
                <w:bCs/>
                <w:color w:val="auto"/>
              </w:rPr>
              <w:t>设备噪声</w:t>
            </w:r>
          </w:p>
          <w:p w14:paraId="4D10E768">
            <w:pPr>
              <w:ind w:firstLine="480"/>
              <w:rPr>
                <w:color w:val="auto"/>
              </w:rPr>
            </w:pPr>
            <w:r>
              <w:rPr>
                <w:rFonts w:hint="eastAsia"/>
                <w:color w:val="auto"/>
              </w:rPr>
              <w:t>本项目高噪声设备主要为</w:t>
            </w:r>
            <w:r>
              <w:rPr>
                <w:rFonts w:hint="eastAsia"/>
                <w:color w:val="auto"/>
                <w:lang w:val="en-US" w:eastAsia="zh-CN"/>
              </w:rPr>
              <w:t>粉碎机</w:t>
            </w:r>
            <w:r>
              <w:rPr>
                <w:rFonts w:hint="eastAsia"/>
                <w:color w:val="auto"/>
                <w:lang w:eastAsia="zh-CN"/>
              </w:rPr>
              <w:t>、</w:t>
            </w:r>
            <w:r>
              <w:rPr>
                <w:rFonts w:hint="eastAsia"/>
                <w:color w:val="auto"/>
                <w:lang w:val="en-US" w:eastAsia="zh-CN"/>
              </w:rPr>
              <w:t>灌装机、打码机、贴标机</w:t>
            </w:r>
            <w:r>
              <w:rPr>
                <w:rFonts w:hint="eastAsia"/>
                <w:color w:val="auto"/>
                <w:lang w:eastAsia="zh-CN"/>
              </w:rPr>
              <w:t>、CIP系统洗罐机、</w:t>
            </w:r>
            <w:r>
              <w:rPr>
                <w:rFonts w:hint="eastAsia"/>
                <w:color w:val="auto"/>
                <w:lang w:val="en-US" w:eastAsia="zh-CN"/>
              </w:rPr>
              <w:t>巴杀机、瞬杀机、空压机</w:t>
            </w:r>
            <w:r>
              <w:rPr>
                <w:rFonts w:hint="eastAsia"/>
                <w:color w:val="auto"/>
              </w:rPr>
              <w:t>、引风机</w:t>
            </w:r>
            <w:r>
              <w:rPr>
                <w:rFonts w:hint="eastAsia"/>
                <w:color w:val="auto"/>
                <w:lang w:eastAsia="zh-CN"/>
              </w:rPr>
              <w:t>、</w:t>
            </w:r>
            <w:r>
              <w:rPr>
                <w:rFonts w:hint="eastAsia"/>
                <w:color w:val="auto"/>
                <w:lang w:val="en-US" w:eastAsia="zh-CN"/>
              </w:rPr>
              <w:t>污水潜水泵</w:t>
            </w:r>
            <w:r>
              <w:rPr>
                <w:rFonts w:hint="eastAsia"/>
                <w:color w:val="auto"/>
              </w:rPr>
              <w:t>等，源强为</w:t>
            </w:r>
            <w:r>
              <w:rPr>
                <w:rFonts w:hint="eastAsia"/>
                <w:color w:val="auto"/>
                <w:lang w:val="en-US" w:eastAsia="zh-CN"/>
              </w:rPr>
              <w:t>70</w:t>
            </w:r>
            <w:r>
              <w:rPr>
                <w:rFonts w:hint="eastAsia"/>
                <w:color w:val="auto"/>
              </w:rPr>
              <w:t>～</w:t>
            </w:r>
            <w:r>
              <w:rPr>
                <w:rFonts w:hint="eastAsia"/>
                <w:color w:val="auto"/>
                <w:lang w:val="en-US" w:eastAsia="zh-CN"/>
              </w:rPr>
              <w:t>85</w:t>
            </w:r>
            <w:r>
              <w:rPr>
                <w:rFonts w:hint="eastAsia"/>
                <w:color w:val="auto"/>
              </w:rPr>
              <w:t>dB(A)（距声源1m处）</w:t>
            </w:r>
            <w:r>
              <w:rPr>
                <w:color w:val="auto"/>
              </w:rPr>
              <w:t>，噪声控制为设备减震以及距离衰减等</w:t>
            </w:r>
            <w:r>
              <w:rPr>
                <w:rFonts w:hint="eastAsia"/>
                <w:color w:val="auto"/>
              </w:rPr>
              <w:t>。本项目取总平面图中西厂界与南厂界延长线交点作为坐标原点（0，0，0），项目运营期间设备产生的</w:t>
            </w:r>
            <w:r>
              <w:rPr>
                <w:rFonts w:hint="eastAsia"/>
                <w:color w:val="auto"/>
                <w:lang w:eastAsia="zh-CN"/>
              </w:rPr>
              <w:t>包含室内</w:t>
            </w:r>
            <w:r>
              <w:rPr>
                <w:rFonts w:hint="eastAsia"/>
                <w:color w:val="auto"/>
              </w:rPr>
              <w:t>噪声</w:t>
            </w:r>
            <w:r>
              <w:rPr>
                <w:rFonts w:hint="eastAsia"/>
                <w:color w:val="auto"/>
                <w:lang w:eastAsia="zh-CN"/>
              </w:rPr>
              <w:t>和室外噪声，</w:t>
            </w:r>
            <w:r>
              <w:rPr>
                <w:rFonts w:hint="eastAsia"/>
                <w:color w:val="auto"/>
              </w:rPr>
              <w:t>源强见下表：</w:t>
            </w:r>
          </w:p>
        </w:tc>
      </w:tr>
    </w:tbl>
    <w:p w14:paraId="5B83926A">
      <w:pPr>
        <w:ind w:firstLine="0" w:firstLineChars="0"/>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0"/>
        <w:gridCol w:w="13854"/>
      </w:tblGrid>
      <w:tr w14:paraId="509C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0" w:type="dxa"/>
          </w:tcPr>
          <w:p w14:paraId="4B01741A">
            <w:pPr>
              <w:rPr>
                <w:rFonts w:hint="default"/>
                <w:color w:val="auto"/>
                <w:vertAlign w:val="baseline"/>
                <w:lang w:val="en-US" w:eastAsia="zh-CN"/>
              </w:rPr>
            </w:pPr>
          </w:p>
        </w:tc>
        <w:tc>
          <w:tcPr>
            <w:tcW w:w="13854" w:type="dxa"/>
          </w:tcPr>
          <w:p w14:paraId="0461ABFA">
            <w:pPr>
              <w:pStyle w:val="30"/>
              <w:bidi w:val="0"/>
              <w:rPr>
                <w:rFonts w:hint="eastAsia"/>
                <w:color w:val="auto"/>
                <w:lang w:val="en-US" w:eastAsia="zh-CN"/>
              </w:rPr>
            </w:pPr>
            <w:r>
              <w:rPr>
                <w:rFonts w:hint="eastAsia"/>
                <w:color w:val="auto"/>
                <w:lang w:val="en-US" w:eastAsia="zh-CN"/>
              </w:rPr>
              <w:t>表4-18  噪声源强调查清单（室内声源）</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0"/>
              <w:gridCol w:w="1481"/>
              <w:gridCol w:w="1162"/>
              <w:gridCol w:w="2105"/>
              <w:gridCol w:w="2484"/>
              <w:gridCol w:w="804"/>
              <w:gridCol w:w="807"/>
              <w:gridCol w:w="521"/>
              <w:gridCol w:w="793"/>
              <w:gridCol w:w="793"/>
              <w:gridCol w:w="813"/>
            </w:tblGrid>
            <w:tr w14:paraId="260C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Merge w:val="restart"/>
                  <w:vAlign w:val="center"/>
                </w:tcPr>
                <w:p w14:paraId="376CD0E0">
                  <w:pPr>
                    <w:pStyle w:val="29"/>
                    <w:bidi w:val="0"/>
                    <w:jc w:val="center"/>
                    <w:rPr>
                      <w:rFonts w:hint="default"/>
                      <w:color w:val="auto"/>
                      <w:lang w:val="en-US" w:eastAsia="zh-CN"/>
                    </w:rPr>
                  </w:pPr>
                  <w:r>
                    <w:rPr>
                      <w:rFonts w:hint="eastAsia"/>
                      <w:color w:val="auto"/>
                      <w:lang w:val="en-US" w:eastAsia="zh-CN"/>
                    </w:rPr>
                    <w:t>声源名称</w:t>
                  </w:r>
                </w:p>
              </w:tc>
              <w:tc>
                <w:tcPr>
                  <w:tcW w:w="543" w:type="pct"/>
                  <w:vMerge w:val="restart"/>
                  <w:vAlign w:val="center"/>
                </w:tcPr>
                <w:p w14:paraId="5359859F">
                  <w:pPr>
                    <w:pStyle w:val="29"/>
                    <w:bidi w:val="0"/>
                    <w:jc w:val="center"/>
                    <w:rPr>
                      <w:rFonts w:hint="default"/>
                      <w:color w:val="auto"/>
                      <w:lang w:val="en-US" w:eastAsia="zh-CN"/>
                    </w:rPr>
                  </w:pPr>
                  <w:r>
                    <w:rPr>
                      <w:rFonts w:hint="eastAsia"/>
                      <w:color w:val="auto"/>
                      <w:lang w:val="en-US" w:eastAsia="zh-CN"/>
                    </w:rPr>
                    <w:t>型号</w:t>
                  </w:r>
                </w:p>
              </w:tc>
              <w:tc>
                <w:tcPr>
                  <w:tcW w:w="426" w:type="pct"/>
                  <w:vMerge w:val="restart"/>
                  <w:vAlign w:val="center"/>
                </w:tcPr>
                <w:p w14:paraId="36B5BEFC">
                  <w:pPr>
                    <w:pStyle w:val="29"/>
                    <w:bidi w:val="0"/>
                    <w:jc w:val="center"/>
                    <w:rPr>
                      <w:rFonts w:hint="default"/>
                      <w:color w:val="auto"/>
                      <w:lang w:val="en-US" w:eastAsia="zh-CN"/>
                    </w:rPr>
                  </w:pPr>
                  <w:r>
                    <w:rPr>
                      <w:rFonts w:hint="eastAsia"/>
                      <w:color w:val="auto"/>
                      <w:lang w:val="en-US" w:eastAsia="zh-CN"/>
                    </w:rPr>
                    <w:t>声功率级dB（A）</w:t>
                  </w:r>
                </w:p>
              </w:tc>
              <w:tc>
                <w:tcPr>
                  <w:tcW w:w="772" w:type="pct"/>
                  <w:vMerge w:val="restart"/>
                  <w:vAlign w:val="center"/>
                </w:tcPr>
                <w:p w14:paraId="0073AB69">
                  <w:pPr>
                    <w:pStyle w:val="29"/>
                    <w:bidi w:val="0"/>
                    <w:jc w:val="center"/>
                    <w:rPr>
                      <w:rFonts w:hint="default"/>
                      <w:color w:val="auto"/>
                      <w:lang w:val="en-US" w:eastAsia="zh-CN"/>
                    </w:rPr>
                  </w:pPr>
                  <w:r>
                    <w:rPr>
                      <w:rFonts w:hint="eastAsia"/>
                      <w:color w:val="auto"/>
                      <w:lang w:val="en-US" w:eastAsia="zh-CN"/>
                    </w:rPr>
                    <w:t>声源控制措施</w:t>
                  </w:r>
                </w:p>
              </w:tc>
              <w:tc>
                <w:tcPr>
                  <w:tcW w:w="911" w:type="pct"/>
                  <w:vAlign w:val="center"/>
                </w:tcPr>
                <w:p w14:paraId="413E0D24">
                  <w:pPr>
                    <w:pStyle w:val="29"/>
                    <w:bidi w:val="0"/>
                    <w:jc w:val="center"/>
                    <w:rPr>
                      <w:rFonts w:hint="default"/>
                      <w:color w:val="auto"/>
                      <w:lang w:val="en-US" w:eastAsia="zh-CN"/>
                    </w:rPr>
                  </w:pPr>
                  <w:r>
                    <w:rPr>
                      <w:rFonts w:hint="eastAsia"/>
                      <w:color w:val="auto"/>
                      <w:lang w:val="en-US" w:eastAsia="zh-CN"/>
                    </w:rPr>
                    <w:t>空间相对位置/m</w:t>
                  </w:r>
                </w:p>
              </w:tc>
              <w:tc>
                <w:tcPr>
                  <w:tcW w:w="295" w:type="pct"/>
                  <w:vMerge w:val="restart"/>
                  <w:vAlign w:val="center"/>
                </w:tcPr>
                <w:p w14:paraId="02067BFF">
                  <w:pPr>
                    <w:pStyle w:val="29"/>
                    <w:bidi w:val="0"/>
                    <w:jc w:val="center"/>
                    <w:rPr>
                      <w:rFonts w:hint="default"/>
                      <w:color w:val="auto"/>
                      <w:lang w:val="en-US" w:eastAsia="zh-CN"/>
                    </w:rPr>
                  </w:pPr>
                  <w:r>
                    <w:rPr>
                      <w:rFonts w:hint="eastAsia"/>
                      <w:color w:val="auto"/>
                      <w:lang w:val="en-US" w:eastAsia="zh-CN"/>
                    </w:rPr>
                    <w:t>距室内边界距离（m）</w:t>
                  </w:r>
                </w:p>
              </w:tc>
              <w:tc>
                <w:tcPr>
                  <w:tcW w:w="296" w:type="pct"/>
                  <w:vMerge w:val="restart"/>
                  <w:vAlign w:val="center"/>
                </w:tcPr>
                <w:p w14:paraId="5F6B97C0">
                  <w:pPr>
                    <w:pStyle w:val="29"/>
                    <w:bidi w:val="0"/>
                    <w:jc w:val="center"/>
                    <w:rPr>
                      <w:rFonts w:hint="default"/>
                      <w:color w:val="auto"/>
                      <w:lang w:val="en-US" w:eastAsia="zh-CN"/>
                    </w:rPr>
                  </w:pPr>
                  <w:r>
                    <w:rPr>
                      <w:rFonts w:hint="eastAsia"/>
                      <w:color w:val="auto"/>
                      <w:lang w:val="en-US" w:eastAsia="zh-CN"/>
                    </w:rPr>
                    <w:t>室内边界声级dB（A）</w:t>
                  </w:r>
                </w:p>
              </w:tc>
              <w:tc>
                <w:tcPr>
                  <w:tcW w:w="191" w:type="pct"/>
                  <w:vMerge w:val="restart"/>
                  <w:vAlign w:val="center"/>
                </w:tcPr>
                <w:p w14:paraId="32ED2C9A">
                  <w:pPr>
                    <w:pStyle w:val="29"/>
                    <w:bidi w:val="0"/>
                    <w:jc w:val="center"/>
                    <w:rPr>
                      <w:rFonts w:hint="default"/>
                      <w:color w:val="auto"/>
                      <w:lang w:val="en-US" w:eastAsia="zh-CN"/>
                    </w:rPr>
                  </w:pPr>
                  <w:r>
                    <w:rPr>
                      <w:rFonts w:hint="eastAsia"/>
                      <w:color w:val="auto"/>
                      <w:lang w:val="en-US" w:eastAsia="zh-CN"/>
                    </w:rPr>
                    <w:t>运行时段</w:t>
                  </w:r>
                </w:p>
              </w:tc>
              <w:tc>
                <w:tcPr>
                  <w:tcW w:w="291" w:type="pct"/>
                  <w:vMerge w:val="restart"/>
                  <w:vAlign w:val="center"/>
                </w:tcPr>
                <w:p w14:paraId="3383C924">
                  <w:pPr>
                    <w:pStyle w:val="29"/>
                    <w:bidi w:val="0"/>
                    <w:jc w:val="center"/>
                    <w:rPr>
                      <w:rFonts w:hint="default"/>
                      <w:color w:val="auto"/>
                      <w:lang w:val="en-US" w:eastAsia="zh-CN"/>
                    </w:rPr>
                  </w:pPr>
                  <w:r>
                    <w:rPr>
                      <w:rFonts w:hint="eastAsia"/>
                      <w:color w:val="auto"/>
                      <w:lang w:val="en-US" w:eastAsia="zh-CN"/>
                    </w:rPr>
                    <w:t>建筑物插入损失dB（A）</w:t>
                  </w:r>
                </w:p>
              </w:tc>
              <w:tc>
                <w:tcPr>
                  <w:tcW w:w="589" w:type="pct"/>
                  <w:gridSpan w:val="2"/>
                  <w:vAlign w:val="center"/>
                </w:tcPr>
                <w:p w14:paraId="186A3A78">
                  <w:pPr>
                    <w:pStyle w:val="29"/>
                    <w:bidi w:val="0"/>
                    <w:jc w:val="center"/>
                    <w:rPr>
                      <w:rFonts w:hint="default"/>
                      <w:color w:val="auto"/>
                      <w:lang w:val="en-US" w:eastAsia="zh-CN"/>
                    </w:rPr>
                  </w:pPr>
                  <w:r>
                    <w:rPr>
                      <w:rFonts w:hint="eastAsia"/>
                      <w:color w:val="auto"/>
                      <w:lang w:val="en-US" w:eastAsia="zh-CN"/>
                    </w:rPr>
                    <w:t>建筑物外噪声</w:t>
                  </w:r>
                </w:p>
              </w:tc>
            </w:tr>
            <w:tr w14:paraId="5674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vMerge w:val="continue"/>
                  <w:vAlign w:val="center"/>
                </w:tcPr>
                <w:p w14:paraId="6E990F95">
                  <w:pPr>
                    <w:pStyle w:val="29"/>
                    <w:bidi w:val="0"/>
                    <w:jc w:val="center"/>
                    <w:rPr>
                      <w:rFonts w:hint="default"/>
                      <w:color w:val="auto"/>
                      <w:lang w:val="en-US" w:eastAsia="zh-CN"/>
                    </w:rPr>
                  </w:pPr>
                </w:p>
              </w:tc>
              <w:tc>
                <w:tcPr>
                  <w:tcW w:w="543" w:type="pct"/>
                  <w:vMerge w:val="continue"/>
                  <w:vAlign w:val="center"/>
                </w:tcPr>
                <w:p w14:paraId="5C564A1E">
                  <w:pPr>
                    <w:pStyle w:val="29"/>
                    <w:bidi w:val="0"/>
                    <w:jc w:val="center"/>
                    <w:rPr>
                      <w:rFonts w:hint="default"/>
                      <w:color w:val="auto"/>
                      <w:lang w:val="en-US" w:eastAsia="zh-CN"/>
                    </w:rPr>
                  </w:pPr>
                </w:p>
              </w:tc>
              <w:tc>
                <w:tcPr>
                  <w:tcW w:w="426" w:type="pct"/>
                  <w:vMerge w:val="continue"/>
                  <w:vAlign w:val="center"/>
                </w:tcPr>
                <w:p w14:paraId="3A0F38B6">
                  <w:pPr>
                    <w:pStyle w:val="29"/>
                    <w:bidi w:val="0"/>
                    <w:jc w:val="center"/>
                    <w:rPr>
                      <w:rFonts w:hint="default"/>
                      <w:color w:val="auto"/>
                      <w:lang w:val="en-US" w:eastAsia="zh-CN"/>
                    </w:rPr>
                  </w:pPr>
                </w:p>
              </w:tc>
              <w:tc>
                <w:tcPr>
                  <w:tcW w:w="772" w:type="pct"/>
                  <w:vMerge w:val="continue"/>
                  <w:vAlign w:val="center"/>
                </w:tcPr>
                <w:p w14:paraId="0EC42CA7">
                  <w:pPr>
                    <w:pStyle w:val="29"/>
                    <w:bidi w:val="0"/>
                    <w:jc w:val="center"/>
                    <w:rPr>
                      <w:rFonts w:hint="default"/>
                      <w:color w:val="auto"/>
                      <w:lang w:val="en-US" w:eastAsia="zh-CN"/>
                    </w:rPr>
                  </w:pPr>
                </w:p>
              </w:tc>
              <w:tc>
                <w:tcPr>
                  <w:tcW w:w="911" w:type="pct"/>
                  <w:vAlign w:val="center"/>
                </w:tcPr>
                <w:p w14:paraId="47112FFC">
                  <w:pPr>
                    <w:pStyle w:val="29"/>
                    <w:bidi w:val="0"/>
                    <w:jc w:val="center"/>
                    <w:rPr>
                      <w:rFonts w:hint="default"/>
                      <w:color w:val="auto"/>
                      <w:lang w:val="en-US" w:eastAsia="zh-CN"/>
                    </w:rPr>
                  </w:pPr>
                  <w:r>
                    <w:rPr>
                      <w:rFonts w:hint="eastAsia"/>
                      <w:color w:val="auto"/>
                      <w:lang w:val="en-US" w:eastAsia="zh-CN"/>
                    </w:rPr>
                    <w:t>（XYZ）</w:t>
                  </w:r>
                </w:p>
              </w:tc>
              <w:tc>
                <w:tcPr>
                  <w:tcW w:w="295" w:type="pct"/>
                  <w:vMerge w:val="continue"/>
                  <w:vAlign w:val="center"/>
                </w:tcPr>
                <w:p w14:paraId="5548F6D0">
                  <w:pPr>
                    <w:pStyle w:val="29"/>
                    <w:bidi w:val="0"/>
                    <w:jc w:val="center"/>
                    <w:rPr>
                      <w:rFonts w:hint="default"/>
                      <w:color w:val="auto"/>
                      <w:lang w:val="en-US" w:eastAsia="zh-CN"/>
                    </w:rPr>
                  </w:pPr>
                </w:p>
              </w:tc>
              <w:tc>
                <w:tcPr>
                  <w:tcW w:w="296" w:type="pct"/>
                  <w:vMerge w:val="continue"/>
                  <w:vAlign w:val="center"/>
                </w:tcPr>
                <w:p w14:paraId="498E3BF9">
                  <w:pPr>
                    <w:pStyle w:val="29"/>
                    <w:bidi w:val="0"/>
                    <w:jc w:val="center"/>
                    <w:rPr>
                      <w:rFonts w:hint="default"/>
                      <w:color w:val="auto"/>
                      <w:lang w:val="en-US" w:eastAsia="zh-CN"/>
                    </w:rPr>
                  </w:pPr>
                </w:p>
              </w:tc>
              <w:tc>
                <w:tcPr>
                  <w:tcW w:w="191" w:type="pct"/>
                  <w:vMerge w:val="continue"/>
                  <w:vAlign w:val="center"/>
                </w:tcPr>
                <w:p w14:paraId="0587F29B">
                  <w:pPr>
                    <w:pStyle w:val="29"/>
                    <w:bidi w:val="0"/>
                    <w:jc w:val="center"/>
                    <w:rPr>
                      <w:rFonts w:hint="default"/>
                      <w:color w:val="auto"/>
                      <w:lang w:val="en-US" w:eastAsia="zh-CN"/>
                    </w:rPr>
                  </w:pPr>
                </w:p>
              </w:tc>
              <w:tc>
                <w:tcPr>
                  <w:tcW w:w="291" w:type="pct"/>
                  <w:vMerge w:val="continue"/>
                  <w:vAlign w:val="center"/>
                </w:tcPr>
                <w:p w14:paraId="17094891">
                  <w:pPr>
                    <w:pStyle w:val="29"/>
                    <w:bidi w:val="0"/>
                    <w:jc w:val="center"/>
                    <w:rPr>
                      <w:rFonts w:hint="default"/>
                      <w:color w:val="auto"/>
                      <w:lang w:val="en-US" w:eastAsia="zh-CN"/>
                    </w:rPr>
                  </w:pPr>
                </w:p>
              </w:tc>
              <w:tc>
                <w:tcPr>
                  <w:tcW w:w="291" w:type="pct"/>
                  <w:vAlign w:val="center"/>
                </w:tcPr>
                <w:p w14:paraId="59433454">
                  <w:pPr>
                    <w:pStyle w:val="29"/>
                    <w:bidi w:val="0"/>
                    <w:jc w:val="center"/>
                    <w:rPr>
                      <w:rFonts w:hint="default"/>
                      <w:color w:val="auto"/>
                      <w:lang w:val="en-US" w:eastAsia="zh-CN"/>
                    </w:rPr>
                  </w:pPr>
                  <w:r>
                    <w:rPr>
                      <w:rFonts w:hint="eastAsia"/>
                      <w:color w:val="auto"/>
                      <w:lang w:val="en-US" w:eastAsia="zh-CN"/>
                    </w:rPr>
                    <w:t>声压级dB（A）</w:t>
                  </w:r>
                </w:p>
              </w:tc>
              <w:tc>
                <w:tcPr>
                  <w:tcW w:w="298" w:type="pct"/>
                  <w:vAlign w:val="center"/>
                </w:tcPr>
                <w:p w14:paraId="2AA7A1C9">
                  <w:pPr>
                    <w:pStyle w:val="29"/>
                    <w:bidi w:val="0"/>
                    <w:jc w:val="center"/>
                    <w:rPr>
                      <w:rFonts w:hint="default"/>
                      <w:color w:val="auto"/>
                      <w:lang w:val="en-US" w:eastAsia="zh-CN"/>
                    </w:rPr>
                  </w:pPr>
                  <w:r>
                    <w:rPr>
                      <w:rFonts w:hint="eastAsia"/>
                      <w:color w:val="auto"/>
                      <w:lang w:val="en-US" w:eastAsia="zh-CN"/>
                    </w:rPr>
                    <w:t>建筑物外距离（m）</w:t>
                  </w:r>
                </w:p>
              </w:tc>
            </w:tr>
            <w:tr w14:paraId="1BCF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2" w:type="pct"/>
                  <w:shd w:val="clear" w:color="auto" w:fill="auto"/>
                  <w:vAlign w:val="center"/>
                </w:tcPr>
                <w:p w14:paraId="49D1730B">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粉碎机</w:t>
                  </w:r>
                </w:p>
              </w:tc>
              <w:tc>
                <w:tcPr>
                  <w:tcW w:w="543" w:type="pct"/>
                  <w:shd w:val="clear" w:color="auto" w:fill="auto"/>
                  <w:vAlign w:val="center"/>
                </w:tcPr>
                <w:p w14:paraId="07B0685F">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XZ-JMF-8AB</w:t>
                  </w:r>
                </w:p>
              </w:tc>
              <w:tc>
                <w:tcPr>
                  <w:tcW w:w="426" w:type="pct"/>
                  <w:shd w:val="clear" w:color="auto" w:fill="auto"/>
                  <w:vAlign w:val="center"/>
                </w:tcPr>
                <w:p w14:paraId="2471BAB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75</w:t>
                  </w:r>
                </w:p>
              </w:tc>
              <w:tc>
                <w:tcPr>
                  <w:tcW w:w="772" w:type="pct"/>
                  <w:shd w:val="clear" w:color="auto" w:fill="auto"/>
                  <w:vAlign w:val="center"/>
                </w:tcPr>
                <w:p w14:paraId="45EC7FE2">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厂房隔声、基础减振</w:t>
                  </w:r>
                </w:p>
              </w:tc>
              <w:tc>
                <w:tcPr>
                  <w:tcW w:w="911" w:type="pct"/>
                  <w:shd w:val="clear" w:color="auto" w:fill="auto"/>
                  <w:vAlign w:val="center"/>
                </w:tcPr>
                <w:p w14:paraId="04B1CE17">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25.77,37,1</w:t>
                  </w:r>
                </w:p>
              </w:tc>
              <w:tc>
                <w:tcPr>
                  <w:tcW w:w="295" w:type="pct"/>
                  <w:shd w:val="clear" w:color="auto" w:fill="auto"/>
                  <w:vAlign w:val="center"/>
                </w:tcPr>
                <w:p w14:paraId="2485178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9.62</w:t>
                  </w:r>
                </w:p>
              </w:tc>
              <w:tc>
                <w:tcPr>
                  <w:tcW w:w="296" w:type="pct"/>
                  <w:shd w:val="clear" w:color="auto" w:fill="auto"/>
                  <w:vAlign w:val="center"/>
                </w:tcPr>
                <w:p w14:paraId="0FDB6976">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55.34</w:t>
                  </w:r>
                </w:p>
              </w:tc>
              <w:tc>
                <w:tcPr>
                  <w:tcW w:w="191" w:type="pct"/>
                  <w:shd w:val="clear" w:color="auto" w:fill="auto"/>
                  <w:vAlign w:val="center"/>
                </w:tcPr>
                <w:p w14:paraId="0863837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昼间</w:t>
                  </w:r>
                </w:p>
              </w:tc>
              <w:tc>
                <w:tcPr>
                  <w:tcW w:w="291" w:type="pct"/>
                  <w:shd w:val="clear" w:color="auto" w:fill="auto"/>
                  <w:vAlign w:val="center"/>
                </w:tcPr>
                <w:p w14:paraId="73D37817">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rPr>
                    <w:t>20</w:t>
                  </w:r>
                </w:p>
              </w:tc>
              <w:tc>
                <w:tcPr>
                  <w:tcW w:w="291" w:type="pct"/>
                  <w:shd w:val="clear" w:color="auto" w:fill="auto"/>
                  <w:vAlign w:val="center"/>
                </w:tcPr>
                <w:p w14:paraId="7436058E">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35.34</w:t>
                  </w:r>
                </w:p>
              </w:tc>
              <w:tc>
                <w:tcPr>
                  <w:tcW w:w="298" w:type="pct"/>
                  <w:shd w:val="clear" w:color="auto" w:fill="auto"/>
                  <w:vAlign w:val="center"/>
                </w:tcPr>
                <w:p w14:paraId="0CC55B28">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rPr>
                    <w:t>1</w:t>
                  </w:r>
                </w:p>
              </w:tc>
            </w:tr>
            <w:tr w14:paraId="0C25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CA95604">
                  <w:pPr>
                    <w:pStyle w:val="29"/>
                    <w:spacing w:beforeLines="0" w:afterLines="0"/>
                    <w:ind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sz w:val="21"/>
                      <w:szCs w:val="21"/>
                    </w:rPr>
                    <w:t>板式换热器</w:t>
                  </w:r>
                </w:p>
              </w:tc>
              <w:tc>
                <w:tcPr>
                  <w:tcW w:w="0" w:type="auto"/>
                  <w:shd w:val="clear" w:color="auto" w:fill="auto"/>
                  <w:vAlign w:val="center"/>
                </w:tcPr>
                <w:p w14:paraId="17AC5C34">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w:t>
                  </w:r>
                </w:p>
              </w:tc>
              <w:tc>
                <w:tcPr>
                  <w:tcW w:w="0" w:type="auto"/>
                  <w:vAlign w:val="center"/>
                </w:tcPr>
                <w:p w14:paraId="2DA8A0B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70</w:t>
                  </w:r>
                </w:p>
              </w:tc>
              <w:tc>
                <w:tcPr>
                  <w:tcW w:w="0" w:type="auto"/>
                  <w:vAlign w:val="center"/>
                </w:tcPr>
                <w:p w14:paraId="1C08EC45">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6525367D">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24.94,35.78,1</w:t>
                  </w:r>
                </w:p>
              </w:tc>
              <w:tc>
                <w:tcPr>
                  <w:tcW w:w="0" w:type="auto"/>
                  <w:vAlign w:val="center"/>
                </w:tcPr>
                <w:p w14:paraId="66D5590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9.27</w:t>
                  </w:r>
                </w:p>
              </w:tc>
              <w:tc>
                <w:tcPr>
                  <w:tcW w:w="0" w:type="auto"/>
                  <w:vAlign w:val="center"/>
                </w:tcPr>
                <w:p w14:paraId="2D606F4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50.66</w:t>
                  </w:r>
                </w:p>
              </w:tc>
              <w:tc>
                <w:tcPr>
                  <w:tcW w:w="0" w:type="auto"/>
                  <w:vAlign w:val="center"/>
                </w:tcPr>
                <w:p w14:paraId="57D4F3FD">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75BF626C">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403C2358">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30.66</w:t>
                  </w:r>
                </w:p>
              </w:tc>
              <w:tc>
                <w:tcPr>
                  <w:tcW w:w="0" w:type="auto"/>
                  <w:vAlign w:val="center"/>
                </w:tcPr>
                <w:p w14:paraId="3908C8B8">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2CC7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EB2E04D">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瞬杀机</w:t>
                  </w:r>
                </w:p>
              </w:tc>
              <w:tc>
                <w:tcPr>
                  <w:tcW w:w="0" w:type="auto"/>
                  <w:shd w:val="clear" w:color="auto" w:fill="auto"/>
                  <w:vAlign w:val="center"/>
                </w:tcPr>
                <w:p w14:paraId="69B34512">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1 吨/小时</w:t>
                  </w:r>
                </w:p>
              </w:tc>
              <w:tc>
                <w:tcPr>
                  <w:tcW w:w="0" w:type="auto"/>
                  <w:vAlign w:val="center"/>
                </w:tcPr>
                <w:p w14:paraId="33DA80A8">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75</w:t>
                  </w:r>
                </w:p>
              </w:tc>
              <w:tc>
                <w:tcPr>
                  <w:tcW w:w="0" w:type="auto"/>
                  <w:vAlign w:val="center"/>
                </w:tcPr>
                <w:p w14:paraId="3204876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51CB0DA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24.37,32.99,1</w:t>
                  </w:r>
                </w:p>
              </w:tc>
              <w:tc>
                <w:tcPr>
                  <w:tcW w:w="0" w:type="auto"/>
                  <w:vAlign w:val="center"/>
                </w:tcPr>
                <w:p w14:paraId="355852F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9.53</w:t>
                  </w:r>
                </w:p>
              </w:tc>
              <w:tc>
                <w:tcPr>
                  <w:tcW w:w="0" w:type="auto"/>
                  <w:vAlign w:val="center"/>
                </w:tcPr>
                <w:p w14:paraId="02E37BA2">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55.42</w:t>
                  </w:r>
                </w:p>
              </w:tc>
              <w:tc>
                <w:tcPr>
                  <w:tcW w:w="0" w:type="auto"/>
                  <w:vAlign w:val="center"/>
                </w:tcPr>
                <w:p w14:paraId="1573E8CC">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468825FA">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308CC5CA">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35.42</w:t>
                  </w:r>
                </w:p>
              </w:tc>
              <w:tc>
                <w:tcPr>
                  <w:tcW w:w="0" w:type="auto"/>
                  <w:vAlign w:val="center"/>
                </w:tcPr>
                <w:p w14:paraId="5897F10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75AB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F484CA8">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六头灌装机</w:t>
                  </w:r>
                </w:p>
              </w:tc>
              <w:tc>
                <w:tcPr>
                  <w:tcW w:w="0" w:type="auto"/>
                  <w:shd w:val="clear" w:color="auto" w:fill="auto"/>
                  <w:vAlign w:val="center"/>
                </w:tcPr>
                <w:p w14:paraId="6E9B8537">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1-6</w:t>
                  </w:r>
                </w:p>
              </w:tc>
              <w:tc>
                <w:tcPr>
                  <w:tcW w:w="0" w:type="auto"/>
                  <w:vAlign w:val="center"/>
                </w:tcPr>
                <w:p w14:paraId="7A48B87E">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75</w:t>
                  </w:r>
                </w:p>
              </w:tc>
              <w:tc>
                <w:tcPr>
                  <w:tcW w:w="0" w:type="auto"/>
                  <w:vAlign w:val="center"/>
                </w:tcPr>
                <w:p w14:paraId="59F68F13">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42B3E433">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23.03,30.97,1</w:t>
                  </w:r>
                </w:p>
              </w:tc>
              <w:tc>
                <w:tcPr>
                  <w:tcW w:w="0" w:type="auto"/>
                  <w:vAlign w:val="center"/>
                </w:tcPr>
                <w:p w14:paraId="19BA90D2">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8.91</w:t>
                  </w:r>
                </w:p>
              </w:tc>
              <w:tc>
                <w:tcPr>
                  <w:tcW w:w="0" w:type="auto"/>
                  <w:vAlign w:val="center"/>
                </w:tcPr>
                <w:p w14:paraId="2E89983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56.00</w:t>
                  </w:r>
                </w:p>
              </w:tc>
              <w:tc>
                <w:tcPr>
                  <w:tcW w:w="0" w:type="auto"/>
                  <w:vAlign w:val="center"/>
                </w:tcPr>
                <w:p w14:paraId="7146AE3D">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0201EE6F">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51676B6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36.00</w:t>
                  </w:r>
                </w:p>
              </w:tc>
              <w:tc>
                <w:tcPr>
                  <w:tcW w:w="0" w:type="auto"/>
                  <w:vAlign w:val="center"/>
                </w:tcPr>
                <w:p w14:paraId="4EDD8A8D">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5535B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8492160">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巴杀机</w:t>
                  </w:r>
                </w:p>
              </w:tc>
              <w:tc>
                <w:tcPr>
                  <w:tcW w:w="0" w:type="auto"/>
                  <w:shd w:val="clear" w:color="auto" w:fill="auto"/>
                  <w:vAlign w:val="center"/>
                </w:tcPr>
                <w:p w14:paraId="7A644398">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8 温区</w:t>
                  </w:r>
                </w:p>
              </w:tc>
              <w:tc>
                <w:tcPr>
                  <w:tcW w:w="0" w:type="auto"/>
                  <w:vAlign w:val="center"/>
                </w:tcPr>
                <w:p w14:paraId="049E9D0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75</w:t>
                  </w:r>
                </w:p>
              </w:tc>
              <w:tc>
                <w:tcPr>
                  <w:tcW w:w="0" w:type="auto"/>
                  <w:vAlign w:val="center"/>
                </w:tcPr>
                <w:p w14:paraId="4A814658">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67F160D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22.16,27.99,1</w:t>
                  </w:r>
                </w:p>
              </w:tc>
              <w:tc>
                <w:tcPr>
                  <w:tcW w:w="0" w:type="auto"/>
                  <w:vAlign w:val="center"/>
                </w:tcPr>
                <w:p w14:paraId="651A49C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9.48</w:t>
                  </w:r>
                </w:p>
              </w:tc>
              <w:tc>
                <w:tcPr>
                  <w:tcW w:w="0" w:type="auto"/>
                  <w:vAlign w:val="center"/>
                </w:tcPr>
                <w:p w14:paraId="7123150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55.46</w:t>
                  </w:r>
                </w:p>
              </w:tc>
              <w:tc>
                <w:tcPr>
                  <w:tcW w:w="0" w:type="auto"/>
                  <w:vAlign w:val="center"/>
                </w:tcPr>
                <w:p w14:paraId="52084B0E">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6B5278A2">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1D213259">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35.46</w:t>
                  </w:r>
                </w:p>
              </w:tc>
              <w:tc>
                <w:tcPr>
                  <w:tcW w:w="0" w:type="auto"/>
                  <w:vAlign w:val="center"/>
                </w:tcPr>
                <w:p w14:paraId="7E6CC7D7">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2BB3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BBA3620">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激光打码机</w:t>
                  </w:r>
                </w:p>
              </w:tc>
              <w:tc>
                <w:tcPr>
                  <w:tcW w:w="0" w:type="auto"/>
                  <w:shd w:val="clear" w:color="auto" w:fill="auto"/>
                  <w:vAlign w:val="center"/>
                </w:tcPr>
                <w:p w14:paraId="78C5C863">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6000</w:t>
                  </w:r>
                </w:p>
              </w:tc>
              <w:tc>
                <w:tcPr>
                  <w:tcW w:w="0" w:type="auto"/>
                  <w:vAlign w:val="center"/>
                </w:tcPr>
                <w:p w14:paraId="14E6E14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70</w:t>
                  </w:r>
                </w:p>
              </w:tc>
              <w:tc>
                <w:tcPr>
                  <w:tcW w:w="0" w:type="auto"/>
                  <w:vAlign w:val="center"/>
                </w:tcPr>
                <w:p w14:paraId="73F6445F">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542384AD">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21.1,25.97,1</w:t>
                  </w:r>
                </w:p>
              </w:tc>
              <w:tc>
                <w:tcPr>
                  <w:tcW w:w="0" w:type="auto"/>
                  <w:vAlign w:val="center"/>
                </w:tcPr>
                <w:p w14:paraId="459C40A9">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9.14</w:t>
                  </w:r>
                </w:p>
              </w:tc>
              <w:tc>
                <w:tcPr>
                  <w:tcW w:w="0" w:type="auto"/>
                  <w:vAlign w:val="center"/>
                </w:tcPr>
                <w:p w14:paraId="7657D1B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50.78</w:t>
                  </w:r>
                </w:p>
              </w:tc>
              <w:tc>
                <w:tcPr>
                  <w:tcW w:w="0" w:type="auto"/>
                  <w:vAlign w:val="center"/>
                </w:tcPr>
                <w:p w14:paraId="7155B9D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316BC941">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3717F1B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30.78</w:t>
                  </w:r>
                </w:p>
              </w:tc>
              <w:tc>
                <w:tcPr>
                  <w:tcW w:w="0" w:type="auto"/>
                  <w:vAlign w:val="center"/>
                </w:tcPr>
                <w:p w14:paraId="32D4674D">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78C6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960341B">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贴标机</w:t>
                  </w:r>
                </w:p>
              </w:tc>
              <w:tc>
                <w:tcPr>
                  <w:tcW w:w="0" w:type="auto"/>
                  <w:shd w:val="clear" w:color="auto" w:fill="auto"/>
                  <w:vAlign w:val="center"/>
                </w:tcPr>
                <w:p w14:paraId="02BBBD32">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6000</w:t>
                  </w:r>
                </w:p>
              </w:tc>
              <w:tc>
                <w:tcPr>
                  <w:tcW w:w="0" w:type="auto"/>
                  <w:vAlign w:val="center"/>
                </w:tcPr>
                <w:p w14:paraId="3C7EE41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70</w:t>
                  </w:r>
                </w:p>
              </w:tc>
              <w:tc>
                <w:tcPr>
                  <w:tcW w:w="0" w:type="auto"/>
                  <w:vAlign w:val="center"/>
                </w:tcPr>
                <w:p w14:paraId="0FBC6912">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51E487F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20.62,23.18,1</w:t>
                  </w:r>
                </w:p>
              </w:tc>
              <w:tc>
                <w:tcPr>
                  <w:tcW w:w="0" w:type="auto"/>
                  <w:vAlign w:val="center"/>
                </w:tcPr>
                <w:p w14:paraId="278B432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9.74</w:t>
                  </w:r>
                </w:p>
              </w:tc>
              <w:tc>
                <w:tcPr>
                  <w:tcW w:w="0" w:type="auto"/>
                  <w:vAlign w:val="center"/>
                </w:tcPr>
                <w:p w14:paraId="372A4FCD">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50.23</w:t>
                  </w:r>
                </w:p>
              </w:tc>
              <w:tc>
                <w:tcPr>
                  <w:tcW w:w="0" w:type="auto"/>
                  <w:shd w:val="clear" w:color="auto" w:fill="auto"/>
                  <w:vAlign w:val="center"/>
                </w:tcPr>
                <w:p w14:paraId="17FB68EA">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昼间</w:t>
                  </w:r>
                </w:p>
              </w:tc>
              <w:tc>
                <w:tcPr>
                  <w:tcW w:w="0" w:type="auto"/>
                  <w:vAlign w:val="center"/>
                </w:tcPr>
                <w:p w14:paraId="1D03DBD5">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10947B5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30.23</w:t>
                  </w:r>
                </w:p>
              </w:tc>
              <w:tc>
                <w:tcPr>
                  <w:tcW w:w="0" w:type="auto"/>
                  <w:vAlign w:val="center"/>
                </w:tcPr>
                <w:p w14:paraId="7DC007A4">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404C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3FB4DDD">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易拉罐灌装机</w:t>
                  </w:r>
                </w:p>
              </w:tc>
              <w:tc>
                <w:tcPr>
                  <w:tcW w:w="0" w:type="auto"/>
                  <w:shd w:val="clear" w:color="auto" w:fill="auto"/>
                  <w:vAlign w:val="center"/>
                </w:tcPr>
                <w:p w14:paraId="21FE0029">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1-12</w:t>
                  </w:r>
                </w:p>
              </w:tc>
              <w:tc>
                <w:tcPr>
                  <w:tcW w:w="0" w:type="auto"/>
                  <w:vAlign w:val="center"/>
                </w:tcPr>
                <w:p w14:paraId="0DAA9CD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80</w:t>
                  </w:r>
                </w:p>
              </w:tc>
              <w:tc>
                <w:tcPr>
                  <w:tcW w:w="0" w:type="auto"/>
                  <w:vAlign w:val="center"/>
                </w:tcPr>
                <w:p w14:paraId="77FF2B8F">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4382C8F7">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18.51,20.78,1</w:t>
                  </w:r>
                </w:p>
              </w:tc>
              <w:tc>
                <w:tcPr>
                  <w:tcW w:w="0" w:type="auto"/>
                  <w:vAlign w:val="center"/>
                </w:tcPr>
                <w:p w14:paraId="3873A586">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8.44</w:t>
                  </w:r>
                </w:p>
              </w:tc>
              <w:tc>
                <w:tcPr>
                  <w:tcW w:w="0" w:type="auto"/>
                  <w:vAlign w:val="center"/>
                </w:tcPr>
                <w:p w14:paraId="07F4BF0A">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61.47</w:t>
                  </w:r>
                </w:p>
              </w:tc>
              <w:tc>
                <w:tcPr>
                  <w:tcW w:w="0" w:type="auto"/>
                  <w:shd w:val="clear" w:color="auto" w:fill="auto"/>
                  <w:vAlign w:val="center"/>
                </w:tcPr>
                <w:p w14:paraId="2F4B6E48">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49220DBE">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342C21C3">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41.47</w:t>
                  </w:r>
                </w:p>
              </w:tc>
              <w:tc>
                <w:tcPr>
                  <w:tcW w:w="0" w:type="auto"/>
                  <w:vAlign w:val="center"/>
                </w:tcPr>
                <w:p w14:paraId="6FB8EF9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06F2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FF3A4DD">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CIP系统洗罐机</w:t>
                  </w:r>
                </w:p>
              </w:tc>
              <w:tc>
                <w:tcPr>
                  <w:tcW w:w="0" w:type="auto"/>
                  <w:shd w:val="clear" w:color="auto" w:fill="auto"/>
                  <w:vAlign w:val="center"/>
                </w:tcPr>
                <w:p w14:paraId="39A40634">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1-12</w:t>
                  </w:r>
                </w:p>
              </w:tc>
              <w:tc>
                <w:tcPr>
                  <w:tcW w:w="0" w:type="auto"/>
                  <w:vAlign w:val="center"/>
                </w:tcPr>
                <w:p w14:paraId="6CF21E9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75</w:t>
                  </w:r>
                </w:p>
              </w:tc>
              <w:tc>
                <w:tcPr>
                  <w:tcW w:w="0" w:type="auto"/>
                  <w:vAlign w:val="center"/>
                </w:tcPr>
                <w:p w14:paraId="5D2BAA8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664D40F7">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18.42,19.05,1</w:t>
                  </w:r>
                </w:p>
              </w:tc>
              <w:tc>
                <w:tcPr>
                  <w:tcW w:w="0" w:type="auto"/>
                  <w:vAlign w:val="center"/>
                </w:tcPr>
                <w:p w14:paraId="56074C7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9.02</w:t>
                  </w:r>
                </w:p>
              </w:tc>
              <w:tc>
                <w:tcPr>
                  <w:tcW w:w="0" w:type="auto"/>
                  <w:vAlign w:val="center"/>
                </w:tcPr>
                <w:p w14:paraId="7444609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55.90</w:t>
                  </w:r>
                </w:p>
              </w:tc>
              <w:tc>
                <w:tcPr>
                  <w:tcW w:w="0" w:type="auto"/>
                  <w:shd w:val="clear" w:color="auto" w:fill="auto"/>
                  <w:vAlign w:val="center"/>
                </w:tcPr>
                <w:p w14:paraId="4FEE3C3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703CD8DF">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5B9A6763">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35.90</w:t>
                  </w:r>
                </w:p>
              </w:tc>
              <w:tc>
                <w:tcPr>
                  <w:tcW w:w="0" w:type="auto"/>
                  <w:vAlign w:val="center"/>
                </w:tcPr>
                <w:p w14:paraId="16D96442">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748F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1585BD1">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sz w:val="21"/>
                      <w:szCs w:val="21"/>
                    </w:rPr>
                    <w:t>翻罐器</w:t>
                  </w:r>
                </w:p>
              </w:tc>
              <w:tc>
                <w:tcPr>
                  <w:tcW w:w="0" w:type="auto"/>
                  <w:shd w:val="clear" w:color="auto" w:fill="auto"/>
                  <w:vAlign w:val="center"/>
                </w:tcPr>
                <w:p w14:paraId="0ADFF9CC">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1-12</w:t>
                  </w:r>
                </w:p>
              </w:tc>
              <w:tc>
                <w:tcPr>
                  <w:tcW w:w="0" w:type="auto"/>
                  <w:vAlign w:val="center"/>
                </w:tcPr>
                <w:p w14:paraId="38DA8CF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80</w:t>
                  </w:r>
                </w:p>
              </w:tc>
              <w:tc>
                <w:tcPr>
                  <w:tcW w:w="0" w:type="auto"/>
                  <w:vAlign w:val="center"/>
                </w:tcPr>
                <w:p w14:paraId="66E40978">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53F36806">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17.26,17.23,1</w:t>
                  </w:r>
                </w:p>
              </w:tc>
              <w:tc>
                <w:tcPr>
                  <w:tcW w:w="0" w:type="auto"/>
                  <w:vAlign w:val="center"/>
                </w:tcPr>
                <w:p w14:paraId="07D07156">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8.77</w:t>
                  </w:r>
                </w:p>
              </w:tc>
              <w:tc>
                <w:tcPr>
                  <w:tcW w:w="0" w:type="auto"/>
                  <w:vAlign w:val="center"/>
                </w:tcPr>
                <w:p w14:paraId="7746CB6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61.14</w:t>
                  </w:r>
                </w:p>
              </w:tc>
              <w:tc>
                <w:tcPr>
                  <w:tcW w:w="0" w:type="auto"/>
                  <w:shd w:val="clear" w:color="auto" w:fill="auto"/>
                  <w:vAlign w:val="center"/>
                </w:tcPr>
                <w:p w14:paraId="24776C09">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1F6EB2DE">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0B2D04E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41.14</w:t>
                  </w:r>
                </w:p>
              </w:tc>
              <w:tc>
                <w:tcPr>
                  <w:tcW w:w="0" w:type="auto"/>
                  <w:vAlign w:val="center"/>
                </w:tcPr>
                <w:p w14:paraId="657D57E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17AE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BBD8E56">
                  <w:pPr>
                    <w:pStyle w:val="29"/>
                    <w:spacing w:beforeLines="0" w:afterLines="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eastAsia="宋体"/>
                      <w:color w:val="auto"/>
                      <w:sz w:val="21"/>
                      <w:szCs w:val="21"/>
                      <w:lang w:eastAsia="zh-CN"/>
                    </w:rPr>
                    <w:t>燃气锅炉</w:t>
                  </w:r>
                </w:p>
              </w:tc>
              <w:tc>
                <w:tcPr>
                  <w:tcW w:w="0" w:type="auto"/>
                  <w:shd w:val="clear" w:color="auto" w:fill="auto"/>
                  <w:vAlign w:val="center"/>
                </w:tcPr>
                <w:p w14:paraId="3DB45219">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0.5t/h</w:t>
                  </w:r>
                </w:p>
              </w:tc>
              <w:tc>
                <w:tcPr>
                  <w:tcW w:w="0" w:type="auto"/>
                  <w:vAlign w:val="center"/>
                </w:tcPr>
                <w:p w14:paraId="4D54DD12">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70</w:t>
                  </w:r>
                </w:p>
              </w:tc>
              <w:tc>
                <w:tcPr>
                  <w:tcW w:w="0" w:type="auto"/>
                  <w:vAlign w:val="center"/>
                </w:tcPr>
                <w:p w14:paraId="77826CF7">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3DBBEE2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17.74,14.26,1</w:t>
                  </w:r>
                </w:p>
              </w:tc>
              <w:tc>
                <w:tcPr>
                  <w:tcW w:w="0" w:type="auto"/>
                  <w:vAlign w:val="center"/>
                </w:tcPr>
                <w:p w14:paraId="27B9456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10.12</w:t>
                  </w:r>
                </w:p>
              </w:tc>
              <w:tc>
                <w:tcPr>
                  <w:tcW w:w="0" w:type="auto"/>
                  <w:vAlign w:val="center"/>
                </w:tcPr>
                <w:p w14:paraId="258A9A8A">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49.90</w:t>
                  </w:r>
                </w:p>
              </w:tc>
              <w:tc>
                <w:tcPr>
                  <w:tcW w:w="0" w:type="auto"/>
                  <w:shd w:val="clear" w:color="auto" w:fill="auto"/>
                  <w:vAlign w:val="center"/>
                </w:tcPr>
                <w:p w14:paraId="7EF1CE5C">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39FC1F3D">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3380C72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29.90</w:t>
                  </w:r>
                </w:p>
              </w:tc>
              <w:tc>
                <w:tcPr>
                  <w:tcW w:w="0" w:type="auto"/>
                  <w:vAlign w:val="center"/>
                </w:tcPr>
                <w:p w14:paraId="7E52C28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0997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47B1E94">
                  <w:pPr>
                    <w:pStyle w:val="29"/>
                    <w:spacing w:beforeLines="0" w:afterLines="0"/>
                    <w:ind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sz w:val="21"/>
                      <w:szCs w:val="21"/>
                    </w:rPr>
                    <w:t>变压吸附制氮机</w:t>
                  </w:r>
                </w:p>
              </w:tc>
              <w:tc>
                <w:tcPr>
                  <w:tcW w:w="0" w:type="auto"/>
                  <w:shd w:val="clear" w:color="auto" w:fill="auto"/>
                  <w:vAlign w:val="center"/>
                </w:tcPr>
                <w:p w14:paraId="12013F51">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BNT39N-3ZN</w:t>
                  </w:r>
                </w:p>
              </w:tc>
              <w:tc>
                <w:tcPr>
                  <w:tcW w:w="0" w:type="auto"/>
                  <w:vAlign w:val="center"/>
                </w:tcPr>
                <w:p w14:paraId="54B5894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75</w:t>
                  </w:r>
                </w:p>
              </w:tc>
              <w:tc>
                <w:tcPr>
                  <w:tcW w:w="0" w:type="auto"/>
                  <w:vAlign w:val="center"/>
                </w:tcPr>
                <w:p w14:paraId="2000774B">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71E1795C">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18.7,13.86,1</w:t>
                  </w:r>
                </w:p>
              </w:tc>
              <w:tc>
                <w:tcPr>
                  <w:tcW w:w="0" w:type="auto"/>
                  <w:vAlign w:val="center"/>
                </w:tcPr>
                <w:p w14:paraId="3C617C39">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10.88</w:t>
                  </w:r>
                </w:p>
              </w:tc>
              <w:tc>
                <w:tcPr>
                  <w:tcW w:w="0" w:type="auto"/>
                  <w:vAlign w:val="center"/>
                </w:tcPr>
                <w:p w14:paraId="6418A4F7">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54.27</w:t>
                  </w:r>
                </w:p>
              </w:tc>
              <w:tc>
                <w:tcPr>
                  <w:tcW w:w="0" w:type="auto"/>
                  <w:shd w:val="clear" w:color="auto" w:fill="auto"/>
                  <w:vAlign w:val="center"/>
                </w:tcPr>
                <w:p w14:paraId="4B460384">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766C24FD">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08ECD494">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34.27</w:t>
                  </w:r>
                </w:p>
              </w:tc>
              <w:tc>
                <w:tcPr>
                  <w:tcW w:w="0" w:type="auto"/>
                  <w:vAlign w:val="center"/>
                </w:tcPr>
                <w:p w14:paraId="4B58B268">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27FA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ADAFDBD">
                  <w:pPr>
                    <w:pStyle w:val="29"/>
                    <w:spacing w:beforeLines="0" w:afterLines="0"/>
                    <w:ind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sz w:val="21"/>
                      <w:szCs w:val="21"/>
                    </w:rPr>
                    <w:t>空压机</w:t>
                  </w:r>
                </w:p>
              </w:tc>
              <w:tc>
                <w:tcPr>
                  <w:tcW w:w="0" w:type="auto"/>
                  <w:shd w:val="clear" w:color="auto" w:fill="auto"/>
                  <w:vAlign w:val="center"/>
                </w:tcPr>
                <w:p w14:paraId="09A88586">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w:t>
                  </w:r>
                </w:p>
              </w:tc>
              <w:tc>
                <w:tcPr>
                  <w:tcW w:w="0" w:type="auto"/>
                  <w:vAlign w:val="center"/>
                </w:tcPr>
                <w:p w14:paraId="1191432A">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85</w:t>
                  </w:r>
                </w:p>
              </w:tc>
              <w:tc>
                <w:tcPr>
                  <w:tcW w:w="0" w:type="auto"/>
                  <w:shd w:val="clear" w:color="auto" w:fill="auto"/>
                  <w:vAlign w:val="center"/>
                </w:tcPr>
                <w:p w14:paraId="386811BE">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33BB2D14">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16.47,14.34,1</w:t>
                  </w:r>
                </w:p>
              </w:tc>
              <w:tc>
                <w:tcPr>
                  <w:tcW w:w="0" w:type="auto"/>
                  <w:vAlign w:val="center"/>
                </w:tcPr>
                <w:p w14:paraId="6F8323E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8.86</w:t>
                  </w:r>
                </w:p>
              </w:tc>
              <w:tc>
                <w:tcPr>
                  <w:tcW w:w="0" w:type="auto"/>
                  <w:vAlign w:val="center"/>
                </w:tcPr>
                <w:p w14:paraId="0C75E482">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66.05</w:t>
                  </w:r>
                </w:p>
              </w:tc>
              <w:tc>
                <w:tcPr>
                  <w:tcW w:w="0" w:type="auto"/>
                  <w:shd w:val="clear" w:color="auto" w:fill="auto"/>
                  <w:vAlign w:val="center"/>
                </w:tcPr>
                <w:p w14:paraId="409278D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28032141">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356F6943">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46.05</w:t>
                  </w:r>
                </w:p>
              </w:tc>
              <w:tc>
                <w:tcPr>
                  <w:tcW w:w="0" w:type="auto"/>
                  <w:vAlign w:val="center"/>
                </w:tcPr>
                <w:p w14:paraId="05B95057">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18A9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BF0B58D">
                  <w:pPr>
                    <w:pStyle w:val="29"/>
                    <w:spacing w:beforeLines="0" w:afterLines="0"/>
                    <w:ind w:firstLine="0" w:firstLineChars="0"/>
                    <w:rPr>
                      <w:rFonts w:hint="eastAsia" w:ascii="Times New Roman" w:hAnsi="Times New Roman" w:eastAsia="Times New Roman" w:cs="Times New Roman"/>
                      <w:b w:val="0"/>
                      <w:color w:val="auto"/>
                      <w:kern w:val="2"/>
                      <w:sz w:val="21"/>
                      <w:szCs w:val="21"/>
                      <w:lang w:val="en-US" w:eastAsia="zh-CN" w:bidi="ar-SA"/>
                    </w:rPr>
                  </w:pPr>
                  <w:r>
                    <w:rPr>
                      <w:rFonts w:hint="eastAsia"/>
                      <w:color w:val="auto"/>
                      <w:sz w:val="21"/>
                      <w:szCs w:val="21"/>
                    </w:rPr>
                    <w:t>纯水制备机</w:t>
                  </w:r>
                </w:p>
              </w:tc>
              <w:tc>
                <w:tcPr>
                  <w:tcW w:w="0" w:type="auto"/>
                  <w:shd w:val="clear" w:color="auto" w:fill="auto"/>
                  <w:vAlign w:val="center"/>
                </w:tcPr>
                <w:p w14:paraId="63454B1F">
                  <w:pPr>
                    <w:pStyle w:val="29"/>
                    <w:spacing w:beforeLines="0" w:afterLines="0"/>
                    <w:ind w:firstLine="0" w:firstLineChars="0"/>
                    <w:rPr>
                      <w:rFonts w:hint="default" w:ascii="Times New Roman" w:hAnsi="Times New Roman" w:eastAsia="Times New Roman" w:cs="Times New Roman"/>
                      <w:b w:val="0"/>
                      <w:color w:val="auto"/>
                      <w:kern w:val="2"/>
                      <w:sz w:val="21"/>
                      <w:szCs w:val="21"/>
                      <w:lang w:val="en-US" w:eastAsia="zh-CN" w:bidi="ar-SA"/>
                    </w:rPr>
                  </w:pPr>
                  <w:r>
                    <w:rPr>
                      <w:rFonts w:hint="eastAsia"/>
                      <w:color w:val="auto"/>
                      <w:sz w:val="21"/>
                      <w:szCs w:val="21"/>
                    </w:rPr>
                    <w:t>4t/h</w:t>
                  </w:r>
                </w:p>
              </w:tc>
              <w:tc>
                <w:tcPr>
                  <w:tcW w:w="0" w:type="auto"/>
                  <w:vAlign w:val="center"/>
                </w:tcPr>
                <w:p w14:paraId="44CCCA5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70</w:t>
                  </w:r>
                </w:p>
              </w:tc>
              <w:tc>
                <w:tcPr>
                  <w:tcW w:w="0" w:type="auto"/>
                  <w:shd w:val="clear" w:color="auto" w:fill="auto"/>
                  <w:vAlign w:val="center"/>
                </w:tcPr>
                <w:p w14:paraId="570DD8B1">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18C4418B">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16.05,12.72,1</w:t>
                  </w:r>
                </w:p>
              </w:tc>
              <w:tc>
                <w:tcPr>
                  <w:tcW w:w="0" w:type="auto"/>
                  <w:vAlign w:val="center"/>
                </w:tcPr>
                <w:p w14:paraId="3F64DCA0">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9.08</w:t>
                  </w:r>
                </w:p>
              </w:tc>
              <w:tc>
                <w:tcPr>
                  <w:tcW w:w="0" w:type="auto"/>
                  <w:vAlign w:val="center"/>
                </w:tcPr>
                <w:p w14:paraId="27584BBE">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50.84</w:t>
                  </w:r>
                </w:p>
              </w:tc>
              <w:tc>
                <w:tcPr>
                  <w:tcW w:w="0" w:type="auto"/>
                  <w:shd w:val="clear" w:color="auto" w:fill="auto"/>
                  <w:vAlign w:val="center"/>
                </w:tcPr>
                <w:p w14:paraId="4D29B560">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71332A27">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52EF9836">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30.84</w:t>
                  </w:r>
                </w:p>
              </w:tc>
              <w:tc>
                <w:tcPr>
                  <w:tcW w:w="0" w:type="auto"/>
                  <w:vAlign w:val="center"/>
                </w:tcPr>
                <w:p w14:paraId="7FA8426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67C6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71497D1">
                  <w:pPr>
                    <w:pStyle w:val="29"/>
                    <w:spacing w:beforeLines="0" w:afterLines="0"/>
                    <w:ind w:firstLine="0" w:firstLineChars="0"/>
                    <w:rPr>
                      <w:rFonts w:hint="default" w:eastAsia="宋体"/>
                      <w:color w:val="auto"/>
                      <w:sz w:val="21"/>
                      <w:szCs w:val="21"/>
                      <w:lang w:val="en-US" w:eastAsia="zh-CN"/>
                    </w:rPr>
                  </w:pPr>
                  <w:r>
                    <w:rPr>
                      <w:rFonts w:hint="eastAsia"/>
                      <w:color w:val="auto"/>
                      <w:sz w:val="21"/>
                      <w:szCs w:val="21"/>
                      <w:lang w:val="en-US" w:eastAsia="zh-CN"/>
                    </w:rPr>
                    <w:t>1#引风机</w:t>
                  </w:r>
                </w:p>
              </w:tc>
              <w:tc>
                <w:tcPr>
                  <w:tcW w:w="0" w:type="auto"/>
                  <w:shd w:val="clear" w:color="auto" w:fill="auto"/>
                  <w:vAlign w:val="center"/>
                </w:tcPr>
                <w:p w14:paraId="7DFC02C1">
                  <w:pPr>
                    <w:pStyle w:val="29"/>
                    <w:spacing w:beforeLines="0" w:afterLines="0"/>
                    <w:ind w:firstLine="0" w:firstLineChars="0"/>
                    <w:rPr>
                      <w:rFonts w:hint="default" w:eastAsia="宋体"/>
                      <w:color w:val="auto"/>
                      <w:sz w:val="21"/>
                      <w:szCs w:val="21"/>
                      <w:lang w:val="en-US" w:eastAsia="zh-CN"/>
                    </w:rPr>
                  </w:pPr>
                  <w:r>
                    <w:rPr>
                      <w:rFonts w:hint="eastAsia"/>
                      <w:color w:val="auto"/>
                      <w:sz w:val="21"/>
                      <w:szCs w:val="21"/>
                      <w:lang w:val="en-US" w:eastAsia="zh-CN"/>
                    </w:rPr>
                    <w:t>3000m</w:t>
                  </w:r>
                  <w:r>
                    <w:rPr>
                      <w:rFonts w:hint="eastAsia"/>
                      <w:color w:val="auto"/>
                      <w:sz w:val="21"/>
                      <w:szCs w:val="21"/>
                      <w:vertAlign w:val="superscript"/>
                      <w:lang w:val="en-US" w:eastAsia="zh-CN"/>
                    </w:rPr>
                    <w:t>3</w:t>
                  </w:r>
                  <w:r>
                    <w:rPr>
                      <w:rFonts w:hint="eastAsia"/>
                      <w:color w:val="auto"/>
                      <w:sz w:val="21"/>
                      <w:szCs w:val="21"/>
                      <w:lang w:val="en-US" w:eastAsia="zh-CN"/>
                    </w:rPr>
                    <w:t>/h</w:t>
                  </w:r>
                </w:p>
              </w:tc>
              <w:tc>
                <w:tcPr>
                  <w:tcW w:w="0" w:type="auto"/>
                  <w:vAlign w:val="center"/>
                </w:tcPr>
                <w:p w14:paraId="718E7F0E">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85</w:t>
                  </w:r>
                </w:p>
              </w:tc>
              <w:tc>
                <w:tcPr>
                  <w:tcW w:w="0" w:type="auto"/>
                  <w:shd w:val="clear" w:color="auto" w:fill="auto"/>
                  <w:vAlign w:val="center"/>
                </w:tcPr>
                <w:p w14:paraId="4A9CB080">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0D912192">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14.74,10.05,1</w:t>
                  </w:r>
                </w:p>
              </w:tc>
              <w:tc>
                <w:tcPr>
                  <w:tcW w:w="0" w:type="auto"/>
                  <w:vAlign w:val="center"/>
                </w:tcPr>
                <w:p w14:paraId="05C0474F">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8.98</w:t>
                  </w:r>
                </w:p>
              </w:tc>
              <w:tc>
                <w:tcPr>
                  <w:tcW w:w="0" w:type="auto"/>
                  <w:vAlign w:val="center"/>
                </w:tcPr>
                <w:p w14:paraId="67CA5611">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65.93</w:t>
                  </w:r>
                </w:p>
              </w:tc>
              <w:tc>
                <w:tcPr>
                  <w:tcW w:w="0" w:type="auto"/>
                  <w:shd w:val="clear" w:color="auto" w:fill="auto"/>
                  <w:vAlign w:val="center"/>
                </w:tcPr>
                <w:p w14:paraId="779B03E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27782B11">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20</w:t>
                  </w:r>
                </w:p>
              </w:tc>
              <w:tc>
                <w:tcPr>
                  <w:tcW w:w="0" w:type="auto"/>
                  <w:shd w:val="clear" w:color="auto" w:fill="auto"/>
                  <w:vAlign w:val="center"/>
                </w:tcPr>
                <w:p w14:paraId="174A8175">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45.93</w:t>
                  </w:r>
                </w:p>
              </w:tc>
              <w:tc>
                <w:tcPr>
                  <w:tcW w:w="0" w:type="auto"/>
                  <w:vAlign w:val="center"/>
                </w:tcPr>
                <w:p w14:paraId="265F2D9A">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6FD1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96B95C9">
                  <w:pPr>
                    <w:pStyle w:val="29"/>
                    <w:spacing w:beforeLines="0" w:afterLines="0"/>
                    <w:ind w:firstLine="0" w:firstLineChars="0"/>
                    <w:rPr>
                      <w:rFonts w:hint="default"/>
                      <w:color w:val="auto"/>
                      <w:sz w:val="21"/>
                      <w:szCs w:val="21"/>
                      <w:lang w:val="en-US" w:eastAsia="zh-CN"/>
                    </w:rPr>
                  </w:pPr>
                  <w:r>
                    <w:rPr>
                      <w:rFonts w:hint="eastAsia"/>
                      <w:color w:val="auto"/>
                      <w:sz w:val="21"/>
                      <w:szCs w:val="21"/>
                      <w:lang w:val="en-US" w:eastAsia="zh-CN"/>
                    </w:rPr>
                    <w:t>污水潜水泵</w:t>
                  </w:r>
                </w:p>
              </w:tc>
              <w:tc>
                <w:tcPr>
                  <w:tcW w:w="0" w:type="auto"/>
                  <w:shd w:val="clear" w:color="auto" w:fill="auto"/>
                  <w:vAlign w:val="center"/>
                </w:tcPr>
                <w:p w14:paraId="012A95B0">
                  <w:pPr>
                    <w:pStyle w:val="29"/>
                    <w:spacing w:beforeLines="0" w:afterLines="0"/>
                    <w:ind w:firstLine="0" w:firstLineChars="0"/>
                    <w:rPr>
                      <w:rFonts w:hint="default"/>
                      <w:color w:val="auto"/>
                      <w:sz w:val="21"/>
                      <w:szCs w:val="21"/>
                      <w:lang w:val="en-US" w:eastAsia="zh-CN"/>
                    </w:rPr>
                  </w:pPr>
                  <w:r>
                    <w:rPr>
                      <w:rFonts w:hint="eastAsia"/>
                      <w:color w:val="auto"/>
                      <w:sz w:val="21"/>
                      <w:szCs w:val="21"/>
                      <w:lang w:val="en-US" w:eastAsia="zh-CN"/>
                    </w:rPr>
                    <w:t>/</w:t>
                  </w:r>
                </w:p>
              </w:tc>
              <w:tc>
                <w:tcPr>
                  <w:tcW w:w="0" w:type="auto"/>
                  <w:vAlign w:val="center"/>
                </w:tcPr>
                <w:p w14:paraId="10CA45EF">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70</w:t>
                  </w:r>
                </w:p>
              </w:tc>
              <w:tc>
                <w:tcPr>
                  <w:tcW w:w="0" w:type="auto"/>
                  <w:shd w:val="clear" w:color="auto" w:fill="auto"/>
                  <w:vAlign w:val="center"/>
                </w:tcPr>
                <w:p w14:paraId="29008E0A">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2BDBA1B3">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23.16,26.06,1</w:t>
                  </w:r>
                </w:p>
              </w:tc>
              <w:tc>
                <w:tcPr>
                  <w:tcW w:w="0" w:type="auto"/>
                  <w:vAlign w:val="center"/>
                </w:tcPr>
                <w:p w14:paraId="494372CA">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10.79</w:t>
                  </w:r>
                </w:p>
              </w:tc>
              <w:tc>
                <w:tcPr>
                  <w:tcW w:w="0" w:type="auto"/>
                  <w:vAlign w:val="center"/>
                </w:tcPr>
                <w:p w14:paraId="5A39821C">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49.34</w:t>
                  </w:r>
                </w:p>
              </w:tc>
              <w:tc>
                <w:tcPr>
                  <w:tcW w:w="0" w:type="auto"/>
                  <w:shd w:val="clear" w:color="auto" w:fill="auto"/>
                  <w:vAlign w:val="center"/>
                </w:tcPr>
                <w:p w14:paraId="248CB166">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vAlign w:val="center"/>
                </w:tcPr>
                <w:p w14:paraId="49ECAE49">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w:t>
                  </w:r>
                </w:p>
              </w:tc>
              <w:tc>
                <w:tcPr>
                  <w:tcW w:w="0" w:type="auto"/>
                  <w:shd w:val="clear" w:color="auto" w:fill="auto"/>
                  <w:vAlign w:val="center"/>
                </w:tcPr>
                <w:p w14:paraId="6F593DB9">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29.34</w:t>
                  </w:r>
                </w:p>
              </w:tc>
              <w:tc>
                <w:tcPr>
                  <w:tcW w:w="0" w:type="auto"/>
                  <w:vAlign w:val="center"/>
                </w:tcPr>
                <w:p w14:paraId="4CA65CA1">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766B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0B5C830">
                  <w:pPr>
                    <w:pStyle w:val="29"/>
                    <w:spacing w:beforeLines="0" w:afterLines="0"/>
                    <w:ind w:firstLine="0" w:firstLineChars="0"/>
                    <w:rPr>
                      <w:rFonts w:hint="default"/>
                      <w:color w:val="auto"/>
                      <w:sz w:val="21"/>
                      <w:szCs w:val="21"/>
                      <w:lang w:val="en-US" w:eastAsia="zh-CN"/>
                    </w:rPr>
                  </w:pPr>
                  <w:r>
                    <w:rPr>
                      <w:rFonts w:hint="eastAsia"/>
                      <w:color w:val="auto"/>
                      <w:sz w:val="21"/>
                      <w:szCs w:val="21"/>
                      <w:lang w:val="en-US" w:eastAsia="zh-CN"/>
                    </w:rPr>
                    <w:t>2#引风机</w:t>
                  </w:r>
                </w:p>
              </w:tc>
              <w:tc>
                <w:tcPr>
                  <w:tcW w:w="0" w:type="auto"/>
                  <w:shd w:val="clear" w:color="auto" w:fill="auto"/>
                  <w:vAlign w:val="center"/>
                </w:tcPr>
                <w:p w14:paraId="307DED8D">
                  <w:pPr>
                    <w:pStyle w:val="29"/>
                    <w:spacing w:beforeLines="0" w:afterLines="0"/>
                    <w:ind w:firstLine="0" w:firstLineChars="0"/>
                    <w:rPr>
                      <w:rFonts w:hint="default"/>
                      <w:color w:val="auto"/>
                      <w:sz w:val="21"/>
                      <w:szCs w:val="21"/>
                      <w:lang w:val="en-US" w:eastAsia="zh-CN"/>
                    </w:rPr>
                  </w:pPr>
                  <w:r>
                    <w:rPr>
                      <w:rFonts w:hint="eastAsia"/>
                      <w:color w:val="auto"/>
                      <w:sz w:val="21"/>
                      <w:szCs w:val="21"/>
                      <w:lang w:val="en-US" w:eastAsia="zh-CN"/>
                    </w:rPr>
                    <w:t>5800m</w:t>
                  </w:r>
                  <w:r>
                    <w:rPr>
                      <w:rFonts w:hint="eastAsia"/>
                      <w:color w:val="auto"/>
                      <w:sz w:val="21"/>
                      <w:szCs w:val="21"/>
                      <w:vertAlign w:val="superscript"/>
                      <w:lang w:val="en-US" w:eastAsia="zh-CN"/>
                    </w:rPr>
                    <w:t>3</w:t>
                  </w:r>
                  <w:r>
                    <w:rPr>
                      <w:rFonts w:hint="eastAsia"/>
                      <w:color w:val="auto"/>
                      <w:sz w:val="21"/>
                      <w:szCs w:val="21"/>
                      <w:lang w:val="en-US" w:eastAsia="zh-CN"/>
                    </w:rPr>
                    <w:t>/h</w:t>
                  </w:r>
                </w:p>
              </w:tc>
              <w:tc>
                <w:tcPr>
                  <w:tcW w:w="0" w:type="auto"/>
                  <w:vAlign w:val="center"/>
                </w:tcPr>
                <w:p w14:paraId="15D862AC">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85</w:t>
                  </w:r>
                </w:p>
              </w:tc>
              <w:tc>
                <w:tcPr>
                  <w:tcW w:w="0" w:type="auto"/>
                  <w:shd w:val="clear" w:color="auto" w:fill="auto"/>
                  <w:vAlign w:val="center"/>
                </w:tcPr>
                <w:p w14:paraId="7166B969">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592C1D9F">
                  <w:pPr>
                    <w:pStyle w:val="29"/>
                    <w:bidi w:val="0"/>
                    <w:ind w:firstLine="0" w:firstLineChars="0"/>
                    <w:jc w:val="center"/>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14.74,10.05,1</w:t>
                  </w:r>
                </w:p>
              </w:tc>
              <w:tc>
                <w:tcPr>
                  <w:tcW w:w="0" w:type="auto"/>
                  <w:vAlign w:val="center"/>
                </w:tcPr>
                <w:p w14:paraId="347BEE1F">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8.77</w:t>
                  </w:r>
                </w:p>
              </w:tc>
              <w:tc>
                <w:tcPr>
                  <w:tcW w:w="0" w:type="auto"/>
                  <w:vAlign w:val="center"/>
                </w:tcPr>
                <w:p w14:paraId="7C6575AE">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66.14</w:t>
                  </w:r>
                </w:p>
              </w:tc>
              <w:tc>
                <w:tcPr>
                  <w:tcW w:w="0" w:type="auto"/>
                  <w:shd w:val="clear" w:color="auto" w:fill="auto"/>
                  <w:vAlign w:val="center"/>
                </w:tcPr>
                <w:p w14:paraId="7EA05ADF">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shd w:val="clear" w:color="auto" w:fill="auto"/>
                  <w:vAlign w:val="center"/>
                </w:tcPr>
                <w:p w14:paraId="1ADABA30">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w:t>
                  </w:r>
                </w:p>
              </w:tc>
              <w:tc>
                <w:tcPr>
                  <w:tcW w:w="0" w:type="auto"/>
                  <w:shd w:val="clear" w:color="auto" w:fill="auto"/>
                  <w:vAlign w:val="center"/>
                </w:tcPr>
                <w:p w14:paraId="7AADB551">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46.14</w:t>
                  </w:r>
                </w:p>
              </w:tc>
              <w:tc>
                <w:tcPr>
                  <w:tcW w:w="0" w:type="auto"/>
                  <w:vAlign w:val="center"/>
                </w:tcPr>
                <w:p w14:paraId="71F509AD">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2A6A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3281EE6">
                  <w:pPr>
                    <w:pStyle w:val="29"/>
                    <w:spacing w:beforeLines="0" w:afterLines="0"/>
                    <w:ind w:firstLine="0" w:firstLineChars="0"/>
                    <w:rPr>
                      <w:rFonts w:hint="default"/>
                      <w:color w:val="auto"/>
                      <w:sz w:val="21"/>
                      <w:szCs w:val="21"/>
                      <w:lang w:val="en-US" w:eastAsia="zh-CN"/>
                    </w:rPr>
                  </w:pPr>
                  <w:r>
                    <w:rPr>
                      <w:rFonts w:hint="eastAsia"/>
                      <w:color w:val="auto"/>
                      <w:sz w:val="21"/>
                      <w:szCs w:val="21"/>
                      <w:lang w:val="en-US" w:eastAsia="zh-CN"/>
                    </w:rPr>
                    <w:t>1#制冷机</w:t>
                  </w:r>
                </w:p>
              </w:tc>
              <w:tc>
                <w:tcPr>
                  <w:tcW w:w="0" w:type="auto"/>
                  <w:shd w:val="clear" w:color="auto" w:fill="auto"/>
                  <w:vAlign w:val="center"/>
                </w:tcPr>
                <w:p w14:paraId="6253A960">
                  <w:pPr>
                    <w:pStyle w:val="29"/>
                    <w:spacing w:beforeLines="0" w:afterLines="0"/>
                    <w:ind w:firstLine="0" w:firstLineChars="0"/>
                    <w:rPr>
                      <w:rFonts w:hint="eastAsia"/>
                      <w:color w:val="auto"/>
                      <w:sz w:val="21"/>
                      <w:szCs w:val="21"/>
                      <w:lang w:val="en-US" w:eastAsia="zh-CN"/>
                    </w:rPr>
                  </w:pPr>
                  <w:r>
                    <w:rPr>
                      <w:rFonts w:hint="eastAsia"/>
                      <w:color w:val="auto"/>
                      <w:sz w:val="21"/>
                      <w:szCs w:val="21"/>
                      <w:lang w:val="en-US" w:eastAsia="zh-CN"/>
                    </w:rPr>
                    <w:t>BES151-AL</w:t>
                  </w:r>
                </w:p>
              </w:tc>
              <w:tc>
                <w:tcPr>
                  <w:tcW w:w="0" w:type="auto"/>
                  <w:vAlign w:val="center"/>
                </w:tcPr>
                <w:p w14:paraId="5EE97283">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80</w:t>
                  </w:r>
                </w:p>
              </w:tc>
              <w:tc>
                <w:tcPr>
                  <w:tcW w:w="0" w:type="auto"/>
                  <w:shd w:val="clear" w:color="auto" w:fill="auto"/>
                  <w:vAlign w:val="center"/>
                </w:tcPr>
                <w:p w14:paraId="7ECE9322">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34CFB0B9">
                  <w:pPr>
                    <w:pStyle w:val="29"/>
                    <w:bidi w:val="0"/>
                    <w:ind w:firstLine="0" w:firstLineChars="0"/>
                    <w:jc w:val="center"/>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20.84,20.56,1</w:t>
                  </w:r>
                </w:p>
              </w:tc>
              <w:tc>
                <w:tcPr>
                  <w:tcW w:w="0" w:type="auto"/>
                  <w:vAlign w:val="center"/>
                </w:tcPr>
                <w:p w14:paraId="1A6E1352">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10.73</w:t>
                  </w:r>
                </w:p>
              </w:tc>
              <w:tc>
                <w:tcPr>
                  <w:tcW w:w="0" w:type="auto"/>
                  <w:vAlign w:val="center"/>
                </w:tcPr>
                <w:p w14:paraId="51DCC87E">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59.39</w:t>
                  </w:r>
                </w:p>
              </w:tc>
              <w:tc>
                <w:tcPr>
                  <w:tcW w:w="0" w:type="auto"/>
                  <w:shd w:val="clear" w:color="auto" w:fill="auto"/>
                  <w:vAlign w:val="center"/>
                </w:tcPr>
                <w:p w14:paraId="3A640F19">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shd w:val="clear" w:color="auto" w:fill="auto"/>
                  <w:vAlign w:val="center"/>
                </w:tcPr>
                <w:p w14:paraId="21F92625">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w:t>
                  </w:r>
                </w:p>
              </w:tc>
              <w:tc>
                <w:tcPr>
                  <w:tcW w:w="0" w:type="auto"/>
                  <w:shd w:val="clear" w:color="auto" w:fill="auto"/>
                  <w:vAlign w:val="center"/>
                </w:tcPr>
                <w:p w14:paraId="13BB7CA8">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39.39</w:t>
                  </w:r>
                </w:p>
              </w:tc>
              <w:tc>
                <w:tcPr>
                  <w:tcW w:w="0" w:type="auto"/>
                  <w:vAlign w:val="center"/>
                </w:tcPr>
                <w:p w14:paraId="670D9242">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r w14:paraId="5F07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13CB325">
                  <w:pPr>
                    <w:pStyle w:val="29"/>
                    <w:spacing w:beforeLines="0" w:afterLines="0"/>
                    <w:ind w:firstLine="0" w:firstLineChars="0"/>
                    <w:rPr>
                      <w:rFonts w:hint="eastAsia"/>
                      <w:color w:val="auto"/>
                      <w:sz w:val="21"/>
                      <w:szCs w:val="21"/>
                      <w:lang w:val="en-US" w:eastAsia="zh-CN"/>
                    </w:rPr>
                  </w:pPr>
                  <w:r>
                    <w:rPr>
                      <w:rFonts w:hint="eastAsia"/>
                      <w:color w:val="auto"/>
                      <w:sz w:val="21"/>
                      <w:szCs w:val="21"/>
                      <w:lang w:val="en-US" w:eastAsia="zh-CN"/>
                    </w:rPr>
                    <w:t>2#制冷机</w:t>
                  </w:r>
                </w:p>
              </w:tc>
              <w:tc>
                <w:tcPr>
                  <w:tcW w:w="0" w:type="auto"/>
                  <w:shd w:val="clear" w:color="auto" w:fill="auto"/>
                  <w:vAlign w:val="center"/>
                </w:tcPr>
                <w:p w14:paraId="2A9FF3FF">
                  <w:pPr>
                    <w:pStyle w:val="29"/>
                    <w:spacing w:beforeLines="0" w:afterLines="0"/>
                    <w:ind w:firstLine="0" w:firstLineChars="0"/>
                    <w:rPr>
                      <w:rFonts w:hint="eastAsia"/>
                      <w:color w:val="auto"/>
                      <w:sz w:val="21"/>
                      <w:szCs w:val="21"/>
                      <w:lang w:val="en-US" w:eastAsia="zh-CN"/>
                    </w:rPr>
                  </w:pPr>
                  <w:r>
                    <w:rPr>
                      <w:rFonts w:hint="eastAsia"/>
                      <w:color w:val="auto"/>
                      <w:sz w:val="21"/>
                      <w:szCs w:val="21"/>
                      <w:lang w:val="en-US" w:eastAsia="zh-CN"/>
                    </w:rPr>
                    <w:t>BES151-AL</w:t>
                  </w:r>
                </w:p>
              </w:tc>
              <w:tc>
                <w:tcPr>
                  <w:tcW w:w="0" w:type="auto"/>
                  <w:vAlign w:val="center"/>
                </w:tcPr>
                <w:p w14:paraId="06A07DA8">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80</w:t>
                  </w:r>
                </w:p>
              </w:tc>
              <w:tc>
                <w:tcPr>
                  <w:tcW w:w="0" w:type="auto"/>
                  <w:shd w:val="clear" w:color="auto" w:fill="auto"/>
                  <w:vAlign w:val="center"/>
                </w:tcPr>
                <w:p w14:paraId="2E7276C3">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厂房隔声、基础减振</w:t>
                  </w:r>
                </w:p>
              </w:tc>
              <w:tc>
                <w:tcPr>
                  <w:tcW w:w="0" w:type="auto"/>
                  <w:vAlign w:val="center"/>
                </w:tcPr>
                <w:p w14:paraId="6CD2594D">
                  <w:pPr>
                    <w:pStyle w:val="29"/>
                    <w:bidi w:val="0"/>
                    <w:ind w:firstLine="0" w:firstLineChars="0"/>
                    <w:jc w:val="center"/>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19.54,19.18,1</w:t>
                  </w:r>
                </w:p>
              </w:tc>
              <w:tc>
                <w:tcPr>
                  <w:tcW w:w="0" w:type="auto"/>
                  <w:vAlign w:val="center"/>
                </w:tcPr>
                <w:p w14:paraId="22A91272">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9.98</w:t>
                  </w:r>
                </w:p>
              </w:tc>
              <w:tc>
                <w:tcPr>
                  <w:tcW w:w="0" w:type="auto"/>
                  <w:vAlign w:val="center"/>
                </w:tcPr>
                <w:p w14:paraId="0A3DE7E8">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60.02</w:t>
                  </w:r>
                </w:p>
              </w:tc>
              <w:tc>
                <w:tcPr>
                  <w:tcW w:w="0" w:type="auto"/>
                  <w:shd w:val="clear" w:color="auto" w:fill="auto"/>
                  <w:vAlign w:val="center"/>
                </w:tcPr>
                <w:p w14:paraId="0B78B9B0">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昼间</w:t>
                  </w:r>
                </w:p>
              </w:tc>
              <w:tc>
                <w:tcPr>
                  <w:tcW w:w="0" w:type="auto"/>
                  <w:shd w:val="clear" w:color="auto" w:fill="auto"/>
                  <w:vAlign w:val="center"/>
                </w:tcPr>
                <w:p w14:paraId="1EBA1D9A">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20</w:t>
                  </w:r>
                </w:p>
              </w:tc>
              <w:tc>
                <w:tcPr>
                  <w:tcW w:w="0" w:type="auto"/>
                  <w:shd w:val="clear" w:color="auto" w:fill="auto"/>
                  <w:vAlign w:val="center"/>
                </w:tcPr>
                <w:p w14:paraId="252196F6">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40.02</w:t>
                  </w:r>
                </w:p>
              </w:tc>
              <w:tc>
                <w:tcPr>
                  <w:tcW w:w="0" w:type="auto"/>
                  <w:vAlign w:val="center"/>
                </w:tcPr>
                <w:p w14:paraId="4B84E16E">
                  <w:pPr>
                    <w:pStyle w:val="29"/>
                    <w:bidi w:val="0"/>
                    <w:ind w:firstLine="0" w:firstLineChars="0"/>
                    <w:jc w:val="center"/>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w:t>
                  </w:r>
                </w:p>
              </w:tc>
            </w:tr>
          </w:tbl>
          <w:p w14:paraId="2EB4F8DB">
            <w:pPr>
              <w:ind w:left="0" w:leftChars="0" w:firstLine="0" w:firstLineChars="0"/>
              <w:rPr>
                <w:rFonts w:hint="default"/>
                <w:color w:val="auto"/>
                <w:vertAlign w:val="baseline"/>
                <w:lang w:val="en-US" w:eastAsia="zh-CN"/>
              </w:rPr>
            </w:pPr>
          </w:p>
        </w:tc>
      </w:tr>
    </w:tbl>
    <w:p w14:paraId="5339794E">
      <w:pPr>
        <w:ind w:firstLine="0" w:firstLineChars="0"/>
        <w:rPr>
          <w:color w:val="auto"/>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8300"/>
      </w:tblGrid>
      <w:tr w14:paraId="1116B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6" w:type="dxa"/>
          </w:tcPr>
          <w:p w14:paraId="06C915D0">
            <w:pPr>
              <w:rPr>
                <w:color w:val="auto"/>
                <w:vertAlign w:val="baseline"/>
              </w:rPr>
            </w:pPr>
          </w:p>
        </w:tc>
        <w:tc>
          <w:tcPr>
            <w:tcW w:w="8166" w:type="dxa"/>
          </w:tcPr>
          <w:p w14:paraId="14E94D4E">
            <w:pPr>
              <w:ind w:firstLine="482"/>
              <w:rPr>
                <w:rFonts w:hint="default" w:eastAsia="宋体"/>
                <w:color w:val="auto"/>
                <w:lang w:val="en-US" w:eastAsia="zh-CN"/>
              </w:rPr>
            </w:pPr>
            <w:r>
              <w:rPr>
                <w:rFonts w:hint="eastAsia"/>
                <w:b/>
                <w:bCs/>
                <w:color w:val="auto"/>
              </w:rPr>
              <w:t>（二）</w:t>
            </w:r>
            <w:r>
              <w:rPr>
                <w:rFonts w:hint="eastAsia"/>
                <w:b/>
                <w:bCs/>
                <w:color w:val="auto"/>
                <w:lang w:val="en-US" w:eastAsia="zh-CN"/>
              </w:rPr>
              <w:t>噪声影响预测模式</w:t>
            </w:r>
          </w:p>
          <w:p w14:paraId="220CF3E2">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bCs/>
                <w:color w:val="auto"/>
                <w:kern w:val="0"/>
                <w:sz w:val="24"/>
                <w:lang w:val="en-US" w:eastAsia="zh-CN"/>
              </w:rPr>
            </w:pPr>
            <w:r>
              <w:rPr>
                <w:rFonts w:hint="eastAsia" w:ascii="Times New Roman" w:hAnsi="Times New Roman" w:eastAsia="宋体" w:cs="Times New Roman"/>
                <w:bCs/>
                <w:color w:val="auto"/>
                <w:kern w:val="0"/>
                <w:sz w:val="24"/>
                <w:lang w:val="en-US" w:eastAsia="zh-CN"/>
              </w:rPr>
              <w:t>噪声预测按照《环境影响评价技术导则声环境》（HJ2.4-2021）进行预测，在采取措施的情况下，建设项目主要噪声源全部同时正常运行时对厂界的影响及对声环境敏感点的影响。</w:t>
            </w:r>
          </w:p>
          <w:p w14:paraId="6D7E7D0E">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bCs/>
                <w:color w:val="auto"/>
                <w:kern w:val="0"/>
                <w:sz w:val="24"/>
              </w:rPr>
              <w:t>1</w:t>
            </w:r>
            <w:r>
              <w:rPr>
                <w:rFonts w:hint="eastAsia" w:ascii="Times New Roman" w:hAnsi="Times New Roman" w:eastAsia="宋体" w:cs="Times New Roman"/>
                <w:bCs/>
                <w:color w:val="auto"/>
                <w:kern w:val="0"/>
                <w:sz w:val="24"/>
                <w:lang w:eastAsia="zh-CN"/>
              </w:rPr>
              <w:t>、</w:t>
            </w:r>
            <w:r>
              <w:rPr>
                <w:rFonts w:hint="default" w:ascii="Times New Roman" w:hAnsi="Times New Roman" w:eastAsia="宋体" w:cs="Times New Roman"/>
                <w:color w:val="auto"/>
                <w:sz w:val="24"/>
              </w:rPr>
              <w:t>无指向性点声源几何发散衰减</w:t>
            </w:r>
          </w:p>
          <w:p w14:paraId="7B8E0FF3">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无指向性点声源几何发散衰减的基本公式是：</w:t>
            </w:r>
          </w:p>
          <w:p w14:paraId="0601C02B">
            <w:pPr>
              <w:keepNext w:val="0"/>
              <w:keepLines w:val="0"/>
              <w:suppressLineNumbers w:val="0"/>
              <w:adjustRightInd w:val="0"/>
              <w:snapToGrid w:val="0"/>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12"/>
                <w:sz w:val="24"/>
              </w:rPr>
              <w:object>
                <v:shape id="_x0000_i1025" o:spt="75" type="#_x0000_t75" style="height:26.3pt;width:216.25pt;" o:ole="t" filled="f" o:preferrelative="t" stroked="f" coordsize="21600,21600">
                  <v:path/>
                  <v:fill on="f" focussize="0,0"/>
                  <v:stroke on="f"/>
                  <v:imagedata r:id="rId29" o:title=""/>
                  <o:lock v:ext="edit" aspectratio="t"/>
                  <w10:wrap type="none"/>
                  <w10:anchorlock/>
                </v:shape>
                <o:OLEObject Type="Embed" ProgID="Equation.KSEE3" ShapeID="_x0000_i1025" DrawAspect="Content" ObjectID="_1468075725" r:id="rId28">
                  <o:LockedField>false</o:LockedField>
                </o:OLEObject>
              </w:object>
            </w:r>
          </w:p>
          <w:p w14:paraId="7B4331EB">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式中：Lp（r）——预测点处的声压级，dB；</w:t>
            </w:r>
          </w:p>
          <w:p w14:paraId="20BBAF05">
            <w:pPr>
              <w:keepNext w:val="0"/>
              <w:keepLines w:val="0"/>
              <w:suppressLineNumbers w:val="0"/>
              <w:adjustRightInd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Lp（r</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）——参考位置r</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处的声压级，dB；</w:t>
            </w:r>
          </w:p>
          <w:p w14:paraId="41343D00">
            <w:pPr>
              <w:pStyle w:val="50"/>
              <w:keepNext w:val="0"/>
              <w:keepLines w:val="0"/>
              <w:suppressLineNumbers w:val="0"/>
              <w:adjustRightInd w:val="0"/>
              <w:snapToGrid w:val="0"/>
              <w:spacing w:before="0" w:beforeAutospacing="0" w:after="0" w:afterAutospacing="0" w:line="360" w:lineRule="auto"/>
              <w:ind w:left="0" w:right="0" w:firstLine="1200" w:firstLineChars="5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r——预测点距声源距离，m；</w:t>
            </w:r>
          </w:p>
          <w:p w14:paraId="1EE1F319">
            <w:pPr>
              <w:pStyle w:val="43"/>
              <w:keepNext w:val="0"/>
              <w:keepLines w:val="0"/>
              <w:suppressLineNumbers w:val="0"/>
              <w:adjustRightInd w:val="0"/>
              <w:snapToGrid w:val="0"/>
              <w:spacing w:before="0" w:beforeAutospacing="0" w:after="0" w:afterAutospacing="0" w:line="360" w:lineRule="auto"/>
              <w:ind w:left="0" w:right="0" w:firstLine="1200" w:firstLineChars="500"/>
              <w:rPr>
                <w:rFonts w:hint="default" w:ascii="Times New Roman" w:hAnsi="Times New Roman" w:eastAsia="宋体" w:cs="Times New Roman"/>
                <w:bCs/>
                <w:color w:val="auto"/>
                <w:kern w:val="0"/>
                <w:sz w:val="24"/>
              </w:rPr>
            </w:pPr>
            <w:r>
              <w:rPr>
                <w:rFonts w:hint="default" w:ascii="Times New Roman" w:hAnsi="Times New Roman" w:eastAsia="宋体" w:cs="Times New Roman"/>
                <w:color w:val="auto"/>
                <w:sz w:val="24"/>
              </w:rPr>
              <w:t>r</w:t>
            </w:r>
            <w:r>
              <w:rPr>
                <w:rFonts w:hint="default" w:ascii="Times New Roman" w:hAnsi="Times New Roman" w:eastAsia="宋体" w:cs="Times New Roman"/>
                <w:color w:val="auto"/>
                <w:sz w:val="24"/>
                <w:vertAlign w:val="subscript"/>
              </w:rPr>
              <w:t>0</w:t>
            </w:r>
            <w:r>
              <w:rPr>
                <w:rFonts w:hint="default" w:ascii="Times New Roman" w:hAnsi="Times New Roman" w:eastAsia="宋体" w:cs="Times New Roman"/>
                <w:color w:val="auto"/>
                <w:sz w:val="24"/>
              </w:rPr>
              <w:t>——参考位置距声源的距离，m；</w:t>
            </w:r>
          </w:p>
          <w:p w14:paraId="6656A5B6">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bCs/>
                <w:color w:val="auto"/>
                <w:kern w:val="0"/>
                <w:sz w:val="24"/>
              </w:rPr>
              <w:t>2</w:t>
            </w:r>
            <w:r>
              <w:rPr>
                <w:rFonts w:hint="eastAsia" w:ascii="Times New Roman" w:hAnsi="Times New Roman" w:eastAsia="宋体" w:cs="Times New Roman"/>
                <w:bCs/>
                <w:color w:val="auto"/>
                <w:kern w:val="0"/>
                <w:sz w:val="24"/>
                <w:lang w:eastAsia="zh-CN"/>
              </w:rPr>
              <w:t>、</w:t>
            </w:r>
            <w:r>
              <w:rPr>
                <w:rFonts w:hint="default" w:ascii="Times New Roman" w:hAnsi="Times New Roman" w:eastAsia="宋体" w:cs="Times New Roman"/>
                <w:color w:val="auto"/>
                <w:sz w:val="24"/>
              </w:rPr>
              <w:t>室内声源等效室外声源声功率计算方法：</w:t>
            </w:r>
          </w:p>
          <w:p w14:paraId="5D869ADD">
            <w:pPr>
              <w:bidi w:val="0"/>
              <w:rPr>
                <w:rFonts w:hint="default"/>
                <w:color w:val="auto"/>
              </w:rPr>
            </w:pPr>
            <w:r>
              <w:rPr>
                <w:rFonts w:hint="default"/>
                <w:color w:val="auto"/>
              </w:rPr>
              <w:t>声源位于室内，室内声源可采用等效室外声源声功率级法进行计算。设靠近开口处（或窗户）室内、室外某倍频带的声压级或A声级分别为Lp1和Lp2，若声源所在室内声场为近似扩散声场，则室外的倍频带声压级可按下式近似求出：</w:t>
            </w:r>
          </w:p>
          <w:p w14:paraId="350C9378">
            <w:pPr>
              <w:keepNext w:val="0"/>
              <w:keepLines w:val="0"/>
              <w:suppressLineNumbers w:val="0"/>
              <w:adjustRightInd w:val="0"/>
              <w:snapToGrid w:val="0"/>
              <w:spacing w:before="0" w:beforeAutospacing="0" w:after="0" w:afterAutospacing="0" w:line="360" w:lineRule="auto"/>
              <w:ind w:left="0" w:right="0" w:firstLine="480" w:firstLineChars="200"/>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position w:val="-14"/>
                <w:sz w:val="24"/>
              </w:rPr>
              <w:object>
                <v:shape id="_x0000_i1026" o:spt="75" type="#_x0000_t75" style="height:26.45pt;width:145.55pt;" o:ole="t" filled="f" o:preferrelative="t" stroked="f" coordsize="21600,21600">
                  <v:path/>
                  <v:fill on="f" focussize="0,0"/>
                  <v:stroke on="f"/>
                  <v:imagedata r:id="rId31" o:title=""/>
                  <o:lock v:ext="edit" aspectratio="t"/>
                  <w10:wrap type="none"/>
                  <w10:anchorlock/>
                </v:shape>
                <o:OLEObject Type="Embed" ProgID="Equation.KSEE3" ShapeID="_x0000_i1026" DrawAspect="Content" ObjectID="_1468075726" r:id="rId30">
                  <o:LockedField>false</o:LockedField>
                </o:OLEObject>
              </w:object>
            </w:r>
          </w:p>
          <w:p w14:paraId="05CB289D">
            <w:pPr>
              <w:keepNext w:val="0"/>
              <w:keepLines w:val="0"/>
              <w:suppressLineNumbers w:val="0"/>
              <w:adjustRightInd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w:t>
            </w:r>
            <w:r>
              <w:rPr>
                <w:rFonts w:hint="default" w:ascii="Times New Roman" w:hAnsi="Times New Roman" w:eastAsia="宋体" w:cs="Times New Roman"/>
                <w:color w:val="auto"/>
                <w:sz w:val="24"/>
                <w:vertAlign w:val="subscript"/>
              </w:rPr>
              <w:t>p1</w:t>
            </w:r>
            <w:r>
              <w:rPr>
                <w:rFonts w:hint="eastAsia" w:cs="Times New Roman"/>
                <w:color w:val="auto"/>
                <w:sz w:val="24"/>
                <w:lang w:eastAsia="zh-CN"/>
              </w:rPr>
              <w:t>—</w:t>
            </w:r>
            <w:r>
              <w:rPr>
                <w:rFonts w:hint="default" w:ascii="Times New Roman" w:hAnsi="Times New Roman" w:eastAsia="宋体" w:cs="Times New Roman"/>
                <w:color w:val="auto"/>
                <w:sz w:val="24"/>
              </w:rPr>
              <w:t>靠近开口处（或窗户）室内某倍频带的声压级或A声级，dB；</w:t>
            </w:r>
          </w:p>
          <w:p w14:paraId="1AE22612">
            <w:pPr>
              <w:keepNext w:val="0"/>
              <w:keepLines w:val="0"/>
              <w:suppressLineNumbers w:val="0"/>
              <w:adjustRightInd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w:t>
            </w:r>
            <w:r>
              <w:rPr>
                <w:rFonts w:hint="default" w:ascii="Times New Roman" w:hAnsi="Times New Roman" w:eastAsia="宋体" w:cs="Times New Roman"/>
                <w:color w:val="auto"/>
                <w:sz w:val="24"/>
                <w:vertAlign w:val="subscript"/>
              </w:rPr>
              <w:t>p2</w:t>
            </w:r>
            <w:r>
              <w:rPr>
                <w:rFonts w:hint="eastAsia" w:cs="Times New Roman"/>
                <w:color w:val="auto"/>
                <w:sz w:val="24"/>
                <w:lang w:eastAsia="zh-CN"/>
              </w:rPr>
              <w:t>—</w:t>
            </w:r>
            <w:r>
              <w:rPr>
                <w:rFonts w:hint="default" w:ascii="Times New Roman" w:hAnsi="Times New Roman" w:eastAsia="宋体" w:cs="Times New Roman"/>
                <w:color w:val="auto"/>
                <w:sz w:val="24"/>
              </w:rPr>
              <w:t>靠近开口处（或窗户）室外某倍频带的声压级或A声级，dB；</w:t>
            </w:r>
          </w:p>
          <w:p w14:paraId="4F03530E">
            <w:pPr>
              <w:pStyle w:val="43"/>
              <w:keepNext w:val="0"/>
              <w:keepLines w:val="0"/>
              <w:suppressLineNumbers w:val="0"/>
              <w:adjustRightInd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TL</w:t>
            </w:r>
            <w:r>
              <w:rPr>
                <w:rFonts w:hint="eastAsia" w:cs="Times New Roman"/>
                <w:color w:val="auto"/>
                <w:sz w:val="24"/>
                <w:lang w:eastAsia="zh-CN"/>
              </w:rPr>
              <w:t>—</w:t>
            </w:r>
            <w:r>
              <w:rPr>
                <w:rFonts w:hint="default" w:ascii="Times New Roman" w:hAnsi="Times New Roman" w:eastAsia="宋体" w:cs="Times New Roman"/>
                <w:color w:val="auto"/>
                <w:sz w:val="24"/>
              </w:rPr>
              <w:t>隔墙（或窗户）倍频带或A声级的隔声量，dB。</w:t>
            </w:r>
          </w:p>
          <w:p w14:paraId="438D8F33">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drawing>
                <wp:inline distT="0" distB="0" distL="114300" distR="114300">
                  <wp:extent cx="4381500" cy="1514475"/>
                  <wp:effectExtent l="0" t="0" r="0" b="952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2"/>
                          <a:stretch>
                            <a:fillRect/>
                          </a:stretch>
                        </pic:blipFill>
                        <pic:spPr>
                          <a:xfrm>
                            <a:off x="0" y="0"/>
                            <a:ext cx="4381500" cy="1514475"/>
                          </a:xfrm>
                          <a:prstGeom prst="rect">
                            <a:avLst/>
                          </a:prstGeom>
                          <a:noFill/>
                          <a:ln>
                            <a:noFill/>
                          </a:ln>
                        </pic:spPr>
                      </pic:pic>
                    </a:graphicData>
                  </a:graphic>
                </wp:inline>
              </w:drawing>
            </w:r>
          </w:p>
          <w:p w14:paraId="1C26A7D7">
            <w:pPr>
              <w:pStyle w:val="30"/>
              <w:bidi w:val="0"/>
              <w:rPr>
                <w:rFonts w:hint="default" w:ascii="Times New Roman" w:hAnsi="Times New Roman" w:eastAsia="宋体" w:cs="Times New Roman"/>
                <w:color w:val="auto"/>
              </w:rPr>
            </w:pPr>
            <w:r>
              <w:rPr>
                <w:rFonts w:hint="eastAsia"/>
                <w:color w:val="auto"/>
              </w:rPr>
              <w:t>图4-</w:t>
            </w:r>
            <w:r>
              <w:rPr>
                <w:rFonts w:hint="eastAsia"/>
                <w:color w:val="auto"/>
                <w:lang w:val="en-US" w:eastAsia="zh-CN"/>
              </w:rPr>
              <w:t>2</w:t>
            </w:r>
            <w:r>
              <w:rPr>
                <w:rFonts w:hint="eastAsia"/>
                <w:color w:val="auto"/>
              </w:rPr>
              <w:t>室内声源等效为室外声源图例</w:t>
            </w:r>
          </w:p>
          <w:p w14:paraId="37CA10C8">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bCs/>
                <w:color w:val="auto"/>
                <w:kern w:val="0"/>
                <w:sz w:val="24"/>
              </w:rPr>
            </w:pPr>
            <w:r>
              <w:rPr>
                <w:rFonts w:hint="default" w:ascii="Times New Roman" w:hAnsi="Times New Roman" w:eastAsia="宋体" w:cs="Times New Roman"/>
                <w:color w:val="auto"/>
                <w:sz w:val="24"/>
              </w:rPr>
              <w:t>也可按下式计算某一室内声源靠近围护结构处产生的倍频带声压级或A声级：</w:t>
            </w:r>
          </w:p>
          <w:p w14:paraId="07B786A3">
            <w:pPr>
              <w:pStyle w:val="43"/>
              <w:keepNext w:val="0"/>
              <w:keepLines w:val="0"/>
              <w:suppressLineNumbers w:val="0"/>
              <w:adjustRightInd w:val="0"/>
              <w:snapToGrid w:val="0"/>
              <w:spacing w:before="0" w:beforeAutospacing="0" w:after="0" w:afterAutospacing="0" w:line="360" w:lineRule="auto"/>
              <w:ind w:left="0" w:right="0" w:firstLine="480"/>
              <w:jc w:val="center"/>
              <w:rPr>
                <w:rFonts w:hint="default" w:ascii="Times New Roman" w:hAnsi="Times New Roman" w:eastAsia="宋体" w:cs="Times New Roman"/>
                <w:bCs/>
                <w:color w:val="auto"/>
                <w:kern w:val="0"/>
                <w:sz w:val="24"/>
              </w:rPr>
            </w:pPr>
            <w:r>
              <w:rPr>
                <w:rFonts w:hint="default" w:ascii="Times New Roman" w:hAnsi="Times New Roman" w:eastAsia="宋体" w:cs="Times New Roman"/>
                <w:bCs/>
                <w:color w:val="auto"/>
                <w:kern w:val="0"/>
                <w:position w:val="-24"/>
                <w:sz w:val="24"/>
              </w:rPr>
              <w:object>
                <v:shape id="_x0000_i1027" o:spt="75" type="#_x0000_t75" style="height:31pt;width:129pt;" o:ole="t" filled="f" o:preferrelative="t" stroked="f" coordsize="21600,21600">
                  <v:path/>
                  <v:fill on="f" focussize="0,0"/>
                  <v:stroke on="f"/>
                  <v:imagedata r:id="rId34" o:title=""/>
                  <o:lock v:ext="edit" aspectratio="t"/>
                  <w10:wrap type="none"/>
                  <w10:anchorlock/>
                </v:shape>
                <o:OLEObject Type="Embed" ProgID="Equation.KSEE3" ShapeID="_x0000_i1027" DrawAspect="Content" ObjectID="_1468075727" r:id="rId33">
                  <o:LockedField>false</o:LockedField>
                </o:OLEObject>
              </w:object>
            </w:r>
          </w:p>
          <w:p w14:paraId="0588A6EA">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w:t>
            </w:r>
            <w:r>
              <w:rPr>
                <w:rFonts w:hint="default" w:ascii="Times New Roman" w:hAnsi="Times New Roman" w:eastAsia="宋体" w:cs="Times New Roman"/>
                <w:color w:val="auto"/>
                <w:sz w:val="24"/>
                <w:vertAlign w:val="subscript"/>
              </w:rPr>
              <w:t>p1</w:t>
            </w:r>
            <w:r>
              <w:rPr>
                <w:rFonts w:hint="default" w:ascii="Times New Roman" w:hAnsi="Times New Roman" w:eastAsia="宋体" w:cs="Times New Roman"/>
                <w:color w:val="auto"/>
                <w:sz w:val="24"/>
              </w:rPr>
              <w:t>——靠近开口处（或窗户）室内某倍频带的声压级或A声级，dB；</w:t>
            </w:r>
          </w:p>
          <w:p w14:paraId="7752FE7B">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w:t>
            </w:r>
            <w:r>
              <w:rPr>
                <w:rFonts w:hint="default" w:ascii="Times New Roman" w:hAnsi="Times New Roman" w:eastAsia="宋体" w:cs="Times New Roman"/>
                <w:color w:val="auto"/>
                <w:sz w:val="24"/>
                <w:vertAlign w:val="subscript"/>
              </w:rPr>
              <w:t>w</w:t>
            </w:r>
            <w:r>
              <w:rPr>
                <w:rFonts w:hint="default" w:ascii="Times New Roman" w:hAnsi="Times New Roman" w:eastAsia="宋体" w:cs="Times New Roman"/>
                <w:color w:val="auto"/>
                <w:sz w:val="24"/>
              </w:rPr>
              <w:t>——点声源声功率级（A计权或倍频带），dB；</w:t>
            </w:r>
          </w:p>
          <w:p w14:paraId="4028C216">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Q——指向性因数；通常对无指向性声源，当声源放在房间中心时Q=1</w:t>
            </w:r>
            <w:r>
              <w:rPr>
                <w:rFonts w:hint="default" w:ascii="Times New Roman" w:hAnsi="Times New Roman" w:cs="Times New Roman"/>
                <w:color w:val="auto"/>
                <w:sz w:val="24"/>
                <w:lang w:eastAsia="zh-CN"/>
              </w:rPr>
              <w:t>；</w:t>
            </w:r>
            <w:r>
              <w:rPr>
                <w:rFonts w:hint="default" w:ascii="Times New Roman" w:hAnsi="Times New Roman" w:eastAsia="宋体" w:cs="Times New Roman"/>
                <w:color w:val="auto"/>
                <w:sz w:val="24"/>
              </w:rPr>
              <w:t>当放在一面墙的中心时，Q=2；当放在两面墙夹角处时，Q=4</w:t>
            </w:r>
            <w:r>
              <w:rPr>
                <w:rFonts w:hint="default" w:ascii="Times New Roman" w:hAnsi="Times New Roman" w:cs="Times New Roman"/>
                <w:color w:val="auto"/>
                <w:sz w:val="24"/>
                <w:lang w:eastAsia="zh-CN"/>
              </w:rPr>
              <w:t>；</w:t>
            </w:r>
            <w:r>
              <w:rPr>
                <w:rFonts w:hint="default" w:ascii="Times New Roman" w:hAnsi="Times New Roman" w:eastAsia="宋体" w:cs="Times New Roman"/>
                <w:color w:val="auto"/>
                <w:sz w:val="24"/>
              </w:rPr>
              <w:t>当放在三面墙夹角处时，Q=8；</w:t>
            </w:r>
          </w:p>
          <w:p w14:paraId="4BBF191C">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R——房间常数，R=Sα/(1-α),S为房间内表面面积，m</w:t>
            </w:r>
            <w:r>
              <w:rPr>
                <w:rFonts w:hint="default" w:ascii="Times New Roman" w:hAnsi="Times New Roman" w:eastAsia="宋体" w:cs="Times New Roman"/>
                <w:color w:val="auto"/>
                <w:sz w:val="24"/>
                <w:vertAlign w:val="superscript"/>
              </w:rPr>
              <w:t>2</w:t>
            </w:r>
            <w:r>
              <w:rPr>
                <w:rFonts w:hint="default" w:ascii="Times New Roman" w:hAnsi="Times New Roman" w:eastAsia="宋体" w:cs="Times New Roman"/>
                <w:color w:val="auto"/>
                <w:sz w:val="24"/>
              </w:rPr>
              <w:t>；α为平均吸声系数；</w:t>
            </w:r>
          </w:p>
          <w:p w14:paraId="6559DF10">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r——声源到靠近</w:t>
            </w:r>
            <w:r>
              <w:rPr>
                <w:rFonts w:hint="eastAsia" w:cs="Times New Roman"/>
                <w:color w:val="auto"/>
                <w:sz w:val="24"/>
                <w:lang w:eastAsia="zh-CN"/>
              </w:rPr>
              <w:t>围护</w:t>
            </w:r>
            <w:r>
              <w:rPr>
                <w:rFonts w:hint="default" w:ascii="Times New Roman" w:hAnsi="Times New Roman" w:eastAsia="宋体" w:cs="Times New Roman"/>
                <w:color w:val="auto"/>
                <w:sz w:val="24"/>
              </w:rPr>
              <w:t>结构某点处的距离，m。</w:t>
            </w:r>
          </w:p>
          <w:p w14:paraId="28B29815">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bCs/>
                <w:color w:val="auto"/>
                <w:kern w:val="0"/>
                <w:sz w:val="24"/>
              </w:rPr>
            </w:pPr>
            <w:r>
              <w:rPr>
                <w:rFonts w:hint="default" w:ascii="Times New Roman" w:hAnsi="Times New Roman" w:eastAsia="宋体" w:cs="Times New Roman"/>
                <w:bCs/>
                <w:color w:val="auto"/>
                <w:kern w:val="0"/>
                <w:sz w:val="24"/>
              </w:rPr>
              <w:t>3</w:t>
            </w:r>
            <w:r>
              <w:rPr>
                <w:rFonts w:hint="eastAsia" w:ascii="Times New Roman" w:hAnsi="Times New Roman" w:eastAsia="宋体" w:cs="Times New Roman"/>
                <w:bCs/>
                <w:color w:val="auto"/>
                <w:kern w:val="0"/>
                <w:sz w:val="24"/>
                <w:lang w:eastAsia="zh-CN"/>
              </w:rPr>
              <w:t>、</w:t>
            </w:r>
            <w:r>
              <w:rPr>
                <w:rFonts w:hint="default" w:ascii="Times New Roman" w:hAnsi="Times New Roman" w:eastAsia="宋体" w:cs="Times New Roman"/>
                <w:bCs/>
                <w:color w:val="auto"/>
                <w:kern w:val="0"/>
                <w:sz w:val="24"/>
              </w:rPr>
              <w:t>声压级合成模式：</w:t>
            </w:r>
          </w:p>
          <w:p w14:paraId="5028B39C">
            <w:pPr>
              <w:pStyle w:val="43"/>
              <w:keepNext w:val="0"/>
              <w:keepLines w:val="0"/>
              <w:suppressLineNumbers w:val="0"/>
              <w:adjustRightInd w:val="0"/>
              <w:snapToGrid w:val="0"/>
              <w:spacing w:before="0" w:beforeAutospacing="0" w:after="0" w:afterAutospacing="0" w:line="360" w:lineRule="auto"/>
              <w:ind w:left="0" w:right="0" w:firstLine="0" w:firstLineChars="0"/>
              <w:jc w:val="center"/>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position w:val="-28"/>
              </w:rPr>
              <w:object>
                <v:shape id="_x0000_i1028" o:spt="75" type="#_x0000_t75" style="height:37.45pt;width:111.2pt;" o:ole="t" filled="f" o:preferrelative="t" stroked="f" coordsize="21600,21600">
                  <v:path/>
                  <v:fill on="f" focussize="0,0"/>
                  <v:stroke on="f"/>
                  <v:imagedata r:id="rId36" o:title=""/>
                  <o:lock v:ext="edit" aspectratio="t"/>
                  <w10:wrap type="none"/>
                  <w10:anchorlock/>
                </v:shape>
                <o:OLEObject Type="Embed" ProgID="Equation.KSEE3" ShapeID="_x0000_i1028" DrawAspect="Content" ObjectID="_1468075728" r:id="rId35">
                  <o:LockedField>false</o:LockedField>
                </o:OLEObject>
              </w:object>
            </w:r>
          </w:p>
          <w:p w14:paraId="27E13205">
            <w:pPr>
              <w:pStyle w:val="43"/>
              <w:keepNext w:val="0"/>
              <w:keepLines w:val="0"/>
              <w:suppressLineNumbers w:val="0"/>
              <w:adjustRightInd w:val="0"/>
              <w:snapToGrid w:val="0"/>
              <w:spacing w:before="0" w:beforeAutospacing="0" w:after="0" w:afterAutospacing="0" w:line="360" w:lineRule="auto"/>
              <w:ind w:left="0" w:right="0" w:firstLine="480"/>
              <w:jc w:val="left"/>
              <w:rPr>
                <w:rFonts w:hint="default" w:ascii="Times New Roman" w:hAnsi="Times New Roman" w:eastAsia="宋体" w:cs="Times New Roman"/>
                <w:bCs/>
                <w:color w:val="auto"/>
                <w:kern w:val="0"/>
                <w:sz w:val="24"/>
              </w:rPr>
            </w:pPr>
            <w:r>
              <w:rPr>
                <w:rFonts w:hint="default" w:ascii="Times New Roman" w:hAnsi="Times New Roman" w:eastAsia="宋体" w:cs="Times New Roman"/>
                <w:bCs/>
                <w:color w:val="auto"/>
                <w:kern w:val="0"/>
                <w:sz w:val="24"/>
              </w:rPr>
              <w:t>式中：L</w:t>
            </w:r>
            <w:r>
              <w:rPr>
                <w:rFonts w:hint="default" w:ascii="Times New Roman" w:hAnsi="Times New Roman" w:eastAsia="宋体" w:cs="Times New Roman"/>
                <w:bCs/>
                <w:color w:val="auto"/>
                <w:kern w:val="0"/>
                <w:sz w:val="24"/>
                <w:vertAlign w:val="subscript"/>
              </w:rPr>
              <w:t>eq</w:t>
            </w:r>
            <w:r>
              <w:rPr>
                <w:rFonts w:hint="default" w:ascii="Times New Roman" w:hAnsi="Times New Roman" w:eastAsia="宋体" w:cs="Times New Roman"/>
                <w:color w:val="auto"/>
                <w:sz w:val="24"/>
              </w:rPr>
              <w:t>——</w:t>
            </w:r>
            <w:r>
              <w:rPr>
                <w:rFonts w:hint="default" w:ascii="Times New Roman" w:hAnsi="Times New Roman" w:eastAsia="宋体" w:cs="Times New Roman"/>
                <w:bCs/>
                <w:color w:val="auto"/>
                <w:kern w:val="0"/>
                <w:sz w:val="24"/>
              </w:rPr>
              <w:t>预测点总声压级，dB（A）；</w:t>
            </w:r>
          </w:p>
          <w:p w14:paraId="5CC36C29">
            <w:pPr>
              <w:pStyle w:val="43"/>
              <w:keepNext w:val="0"/>
              <w:keepLines w:val="0"/>
              <w:suppressLineNumbers w:val="0"/>
              <w:adjustRightInd w:val="0"/>
              <w:snapToGrid w:val="0"/>
              <w:spacing w:before="0" w:beforeAutospacing="0" w:after="0" w:afterAutospacing="0" w:line="360" w:lineRule="auto"/>
              <w:ind w:left="0" w:right="0" w:firstLine="480"/>
              <w:rPr>
                <w:rFonts w:hint="default" w:ascii="Times New Roman" w:hAnsi="Times New Roman" w:eastAsia="宋体" w:cs="Times New Roman"/>
                <w:bCs/>
                <w:color w:val="auto"/>
                <w:kern w:val="0"/>
                <w:sz w:val="24"/>
              </w:rPr>
            </w:pPr>
            <w:r>
              <w:rPr>
                <w:rFonts w:hint="default" w:ascii="Times New Roman" w:hAnsi="Times New Roman" w:eastAsia="宋体" w:cs="Times New Roman"/>
                <w:bCs/>
                <w:color w:val="auto"/>
                <w:kern w:val="0"/>
                <w:sz w:val="24"/>
              </w:rPr>
              <w:t>L</w:t>
            </w:r>
            <w:r>
              <w:rPr>
                <w:rFonts w:hint="default" w:ascii="Times New Roman" w:hAnsi="Times New Roman" w:eastAsia="宋体" w:cs="Times New Roman"/>
                <w:bCs/>
                <w:color w:val="auto"/>
                <w:kern w:val="0"/>
                <w:sz w:val="24"/>
                <w:vertAlign w:val="subscript"/>
              </w:rPr>
              <w:t>i</w:t>
            </w:r>
            <w:r>
              <w:rPr>
                <w:rFonts w:hint="default" w:ascii="Times New Roman" w:hAnsi="Times New Roman" w:eastAsia="宋体" w:cs="Times New Roman"/>
                <w:color w:val="auto"/>
                <w:sz w:val="24"/>
              </w:rPr>
              <w:t>——</w:t>
            </w:r>
            <w:r>
              <w:rPr>
                <w:rFonts w:hint="default" w:ascii="Times New Roman" w:hAnsi="Times New Roman" w:eastAsia="宋体" w:cs="Times New Roman"/>
                <w:bCs/>
                <w:color w:val="auto"/>
                <w:kern w:val="0"/>
                <w:sz w:val="24"/>
              </w:rPr>
              <w:t>第i个点声源在预测点产生的A声压级，dB（A）；</w:t>
            </w:r>
          </w:p>
          <w:p w14:paraId="27016E32">
            <w:pPr>
              <w:pStyle w:val="43"/>
              <w:keepNext w:val="0"/>
              <w:keepLines w:val="0"/>
              <w:suppressLineNumbers w:val="0"/>
              <w:adjustRightInd w:val="0"/>
              <w:snapToGrid w:val="0"/>
              <w:spacing w:before="0" w:beforeAutospacing="0" w:after="0" w:afterAutospacing="0" w:line="360" w:lineRule="auto"/>
              <w:ind w:left="0" w:right="0" w:firstLine="480"/>
              <w:rPr>
                <w:rFonts w:hint="default" w:ascii="Times New Roman" w:hAnsi="Times New Roman" w:eastAsia="宋体" w:cs="Times New Roman"/>
                <w:bCs/>
                <w:color w:val="auto"/>
                <w:kern w:val="0"/>
                <w:sz w:val="24"/>
              </w:rPr>
            </w:pPr>
            <w:r>
              <w:rPr>
                <w:rFonts w:hint="default" w:ascii="Times New Roman" w:hAnsi="Times New Roman" w:eastAsia="宋体" w:cs="Times New Roman"/>
                <w:bCs/>
                <w:color w:val="auto"/>
                <w:kern w:val="0"/>
                <w:sz w:val="24"/>
              </w:rPr>
              <w:t>n</w:t>
            </w:r>
            <w:r>
              <w:rPr>
                <w:rFonts w:hint="default" w:ascii="Times New Roman" w:hAnsi="Times New Roman" w:eastAsia="宋体" w:cs="Times New Roman"/>
                <w:color w:val="auto"/>
                <w:sz w:val="24"/>
              </w:rPr>
              <w:t>——</w:t>
            </w:r>
            <w:r>
              <w:rPr>
                <w:rFonts w:hint="default" w:ascii="Times New Roman" w:hAnsi="Times New Roman" w:eastAsia="宋体" w:cs="Times New Roman"/>
                <w:bCs/>
                <w:color w:val="auto"/>
                <w:kern w:val="0"/>
                <w:sz w:val="24"/>
              </w:rPr>
              <w:t>声源个数</w:t>
            </w:r>
          </w:p>
          <w:p w14:paraId="1EBCA986">
            <w:pPr>
              <w:pStyle w:val="43"/>
              <w:keepNext w:val="0"/>
              <w:keepLines w:val="0"/>
              <w:suppressLineNumbers w:val="0"/>
              <w:adjustRightInd w:val="0"/>
              <w:snapToGrid w:val="0"/>
              <w:spacing w:before="0" w:beforeAutospacing="0" w:after="0" w:afterAutospacing="0" w:line="360" w:lineRule="auto"/>
              <w:ind w:left="0" w:right="0" w:firstLine="480"/>
              <w:rPr>
                <w:rFonts w:hint="default" w:ascii="Times New Roman" w:hAnsi="Times New Roman" w:eastAsia="宋体" w:cs="Times New Roman"/>
                <w:bCs/>
                <w:color w:val="auto"/>
                <w:kern w:val="0"/>
                <w:sz w:val="24"/>
              </w:rPr>
            </w:pPr>
            <w:r>
              <w:rPr>
                <w:rFonts w:hint="default" w:ascii="Times New Roman" w:hAnsi="Times New Roman" w:eastAsia="宋体" w:cs="Times New Roman"/>
                <w:bCs/>
                <w:color w:val="auto"/>
                <w:kern w:val="0"/>
                <w:sz w:val="24"/>
              </w:rPr>
              <w:t>4</w:t>
            </w:r>
            <w:r>
              <w:rPr>
                <w:rFonts w:hint="eastAsia" w:cs="Times New Roman"/>
                <w:bCs/>
                <w:color w:val="auto"/>
                <w:kern w:val="0"/>
                <w:sz w:val="24"/>
                <w:lang w:eastAsia="zh-CN"/>
              </w:rPr>
              <w:t>、</w:t>
            </w:r>
            <w:r>
              <w:rPr>
                <w:rFonts w:hint="default" w:ascii="Times New Roman" w:hAnsi="Times New Roman" w:eastAsia="宋体" w:cs="Times New Roman"/>
                <w:bCs/>
                <w:color w:val="auto"/>
                <w:kern w:val="0"/>
                <w:sz w:val="24"/>
              </w:rPr>
              <w:t>预测点声源公式</w:t>
            </w:r>
          </w:p>
          <w:p w14:paraId="0997CE22">
            <w:pPr>
              <w:pStyle w:val="43"/>
              <w:keepNext w:val="0"/>
              <w:keepLines w:val="0"/>
              <w:suppressLineNumbers w:val="0"/>
              <w:adjustRightInd w:val="0"/>
              <w:snapToGrid w:val="0"/>
              <w:spacing w:before="0" w:beforeAutospacing="0" w:after="0" w:afterAutospacing="0" w:line="360" w:lineRule="auto"/>
              <w:ind w:left="0" w:right="0" w:firstLine="480"/>
              <w:jc w:val="center"/>
              <w:rPr>
                <w:rFonts w:hint="default" w:ascii="Times New Roman" w:hAnsi="Times New Roman" w:eastAsia="宋体" w:cs="Times New Roman"/>
                <w:color w:val="auto"/>
                <w:position w:val="-32"/>
                <w:sz w:val="24"/>
              </w:rPr>
            </w:pPr>
            <w:r>
              <w:rPr>
                <w:rFonts w:hint="default" w:ascii="Times New Roman" w:hAnsi="Times New Roman" w:eastAsia="宋体" w:cs="Times New Roman"/>
                <w:color w:val="auto"/>
                <w:position w:val="-32"/>
                <w:sz w:val="24"/>
              </w:rPr>
              <w:object>
                <v:shape id="_x0000_i1029" o:spt="75" type="#_x0000_t75" style="height:38pt;width:209pt;" o:ole="t" filled="f" o:preferrelative="t" stroked="f" coordsize="21600,21600">
                  <v:path/>
                  <v:fill on="f" focussize="0,0"/>
                  <v:stroke on="f"/>
                  <v:imagedata r:id="rId38" o:title=""/>
                  <o:lock v:ext="edit" aspectratio="t"/>
                  <w10:wrap type="none"/>
                  <w10:anchorlock/>
                </v:shape>
                <o:OLEObject Type="Embed" ProgID="Equation.KSEE3" ShapeID="_x0000_i1029" DrawAspect="Content" ObjectID="_1468075729" r:id="rId37">
                  <o:LockedField>false</o:LockedField>
                </o:OLEObject>
              </w:object>
            </w:r>
          </w:p>
          <w:p w14:paraId="7E3DAC1E">
            <w:pPr>
              <w:keepNext w:val="0"/>
              <w:keepLines w:val="0"/>
              <w:suppressLineNumbers w:val="0"/>
              <w:autoSpaceDE w:val="0"/>
              <w:autoSpaceDN w:val="0"/>
              <w:snapToGrid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式中：Leqg——建设项目声源在预测点产生的噪声贡献值，dB；</w:t>
            </w:r>
          </w:p>
          <w:p w14:paraId="120AB63E">
            <w:pPr>
              <w:keepNext w:val="0"/>
              <w:keepLines w:val="0"/>
              <w:suppressLineNumbers w:val="0"/>
              <w:autoSpaceDE w:val="0"/>
              <w:autoSpaceDN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T——用于计算等效声级的时间，s；</w:t>
            </w:r>
          </w:p>
          <w:p w14:paraId="409C6227">
            <w:pPr>
              <w:keepNext w:val="0"/>
              <w:keepLines w:val="0"/>
              <w:suppressLineNumbers w:val="0"/>
              <w:autoSpaceDE w:val="0"/>
              <w:autoSpaceDN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N——室外声源个数；</w:t>
            </w:r>
          </w:p>
          <w:p w14:paraId="6465FD24">
            <w:pPr>
              <w:keepNext w:val="0"/>
              <w:keepLines w:val="0"/>
              <w:suppressLineNumbers w:val="0"/>
              <w:autoSpaceDE w:val="0"/>
              <w:autoSpaceDN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t</w:t>
            </w:r>
            <w:r>
              <w:rPr>
                <w:rFonts w:hint="default" w:ascii="Times New Roman" w:hAnsi="Times New Roman" w:eastAsia="宋体" w:cs="Times New Roman"/>
                <w:color w:val="auto"/>
                <w:sz w:val="24"/>
                <w:vertAlign w:val="subscript"/>
              </w:rPr>
              <w:t>i</w:t>
            </w:r>
            <w:r>
              <w:rPr>
                <w:rFonts w:hint="default" w:ascii="Times New Roman" w:hAnsi="Times New Roman" w:eastAsia="宋体" w:cs="Times New Roman"/>
                <w:color w:val="auto"/>
                <w:sz w:val="24"/>
              </w:rPr>
              <w:t>——在T时间内i声源工作时间，s；</w:t>
            </w:r>
          </w:p>
          <w:p w14:paraId="4234CC16">
            <w:pPr>
              <w:keepNext w:val="0"/>
              <w:keepLines w:val="0"/>
              <w:suppressLineNumbers w:val="0"/>
              <w:autoSpaceDE w:val="0"/>
              <w:autoSpaceDN w:val="0"/>
              <w:snapToGrid w:val="0"/>
              <w:spacing w:before="0" w:beforeAutospacing="0" w:after="0" w:afterAutospacing="0" w:line="360" w:lineRule="auto"/>
              <w:ind w:left="0" w:right="0"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M——等效室外声源个数；</w:t>
            </w:r>
          </w:p>
          <w:p w14:paraId="6D51DEC0">
            <w:pPr>
              <w:pStyle w:val="43"/>
              <w:keepNext w:val="0"/>
              <w:keepLines w:val="0"/>
              <w:suppressLineNumbers w:val="0"/>
              <w:adjustRightInd w:val="0"/>
              <w:snapToGrid w:val="0"/>
              <w:spacing w:before="0" w:beforeAutospacing="0" w:after="0" w:afterAutospacing="0" w:line="360" w:lineRule="auto"/>
              <w:ind w:left="0" w:right="0" w:firstLine="1200" w:firstLineChars="500"/>
              <w:rPr>
                <w:color w:val="auto"/>
              </w:rPr>
            </w:pPr>
            <w:r>
              <w:rPr>
                <w:rFonts w:hint="default" w:ascii="Times New Roman" w:hAnsi="Times New Roman" w:eastAsia="宋体" w:cs="Times New Roman"/>
                <w:color w:val="auto"/>
                <w:sz w:val="24"/>
              </w:rPr>
              <w:t>t</w:t>
            </w:r>
            <w:r>
              <w:rPr>
                <w:rFonts w:hint="default" w:ascii="Times New Roman" w:hAnsi="Times New Roman" w:eastAsia="宋体" w:cs="Times New Roman"/>
                <w:color w:val="auto"/>
                <w:sz w:val="24"/>
                <w:vertAlign w:val="subscript"/>
              </w:rPr>
              <w:t>j</w:t>
            </w:r>
            <w:r>
              <w:rPr>
                <w:rFonts w:hint="default" w:ascii="Times New Roman" w:hAnsi="Times New Roman" w:eastAsia="宋体" w:cs="Times New Roman"/>
                <w:color w:val="auto"/>
                <w:sz w:val="24"/>
              </w:rPr>
              <w:t>——在T时间内j声源工作时间，s。</w:t>
            </w:r>
          </w:p>
          <w:p w14:paraId="3AF8F5CF">
            <w:pPr>
              <w:ind w:firstLine="480"/>
              <w:rPr>
                <w:rFonts w:hint="eastAsia"/>
                <w:b/>
                <w:bCs/>
                <w:color w:val="auto"/>
              </w:rPr>
            </w:pPr>
            <w:r>
              <w:rPr>
                <w:rFonts w:hint="eastAsia"/>
                <w:b/>
                <w:bCs/>
                <w:color w:val="auto"/>
                <w:lang w:eastAsia="zh-CN"/>
              </w:rPr>
              <w:t>（</w:t>
            </w:r>
            <w:r>
              <w:rPr>
                <w:rFonts w:hint="eastAsia"/>
                <w:b/>
                <w:bCs/>
                <w:color w:val="auto"/>
                <w:lang w:val="en-US" w:eastAsia="zh-CN"/>
              </w:rPr>
              <w:t>三</w:t>
            </w:r>
            <w:r>
              <w:rPr>
                <w:rFonts w:hint="eastAsia"/>
                <w:b/>
                <w:bCs/>
                <w:color w:val="auto"/>
                <w:lang w:eastAsia="zh-CN"/>
              </w:rPr>
              <w:t>）</w:t>
            </w:r>
            <w:r>
              <w:rPr>
                <w:rFonts w:hint="eastAsia"/>
                <w:b/>
                <w:bCs/>
                <w:color w:val="auto"/>
              </w:rPr>
              <w:t>预测结果</w:t>
            </w:r>
          </w:p>
          <w:p w14:paraId="69AAC47A">
            <w:pPr>
              <w:ind w:firstLine="480"/>
              <w:rPr>
                <w:rFonts w:hint="eastAsia"/>
                <w:color w:val="auto"/>
              </w:rPr>
            </w:pPr>
            <w:r>
              <w:rPr>
                <w:rFonts w:hint="eastAsia"/>
                <w:color w:val="auto"/>
              </w:rPr>
              <w:t>本项目噪声预测采用“环安科技在线模型计算平台”中的“噪声环境影响评级系统”，该系统是根据《环境影响评价技术导则－声环境》（HJ2.4-2021）构建，基于GIS的三维噪声影响评价系统。软件综合考虑预测区域内所有声源、遮蔽物、气象要素等在声传播过程的综合效应，最终给出符合导则的计算结果。本项目预测结果如下：</w:t>
            </w:r>
          </w:p>
          <w:p w14:paraId="73AA2342">
            <w:pPr>
              <w:ind w:left="0" w:leftChars="0" w:firstLine="0" w:firstLineChars="0"/>
              <w:rPr>
                <w:rFonts w:hint="eastAsia" w:eastAsia="宋体"/>
                <w:color w:val="auto"/>
                <w:lang w:eastAsia="zh-CN"/>
              </w:rPr>
            </w:pPr>
            <w:r>
              <w:rPr>
                <w:rFonts w:hint="eastAsia"/>
                <w:color w:val="auto"/>
              </w:rPr>
              <w:drawing>
                <wp:inline distT="0" distB="0" distL="114300" distR="114300">
                  <wp:extent cx="5127625" cy="3267710"/>
                  <wp:effectExtent l="0" t="0" r="15875" b="8890"/>
                  <wp:docPr id="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
                          <pic:cNvPicPr>
                            <a:picLocks noChangeAspect="1"/>
                          </pic:cNvPicPr>
                        </pic:nvPicPr>
                        <pic:blipFill>
                          <a:blip r:embed="rId39"/>
                          <a:stretch>
                            <a:fillRect/>
                          </a:stretch>
                        </pic:blipFill>
                        <pic:spPr>
                          <a:xfrm>
                            <a:off x="0" y="0"/>
                            <a:ext cx="5127625" cy="3267710"/>
                          </a:xfrm>
                          <a:prstGeom prst="rect">
                            <a:avLst/>
                          </a:prstGeom>
                          <a:noFill/>
                          <a:ln>
                            <a:noFill/>
                          </a:ln>
                        </pic:spPr>
                      </pic:pic>
                    </a:graphicData>
                  </a:graphic>
                </wp:inline>
              </w:drawing>
            </w:r>
          </w:p>
          <w:p w14:paraId="4D624006">
            <w:pPr>
              <w:pStyle w:val="30"/>
              <w:bidi w:val="0"/>
              <w:rPr>
                <w:rFonts w:hint="eastAsia"/>
                <w:color w:val="auto"/>
              </w:rPr>
            </w:pPr>
            <w:r>
              <w:rPr>
                <w:rFonts w:hint="eastAsia"/>
                <w:color w:val="auto"/>
                <w:lang w:val="en-US" w:eastAsia="zh-CN"/>
              </w:rPr>
              <w:t xml:space="preserve">图4-3  </w:t>
            </w:r>
            <w:r>
              <w:rPr>
                <w:color w:val="auto"/>
              </w:rPr>
              <w:t>项目昼间噪声源贡献值等</w:t>
            </w:r>
            <w:r>
              <w:rPr>
                <w:rFonts w:hint="eastAsia"/>
                <w:color w:val="auto"/>
                <w:lang w:eastAsia="zh-CN"/>
              </w:rPr>
              <w:t>声</w:t>
            </w:r>
            <w:r>
              <w:rPr>
                <w:color w:val="auto"/>
              </w:rPr>
              <w:t>值线图</w:t>
            </w:r>
          </w:p>
          <w:p w14:paraId="70FB0D82">
            <w:pPr>
              <w:ind w:left="0" w:leftChars="0" w:firstLine="0" w:firstLineChars="0"/>
              <w:rPr>
                <w:rFonts w:hint="eastAsia" w:eastAsia="宋体"/>
                <w:color w:val="auto"/>
                <w:lang w:eastAsia="zh-CN"/>
              </w:rPr>
            </w:pPr>
            <w:r>
              <w:rPr>
                <w:rFonts w:hint="eastAsia" w:eastAsia="宋体"/>
                <w:color w:val="auto"/>
                <w:lang w:eastAsia="zh-CN"/>
              </w:rPr>
              <w:drawing>
                <wp:inline distT="0" distB="0" distL="114300" distR="114300">
                  <wp:extent cx="5130800" cy="1087120"/>
                  <wp:effectExtent l="0" t="0" r="12700" b="17780"/>
                  <wp:docPr id="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9"/>
                          <pic:cNvPicPr>
                            <a:picLocks noChangeAspect="1"/>
                          </pic:cNvPicPr>
                        </pic:nvPicPr>
                        <pic:blipFill>
                          <a:blip r:embed="rId40"/>
                          <a:stretch>
                            <a:fillRect/>
                          </a:stretch>
                        </pic:blipFill>
                        <pic:spPr>
                          <a:xfrm>
                            <a:off x="0" y="0"/>
                            <a:ext cx="5130800" cy="1087120"/>
                          </a:xfrm>
                          <a:prstGeom prst="rect">
                            <a:avLst/>
                          </a:prstGeom>
                          <a:noFill/>
                          <a:ln>
                            <a:noFill/>
                          </a:ln>
                        </pic:spPr>
                      </pic:pic>
                    </a:graphicData>
                  </a:graphic>
                </wp:inline>
              </w:drawing>
            </w:r>
          </w:p>
          <w:p w14:paraId="503AEDD4">
            <w:pPr>
              <w:pStyle w:val="30"/>
              <w:bidi w:val="0"/>
              <w:rPr>
                <w:rFonts w:hint="eastAsia"/>
                <w:color w:val="auto"/>
              </w:rPr>
            </w:pPr>
            <w:r>
              <w:rPr>
                <w:rFonts w:hint="eastAsia"/>
                <w:color w:val="auto"/>
                <w:lang w:val="en-US" w:eastAsia="zh-CN"/>
              </w:rPr>
              <w:t>图4-4  北厂界噪声线接受点预测结果</w:t>
            </w:r>
            <w:r>
              <w:rPr>
                <w:color w:val="auto"/>
              </w:rPr>
              <w:t>图</w:t>
            </w:r>
          </w:p>
          <w:p w14:paraId="767D2109">
            <w:pPr>
              <w:ind w:left="0" w:leftChars="0" w:firstLine="0" w:firstLineChars="0"/>
              <w:rPr>
                <w:rFonts w:hint="eastAsia"/>
                <w:color w:val="auto"/>
              </w:rPr>
            </w:pPr>
            <w:r>
              <w:rPr>
                <w:rFonts w:hint="eastAsia"/>
                <w:color w:val="auto"/>
              </w:rPr>
              <w:drawing>
                <wp:inline distT="0" distB="0" distL="114300" distR="114300">
                  <wp:extent cx="5133340" cy="1045845"/>
                  <wp:effectExtent l="0" t="0" r="10160" b="1905"/>
                  <wp:docPr id="4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0"/>
                          <pic:cNvPicPr>
                            <a:picLocks noChangeAspect="1"/>
                          </pic:cNvPicPr>
                        </pic:nvPicPr>
                        <pic:blipFill>
                          <a:blip r:embed="rId41"/>
                          <a:stretch>
                            <a:fillRect/>
                          </a:stretch>
                        </pic:blipFill>
                        <pic:spPr>
                          <a:xfrm>
                            <a:off x="0" y="0"/>
                            <a:ext cx="5133340" cy="1045845"/>
                          </a:xfrm>
                          <a:prstGeom prst="rect">
                            <a:avLst/>
                          </a:prstGeom>
                          <a:noFill/>
                          <a:ln>
                            <a:noFill/>
                          </a:ln>
                        </pic:spPr>
                      </pic:pic>
                    </a:graphicData>
                  </a:graphic>
                </wp:inline>
              </w:drawing>
            </w:r>
          </w:p>
          <w:p w14:paraId="5CB1FC1D">
            <w:pPr>
              <w:pStyle w:val="30"/>
              <w:bidi w:val="0"/>
              <w:rPr>
                <w:rFonts w:hint="eastAsia"/>
                <w:color w:val="auto"/>
              </w:rPr>
            </w:pPr>
            <w:r>
              <w:rPr>
                <w:rFonts w:hint="eastAsia"/>
                <w:color w:val="auto"/>
                <w:lang w:val="en-US" w:eastAsia="zh-CN"/>
              </w:rPr>
              <w:t>图4-5  南厂界噪声线接受点预测结果</w:t>
            </w:r>
            <w:r>
              <w:rPr>
                <w:color w:val="auto"/>
              </w:rPr>
              <w:t>图</w:t>
            </w:r>
          </w:p>
          <w:p w14:paraId="01DC1E09">
            <w:pPr>
              <w:ind w:left="0" w:leftChars="0" w:firstLine="0" w:firstLineChars="0"/>
              <w:rPr>
                <w:color w:val="auto"/>
              </w:rPr>
            </w:pPr>
            <w:r>
              <w:rPr>
                <w:color w:val="auto"/>
              </w:rPr>
              <w:drawing>
                <wp:inline distT="0" distB="0" distL="114300" distR="114300">
                  <wp:extent cx="5130800" cy="1047115"/>
                  <wp:effectExtent l="0" t="0" r="12700" b="635"/>
                  <wp:docPr id="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pic:cNvPicPr>
                            <a:picLocks noChangeAspect="1"/>
                          </pic:cNvPicPr>
                        </pic:nvPicPr>
                        <pic:blipFill>
                          <a:blip r:embed="rId42"/>
                          <a:stretch>
                            <a:fillRect/>
                          </a:stretch>
                        </pic:blipFill>
                        <pic:spPr>
                          <a:xfrm>
                            <a:off x="0" y="0"/>
                            <a:ext cx="5130800" cy="1047115"/>
                          </a:xfrm>
                          <a:prstGeom prst="rect">
                            <a:avLst/>
                          </a:prstGeom>
                          <a:noFill/>
                          <a:ln>
                            <a:noFill/>
                          </a:ln>
                        </pic:spPr>
                      </pic:pic>
                    </a:graphicData>
                  </a:graphic>
                </wp:inline>
              </w:drawing>
            </w:r>
          </w:p>
          <w:p w14:paraId="555C35C1">
            <w:pPr>
              <w:pStyle w:val="30"/>
              <w:bidi w:val="0"/>
              <w:rPr>
                <w:rFonts w:hint="eastAsia"/>
                <w:color w:val="auto"/>
              </w:rPr>
            </w:pPr>
            <w:r>
              <w:rPr>
                <w:rFonts w:hint="eastAsia"/>
                <w:color w:val="auto"/>
                <w:lang w:val="en-US" w:eastAsia="zh-CN"/>
              </w:rPr>
              <w:t>图4-6  西厂界噪声线接受点预测结果</w:t>
            </w:r>
            <w:r>
              <w:rPr>
                <w:color w:val="auto"/>
              </w:rPr>
              <w:t>图</w:t>
            </w:r>
          </w:p>
          <w:p w14:paraId="01B31478">
            <w:pPr>
              <w:ind w:left="0" w:leftChars="0" w:firstLine="0" w:firstLineChars="0"/>
              <w:rPr>
                <w:color w:val="auto"/>
              </w:rPr>
            </w:pPr>
            <w:r>
              <w:rPr>
                <w:color w:val="auto"/>
              </w:rPr>
              <w:drawing>
                <wp:inline distT="0" distB="0" distL="114300" distR="114300">
                  <wp:extent cx="5130800" cy="1069340"/>
                  <wp:effectExtent l="0" t="0" r="12700" b="16510"/>
                  <wp:docPr id="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7"/>
                          <pic:cNvPicPr>
                            <a:picLocks noChangeAspect="1"/>
                          </pic:cNvPicPr>
                        </pic:nvPicPr>
                        <pic:blipFill>
                          <a:blip r:embed="rId43"/>
                          <a:stretch>
                            <a:fillRect/>
                          </a:stretch>
                        </pic:blipFill>
                        <pic:spPr>
                          <a:xfrm>
                            <a:off x="0" y="0"/>
                            <a:ext cx="5130800" cy="1069340"/>
                          </a:xfrm>
                          <a:prstGeom prst="rect">
                            <a:avLst/>
                          </a:prstGeom>
                          <a:noFill/>
                          <a:ln>
                            <a:noFill/>
                          </a:ln>
                        </pic:spPr>
                      </pic:pic>
                    </a:graphicData>
                  </a:graphic>
                </wp:inline>
              </w:drawing>
            </w:r>
          </w:p>
          <w:p w14:paraId="6B84CC25">
            <w:pPr>
              <w:pStyle w:val="30"/>
              <w:bidi w:val="0"/>
              <w:rPr>
                <w:rFonts w:hint="eastAsia"/>
                <w:color w:val="auto"/>
              </w:rPr>
            </w:pPr>
            <w:r>
              <w:rPr>
                <w:rFonts w:hint="eastAsia"/>
                <w:color w:val="auto"/>
                <w:lang w:val="en-US" w:eastAsia="zh-CN"/>
              </w:rPr>
              <w:t>图4-7 东厂界噪声线接受点预测结果</w:t>
            </w:r>
            <w:r>
              <w:rPr>
                <w:color w:val="auto"/>
              </w:rPr>
              <w:t>图</w:t>
            </w:r>
          </w:p>
          <w:p w14:paraId="54A7FD2C">
            <w:pPr>
              <w:ind w:firstLine="480"/>
              <w:rPr>
                <w:color w:val="auto"/>
              </w:rPr>
            </w:pPr>
            <w:r>
              <w:rPr>
                <w:rFonts w:hint="eastAsia"/>
                <w:color w:val="auto"/>
              </w:rPr>
              <w:t>通过预测模型计算，项目厂界噪声的最大值预测结果与达标分析见下表：</w:t>
            </w:r>
          </w:p>
          <w:p w14:paraId="6264EE46">
            <w:pPr>
              <w:pStyle w:val="30"/>
              <w:rPr>
                <w:rFonts w:hint="eastAsia"/>
                <w:color w:val="auto"/>
              </w:rPr>
            </w:pPr>
            <w:r>
              <w:rPr>
                <w:rFonts w:hint="eastAsia"/>
                <w:color w:val="auto"/>
              </w:rPr>
              <w:t>表</w:t>
            </w:r>
            <w:r>
              <w:rPr>
                <w:rFonts w:hint="eastAsia"/>
                <w:color w:val="auto"/>
                <w:lang w:val="en-US" w:eastAsia="zh-CN"/>
              </w:rPr>
              <w:t>4-19</w:t>
            </w:r>
            <w:r>
              <w:rPr>
                <w:rFonts w:hint="eastAsia"/>
                <w:color w:val="auto"/>
              </w:rPr>
              <w:t xml:space="preserve">  项目厂界噪声</w:t>
            </w:r>
            <w:r>
              <w:rPr>
                <w:rFonts w:hint="eastAsia"/>
                <w:color w:val="auto"/>
                <w:lang w:val="en-US" w:eastAsia="zh-CN"/>
              </w:rPr>
              <w:t>贡献值</w:t>
            </w:r>
            <w:r>
              <w:rPr>
                <w:rFonts w:hint="eastAsia"/>
                <w:color w:val="auto"/>
              </w:rPr>
              <w:t>预测结果一览表  单位：dB（A）</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898"/>
              <w:gridCol w:w="898"/>
              <w:gridCol w:w="735"/>
              <w:gridCol w:w="980"/>
              <w:gridCol w:w="1142"/>
              <w:gridCol w:w="1226"/>
              <w:gridCol w:w="1223"/>
            </w:tblGrid>
            <w:tr w14:paraId="0691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00" w:type="pct"/>
                  <w:vMerge w:val="restart"/>
                  <w:vAlign w:val="center"/>
                </w:tcPr>
                <w:p w14:paraId="5998E56E">
                  <w:pPr>
                    <w:pStyle w:val="29"/>
                    <w:rPr>
                      <w:rFonts w:hint="eastAsia" w:eastAsia="宋体"/>
                      <w:color w:val="auto"/>
                      <w:lang w:eastAsia="zh-CN"/>
                    </w:rPr>
                  </w:pPr>
                  <w:r>
                    <w:rPr>
                      <w:rFonts w:hint="eastAsia"/>
                      <w:color w:val="auto"/>
                      <w:lang w:eastAsia="zh-CN"/>
                    </w:rPr>
                    <w:t>预测方位</w:t>
                  </w:r>
                </w:p>
              </w:tc>
              <w:tc>
                <w:tcPr>
                  <w:tcW w:w="1567" w:type="pct"/>
                  <w:gridSpan w:val="3"/>
                  <w:vAlign w:val="center"/>
                </w:tcPr>
                <w:p w14:paraId="22F48F5B">
                  <w:pPr>
                    <w:pStyle w:val="29"/>
                    <w:rPr>
                      <w:rFonts w:hint="default" w:eastAsia="宋体"/>
                      <w:color w:val="auto"/>
                      <w:lang w:val="en-US" w:eastAsia="zh-CN"/>
                    </w:rPr>
                  </w:pPr>
                  <w:r>
                    <w:rPr>
                      <w:rFonts w:hint="eastAsia"/>
                      <w:color w:val="auto"/>
                      <w:lang w:eastAsia="zh-CN"/>
                    </w:rPr>
                    <w:t>空间相对位置</w:t>
                  </w:r>
                  <w:r>
                    <w:rPr>
                      <w:rFonts w:hint="eastAsia"/>
                      <w:color w:val="auto"/>
                      <w:lang w:val="en-US" w:eastAsia="zh-CN"/>
                    </w:rPr>
                    <w:t>/m</w:t>
                  </w:r>
                </w:p>
              </w:tc>
              <w:tc>
                <w:tcPr>
                  <w:tcW w:w="607" w:type="pct"/>
                  <w:vMerge w:val="restart"/>
                  <w:vAlign w:val="center"/>
                </w:tcPr>
                <w:p w14:paraId="33CD0A3E">
                  <w:pPr>
                    <w:pStyle w:val="29"/>
                    <w:rPr>
                      <w:rFonts w:hint="eastAsia" w:eastAsia="宋体"/>
                      <w:color w:val="auto"/>
                      <w:lang w:eastAsia="zh-CN"/>
                    </w:rPr>
                  </w:pPr>
                  <w:r>
                    <w:rPr>
                      <w:rFonts w:hint="eastAsia"/>
                      <w:color w:val="auto"/>
                      <w:lang w:eastAsia="zh-CN"/>
                    </w:rPr>
                    <w:t>时段</w:t>
                  </w:r>
                </w:p>
              </w:tc>
              <w:tc>
                <w:tcPr>
                  <w:tcW w:w="707" w:type="pct"/>
                  <w:vMerge w:val="restart"/>
                  <w:vAlign w:val="center"/>
                </w:tcPr>
                <w:p w14:paraId="1AB815D8">
                  <w:pPr>
                    <w:pStyle w:val="29"/>
                    <w:rPr>
                      <w:rFonts w:hint="default"/>
                      <w:color w:val="auto"/>
                    </w:rPr>
                  </w:pPr>
                  <w:r>
                    <w:rPr>
                      <w:rFonts w:hint="default"/>
                      <w:color w:val="auto"/>
                    </w:rPr>
                    <w:t>噪声</w:t>
                  </w:r>
                  <w:r>
                    <w:rPr>
                      <w:color w:val="auto"/>
                    </w:rPr>
                    <w:t>贡献</w:t>
                  </w:r>
                  <w:r>
                    <w:rPr>
                      <w:rFonts w:hint="default"/>
                      <w:color w:val="auto"/>
                    </w:rPr>
                    <w:t>值dB（A）</w:t>
                  </w:r>
                </w:p>
              </w:tc>
              <w:tc>
                <w:tcPr>
                  <w:tcW w:w="759" w:type="pct"/>
                  <w:vMerge w:val="restart"/>
                  <w:vAlign w:val="center"/>
                </w:tcPr>
                <w:p w14:paraId="5573C7B9">
                  <w:pPr>
                    <w:pStyle w:val="29"/>
                    <w:rPr>
                      <w:rFonts w:hint="default"/>
                      <w:color w:val="auto"/>
                    </w:rPr>
                  </w:pPr>
                  <w:r>
                    <w:rPr>
                      <w:rFonts w:hint="default"/>
                      <w:color w:val="auto"/>
                    </w:rPr>
                    <w:t>噪声标椎dB（A）</w:t>
                  </w:r>
                </w:p>
              </w:tc>
              <w:tc>
                <w:tcPr>
                  <w:tcW w:w="757" w:type="pct"/>
                  <w:vMerge w:val="restart"/>
                  <w:vAlign w:val="center"/>
                </w:tcPr>
                <w:p w14:paraId="7030A59C">
                  <w:pPr>
                    <w:pStyle w:val="29"/>
                    <w:rPr>
                      <w:rFonts w:hint="default"/>
                      <w:color w:val="auto"/>
                    </w:rPr>
                  </w:pPr>
                  <w:r>
                    <w:rPr>
                      <w:color w:val="auto"/>
                    </w:rPr>
                    <w:t>达标情况</w:t>
                  </w:r>
                </w:p>
              </w:tc>
            </w:tr>
            <w:tr w14:paraId="1BC7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00" w:type="pct"/>
                  <w:vMerge w:val="continue"/>
                  <w:vAlign w:val="center"/>
                </w:tcPr>
                <w:p w14:paraId="7F046858">
                  <w:pPr>
                    <w:pStyle w:val="29"/>
                    <w:rPr>
                      <w:color w:val="auto"/>
                    </w:rPr>
                  </w:pPr>
                </w:p>
              </w:tc>
              <w:tc>
                <w:tcPr>
                  <w:tcW w:w="556" w:type="pct"/>
                  <w:vAlign w:val="center"/>
                </w:tcPr>
                <w:p w14:paraId="2CA0C321">
                  <w:pPr>
                    <w:pStyle w:val="29"/>
                    <w:rPr>
                      <w:rFonts w:hint="eastAsia" w:eastAsia="宋体"/>
                      <w:color w:val="auto"/>
                      <w:lang w:val="en-US" w:eastAsia="zh-CN"/>
                    </w:rPr>
                  </w:pPr>
                  <w:r>
                    <w:rPr>
                      <w:rFonts w:hint="eastAsia"/>
                      <w:color w:val="auto"/>
                      <w:lang w:val="en-US" w:eastAsia="zh-CN"/>
                    </w:rPr>
                    <w:t>X</w:t>
                  </w:r>
                </w:p>
              </w:tc>
              <w:tc>
                <w:tcPr>
                  <w:tcW w:w="556" w:type="pct"/>
                  <w:vAlign w:val="center"/>
                </w:tcPr>
                <w:p w14:paraId="5EE34D3A">
                  <w:pPr>
                    <w:pStyle w:val="29"/>
                    <w:rPr>
                      <w:rFonts w:hint="eastAsia" w:eastAsia="宋体"/>
                      <w:color w:val="auto"/>
                      <w:lang w:val="en-US" w:eastAsia="zh-CN"/>
                    </w:rPr>
                  </w:pPr>
                  <w:r>
                    <w:rPr>
                      <w:rFonts w:hint="eastAsia"/>
                      <w:color w:val="auto"/>
                      <w:lang w:val="en-US" w:eastAsia="zh-CN"/>
                    </w:rPr>
                    <w:t>Y</w:t>
                  </w:r>
                </w:p>
              </w:tc>
              <w:tc>
                <w:tcPr>
                  <w:tcW w:w="455" w:type="pct"/>
                  <w:vAlign w:val="center"/>
                </w:tcPr>
                <w:p w14:paraId="0B08EABF">
                  <w:pPr>
                    <w:pStyle w:val="29"/>
                    <w:rPr>
                      <w:rFonts w:hint="eastAsia" w:eastAsia="宋体"/>
                      <w:color w:val="auto"/>
                      <w:lang w:val="en-US" w:eastAsia="zh-CN"/>
                    </w:rPr>
                  </w:pPr>
                  <w:r>
                    <w:rPr>
                      <w:rFonts w:hint="eastAsia"/>
                      <w:color w:val="auto"/>
                      <w:lang w:val="en-US" w:eastAsia="zh-CN"/>
                    </w:rPr>
                    <w:t>Z</w:t>
                  </w:r>
                </w:p>
              </w:tc>
              <w:tc>
                <w:tcPr>
                  <w:tcW w:w="607" w:type="pct"/>
                  <w:vMerge w:val="continue"/>
                  <w:vAlign w:val="center"/>
                </w:tcPr>
                <w:p w14:paraId="4FA5D001">
                  <w:pPr>
                    <w:pStyle w:val="29"/>
                    <w:rPr>
                      <w:rFonts w:hint="default"/>
                      <w:color w:val="auto"/>
                    </w:rPr>
                  </w:pPr>
                </w:p>
              </w:tc>
              <w:tc>
                <w:tcPr>
                  <w:tcW w:w="707" w:type="pct"/>
                  <w:vMerge w:val="continue"/>
                  <w:vAlign w:val="center"/>
                </w:tcPr>
                <w:p w14:paraId="75917FE2">
                  <w:pPr>
                    <w:pStyle w:val="29"/>
                    <w:rPr>
                      <w:rFonts w:hint="default"/>
                      <w:color w:val="auto"/>
                    </w:rPr>
                  </w:pPr>
                </w:p>
              </w:tc>
              <w:tc>
                <w:tcPr>
                  <w:tcW w:w="759" w:type="pct"/>
                  <w:vMerge w:val="continue"/>
                  <w:vAlign w:val="center"/>
                </w:tcPr>
                <w:p w14:paraId="1DDD6C46">
                  <w:pPr>
                    <w:pStyle w:val="29"/>
                    <w:rPr>
                      <w:rFonts w:hint="default"/>
                      <w:color w:val="auto"/>
                    </w:rPr>
                  </w:pPr>
                </w:p>
              </w:tc>
              <w:tc>
                <w:tcPr>
                  <w:tcW w:w="757" w:type="pct"/>
                  <w:vMerge w:val="continue"/>
                  <w:vAlign w:val="center"/>
                </w:tcPr>
                <w:p w14:paraId="21175364">
                  <w:pPr>
                    <w:pStyle w:val="29"/>
                    <w:rPr>
                      <w:rFonts w:hint="default"/>
                      <w:color w:val="auto"/>
                    </w:rPr>
                  </w:pPr>
                </w:p>
              </w:tc>
            </w:tr>
            <w:tr w14:paraId="6FA7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restart"/>
                  <w:vAlign w:val="center"/>
                </w:tcPr>
                <w:p w14:paraId="72A6F33E">
                  <w:pPr>
                    <w:pStyle w:val="29"/>
                    <w:rPr>
                      <w:rFonts w:hint="eastAsia" w:eastAsia="宋体"/>
                      <w:color w:val="auto"/>
                      <w:lang w:eastAsia="zh-CN"/>
                    </w:rPr>
                  </w:pPr>
                  <w:r>
                    <w:rPr>
                      <w:rFonts w:hint="eastAsia"/>
                      <w:color w:val="auto"/>
                      <w:lang w:eastAsia="zh-CN"/>
                    </w:rPr>
                    <w:t>厂界北</w:t>
                  </w:r>
                </w:p>
              </w:tc>
              <w:tc>
                <w:tcPr>
                  <w:tcW w:w="556" w:type="pct"/>
                  <w:vAlign w:val="center"/>
                </w:tcPr>
                <w:p w14:paraId="1AA9B4AC">
                  <w:pPr>
                    <w:pStyle w:val="29"/>
                    <w:rPr>
                      <w:rFonts w:hint="default" w:eastAsia="宋体"/>
                      <w:color w:val="auto"/>
                      <w:lang w:val="en-US" w:eastAsia="zh-CN"/>
                    </w:rPr>
                  </w:pPr>
                  <w:r>
                    <w:rPr>
                      <w:rFonts w:hint="eastAsia"/>
                      <w:color w:val="auto"/>
                      <w:lang w:val="en-US" w:eastAsia="zh-CN"/>
                    </w:rPr>
                    <w:t>21.04</w:t>
                  </w:r>
                </w:p>
              </w:tc>
              <w:tc>
                <w:tcPr>
                  <w:tcW w:w="556" w:type="pct"/>
                  <w:vAlign w:val="center"/>
                </w:tcPr>
                <w:p w14:paraId="78B94F22">
                  <w:pPr>
                    <w:pStyle w:val="29"/>
                    <w:rPr>
                      <w:rFonts w:hint="default" w:eastAsia="宋体"/>
                      <w:color w:val="auto"/>
                      <w:lang w:val="en-US" w:eastAsia="zh-CN"/>
                    </w:rPr>
                  </w:pPr>
                  <w:r>
                    <w:rPr>
                      <w:rFonts w:hint="eastAsia"/>
                      <w:color w:val="auto"/>
                      <w:lang w:val="en-US" w:eastAsia="zh-CN"/>
                    </w:rPr>
                    <w:t>55.26</w:t>
                  </w:r>
                </w:p>
              </w:tc>
              <w:tc>
                <w:tcPr>
                  <w:tcW w:w="455" w:type="pct"/>
                  <w:vAlign w:val="center"/>
                </w:tcPr>
                <w:p w14:paraId="2A6ADD47">
                  <w:pPr>
                    <w:pStyle w:val="29"/>
                    <w:rPr>
                      <w:rFonts w:hint="default" w:eastAsia="宋体"/>
                      <w:color w:val="auto"/>
                      <w:lang w:val="en-US" w:eastAsia="zh-CN"/>
                    </w:rPr>
                  </w:pPr>
                  <w:r>
                    <w:rPr>
                      <w:rFonts w:hint="eastAsia"/>
                      <w:color w:val="auto"/>
                      <w:lang w:val="en-US" w:eastAsia="zh-CN"/>
                    </w:rPr>
                    <w:t>1.2</w:t>
                  </w:r>
                </w:p>
              </w:tc>
              <w:tc>
                <w:tcPr>
                  <w:tcW w:w="607" w:type="pct"/>
                  <w:vAlign w:val="center"/>
                </w:tcPr>
                <w:p w14:paraId="00B0FECD">
                  <w:pPr>
                    <w:pStyle w:val="29"/>
                    <w:rPr>
                      <w:rFonts w:hint="eastAsia" w:eastAsia="宋体"/>
                      <w:color w:val="auto"/>
                      <w:lang w:eastAsia="zh-CN"/>
                    </w:rPr>
                  </w:pPr>
                  <w:r>
                    <w:rPr>
                      <w:rFonts w:hint="eastAsia"/>
                      <w:color w:val="auto"/>
                      <w:lang w:eastAsia="zh-CN"/>
                    </w:rPr>
                    <w:t>昼间</w:t>
                  </w:r>
                </w:p>
              </w:tc>
              <w:tc>
                <w:tcPr>
                  <w:tcW w:w="707" w:type="pct"/>
                  <w:vAlign w:val="center"/>
                </w:tcPr>
                <w:p w14:paraId="13D866A4">
                  <w:pPr>
                    <w:pStyle w:val="29"/>
                    <w:rPr>
                      <w:rFonts w:hint="default" w:eastAsia="宋体"/>
                      <w:color w:val="auto"/>
                      <w:lang w:val="en-US" w:eastAsia="zh-CN"/>
                    </w:rPr>
                  </w:pPr>
                  <w:r>
                    <w:rPr>
                      <w:rFonts w:hint="eastAsia"/>
                      <w:color w:val="auto"/>
                      <w:lang w:val="en-US" w:eastAsia="zh-CN"/>
                    </w:rPr>
                    <w:t>59.16</w:t>
                  </w:r>
                </w:p>
              </w:tc>
              <w:tc>
                <w:tcPr>
                  <w:tcW w:w="759" w:type="pct"/>
                  <w:shd w:val="clear" w:color="auto" w:fill="auto"/>
                  <w:vAlign w:val="center"/>
                </w:tcPr>
                <w:p w14:paraId="5755C03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57" w:type="pct"/>
                  <w:vAlign w:val="center"/>
                </w:tcPr>
                <w:p w14:paraId="5B282ABF">
                  <w:pPr>
                    <w:pStyle w:val="29"/>
                    <w:rPr>
                      <w:rFonts w:hint="eastAsia" w:eastAsia="宋体"/>
                      <w:color w:val="auto"/>
                      <w:lang w:eastAsia="zh-CN"/>
                    </w:rPr>
                  </w:pPr>
                  <w:r>
                    <w:rPr>
                      <w:rFonts w:hint="eastAsia"/>
                      <w:color w:val="auto"/>
                      <w:lang w:eastAsia="zh-CN"/>
                    </w:rPr>
                    <w:t>达标</w:t>
                  </w:r>
                </w:p>
              </w:tc>
            </w:tr>
            <w:tr w14:paraId="1CBD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continue"/>
                  <w:vAlign w:val="center"/>
                </w:tcPr>
                <w:p w14:paraId="152F3716">
                  <w:pPr>
                    <w:pStyle w:val="29"/>
                    <w:rPr>
                      <w:rFonts w:hint="eastAsia"/>
                      <w:color w:val="auto"/>
                      <w:lang w:eastAsia="zh-CN"/>
                    </w:rPr>
                  </w:pPr>
                </w:p>
              </w:tc>
              <w:tc>
                <w:tcPr>
                  <w:tcW w:w="556" w:type="pct"/>
                  <w:shd w:val="clear" w:color="auto" w:fill="auto"/>
                  <w:vAlign w:val="center"/>
                </w:tcPr>
                <w:p w14:paraId="6019A15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21.04</w:t>
                  </w:r>
                </w:p>
              </w:tc>
              <w:tc>
                <w:tcPr>
                  <w:tcW w:w="556" w:type="pct"/>
                  <w:shd w:val="clear" w:color="auto" w:fill="auto"/>
                  <w:vAlign w:val="center"/>
                </w:tcPr>
                <w:p w14:paraId="3567D99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55.26</w:t>
                  </w:r>
                </w:p>
              </w:tc>
              <w:tc>
                <w:tcPr>
                  <w:tcW w:w="455" w:type="pct"/>
                  <w:shd w:val="clear" w:color="auto" w:fill="auto"/>
                  <w:vAlign w:val="center"/>
                </w:tcPr>
                <w:p w14:paraId="7B87C0C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0DD280BB">
                  <w:pPr>
                    <w:pStyle w:val="29"/>
                    <w:rPr>
                      <w:rFonts w:hint="eastAsia" w:eastAsia="宋体"/>
                      <w:color w:val="auto"/>
                      <w:lang w:eastAsia="zh-CN"/>
                    </w:rPr>
                  </w:pPr>
                  <w:r>
                    <w:rPr>
                      <w:rFonts w:hint="eastAsia"/>
                      <w:color w:val="auto"/>
                      <w:lang w:eastAsia="zh-CN"/>
                    </w:rPr>
                    <w:t>夜间</w:t>
                  </w:r>
                </w:p>
              </w:tc>
              <w:tc>
                <w:tcPr>
                  <w:tcW w:w="707" w:type="pct"/>
                  <w:vAlign w:val="center"/>
                </w:tcPr>
                <w:p w14:paraId="14EEB605">
                  <w:pPr>
                    <w:pStyle w:val="29"/>
                    <w:rPr>
                      <w:rFonts w:hint="default" w:eastAsia="宋体"/>
                      <w:color w:val="auto"/>
                      <w:lang w:val="en-US" w:eastAsia="zh-CN"/>
                    </w:rPr>
                  </w:pPr>
                  <w:r>
                    <w:rPr>
                      <w:rFonts w:hint="eastAsia"/>
                      <w:color w:val="auto"/>
                      <w:lang w:val="en-US" w:eastAsia="zh-CN"/>
                    </w:rPr>
                    <w:t>/</w:t>
                  </w:r>
                </w:p>
              </w:tc>
              <w:tc>
                <w:tcPr>
                  <w:tcW w:w="759" w:type="pct"/>
                  <w:shd w:val="clear" w:color="auto" w:fill="auto"/>
                  <w:vAlign w:val="center"/>
                </w:tcPr>
                <w:p w14:paraId="2FD94F7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57" w:type="pct"/>
                  <w:vAlign w:val="center"/>
                </w:tcPr>
                <w:p w14:paraId="09FBF972">
                  <w:pPr>
                    <w:pStyle w:val="29"/>
                    <w:rPr>
                      <w:rFonts w:hint="eastAsia" w:eastAsia="宋体"/>
                      <w:color w:val="auto"/>
                      <w:lang w:eastAsia="zh-CN"/>
                    </w:rPr>
                  </w:pPr>
                  <w:r>
                    <w:rPr>
                      <w:rFonts w:hint="eastAsia"/>
                      <w:color w:val="auto"/>
                      <w:lang w:eastAsia="zh-CN"/>
                    </w:rPr>
                    <w:t>达标</w:t>
                  </w:r>
                </w:p>
              </w:tc>
            </w:tr>
            <w:tr w14:paraId="52C9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restart"/>
                  <w:vAlign w:val="center"/>
                </w:tcPr>
                <w:p w14:paraId="4AF78479">
                  <w:pPr>
                    <w:pStyle w:val="29"/>
                    <w:rPr>
                      <w:rFonts w:hint="eastAsia" w:eastAsia="宋体"/>
                      <w:color w:val="auto"/>
                      <w:lang w:eastAsia="zh-CN"/>
                    </w:rPr>
                  </w:pPr>
                  <w:r>
                    <w:rPr>
                      <w:rFonts w:hint="eastAsia"/>
                      <w:color w:val="auto"/>
                      <w:lang w:eastAsia="zh-CN"/>
                    </w:rPr>
                    <w:t>厂界南</w:t>
                  </w:r>
                </w:p>
              </w:tc>
              <w:tc>
                <w:tcPr>
                  <w:tcW w:w="556" w:type="pct"/>
                  <w:vAlign w:val="center"/>
                </w:tcPr>
                <w:p w14:paraId="4B48C480">
                  <w:pPr>
                    <w:pStyle w:val="29"/>
                    <w:rPr>
                      <w:rFonts w:hint="default" w:eastAsia="宋体"/>
                      <w:color w:val="auto"/>
                      <w:lang w:val="en-US" w:eastAsia="zh-CN"/>
                    </w:rPr>
                  </w:pPr>
                  <w:r>
                    <w:rPr>
                      <w:rFonts w:hint="eastAsia"/>
                      <w:color w:val="auto"/>
                      <w:lang w:val="en-US" w:eastAsia="zh-CN"/>
                    </w:rPr>
                    <w:t>0.03</w:t>
                  </w:r>
                </w:p>
              </w:tc>
              <w:tc>
                <w:tcPr>
                  <w:tcW w:w="556" w:type="pct"/>
                  <w:vAlign w:val="center"/>
                </w:tcPr>
                <w:p w14:paraId="62C41AE3">
                  <w:pPr>
                    <w:pStyle w:val="29"/>
                    <w:rPr>
                      <w:rFonts w:hint="default" w:eastAsia="宋体"/>
                      <w:color w:val="auto"/>
                      <w:lang w:val="en-US" w:eastAsia="zh-CN"/>
                    </w:rPr>
                  </w:pPr>
                  <w:r>
                    <w:rPr>
                      <w:rFonts w:hint="eastAsia"/>
                      <w:color w:val="auto"/>
                      <w:lang w:val="en-US" w:eastAsia="zh-CN"/>
                    </w:rPr>
                    <w:t>-0.11</w:t>
                  </w:r>
                </w:p>
              </w:tc>
              <w:tc>
                <w:tcPr>
                  <w:tcW w:w="455" w:type="pct"/>
                  <w:vAlign w:val="center"/>
                </w:tcPr>
                <w:p w14:paraId="1FB6857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5D22D33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昼间</w:t>
                  </w:r>
                </w:p>
              </w:tc>
              <w:tc>
                <w:tcPr>
                  <w:tcW w:w="707" w:type="pct"/>
                  <w:vAlign w:val="center"/>
                </w:tcPr>
                <w:p w14:paraId="504189D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60.41</w:t>
                  </w:r>
                </w:p>
              </w:tc>
              <w:tc>
                <w:tcPr>
                  <w:tcW w:w="759" w:type="pct"/>
                  <w:shd w:val="clear" w:color="auto" w:fill="auto"/>
                  <w:vAlign w:val="center"/>
                </w:tcPr>
                <w:p w14:paraId="45B256F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57" w:type="pct"/>
                  <w:vAlign w:val="center"/>
                </w:tcPr>
                <w:p w14:paraId="4920F6E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6201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continue"/>
                  <w:vAlign w:val="center"/>
                </w:tcPr>
                <w:p w14:paraId="7F00E1C2">
                  <w:pPr>
                    <w:pStyle w:val="29"/>
                    <w:rPr>
                      <w:rFonts w:hint="eastAsia"/>
                      <w:color w:val="auto"/>
                      <w:lang w:eastAsia="zh-CN"/>
                    </w:rPr>
                  </w:pPr>
                </w:p>
              </w:tc>
              <w:tc>
                <w:tcPr>
                  <w:tcW w:w="556" w:type="pct"/>
                  <w:shd w:val="clear" w:color="auto" w:fill="auto"/>
                  <w:vAlign w:val="center"/>
                </w:tcPr>
                <w:p w14:paraId="7FA9CA9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0.03</w:t>
                  </w:r>
                </w:p>
              </w:tc>
              <w:tc>
                <w:tcPr>
                  <w:tcW w:w="556" w:type="pct"/>
                  <w:shd w:val="clear" w:color="auto" w:fill="auto"/>
                  <w:vAlign w:val="center"/>
                </w:tcPr>
                <w:p w14:paraId="41FC0DC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-0.11</w:t>
                  </w:r>
                </w:p>
              </w:tc>
              <w:tc>
                <w:tcPr>
                  <w:tcW w:w="455" w:type="pct"/>
                  <w:shd w:val="clear" w:color="auto" w:fill="auto"/>
                  <w:vAlign w:val="center"/>
                </w:tcPr>
                <w:p w14:paraId="060A68A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31D2446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夜间</w:t>
                  </w:r>
                </w:p>
              </w:tc>
              <w:tc>
                <w:tcPr>
                  <w:tcW w:w="707" w:type="pct"/>
                  <w:vAlign w:val="center"/>
                </w:tcPr>
                <w:p w14:paraId="0F2EE81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759" w:type="pct"/>
                  <w:shd w:val="clear" w:color="auto" w:fill="auto"/>
                  <w:vAlign w:val="center"/>
                </w:tcPr>
                <w:p w14:paraId="22D51BE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57" w:type="pct"/>
                  <w:vAlign w:val="center"/>
                </w:tcPr>
                <w:p w14:paraId="1D74ABD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33B6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restart"/>
                  <w:vAlign w:val="center"/>
                </w:tcPr>
                <w:p w14:paraId="1C01CE82">
                  <w:pPr>
                    <w:pStyle w:val="29"/>
                    <w:rPr>
                      <w:rFonts w:hint="eastAsia" w:eastAsia="宋体"/>
                      <w:color w:val="auto"/>
                      <w:lang w:eastAsia="zh-CN"/>
                    </w:rPr>
                  </w:pPr>
                  <w:r>
                    <w:rPr>
                      <w:rFonts w:hint="eastAsia"/>
                      <w:color w:val="auto"/>
                      <w:lang w:eastAsia="zh-CN"/>
                    </w:rPr>
                    <w:t>厂界西</w:t>
                  </w:r>
                </w:p>
              </w:tc>
              <w:tc>
                <w:tcPr>
                  <w:tcW w:w="556" w:type="pct"/>
                  <w:vAlign w:val="center"/>
                </w:tcPr>
                <w:p w14:paraId="5405869F">
                  <w:pPr>
                    <w:pStyle w:val="29"/>
                    <w:rPr>
                      <w:rFonts w:hint="default" w:eastAsia="宋体"/>
                      <w:color w:val="auto"/>
                      <w:lang w:val="en-US" w:eastAsia="zh-CN"/>
                    </w:rPr>
                  </w:pPr>
                  <w:r>
                    <w:rPr>
                      <w:rFonts w:hint="eastAsia"/>
                      <w:color w:val="auto"/>
                      <w:lang w:val="en-US" w:eastAsia="zh-CN"/>
                    </w:rPr>
                    <w:t>0.04</w:t>
                  </w:r>
                </w:p>
              </w:tc>
              <w:tc>
                <w:tcPr>
                  <w:tcW w:w="556" w:type="pct"/>
                  <w:vAlign w:val="center"/>
                </w:tcPr>
                <w:p w14:paraId="5C5412ED">
                  <w:pPr>
                    <w:pStyle w:val="29"/>
                    <w:rPr>
                      <w:rFonts w:hint="default" w:eastAsia="宋体"/>
                      <w:color w:val="auto"/>
                      <w:lang w:val="en-US" w:eastAsia="zh-CN"/>
                    </w:rPr>
                  </w:pPr>
                  <w:r>
                    <w:rPr>
                      <w:rFonts w:hint="eastAsia"/>
                      <w:color w:val="auto"/>
                      <w:lang w:val="en-US" w:eastAsia="zh-CN"/>
                    </w:rPr>
                    <w:t>0.03</w:t>
                  </w:r>
                </w:p>
              </w:tc>
              <w:tc>
                <w:tcPr>
                  <w:tcW w:w="455" w:type="pct"/>
                  <w:vAlign w:val="center"/>
                </w:tcPr>
                <w:p w14:paraId="3EDDE85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13F7479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昼间</w:t>
                  </w:r>
                </w:p>
              </w:tc>
              <w:tc>
                <w:tcPr>
                  <w:tcW w:w="707" w:type="pct"/>
                  <w:vAlign w:val="center"/>
                </w:tcPr>
                <w:p w14:paraId="0F9133E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60.36</w:t>
                  </w:r>
                </w:p>
              </w:tc>
              <w:tc>
                <w:tcPr>
                  <w:tcW w:w="759" w:type="pct"/>
                  <w:shd w:val="clear" w:color="auto" w:fill="auto"/>
                  <w:vAlign w:val="center"/>
                </w:tcPr>
                <w:p w14:paraId="7411DC5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57" w:type="pct"/>
                  <w:vAlign w:val="center"/>
                </w:tcPr>
                <w:p w14:paraId="10E9F08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1E21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continue"/>
                  <w:vAlign w:val="center"/>
                </w:tcPr>
                <w:p w14:paraId="5FEF3665">
                  <w:pPr>
                    <w:pStyle w:val="29"/>
                    <w:rPr>
                      <w:rFonts w:hint="eastAsia"/>
                      <w:color w:val="auto"/>
                      <w:lang w:eastAsia="zh-CN"/>
                    </w:rPr>
                  </w:pPr>
                </w:p>
              </w:tc>
              <w:tc>
                <w:tcPr>
                  <w:tcW w:w="556" w:type="pct"/>
                  <w:shd w:val="clear" w:color="auto" w:fill="auto"/>
                  <w:vAlign w:val="center"/>
                </w:tcPr>
                <w:p w14:paraId="1B264B6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0.04</w:t>
                  </w:r>
                </w:p>
              </w:tc>
              <w:tc>
                <w:tcPr>
                  <w:tcW w:w="556" w:type="pct"/>
                  <w:shd w:val="clear" w:color="auto" w:fill="auto"/>
                  <w:vAlign w:val="center"/>
                </w:tcPr>
                <w:p w14:paraId="2D71AF7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0.03</w:t>
                  </w:r>
                </w:p>
              </w:tc>
              <w:tc>
                <w:tcPr>
                  <w:tcW w:w="455" w:type="pct"/>
                  <w:shd w:val="clear" w:color="auto" w:fill="auto"/>
                  <w:vAlign w:val="center"/>
                </w:tcPr>
                <w:p w14:paraId="5C7D36D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2FF368A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夜间</w:t>
                  </w:r>
                </w:p>
              </w:tc>
              <w:tc>
                <w:tcPr>
                  <w:tcW w:w="707" w:type="pct"/>
                  <w:vAlign w:val="center"/>
                </w:tcPr>
                <w:p w14:paraId="35E8340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759" w:type="pct"/>
                  <w:shd w:val="clear" w:color="auto" w:fill="auto"/>
                  <w:vAlign w:val="center"/>
                </w:tcPr>
                <w:p w14:paraId="2384DBC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57" w:type="pct"/>
                  <w:vAlign w:val="center"/>
                </w:tcPr>
                <w:p w14:paraId="35F7983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58F2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restart"/>
                  <w:vAlign w:val="center"/>
                </w:tcPr>
                <w:p w14:paraId="599F3305">
                  <w:pPr>
                    <w:pStyle w:val="29"/>
                    <w:rPr>
                      <w:rFonts w:hint="eastAsia" w:eastAsia="宋体"/>
                      <w:color w:val="auto"/>
                      <w:lang w:eastAsia="zh-CN"/>
                    </w:rPr>
                  </w:pPr>
                  <w:r>
                    <w:rPr>
                      <w:rFonts w:hint="eastAsia"/>
                      <w:color w:val="auto"/>
                      <w:lang w:eastAsia="zh-CN"/>
                    </w:rPr>
                    <w:t>厂界东</w:t>
                  </w:r>
                </w:p>
              </w:tc>
              <w:tc>
                <w:tcPr>
                  <w:tcW w:w="556" w:type="pct"/>
                  <w:vAlign w:val="center"/>
                </w:tcPr>
                <w:p w14:paraId="3B349AD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38.37</w:t>
                  </w:r>
                </w:p>
              </w:tc>
              <w:tc>
                <w:tcPr>
                  <w:tcW w:w="556" w:type="pct"/>
                  <w:vAlign w:val="center"/>
                </w:tcPr>
                <w:p w14:paraId="20B5D74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18.10</w:t>
                  </w:r>
                </w:p>
              </w:tc>
              <w:tc>
                <w:tcPr>
                  <w:tcW w:w="455" w:type="pct"/>
                  <w:vAlign w:val="center"/>
                </w:tcPr>
                <w:p w14:paraId="2AA481A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6E8B11F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昼间</w:t>
                  </w:r>
                </w:p>
              </w:tc>
              <w:tc>
                <w:tcPr>
                  <w:tcW w:w="707" w:type="pct"/>
                  <w:vAlign w:val="center"/>
                </w:tcPr>
                <w:p w14:paraId="02A1894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60.01</w:t>
                  </w:r>
                </w:p>
              </w:tc>
              <w:tc>
                <w:tcPr>
                  <w:tcW w:w="759" w:type="pct"/>
                  <w:shd w:val="clear" w:color="auto" w:fill="auto"/>
                  <w:vAlign w:val="center"/>
                </w:tcPr>
                <w:p w14:paraId="60A8587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57" w:type="pct"/>
                  <w:vAlign w:val="center"/>
                </w:tcPr>
                <w:p w14:paraId="73C2DA3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2E33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pct"/>
                  <w:vMerge w:val="continue"/>
                  <w:vAlign w:val="center"/>
                </w:tcPr>
                <w:p w14:paraId="3392C945">
                  <w:pPr>
                    <w:pStyle w:val="29"/>
                    <w:rPr>
                      <w:rFonts w:hint="eastAsia"/>
                      <w:color w:val="auto"/>
                      <w:lang w:eastAsia="zh-CN"/>
                    </w:rPr>
                  </w:pPr>
                </w:p>
              </w:tc>
              <w:tc>
                <w:tcPr>
                  <w:tcW w:w="556" w:type="pct"/>
                  <w:shd w:val="clear" w:color="auto" w:fill="auto"/>
                  <w:vAlign w:val="center"/>
                </w:tcPr>
                <w:p w14:paraId="22DC06D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38.37</w:t>
                  </w:r>
                </w:p>
              </w:tc>
              <w:tc>
                <w:tcPr>
                  <w:tcW w:w="556" w:type="pct"/>
                  <w:shd w:val="clear" w:color="auto" w:fill="auto"/>
                  <w:vAlign w:val="center"/>
                </w:tcPr>
                <w:p w14:paraId="48EB500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18.10</w:t>
                  </w:r>
                </w:p>
              </w:tc>
              <w:tc>
                <w:tcPr>
                  <w:tcW w:w="455" w:type="pct"/>
                  <w:shd w:val="clear" w:color="auto" w:fill="auto"/>
                  <w:vAlign w:val="center"/>
                </w:tcPr>
                <w:p w14:paraId="2D3984D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1.2</w:t>
                  </w:r>
                </w:p>
              </w:tc>
              <w:tc>
                <w:tcPr>
                  <w:tcW w:w="607" w:type="pct"/>
                  <w:vAlign w:val="center"/>
                </w:tcPr>
                <w:p w14:paraId="70B1EDD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夜间</w:t>
                  </w:r>
                </w:p>
              </w:tc>
              <w:tc>
                <w:tcPr>
                  <w:tcW w:w="707" w:type="pct"/>
                  <w:vAlign w:val="center"/>
                </w:tcPr>
                <w:p w14:paraId="1CC7FA0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759" w:type="pct"/>
                  <w:shd w:val="clear" w:color="auto" w:fill="auto"/>
                  <w:vAlign w:val="center"/>
                </w:tcPr>
                <w:p w14:paraId="50BD2A4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57" w:type="pct"/>
                  <w:vAlign w:val="center"/>
                </w:tcPr>
                <w:p w14:paraId="23AB9FE4">
                  <w:pPr>
                    <w:ind w:left="0" w:leftChars="0" w:firstLine="0" w:firstLineChars="0"/>
                    <w:jc w:val="center"/>
                    <w:rPr>
                      <w:rFonts w:hint="eastAsia"/>
                      <w:color w:val="auto"/>
                      <w:lang w:val="en-US" w:eastAsia="zh-CN"/>
                    </w:rPr>
                  </w:pPr>
                  <w:r>
                    <w:rPr>
                      <w:rFonts w:hint="eastAsia" w:ascii="Times New Roman" w:hAnsi="Times New Roman" w:eastAsia="宋体" w:cs="Times New Roman"/>
                      <w:b w:val="0"/>
                      <w:color w:val="auto"/>
                      <w:kern w:val="2"/>
                      <w:sz w:val="21"/>
                      <w:szCs w:val="21"/>
                      <w:lang w:val="en-US" w:eastAsia="zh-CN" w:bidi="ar-SA"/>
                    </w:rPr>
                    <w:t>达标</w:t>
                  </w:r>
                </w:p>
              </w:tc>
            </w:tr>
          </w:tbl>
          <w:p w14:paraId="221164F5">
            <w:pPr>
              <w:pStyle w:val="30"/>
              <w:bidi w:val="0"/>
              <w:rPr>
                <w:rFonts w:hint="eastAsia"/>
                <w:color w:val="auto"/>
                <w:lang w:val="en-US" w:eastAsia="zh-CN"/>
              </w:rPr>
            </w:pPr>
            <w:r>
              <w:rPr>
                <w:rFonts w:hint="eastAsia"/>
                <w:color w:val="auto"/>
                <w:lang w:val="en-US" w:eastAsia="zh-CN"/>
              </w:rPr>
              <w:t>表4-20  项目厂界噪声叠加值预测结果一览表  单位：dB（A）</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0"/>
              <w:gridCol w:w="990"/>
              <w:gridCol w:w="1153"/>
              <w:gridCol w:w="1236"/>
              <w:gridCol w:w="1236"/>
              <w:gridCol w:w="1236"/>
              <w:gridCol w:w="1240"/>
            </w:tblGrid>
            <w:tr w14:paraId="0D03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07" w:type="pct"/>
                  <w:vMerge w:val="restart"/>
                  <w:vAlign w:val="center"/>
                </w:tcPr>
                <w:p w14:paraId="13E9FEA9">
                  <w:pPr>
                    <w:pStyle w:val="29"/>
                    <w:rPr>
                      <w:rFonts w:hint="eastAsia" w:eastAsia="宋体"/>
                      <w:color w:val="auto"/>
                      <w:lang w:eastAsia="zh-CN"/>
                    </w:rPr>
                  </w:pPr>
                  <w:r>
                    <w:rPr>
                      <w:rFonts w:hint="eastAsia"/>
                      <w:color w:val="auto"/>
                      <w:lang w:eastAsia="zh-CN"/>
                    </w:rPr>
                    <w:t>预测方位</w:t>
                  </w:r>
                </w:p>
              </w:tc>
              <w:tc>
                <w:tcPr>
                  <w:tcW w:w="613" w:type="pct"/>
                  <w:vMerge w:val="restart"/>
                  <w:vAlign w:val="center"/>
                </w:tcPr>
                <w:p w14:paraId="5EA143B3">
                  <w:pPr>
                    <w:pStyle w:val="29"/>
                    <w:rPr>
                      <w:rFonts w:hint="eastAsia" w:eastAsia="宋体"/>
                      <w:color w:val="auto"/>
                      <w:lang w:eastAsia="zh-CN"/>
                    </w:rPr>
                  </w:pPr>
                  <w:r>
                    <w:rPr>
                      <w:rFonts w:hint="eastAsia"/>
                      <w:color w:val="auto"/>
                      <w:lang w:eastAsia="zh-CN"/>
                    </w:rPr>
                    <w:t>时段</w:t>
                  </w:r>
                </w:p>
              </w:tc>
              <w:tc>
                <w:tcPr>
                  <w:tcW w:w="714" w:type="pct"/>
                  <w:vMerge w:val="restart"/>
                  <w:vAlign w:val="center"/>
                </w:tcPr>
                <w:p w14:paraId="0E32F648">
                  <w:pPr>
                    <w:pStyle w:val="29"/>
                    <w:rPr>
                      <w:rFonts w:hint="default"/>
                      <w:color w:val="auto"/>
                    </w:rPr>
                  </w:pPr>
                  <w:r>
                    <w:rPr>
                      <w:rFonts w:hint="default"/>
                      <w:color w:val="auto"/>
                    </w:rPr>
                    <w:t>噪声</w:t>
                  </w:r>
                  <w:r>
                    <w:rPr>
                      <w:color w:val="auto"/>
                    </w:rPr>
                    <w:t>贡献</w:t>
                  </w:r>
                  <w:r>
                    <w:rPr>
                      <w:rFonts w:hint="default"/>
                      <w:color w:val="auto"/>
                    </w:rPr>
                    <w:t>值dB（A）</w:t>
                  </w:r>
                </w:p>
              </w:tc>
              <w:tc>
                <w:tcPr>
                  <w:tcW w:w="766" w:type="pct"/>
                  <w:vMerge w:val="restart"/>
                  <w:vAlign w:val="center"/>
                </w:tcPr>
                <w:p w14:paraId="74D01C49">
                  <w:pPr>
                    <w:pStyle w:val="29"/>
                    <w:rPr>
                      <w:rFonts w:hint="eastAsia" w:eastAsia="宋体"/>
                      <w:color w:val="auto"/>
                      <w:lang w:val="en-US" w:eastAsia="zh-CN"/>
                    </w:rPr>
                  </w:pPr>
                  <w:r>
                    <w:rPr>
                      <w:rFonts w:hint="eastAsia"/>
                      <w:color w:val="auto"/>
                      <w:lang w:val="en-US" w:eastAsia="zh-CN"/>
                    </w:rPr>
                    <w:t>背景值dB（A）</w:t>
                  </w:r>
                </w:p>
              </w:tc>
              <w:tc>
                <w:tcPr>
                  <w:tcW w:w="766" w:type="pct"/>
                  <w:vMerge w:val="restart"/>
                  <w:vAlign w:val="center"/>
                </w:tcPr>
                <w:p w14:paraId="2137E9E2">
                  <w:pPr>
                    <w:pStyle w:val="29"/>
                    <w:rPr>
                      <w:rFonts w:hint="eastAsia" w:eastAsia="宋体"/>
                      <w:color w:val="auto"/>
                      <w:lang w:val="en-US" w:eastAsia="zh-CN"/>
                    </w:rPr>
                  </w:pPr>
                  <w:r>
                    <w:rPr>
                      <w:rFonts w:hint="eastAsia"/>
                      <w:color w:val="auto"/>
                      <w:lang w:val="en-US" w:eastAsia="zh-CN"/>
                    </w:rPr>
                    <w:t>叠加值dB（A）</w:t>
                  </w:r>
                </w:p>
              </w:tc>
              <w:tc>
                <w:tcPr>
                  <w:tcW w:w="766" w:type="pct"/>
                  <w:vMerge w:val="restart"/>
                  <w:vAlign w:val="center"/>
                </w:tcPr>
                <w:p w14:paraId="6DABB5C0">
                  <w:pPr>
                    <w:pStyle w:val="29"/>
                    <w:rPr>
                      <w:rFonts w:hint="default"/>
                      <w:color w:val="auto"/>
                    </w:rPr>
                  </w:pPr>
                  <w:r>
                    <w:rPr>
                      <w:rFonts w:hint="default"/>
                      <w:color w:val="auto"/>
                    </w:rPr>
                    <w:t>噪声标椎dB（A）</w:t>
                  </w:r>
                </w:p>
              </w:tc>
              <w:tc>
                <w:tcPr>
                  <w:tcW w:w="766" w:type="pct"/>
                  <w:vMerge w:val="restart"/>
                  <w:vAlign w:val="center"/>
                </w:tcPr>
                <w:p w14:paraId="4211F4A0">
                  <w:pPr>
                    <w:pStyle w:val="29"/>
                    <w:rPr>
                      <w:rFonts w:hint="default"/>
                      <w:color w:val="auto"/>
                    </w:rPr>
                  </w:pPr>
                  <w:r>
                    <w:rPr>
                      <w:color w:val="auto"/>
                    </w:rPr>
                    <w:t>达标情况</w:t>
                  </w:r>
                </w:p>
              </w:tc>
            </w:tr>
            <w:tr w14:paraId="540B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07" w:type="pct"/>
                  <w:vMerge w:val="continue"/>
                  <w:vAlign w:val="center"/>
                </w:tcPr>
                <w:p w14:paraId="6942F52D">
                  <w:pPr>
                    <w:pStyle w:val="29"/>
                    <w:rPr>
                      <w:color w:val="auto"/>
                    </w:rPr>
                  </w:pPr>
                </w:p>
              </w:tc>
              <w:tc>
                <w:tcPr>
                  <w:tcW w:w="613" w:type="pct"/>
                  <w:vMerge w:val="continue"/>
                  <w:vAlign w:val="center"/>
                </w:tcPr>
                <w:p w14:paraId="3D55F1D0">
                  <w:pPr>
                    <w:pStyle w:val="29"/>
                    <w:rPr>
                      <w:rFonts w:hint="default"/>
                      <w:color w:val="auto"/>
                    </w:rPr>
                  </w:pPr>
                </w:p>
              </w:tc>
              <w:tc>
                <w:tcPr>
                  <w:tcW w:w="714" w:type="pct"/>
                  <w:vMerge w:val="continue"/>
                  <w:vAlign w:val="center"/>
                </w:tcPr>
                <w:p w14:paraId="0E3950DF">
                  <w:pPr>
                    <w:pStyle w:val="29"/>
                    <w:rPr>
                      <w:rFonts w:hint="default"/>
                      <w:color w:val="auto"/>
                    </w:rPr>
                  </w:pPr>
                </w:p>
              </w:tc>
              <w:tc>
                <w:tcPr>
                  <w:tcW w:w="766" w:type="pct"/>
                  <w:vMerge w:val="continue"/>
                  <w:vAlign w:val="center"/>
                </w:tcPr>
                <w:p w14:paraId="70648364">
                  <w:pPr>
                    <w:pStyle w:val="29"/>
                    <w:rPr>
                      <w:rFonts w:hint="default"/>
                      <w:color w:val="auto"/>
                    </w:rPr>
                  </w:pPr>
                </w:p>
              </w:tc>
              <w:tc>
                <w:tcPr>
                  <w:tcW w:w="766" w:type="pct"/>
                  <w:vMerge w:val="continue"/>
                  <w:vAlign w:val="center"/>
                </w:tcPr>
                <w:p w14:paraId="3EB65415">
                  <w:pPr>
                    <w:pStyle w:val="29"/>
                    <w:rPr>
                      <w:rFonts w:hint="default"/>
                      <w:color w:val="auto"/>
                    </w:rPr>
                  </w:pPr>
                </w:p>
              </w:tc>
              <w:tc>
                <w:tcPr>
                  <w:tcW w:w="766" w:type="pct"/>
                  <w:vMerge w:val="continue"/>
                  <w:vAlign w:val="center"/>
                </w:tcPr>
                <w:p w14:paraId="4D0D23D7">
                  <w:pPr>
                    <w:pStyle w:val="29"/>
                    <w:rPr>
                      <w:rFonts w:hint="default"/>
                      <w:color w:val="auto"/>
                    </w:rPr>
                  </w:pPr>
                </w:p>
              </w:tc>
              <w:tc>
                <w:tcPr>
                  <w:tcW w:w="766" w:type="pct"/>
                  <w:vMerge w:val="continue"/>
                  <w:vAlign w:val="center"/>
                </w:tcPr>
                <w:p w14:paraId="2CF6AB41">
                  <w:pPr>
                    <w:pStyle w:val="29"/>
                    <w:rPr>
                      <w:rFonts w:hint="default"/>
                      <w:color w:val="auto"/>
                    </w:rPr>
                  </w:pPr>
                </w:p>
              </w:tc>
            </w:tr>
            <w:tr w14:paraId="26582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restart"/>
                  <w:vAlign w:val="center"/>
                </w:tcPr>
                <w:p w14:paraId="249CF523">
                  <w:pPr>
                    <w:pStyle w:val="29"/>
                    <w:rPr>
                      <w:rFonts w:hint="eastAsia" w:eastAsia="宋体"/>
                      <w:color w:val="auto"/>
                      <w:lang w:eastAsia="zh-CN"/>
                    </w:rPr>
                  </w:pPr>
                  <w:r>
                    <w:rPr>
                      <w:rFonts w:hint="eastAsia"/>
                      <w:color w:val="auto"/>
                      <w:lang w:eastAsia="zh-CN"/>
                    </w:rPr>
                    <w:t>厂界北</w:t>
                  </w:r>
                </w:p>
              </w:tc>
              <w:tc>
                <w:tcPr>
                  <w:tcW w:w="613" w:type="pct"/>
                  <w:vAlign w:val="center"/>
                </w:tcPr>
                <w:p w14:paraId="0161BE3C">
                  <w:pPr>
                    <w:pStyle w:val="29"/>
                    <w:rPr>
                      <w:rFonts w:hint="eastAsia" w:eastAsia="宋体"/>
                      <w:color w:val="auto"/>
                      <w:lang w:eastAsia="zh-CN"/>
                    </w:rPr>
                  </w:pPr>
                  <w:r>
                    <w:rPr>
                      <w:rFonts w:hint="eastAsia"/>
                      <w:color w:val="auto"/>
                      <w:lang w:eastAsia="zh-CN"/>
                    </w:rPr>
                    <w:t>昼间</w:t>
                  </w:r>
                </w:p>
              </w:tc>
              <w:tc>
                <w:tcPr>
                  <w:tcW w:w="714" w:type="pct"/>
                  <w:vAlign w:val="center"/>
                </w:tcPr>
                <w:p w14:paraId="426AA5E7">
                  <w:pPr>
                    <w:pStyle w:val="29"/>
                    <w:rPr>
                      <w:rFonts w:hint="default" w:eastAsia="宋体"/>
                      <w:color w:val="auto"/>
                      <w:lang w:val="en-US" w:eastAsia="zh-CN"/>
                    </w:rPr>
                  </w:pPr>
                  <w:r>
                    <w:rPr>
                      <w:rFonts w:hint="eastAsia"/>
                      <w:color w:val="auto"/>
                      <w:lang w:val="en-US" w:eastAsia="zh-CN"/>
                    </w:rPr>
                    <w:t>59.16</w:t>
                  </w:r>
                </w:p>
              </w:tc>
              <w:tc>
                <w:tcPr>
                  <w:tcW w:w="766" w:type="pct"/>
                  <w:shd w:val="clear" w:color="auto" w:fill="auto"/>
                  <w:vAlign w:val="center"/>
                </w:tcPr>
                <w:p w14:paraId="4231D071">
                  <w:pPr>
                    <w:pStyle w:val="29"/>
                    <w:rPr>
                      <w:rFonts w:hint="default"/>
                      <w:color w:val="auto"/>
                      <w:lang w:val="en-US" w:eastAsia="zh-CN"/>
                    </w:rPr>
                  </w:pPr>
                  <w:r>
                    <w:rPr>
                      <w:rFonts w:hint="eastAsia"/>
                      <w:color w:val="auto"/>
                      <w:lang w:val="en-US" w:eastAsia="zh-CN"/>
                    </w:rPr>
                    <w:t>56.9</w:t>
                  </w:r>
                </w:p>
              </w:tc>
              <w:tc>
                <w:tcPr>
                  <w:tcW w:w="766" w:type="pct"/>
                  <w:shd w:val="clear" w:color="auto" w:fill="auto"/>
                  <w:vAlign w:val="center"/>
                </w:tcPr>
                <w:p w14:paraId="0BB1E268">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61.9</w:t>
                  </w:r>
                </w:p>
              </w:tc>
              <w:tc>
                <w:tcPr>
                  <w:tcW w:w="766" w:type="pct"/>
                  <w:shd w:val="clear" w:color="auto" w:fill="auto"/>
                  <w:vAlign w:val="center"/>
                </w:tcPr>
                <w:p w14:paraId="1D285F1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66" w:type="pct"/>
                  <w:vAlign w:val="center"/>
                </w:tcPr>
                <w:p w14:paraId="2D51DD0B">
                  <w:pPr>
                    <w:pStyle w:val="29"/>
                    <w:rPr>
                      <w:rFonts w:hint="eastAsia" w:eastAsia="宋体"/>
                      <w:color w:val="auto"/>
                      <w:lang w:eastAsia="zh-CN"/>
                    </w:rPr>
                  </w:pPr>
                  <w:r>
                    <w:rPr>
                      <w:rFonts w:hint="eastAsia"/>
                      <w:color w:val="auto"/>
                      <w:lang w:eastAsia="zh-CN"/>
                    </w:rPr>
                    <w:t>达标</w:t>
                  </w:r>
                </w:p>
              </w:tc>
            </w:tr>
            <w:tr w14:paraId="7D27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continue"/>
                  <w:vAlign w:val="center"/>
                </w:tcPr>
                <w:p w14:paraId="0D4060D3">
                  <w:pPr>
                    <w:pStyle w:val="29"/>
                    <w:rPr>
                      <w:rFonts w:hint="eastAsia"/>
                      <w:color w:val="auto"/>
                      <w:lang w:eastAsia="zh-CN"/>
                    </w:rPr>
                  </w:pPr>
                </w:p>
              </w:tc>
              <w:tc>
                <w:tcPr>
                  <w:tcW w:w="613" w:type="pct"/>
                  <w:vAlign w:val="center"/>
                </w:tcPr>
                <w:p w14:paraId="7C9E0C5F">
                  <w:pPr>
                    <w:pStyle w:val="29"/>
                    <w:rPr>
                      <w:rFonts w:hint="eastAsia" w:eastAsia="宋体"/>
                      <w:color w:val="auto"/>
                      <w:lang w:eastAsia="zh-CN"/>
                    </w:rPr>
                  </w:pPr>
                  <w:r>
                    <w:rPr>
                      <w:rFonts w:hint="eastAsia"/>
                      <w:color w:val="auto"/>
                      <w:lang w:eastAsia="zh-CN"/>
                    </w:rPr>
                    <w:t>夜间</w:t>
                  </w:r>
                </w:p>
              </w:tc>
              <w:tc>
                <w:tcPr>
                  <w:tcW w:w="714" w:type="pct"/>
                  <w:vAlign w:val="center"/>
                </w:tcPr>
                <w:p w14:paraId="1A7C65FD">
                  <w:pPr>
                    <w:pStyle w:val="29"/>
                    <w:rPr>
                      <w:rFonts w:hint="default" w:eastAsia="宋体"/>
                      <w:color w:val="auto"/>
                      <w:lang w:val="en-US" w:eastAsia="zh-CN"/>
                    </w:rPr>
                  </w:pPr>
                  <w:r>
                    <w:rPr>
                      <w:rFonts w:hint="eastAsia"/>
                      <w:color w:val="auto"/>
                      <w:lang w:val="en-US" w:eastAsia="zh-CN"/>
                    </w:rPr>
                    <w:t>/</w:t>
                  </w:r>
                </w:p>
              </w:tc>
              <w:tc>
                <w:tcPr>
                  <w:tcW w:w="766" w:type="pct"/>
                  <w:shd w:val="clear" w:color="auto" w:fill="auto"/>
                  <w:vAlign w:val="center"/>
                </w:tcPr>
                <w:p w14:paraId="2F339381">
                  <w:pPr>
                    <w:pStyle w:val="29"/>
                    <w:rPr>
                      <w:rFonts w:hint="default"/>
                      <w:color w:val="auto"/>
                      <w:lang w:val="en-US" w:eastAsia="zh-CN"/>
                    </w:rPr>
                  </w:pPr>
                  <w:r>
                    <w:rPr>
                      <w:rFonts w:hint="eastAsia"/>
                      <w:color w:val="auto"/>
                      <w:lang w:val="en-US" w:eastAsia="zh-CN"/>
                    </w:rPr>
                    <w:t>38.2</w:t>
                  </w:r>
                </w:p>
              </w:tc>
              <w:tc>
                <w:tcPr>
                  <w:tcW w:w="766" w:type="pct"/>
                  <w:shd w:val="clear" w:color="auto" w:fill="auto"/>
                  <w:vAlign w:val="center"/>
                </w:tcPr>
                <w:p w14:paraId="717FA4DC">
                  <w:pPr>
                    <w:pStyle w:val="29"/>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38.2</w:t>
                  </w:r>
                </w:p>
              </w:tc>
              <w:tc>
                <w:tcPr>
                  <w:tcW w:w="766" w:type="pct"/>
                  <w:shd w:val="clear" w:color="auto" w:fill="auto"/>
                  <w:vAlign w:val="center"/>
                </w:tcPr>
                <w:p w14:paraId="432BFD1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66" w:type="pct"/>
                  <w:vAlign w:val="center"/>
                </w:tcPr>
                <w:p w14:paraId="6BF2B41B">
                  <w:pPr>
                    <w:pStyle w:val="29"/>
                    <w:rPr>
                      <w:rFonts w:hint="eastAsia" w:eastAsia="宋体"/>
                      <w:color w:val="auto"/>
                      <w:lang w:eastAsia="zh-CN"/>
                    </w:rPr>
                  </w:pPr>
                  <w:r>
                    <w:rPr>
                      <w:rFonts w:hint="eastAsia"/>
                      <w:color w:val="auto"/>
                      <w:lang w:eastAsia="zh-CN"/>
                    </w:rPr>
                    <w:t>达标</w:t>
                  </w:r>
                </w:p>
              </w:tc>
            </w:tr>
            <w:tr w14:paraId="3F91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restart"/>
                  <w:vAlign w:val="center"/>
                </w:tcPr>
                <w:p w14:paraId="05803089">
                  <w:pPr>
                    <w:pStyle w:val="29"/>
                    <w:rPr>
                      <w:rFonts w:hint="eastAsia" w:eastAsia="宋体"/>
                      <w:color w:val="auto"/>
                      <w:lang w:eastAsia="zh-CN"/>
                    </w:rPr>
                  </w:pPr>
                  <w:r>
                    <w:rPr>
                      <w:rFonts w:hint="eastAsia"/>
                      <w:color w:val="auto"/>
                      <w:lang w:eastAsia="zh-CN"/>
                    </w:rPr>
                    <w:t>厂界南</w:t>
                  </w:r>
                </w:p>
              </w:tc>
              <w:tc>
                <w:tcPr>
                  <w:tcW w:w="613" w:type="pct"/>
                  <w:vAlign w:val="center"/>
                </w:tcPr>
                <w:p w14:paraId="74280A3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昼间</w:t>
                  </w:r>
                </w:p>
              </w:tc>
              <w:tc>
                <w:tcPr>
                  <w:tcW w:w="714" w:type="pct"/>
                  <w:vAlign w:val="center"/>
                </w:tcPr>
                <w:p w14:paraId="5AC2082F">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60.41</w:t>
                  </w:r>
                </w:p>
              </w:tc>
              <w:tc>
                <w:tcPr>
                  <w:tcW w:w="766" w:type="pct"/>
                  <w:shd w:val="clear" w:color="auto" w:fill="auto"/>
                  <w:vAlign w:val="center"/>
                </w:tcPr>
                <w:p w14:paraId="0A872DD4">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49.5</w:t>
                  </w:r>
                </w:p>
              </w:tc>
              <w:tc>
                <w:tcPr>
                  <w:tcW w:w="766" w:type="pct"/>
                  <w:shd w:val="clear" w:color="auto" w:fill="auto"/>
                  <w:vAlign w:val="center"/>
                </w:tcPr>
                <w:p w14:paraId="394DFFDC">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60.75</w:t>
                  </w:r>
                </w:p>
              </w:tc>
              <w:tc>
                <w:tcPr>
                  <w:tcW w:w="766" w:type="pct"/>
                  <w:shd w:val="clear" w:color="auto" w:fill="auto"/>
                  <w:vAlign w:val="center"/>
                </w:tcPr>
                <w:p w14:paraId="085B3124">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66" w:type="pct"/>
                  <w:vAlign w:val="center"/>
                </w:tcPr>
                <w:p w14:paraId="73FD401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146E3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continue"/>
                  <w:vAlign w:val="center"/>
                </w:tcPr>
                <w:p w14:paraId="0AEFA69D">
                  <w:pPr>
                    <w:pStyle w:val="29"/>
                    <w:rPr>
                      <w:rFonts w:hint="eastAsia"/>
                      <w:color w:val="auto"/>
                      <w:lang w:eastAsia="zh-CN"/>
                    </w:rPr>
                  </w:pPr>
                </w:p>
              </w:tc>
              <w:tc>
                <w:tcPr>
                  <w:tcW w:w="613" w:type="pct"/>
                  <w:vAlign w:val="center"/>
                </w:tcPr>
                <w:p w14:paraId="01AB656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夜间</w:t>
                  </w:r>
                </w:p>
              </w:tc>
              <w:tc>
                <w:tcPr>
                  <w:tcW w:w="714" w:type="pct"/>
                  <w:vAlign w:val="center"/>
                </w:tcPr>
                <w:p w14:paraId="640FADA9">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766" w:type="pct"/>
                  <w:shd w:val="clear" w:color="auto" w:fill="auto"/>
                  <w:vAlign w:val="center"/>
                </w:tcPr>
                <w:p w14:paraId="36C10493">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42.1</w:t>
                  </w:r>
                </w:p>
              </w:tc>
              <w:tc>
                <w:tcPr>
                  <w:tcW w:w="766" w:type="pct"/>
                  <w:shd w:val="clear" w:color="auto" w:fill="auto"/>
                  <w:vAlign w:val="center"/>
                </w:tcPr>
                <w:p w14:paraId="4993D00D">
                  <w:pPr>
                    <w:pStyle w:val="29"/>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42.1</w:t>
                  </w:r>
                </w:p>
              </w:tc>
              <w:tc>
                <w:tcPr>
                  <w:tcW w:w="766" w:type="pct"/>
                  <w:shd w:val="clear" w:color="auto" w:fill="auto"/>
                  <w:vAlign w:val="center"/>
                </w:tcPr>
                <w:p w14:paraId="1E8A6BB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66" w:type="pct"/>
                  <w:vAlign w:val="center"/>
                </w:tcPr>
                <w:p w14:paraId="719D7CA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696D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restart"/>
                  <w:vAlign w:val="center"/>
                </w:tcPr>
                <w:p w14:paraId="17C0393F">
                  <w:pPr>
                    <w:pStyle w:val="29"/>
                    <w:rPr>
                      <w:rFonts w:hint="eastAsia" w:eastAsia="宋体"/>
                      <w:color w:val="auto"/>
                      <w:lang w:eastAsia="zh-CN"/>
                    </w:rPr>
                  </w:pPr>
                  <w:r>
                    <w:rPr>
                      <w:rFonts w:hint="eastAsia"/>
                      <w:color w:val="auto"/>
                      <w:lang w:eastAsia="zh-CN"/>
                    </w:rPr>
                    <w:t>厂界西</w:t>
                  </w:r>
                </w:p>
              </w:tc>
              <w:tc>
                <w:tcPr>
                  <w:tcW w:w="613" w:type="pct"/>
                  <w:vAlign w:val="center"/>
                </w:tcPr>
                <w:p w14:paraId="5F33F1E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昼间</w:t>
                  </w:r>
                </w:p>
              </w:tc>
              <w:tc>
                <w:tcPr>
                  <w:tcW w:w="714" w:type="pct"/>
                  <w:vAlign w:val="center"/>
                </w:tcPr>
                <w:p w14:paraId="64C7676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60.36</w:t>
                  </w:r>
                </w:p>
              </w:tc>
              <w:tc>
                <w:tcPr>
                  <w:tcW w:w="766" w:type="pct"/>
                  <w:shd w:val="clear" w:color="auto" w:fill="auto"/>
                  <w:vAlign w:val="center"/>
                </w:tcPr>
                <w:p w14:paraId="32F96FA0">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56.2</w:t>
                  </w:r>
                </w:p>
              </w:tc>
              <w:tc>
                <w:tcPr>
                  <w:tcW w:w="766" w:type="pct"/>
                  <w:shd w:val="clear" w:color="auto" w:fill="auto"/>
                  <w:vAlign w:val="center"/>
                </w:tcPr>
                <w:p w14:paraId="7F6FD5DD">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61.77</w:t>
                  </w:r>
                </w:p>
              </w:tc>
              <w:tc>
                <w:tcPr>
                  <w:tcW w:w="766" w:type="pct"/>
                  <w:shd w:val="clear" w:color="auto" w:fill="auto"/>
                  <w:vAlign w:val="center"/>
                </w:tcPr>
                <w:p w14:paraId="305A3C2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66" w:type="pct"/>
                  <w:vAlign w:val="center"/>
                </w:tcPr>
                <w:p w14:paraId="60E34CB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2002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continue"/>
                  <w:vAlign w:val="center"/>
                </w:tcPr>
                <w:p w14:paraId="4962D82B">
                  <w:pPr>
                    <w:pStyle w:val="29"/>
                    <w:rPr>
                      <w:rFonts w:hint="eastAsia"/>
                      <w:color w:val="auto"/>
                      <w:lang w:eastAsia="zh-CN"/>
                    </w:rPr>
                  </w:pPr>
                </w:p>
              </w:tc>
              <w:tc>
                <w:tcPr>
                  <w:tcW w:w="613" w:type="pct"/>
                  <w:vAlign w:val="center"/>
                </w:tcPr>
                <w:p w14:paraId="4131A83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夜间</w:t>
                  </w:r>
                </w:p>
              </w:tc>
              <w:tc>
                <w:tcPr>
                  <w:tcW w:w="714" w:type="pct"/>
                  <w:vAlign w:val="center"/>
                </w:tcPr>
                <w:p w14:paraId="10F1645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766" w:type="pct"/>
                  <w:shd w:val="clear" w:color="auto" w:fill="auto"/>
                  <w:vAlign w:val="center"/>
                </w:tcPr>
                <w:p w14:paraId="48635687">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40.8</w:t>
                  </w:r>
                </w:p>
              </w:tc>
              <w:tc>
                <w:tcPr>
                  <w:tcW w:w="766" w:type="pct"/>
                  <w:shd w:val="clear" w:color="auto" w:fill="auto"/>
                  <w:vAlign w:val="center"/>
                </w:tcPr>
                <w:p w14:paraId="2F235D2B">
                  <w:pPr>
                    <w:pStyle w:val="29"/>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40.8</w:t>
                  </w:r>
                </w:p>
              </w:tc>
              <w:tc>
                <w:tcPr>
                  <w:tcW w:w="766" w:type="pct"/>
                  <w:shd w:val="clear" w:color="auto" w:fill="auto"/>
                  <w:vAlign w:val="center"/>
                </w:tcPr>
                <w:p w14:paraId="02F1361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66" w:type="pct"/>
                  <w:vAlign w:val="center"/>
                </w:tcPr>
                <w:p w14:paraId="7EC2424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7F8A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restart"/>
                  <w:vAlign w:val="center"/>
                </w:tcPr>
                <w:p w14:paraId="33175666">
                  <w:pPr>
                    <w:pStyle w:val="29"/>
                    <w:rPr>
                      <w:rFonts w:hint="eastAsia" w:eastAsia="宋体"/>
                      <w:color w:val="auto"/>
                      <w:lang w:eastAsia="zh-CN"/>
                    </w:rPr>
                  </w:pPr>
                  <w:r>
                    <w:rPr>
                      <w:rFonts w:hint="eastAsia"/>
                      <w:color w:val="auto"/>
                      <w:lang w:eastAsia="zh-CN"/>
                    </w:rPr>
                    <w:t>厂界东</w:t>
                  </w:r>
                </w:p>
              </w:tc>
              <w:tc>
                <w:tcPr>
                  <w:tcW w:w="613" w:type="pct"/>
                  <w:vAlign w:val="center"/>
                </w:tcPr>
                <w:p w14:paraId="28FEFA6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昼间</w:t>
                  </w:r>
                </w:p>
              </w:tc>
              <w:tc>
                <w:tcPr>
                  <w:tcW w:w="714" w:type="pct"/>
                  <w:vAlign w:val="center"/>
                </w:tcPr>
                <w:p w14:paraId="0302129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60.01</w:t>
                  </w:r>
                </w:p>
              </w:tc>
              <w:tc>
                <w:tcPr>
                  <w:tcW w:w="766" w:type="pct"/>
                  <w:shd w:val="clear" w:color="auto" w:fill="auto"/>
                  <w:vAlign w:val="center"/>
                </w:tcPr>
                <w:p w14:paraId="192FF28C">
                  <w:pPr>
                    <w:pStyle w:val="29"/>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58.5</w:t>
                  </w:r>
                </w:p>
              </w:tc>
              <w:tc>
                <w:tcPr>
                  <w:tcW w:w="766" w:type="pct"/>
                  <w:shd w:val="clear" w:color="auto" w:fill="auto"/>
                  <w:vAlign w:val="center"/>
                </w:tcPr>
                <w:p w14:paraId="3E4A0209">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62.33</w:t>
                  </w:r>
                </w:p>
              </w:tc>
              <w:tc>
                <w:tcPr>
                  <w:tcW w:w="766" w:type="pct"/>
                  <w:shd w:val="clear" w:color="auto" w:fill="auto"/>
                  <w:vAlign w:val="center"/>
                </w:tcPr>
                <w:p w14:paraId="1BF4D9E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65</w:t>
                  </w:r>
                </w:p>
              </w:tc>
              <w:tc>
                <w:tcPr>
                  <w:tcW w:w="766" w:type="pct"/>
                  <w:vAlign w:val="center"/>
                </w:tcPr>
                <w:p w14:paraId="60E7989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达标</w:t>
                  </w:r>
                </w:p>
              </w:tc>
            </w:tr>
            <w:tr w14:paraId="2F26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7" w:type="pct"/>
                  <w:vMerge w:val="continue"/>
                  <w:vAlign w:val="center"/>
                </w:tcPr>
                <w:p w14:paraId="1A517954">
                  <w:pPr>
                    <w:pStyle w:val="29"/>
                    <w:rPr>
                      <w:rFonts w:hint="eastAsia"/>
                      <w:color w:val="auto"/>
                      <w:lang w:eastAsia="zh-CN"/>
                    </w:rPr>
                  </w:pPr>
                </w:p>
              </w:tc>
              <w:tc>
                <w:tcPr>
                  <w:tcW w:w="613" w:type="pct"/>
                  <w:vAlign w:val="center"/>
                </w:tcPr>
                <w:p w14:paraId="10E5F22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夜间</w:t>
                  </w:r>
                </w:p>
              </w:tc>
              <w:tc>
                <w:tcPr>
                  <w:tcW w:w="714" w:type="pct"/>
                  <w:vAlign w:val="center"/>
                </w:tcPr>
                <w:p w14:paraId="2A60CD0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w:t>
                  </w:r>
                </w:p>
              </w:tc>
              <w:tc>
                <w:tcPr>
                  <w:tcW w:w="766" w:type="pct"/>
                  <w:shd w:val="clear" w:color="auto" w:fill="auto"/>
                  <w:vAlign w:val="center"/>
                </w:tcPr>
                <w:p w14:paraId="3565BBC1">
                  <w:pPr>
                    <w:pStyle w:val="29"/>
                    <w:ind w:firstLine="0" w:firstLineChars="0"/>
                    <w:rPr>
                      <w:rFonts w:hint="default"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52.0</w:t>
                  </w:r>
                </w:p>
              </w:tc>
              <w:tc>
                <w:tcPr>
                  <w:tcW w:w="766" w:type="pct"/>
                  <w:shd w:val="clear" w:color="auto" w:fill="auto"/>
                  <w:vAlign w:val="center"/>
                </w:tcPr>
                <w:p w14:paraId="5BD56D74">
                  <w:pPr>
                    <w:pStyle w:val="29"/>
                    <w:ind w:firstLine="0" w:firstLineChars="0"/>
                    <w:rPr>
                      <w:rFonts w:hint="eastAsia"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52.0</w:t>
                  </w:r>
                </w:p>
              </w:tc>
              <w:tc>
                <w:tcPr>
                  <w:tcW w:w="766" w:type="pct"/>
                  <w:shd w:val="clear" w:color="auto" w:fill="auto"/>
                  <w:vAlign w:val="center"/>
                </w:tcPr>
                <w:p w14:paraId="134CD0F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55</w:t>
                  </w:r>
                </w:p>
              </w:tc>
              <w:tc>
                <w:tcPr>
                  <w:tcW w:w="766" w:type="pct"/>
                  <w:vAlign w:val="center"/>
                </w:tcPr>
                <w:p w14:paraId="0E54063C">
                  <w:pPr>
                    <w:ind w:left="0" w:leftChars="0" w:firstLine="0" w:firstLineChars="0"/>
                    <w:jc w:val="center"/>
                    <w:rPr>
                      <w:rFonts w:hint="eastAsia"/>
                      <w:color w:val="auto"/>
                      <w:lang w:val="en-US" w:eastAsia="zh-CN"/>
                    </w:rPr>
                  </w:pPr>
                  <w:r>
                    <w:rPr>
                      <w:rFonts w:hint="eastAsia" w:ascii="Times New Roman" w:hAnsi="Times New Roman" w:eastAsia="宋体" w:cs="Times New Roman"/>
                      <w:b w:val="0"/>
                      <w:color w:val="auto"/>
                      <w:kern w:val="2"/>
                      <w:sz w:val="21"/>
                      <w:szCs w:val="21"/>
                      <w:lang w:val="en-US" w:eastAsia="zh-CN" w:bidi="ar-SA"/>
                    </w:rPr>
                    <w:t>达标</w:t>
                  </w:r>
                </w:p>
              </w:tc>
            </w:tr>
            <w:tr w14:paraId="4720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vAlign w:val="center"/>
                </w:tcPr>
                <w:p w14:paraId="64D70FB2">
                  <w:pPr>
                    <w:pStyle w:val="29"/>
                    <w:bidi w:val="0"/>
                    <w:jc w:val="left"/>
                    <w:rPr>
                      <w:rFonts w:hint="eastAsia" w:ascii="Times New Roman" w:hAnsi="Times New Roman" w:eastAsia="宋体" w:cs="Times New Roman"/>
                      <w:b w:val="0"/>
                      <w:color w:val="auto"/>
                      <w:kern w:val="2"/>
                      <w:szCs w:val="21"/>
                      <w:lang w:val="en-US" w:eastAsia="zh-CN" w:bidi="ar-SA"/>
                    </w:rPr>
                  </w:pPr>
                  <w:r>
                    <w:rPr>
                      <w:rFonts w:hint="eastAsia"/>
                      <w:color w:val="auto"/>
                      <w:lang w:val="en-US" w:eastAsia="zh-CN"/>
                    </w:rPr>
                    <w:t>注：项目背景值取自云南清源环境科技有限公司出具的《麦博精酿（云南）科技有限公司年产900吨精酿啤酒生产线项目现状检测》中的数据。</w:t>
                  </w:r>
                </w:p>
              </w:tc>
            </w:tr>
          </w:tbl>
          <w:p w14:paraId="5E783725">
            <w:pPr>
              <w:ind w:firstLine="480"/>
              <w:rPr>
                <w:rFonts w:hint="eastAsia"/>
                <w:b/>
                <w:bCs/>
                <w:color w:val="auto"/>
                <w:lang w:eastAsia="zh-CN"/>
              </w:rPr>
            </w:pPr>
            <w:r>
              <w:rPr>
                <w:rFonts w:hint="eastAsia"/>
                <w:b/>
                <w:bCs/>
                <w:color w:val="auto"/>
                <w:lang w:val="en-US" w:eastAsia="zh-CN"/>
              </w:rPr>
              <w:t>1、</w:t>
            </w:r>
            <w:r>
              <w:rPr>
                <w:rFonts w:hint="eastAsia"/>
                <w:b/>
                <w:bCs/>
                <w:color w:val="auto"/>
              </w:rPr>
              <w:t>根据噪声预测结果可知</w:t>
            </w:r>
            <w:r>
              <w:rPr>
                <w:rFonts w:hint="eastAsia"/>
                <w:b/>
                <w:bCs/>
                <w:color w:val="auto"/>
                <w:lang w:eastAsia="zh-CN"/>
              </w:rPr>
              <w:t>：</w:t>
            </w:r>
          </w:p>
          <w:p w14:paraId="56FADA13">
            <w:pPr>
              <w:ind w:firstLine="482"/>
              <w:rPr>
                <w:rFonts w:hint="default" w:eastAsia="宋体"/>
                <w:color w:val="auto"/>
                <w:szCs w:val="24"/>
                <w:lang w:val="en-US" w:eastAsia="zh-CN"/>
              </w:rPr>
            </w:pPr>
            <w:r>
              <w:rPr>
                <w:rFonts w:hint="eastAsia"/>
                <w:color w:val="auto"/>
                <w:szCs w:val="24"/>
                <w:lang w:eastAsia="zh-CN"/>
              </w:rPr>
              <w:t>本项目每天一班制，每班</w:t>
            </w:r>
            <w:r>
              <w:rPr>
                <w:rFonts w:hint="eastAsia"/>
                <w:color w:val="auto"/>
                <w:szCs w:val="24"/>
                <w:lang w:val="en-US" w:eastAsia="zh-CN"/>
              </w:rPr>
              <w:t>8小时，夜间不进行生产，</w:t>
            </w:r>
            <w:r>
              <w:rPr>
                <w:rFonts w:hint="eastAsia"/>
                <w:color w:val="auto"/>
                <w:szCs w:val="24"/>
              </w:rPr>
              <w:t>项目设备噪声经降噪措施、距离衰减后，</w:t>
            </w:r>
            <w:r>
              <w:rPr>
                <w:rFonts w:hint="eastAsia"/>
                <w:color w:val="auto"/>
                <w:szCs w:val="24"/>
                <w:lang w:val="en-US" w:eastAsia="zh-CN"/>
              </w:rPr>
              <w:t>由表4-19可知，</w:t>
            </w:r>
            <w:r>
              <w:rPr>
                <w:rFonts w:hint="eastAsia"/>
                <w:color w:val="auto"/>
                <w:szCs w:val="24"/>
              </w:rPr>
              <w:t>各厂界噪声</w:t>
            </w:r>
            <w:r>
              <w:rPr>
                <w:rFonts w:hint="eastAsia"/>
                <w:color w:val="auto"/>
                <w:szCs w:val="24"/>
                <w:lang w:val="en-US" w:eastAsia="zh-CN"/>
              </w:rPr>
              <w:t>贡献值</w:t>
            </w:r>
            <w:r>
              <w:rPr>
                <w:rFonts w:hint="eastAsia"/>
                <w:color w:val="auto"/>
                <w:szCs w:val="24"/>
              </w:rPr>
              <w:t>预测</w:t>
            </w:r>
            <w:r>
              <w:rPr>
                <w:rFonts w:hint="eastAsia"/>
                <w:color w:val="auto"/>
                <w:szCs w:val="24"/>
                <w:lang w:val="en-US" w:eastAsia="zh-CN"/>
              </w:rPr>
              <w:t>结果</w:t>
            </w:r>
            <w:r>
              <w:rPr>
                <w:rFonts w:hint="eastAsia"/>
                <w:color w:val="auto"/>
                <w:szCs w:val="24"/>
              </w:rPr>
              <w:t>昼间能满足《工业企业厂界环境噪声排放标准》（</w:t>
            </w:r>
            <w:r>
              <w:rPr>
                <w:color w:val="auto"/>
                <w:szCs w:val="24"/>
              </w:rPr>
              <w:t>GB12348-2008</w:t>
            </w:r>
            <w:r>
              <w:rPr>
                <w:rFonts w:hint="eastAsia"/>
                <w:color w:val="auto"/>
                <w:szCs w:val="24"/>
              </w:rPr>
              <w:t>）</w:t>
            </w:r>
            <w:r>
              <w:rPr>
                <w:rFonts w:hint="eastAsia"/>
                <w:color w:val="auto"/>
                <w:szCs w:val="24"/>
                <w:lang w:val="en-US" w:eastAsia="zh-CN"/>
              </w:rPr>
              <w:t>3</w:t>
            </w:r>
            <w:r>
              <w:rPr>
                <w:rFonts w:hint="eastAsia"/>
                <w:color w:val="auto"/>
                <w:szCs w:val="24"/>
              </w:rPr>
              <w:t>类标准：昼间</w:t>
            </w:r>
            <w:r>
              <w:rPr>
                <w:color w:val="auto"/>
                <w:szCs w:val="24"/>
              </w:rPr>
              <w:t>≤</w:t>
            </w:r>
            <w:r>
              <w:rPr>
                <w:rFonts w:hint="eastAsia"/>
                <w:color w:val="auto"/>
                <w:szCs w:val="24"/>
                <w:lang w:val="en-US" w:eastAsia="zh-CN"/>
              </w:rPr>
              <w:t>65</w:t>
            </w:r>
            <w:r>
              <w:rPr>
                <w:color w:val="auto"/>
                <w:szCs w:val="24"/>
              </w:rPr>
              <w:t>dB</w:t>
            </w:r>
            <w:r>
              <w:rPr>
                <w:rFonts w:hint="eastAsia" w:ascii="宋体" w:hAnsi="宋体" w:eastAsia="宋体" w:cs="宋体"/>
                <w:color w:val="auto"/>
                <w:szCs w:val="24"/>
              </w:rPr>
              <w:t>(</w:t>
            </w:r>
            <w:r>
              <w:rPr>
                <w:color w:val="auto"/>
                <w:szCs w:val="24"/>
              </w:rPr>
              <w:t>A</w:t>
            </w:r>
            <w:r>
              <w:rPr>
                <w:rFonts w:hint="eastAsia" w:ascii="宋体" w:hAnsi="宋体" w:eastAsia="宋体" w:cs="宋体"/>
                <w:color w:val="auto"/>
                <w:szCs w:val="24"/>
              </w:rPr>
              <w:t>)</w:t>
            </w:r>
            <w:r>
              <w:rPr>
                <w:rFonts w:hint="eastAsia"/>
                <w:color w:val="auto"/>
                <w:szCs w:val="24"/>
              </w:rPr>
              <w:t>的要求</w:t>
            </w:r>
            <w:r>
              <w:rPr>
                <w:rFonts w:hint="eastAsia"/>
                <w:color w:val="auto"/>
                <w:szCs w:val="24"/>
                <w:lang w:eastAsia="zh-CN"/>
              </w:rPr>
              <w:t>；由于租用厂房已有入驻企业，</w:t>
            </w:r>
            <w:r>
              <w:rPr>
                <w:rFonts w:hint="eastAsia"/>
                <w:color w:val="auto"/>
                <w:szCs w:val="24"/>
                <w:lang w:val="en-US" w:eastAsia="zh-CN"/>
              </w:rPr>
              <w:t>本次委托云南清源环境科技有限公司对厂界四周背景噪声进行检测，由表4-20可知，各厂界噪声叠加值预测结果昼间能满足《工业企业厂界环境噪声排放标准》（GB12348-2008）3类标准：昼间≤65dB(A)的要求。</w:t>
            </w:r>
          </w:p>
          <w:p w14:paraId="74B00D3F">
            <w:pPr>
              <w:bidi w:val="0"/>
              <w:rPr>
                <w:b/>
                <w:bCs/>
                <w:color w:val="auto"/>
              </w:rPr>
            </w:pPr>
            <w:r>
              <w:rPr>
                <w:rFonts w:hint="eastAsia"/>
                <w:b/>
                <w:bCs/>
                <w:color w:val="auto"/>
                <w:lang w:val="en-US" w:eastAsia="zh-CN"/>
              </w:rPr>
              <w:t>2、</w:t>
            </w:r>
            <w:r>
              <w:rPr>
                <w:rFonts w:hint="eastAsia"/>
                <w:b/>
                <w:bCs/>
                <w:color w:val="auto"/>
              </w:rPr>
              <w:t>结论</w:t>
            </w:r>
          </w:p>
          <w:p w14:paraId="78E7067C">
            <w:pPr>
              <w:ind w:firstLine="480"/>
              <w:rPr>
                <w:color w:val="auto"/>
              </w:rPr>
            </w:pPr>
            <w:r>
              <w:rPr>
                <w:rFonts w:hint="eastAsia"/>
                <w:color w:val="auto"/>
              </w:rPr>
              <w:t>本项目50m内没有噪声敏感点，项目厂界预测噪声贡献值可达到《工业企业厂界环境噪声排放标准》（GB12348-2008）</w:t>
            </w:r>
            <w:r>
              <w:rPr>
                <w:rFonts w:hint="eastAsia"/>
                <w:color w:val="auto"/>
                <w:lang w:val="en-US" w:eastAsia="zh-CN"/>
              </w:rPr>
              <w:t>3</w:t>
            </w:r>
            <w:r>
              <w:rPr>
                <w:rFonts w:hint="eastAsia"/>
                <w:color w:val="auto"/>
              </w:rPr>
              <w:t>类区昼间标准的要求。因此，项目运营对周边敏感点的影响不大。</w:t>
            </w:r>
            <w:r>
              <w:rPr>
                <w:color w:val="auto"/>
              </w:rPr>
              <w:t>为减少噪声对周围环境的影响，针对各噪声源源强及其污染特征，建议建设单位做好以下措施：</w:t>
            </w:r>
          </w:p>
          <w:p w14:paraId="4F5353A4">
            <w:pPr>
              <w:ind w:firstLine="480"/>
              <w:rPr>
                <w:color w:val="auto"/>
              </w:rPr>
            </w:pPr>
            <w:r>
              <w:rPr>
                <w:color w:val="auto"/>
              </w:rPr>
              <w:t>①优先选用精度高、噪声低的设备；</w:t>
            </w:r>
          </w:p>
          <w:p w14:paraId="54A4CD6B">
            <w:pPr>
              <w:ind w:firstLine="480"/>
              <w:rPr>
                <w:color w:val="auto"/>
              </w:rPr>
            </w:pPr>
            <w:r>
              <w:rPr>
                <w:color w:val="auto"/>
              </w:rPr>
              <w:t>②生产设备做好减震隔震基础；</w:t>
            </w:r>
          </w:p>
          <w:p w14:paraId="55FD39B5">
            <w:pPr>
              <w:ind w:firstLine="480"/>
              <w:rPr>
                <w:color w:val="auto"/>
              </w:rPr>
            </w:pPr>
            <w:r>
              <w:rPr>
                <w:color w:val="auto"/>
              </w:rPr>
              <w:t>③合理布局，重视总平面布置，让噪声源尽量远离环境敏感点；</w:t>
            </w:r>
          </w:p>
          <w:p w14:paraId="70D1AE82">
            <w:pPr>
              <w:ind w:firstLine="480"/>
              <w:rPr>
                <w:color w:val="auto"/>
              </w:rPr>
            </w:pPr>
            <w:r>
              <w:rPr>
                <w:color w:val="auto"/>
              </w:rPr>
              <w:t>④加强管理建立设备定期维护、保养的管理制度，以防止设备故障形成的非生产噪声；</w:t>
            </w:r>
          </w:p>
          <w:p w14:paraId="6CFF74B8">
            <w:pPr>
              <w:ind w:firstLine="480"/>
              <w:rPr>
                <w:color w:val="auto"/>
              </w:rPr>
            </w:pPr>
            <w:r>
              <w:rPr>
                <w:color w:val="auto"/>
              </w:rPr>
              <w:t>⑤合理安排生产时间。</w:t>
            </w:r>
          </w:p>
          <w:p w14:paraId="5D6BF32A">
            <w:pPr>
              <w:ind w:firstLine="482"/>
              <w:rPr>
                <w:b/>
                <w:bCs/>
                <w:color w:val="auto"/>
              </w:rPr>
            </w:pPr>
            <w:r>
              <w:rPr>
                <w:rFonts w:hint="eastAsia"/>
                <w:b/>
                <w:bCs/>
                <w:color w:val="auto"/>
              </w:rPr>
              <w:t>（</w:t>
            </w:r>
            <w:r>
              <w:rPr>
                <w:rFonts w:hint="eastAsia"/>
                <w:b/>
                <w:bCs/>
                <w:color w:val="auto"/>
                <w:lang w:eastAsia="zh-CN"/>
              </w:rPr>
              <w:t>四</w:t>
            </w:r>
            <w:r>
              <w:rPr>
                <w:rFonts w:hint="eastAsia"/>
                <w:b/>
                <w:bCs/>
                <w:color w:val="auto"/>
              </w:rPr>
              <w:t>）监测计划</w:t>
            </w:r>
          </w:p>
          <w:p w14:paraId="153D328F">
            <w:pPr>
              <w:ind w:firstLine="482"/>
              <w:rPr>
                <w:b/>
                <w:bCs/>
                <w:color w:val="auto"/>
              </w:rPr>
            </w:pPr>
            <w:r>
              <w:rPr>
                <w:rFonts w:hint="eastAsia"/>
                <w:b/>
                <w:bCs/>
                <w:color w:val="auto"/>
                <w:lang w:val="en-US" w:eastAsia="zh-CN"/>
              </w:rPr>
              <w:t>1、</w:t>
            </w:r>
            <w:r>
              <w:rPr>
                <w:rFonts w:hint="eastAsia"/>
                <w:b/>
                <w:bCs/>
                <w:color w:val="auto"/>
              </w:rPr>
              <w:t>竣工环保验收监测</w:t>
            </w:r>
          </w:p>
          <w:p w14:paraId="7F17AB30">
            <w:pPr>
              <w:ind w:firstLine="480"/>
              <w:rPr>
                <w:color w:val="auto"/>
              </w:rPr>
            </w:pPr>
            <w:r>
              <w:rPr>
                <w:color w:val="auto"/>
              </w:rPr>
              <w:t>按照</w:t>
            </w:r>
            <w:r>
              <w:rPr>
                <w:rFonts w:hint="eastAsia" w:ascii="宋体" w:hAnsi="宋体" w:cs="宋体"/>
                <w:color w:val="auto"/>
              </w:rPr>
              <w:t>“</w:t>
            </w:r>
            <w:r>
              <w:rPr>
                <w:color w:val="auto"/>
              </w:rPr>
              <w:t>环保三同时</w:t>
            </w:r>
            <w:r>
              <w:rPr>
                <w:rFonts w:hint="eastAsia" w:ascii="宋体" w:hAnsi="宋体" w:cs="宋体"/>
                <w:color w:val="auto"/>
              </w:rPr>
              <w:t>”</w:t>
            </w:r>
            <w:r>
              <w:rPr>
                <w:color w:val="auto"/>
              </w:rPr>
              <w:t>要求，项目建成投产后及时组织竣工环境保护验收，项目环保竣工验收监测见</w:t>
            </w:r>
            <w:r>
              <w:rPr>
                <w:rFonts w:hint="eastAsia"/>
                <w:color w:val="auto"/>
              </w:rPr>
              <w:t>下</w:t>
            </w:r>
            <w:r>
              <w:rPr>
                <w:color w:val="auto"/>
              </w:rPr>
              <w:t>表。</w:t>
            </w:r>
          </w:p>
          <w:p w14:paraId="315107E9">
            <w:pPr>
              <w:pStyle w:val="30"/>
              <w:rPr>
                <w:rFonts w:hint="default"/>
                <w:color w:val="auto"/>
              </w:rPr>
            </w:pPr>
            <w:r>
              <w:rPr>
                <w:color w:val="auto"/>
              </w:rPr>
              <w:t>表4-</w:t>
            </w:r>
            <w:r>
              <w:rPr>
                <w:rFonts w:hint="eastAsia"/>
                <w:color w:val="auto"/>
                <w:lang w:val="en-US" w:eastAsia="zh-CN"/>
              </w:rPr>
              <w:t>21</w:t>
            </w:r>
            <w:r>
              <w:rPr>
                <w:color w:val="auto"/>
              </w:rPr>
              <w:t xml:space="preserve"> 环境监测一览表</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821"/>
              <w:gridCol w:w="2580"/>
              <w:gridCol w:w="1244"/>
              <w:gridCol w:w="2873"/>
            </w:tblGrid>
            <w:tr w14:paraId="56EB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44" w:type="pct"/>
                  <w:shd w:val="clear" w:color="auto" w:fill="auto"/>
                  <w:vAlign w:val="center"/>
                </w:tcPr>
                <w:p w14:paraId="6735A9E3">
                  <w:pPr>
                    <w:pStyle w:val="29"/>
                    <w:rPr>
                      <w:rFonts w:hint="default"/>
                      <w:color w:val="auto"/>
                    </w:rPr>
                  </w:pPr>
                  <w:r>
                    <w:rPr>
                      <w:color w:val="auto"/>
                    </w:rPr>
                    <w:t>序号</w:t>
                  </w:r>
                </w:p>
              </w:tc>
              <w:tc>
                <w:tcPr>
                  <w:tcW w:w="508" w:type="pct"/>
                  <w:shd w:val="clear" w:color="auto" w:fill="auto"/>
                  <w:vAlign w:val="center"/>
                </w:tcPr>
                <w:p w14:paraId="3ECF67D2">
                  <w:pPr>
                    <w:pStyle w:val="29"/>
                    <w:rPr>
                      <w:rFonts w:hint="eastAsia" w:eastAsia="宋体"/>
                      <w:color w:val="auto"/>
                      <w:lang w:eastAsia="zh-CN"/>
                    </w:rPr>
                  </w:pPr>
                  <w:r>
                    <w:rPr>
                      <w:rFonts w:hint="eastAsia" w:eastAsia="宋体"/>
                      <w:color w:val="auto"/>
                      <w:lang w:eastAsia="zh-CN"/>
                    </w:rPr>
                    <w:t>监测项目</w:t>
                  </w:r>
                </w:p>
              </w:tc>
              <w:tc>
                <w:tcPr>
                  <w:tcW w:w="1597" w:type="pct"/>
                  <w:shd w:val="clear" w:color="auto" w:fill="auto"/>
                  <w:vAlign w:val="center"/>
                </w:tcPr>
                <w:p w14:paraId="611ADC2A">
                  <w:pPr>
                    <w:pStyle w:val="29"/>
                    <w:rPr>
                      <w:rFonts w:hint="default"/>
                      <w:color w:val="auto"/>
                    </w:rPr>
                  </w:pPr>
                  <w:r>
                    <w:rPr>
                      <w:color w:val="auto"/>
                    </w:rPr>
                    <w:t>监测点位</w:t>
                  </w:r>
                </w:p>
              </w:tc>
              <w:tc>
                <w:tcPr>
                  <w:tcW w:w="770" w:type="pct"/>
                  <w:shd w:val="clear" w:color="auto" w:fill="auto"/>
                  <w:vAlign w:val="center"/>
                </w:tcPr>
                <w:p w14:paraId="744D9ABD">
                  <w:pPr>
                    <w:pStyle w:val="29"/>
                    <w:rPr>
                      <w:rFonts w:hint="default"/>
                      <w:color w:val="auto"/>
                    </w:rPr>
                  </w:pPr>
                  <w:r>
                    <w:rPr>
                      <w:color w:val="auto"/>
                    </w:rPr>
                    <w:t>监测因子</w:t>
                  </w:r>
                </w:p>
              </w:tc>
              <w:tc>
                <w:tcPr>
                  <w:tcW w:w="1778" w:type="pct"/>
                  <w:shd w:val="clear" w:color="auto" w:fill="auto"/>
                  <w:vAlign w:val="center"/>
                </w:tcPr>
                <w:p w14:paraId="7C53C2AE">
                  <w:pPr>
                    <w:pStyle w:val="29"/>
                    <w:rPr>
                      <w:rFonts w:hint="default"/>
                      <w:color w:val="auto"/>
                    </w:rPr>
                  </w:pPr>
                  <w:r>
                    <w:rPr>
                      <w:color w:val="auto"/>
                    </w:rPr>
                    <w:t>时间及频率</w:t>
                  </w:r>
                </w:p>
              </w:tc>
            </w:tr>
            <w:tr w14:paraId="569CA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 w:type="pct"/>
                  <w:shd w:val="clear" w:color="auto" w:fill="auto"/>
                  <w:vAlign w:val="center"/>
                </w:tcPr>
                <w:p w14:paraId="037DDB1B">
                  <w:pPr>
                    <w:pStyle w:val="29"/>
                    <w:rPr>
                      <w:rFonts w:hint="default"/>
                      <w:color w:val="auto"/>
                    </w:rPr>
                  </w:pPr>
                  <w:r>
                    <w:rPr>
                      <w:color w:val="auto"/>
                    </w:rPr>
                    <w:t>1</w:t>
                  </w:r>
                </w:p>
              </w:tc>
              <w:tc>
                <w:tcPr>
                  <w:tcW w:w="508" w:type="pct"/>
                  <w:shd w:val="clear" w:color="auto" w:fill="auto"/>
                  <w:vAlign w:val="center"/>
                </w:tcPr>
                <w:p w14:paraId="7FF93F7F">
                  <w:pPr>
                    <w:pStyle w:val="29"/>
                    <w:rPr>
                      <w:rFonts w:hint="eastAsia" w:eastAsia="宋体"/>
                      <w:color w:val="auto"/>
                      <w:lang w:eastAsia="zh-CN"/>
                    </w:rPr>
                  </w:pPr>
                  <w:r>
                    <w:rPr>
                      <w:rFonts w:hint="eastAsia" w:eastAsia="宋体"/>
                      <w:color w:val="auto"/>
                      <w:lang w:eastAsia="zh-CN"/>
                    </w:rPr>
                    <w:t>噪声</w:t>
                  </w:r>
                </w:p>
              </w:tc>
              <w:tc>
                <w:tcPr>
                  <w:tcW w:w="1597" w:type="pct"/>
                  <w:shd w:val="clear" w:color="auto" w:fill="auto"/>
                  <w:vAlign w:val="center"/>
                </w:tcPr>
                <w:p w14:paraId="4CAB5B98">
                  <w:pPr>
                    <w:pStyle w:val="29"/>
                    <w:rPr>
                      <w:rFonts w:hint="default"/>
                      <w:color w:val="auto"/>
                    </w:rPr>
                  </w:pPr>
                  <w:r>
                    <w:rPr>
                      <w:color w:val="auto"/>
                    </w:rPr>
                    <w:t>项目厂界项目东、南、西、北外1m处</w:t>
                  </w:r>
                </w:p>
              </w:tc>
              <w:tc>
                <w:tcPr>
                  <w:tcW w:w="770" w:type="pct"/>
                  <w:shd w:val="clear" w:color="auto" w:fill="auto"/>
                  <w:vAlign w:val="center"/>
                </w:tcPr>
                <w:p w14:paraId="184FF0FE">
                  <w:pPr>
                    <w:pStyle w:val="29"/>
                    <w:rPr>
                      <w:rFonts w:hint="default"/>
                      <w:color w:val="auto"/>
                    </w:rPr>
                  </w:pPr>
                  <w:r>
                    <w:rPr>
                      <w:color w:val="auto"/>
                    </w:rPr>
                    <w:t>等效连续A声级</w:t>
                  </w:r>
                </w:p>
              </w:tc>
              <w:tc>
                <w:tcPr>
                  <w:tcW w:w="1778" w:type="pct"/>
                  <w:shd w:val="clear" w:color="auto" w:fill="auto"/>
                  <w:vAlign w:val="center"/>
                </w:tcPr>
                <w:p w14:paraId="0063117F">
                  <w:pPr>
                    <w:pStyle w:val="29"/>
                    <w:rPr>
                      <w:rFonts w:hint="default"/>
                      <w:color w:val="auto"/>
                    </w:rPr>
                  </w:pPr>
                  <w:r>
                    <w:rPr>
                      <w:color w:val="auto"/>
                    </w:rPr>
                    <w:t>竣工验收时，监测2天，昼间、夜间各1次</w:t>
                  </w:r>
                </w:p>
              </w:tc>
            </w:tr>
          </w:tbl>
          <w:p w14:paraId="1ECE4E46">
            <w:pPr>
              <w:ind w:firstLine="482"/>
              <w:rPr>
                <w:b/>
                <w:bCs/>
                <w:color w:val="auto"/>
              </w:rPr>
            </w:pPr>
            <w:r>
              <w:rPr>
                <w:rFonts w:hint="eastAsia"/>
                <w:b/>
                <w:bCs/>
                <w:color w:val="auto"/>
              </w:rPr>
              <w:t>2</w:t>
            </w:r>
            <w:r>
              <w:rPr>
                <w:rFonts w:hint="eastAsia"/>
                <w:b/>
                <w:bCs/>
                <w:color w:val="auto"/>
                <w:lang w:eastAsia="zh-CN"/>
              </w:rPr>
              <w:t>、</w:t>
            </w:r>
            <w:r>
              <w:rPr>
                <w:rFonts w:hint="eastAsia"/>
                <w:b/>
                <w:bCs/>
                <w:color w:val="auto"/>
              </w:rPr>
              <w:t>自行监测</w:t>
            </w:r>
          </w:p>
          <w:p w14:paraId="64951F2D">
            <w:pPr>
              <w:ind w:firstLine="480"/>
              <w:rPr>
                <w:color w:val="auto"/>
              </w:rPr>
            </w:pPr>
            <w:r>
              <w:rPr>
                <w:color w:val="auto"/>
              </w:rPr>
              <w:t>根据《排污许可管理条例》要求，项目投产后及时办理排污许可，</w:t>
            </w:r>
            <w:r>
              <w:rPr>
                <w:rFonts w:hint="eastAsia"/>
                <w:color w:val="auto"/>
              </w:rPr>
              <w:t>根据《排污单位自行监测技术指南 总则》（HJ 819-2017）厂界环境噪声每季度至少开展一次监测，夜间生产的要监测夜间噪声，本项目</w:t>
            </w:r>
            <w:r>
              <w:rPr>
                <w:color w:val="auto"/>
              </w:rPr>
              <w:t>自行监测要求如下表。</w:t>
            </w:r>
          </w:p>
          <w:p w14:paraId="4FA3AD3C">
            <w:pPr>
              <w:pStyle w:val="30"/>
              <w:rPr>
                <w:rFonts w:hint="default"/>
                <w:color w:val="auto"/>
              </w:rPr>
            </w:pPr>
            <w:r>
              <w:rPr>
                <w:color w:val="auto"/>
              </w:rPr>
              <w:t>表4-</w:t>
            </w:r>
            <w:r>
              <w:rPr>
                <w:rFonts w:hint="eastAsia"/>
                <w:color w:val="auto"/>
                <w:lang w:val="en-US" w:eastAsia="zh-CN"/>
              </w:rPr>
              <w:t>22</w:t>
            </w:r>
            <w:r>
              <w:rPr>
                <w:color w:val="auto"/>
              </w:rPr>
              <w:t xml:space="preserve">  自行监测方案一览表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815"/>
              <w:gridCol w:w="2062"/>
              <w:gridCol w:w="1926"/>
              <w:gridCol w:w="2711"/>
            </w:tblGrid>
            <w:tr w14:paraId="76E0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pct"/>
                  <w:shd w:val="clear" w:color="auto" w:fill="auto"/>
                  <w:vAlign w:val="center"/>
                </w:tcPr>
                <w:p w14:paraId="5F4E9EF0">
                  <w:pPr>
                    <w:pStyle w:val="29"/>
                    <w:rPr>
                      <w:rFonts w:hint="default"/>
                      <w:color w:val="auto"/>
                    </w:rPr>
                  </w:pPr>
                  <w:r>
                    <w:rPr>
                      <w:color w:val="auto"/>
                    </w:rPr>
                    <w:t>序号</w:t>
                  </w:r>
                </w:p>
              </w:tc>
              <w:tc>
                <w:tcPr>
                  <w:tcW w:w="505" w:type="pct"/>
                  <w:shd w:val="clear" w:color="auto" w:fill="auto"/>
                  <w:vAlign w:val="center"/>
                </w:tcPr>
                <w:p w14:paraId="117726D7">
                  <w:pPr>
                    <w:pStyle w:val="29"/>
                    <w:rPr>
                      <w:rFonts w:hint="default"/>
                      <w:color w:val="auto"/>
                    </w:rPr>
                  </w:pPr>
                  <w:r>
                    <w:rPr>
                      <w:color w:val="auto"/>
                    </w:rPr>
                    <w:t>监测项目</w:t>
                  </w:r>
                </w:p>
              </w:tc>
              <w:tc>
                <w:tcPr>
                  <w:tcW w:w="1277" w:type="pct"/>
                  <w:shd w:val="clear" w:color="auto" w:fill="auto"/>
                  <w:vAlign w:val="center"/>
                </w:tcPr>
                <w:p w14:paraId="693EAEB5">
                  <w:pPr>
                    <w:pStyle w:val="29"/>
                    <w:rPr>
                      <w:rFonts w:hint="default"/>
                      <w:color w:val="auto"/>
                    </w:rPr>
                  </w:pPr>
                  <w:r>
                    <w:rPr>
                      <w:color w:val="auto"/>
                    </w:rPr>
                    <w:t>监测点位</w:t>
                  </w:r>
                </w:p>
              </w:tc>
              <w:tc>
                <w:tcPr>
                  <w:tcW w:w="1193" w:type="pct"/>
                  <w:shd w:val="clear" w:color="auto" w:fill="auto"/>
                  <w:vAlign w:val="center"/>
                </w:tcPr>
                <w:p w14:paraId="6D55B656">
                  <w:pPr>
                    <w:pStyle w:val="29"/>
                    <w:rPr>
                      <w:rFonts w:hint="default"/>
                      <w:color w:val="auto"/>
                    </w:rPr>
                  </w:pPr>
                  <w:r>
                    <w:rPr>
                      <w:color w:val="auto"/>
                    </w:rPr>
                    <w:t>监测因子</w:t>
                  </w:r>
                </w:p>
              </w:tc>
              <w:tc>
                <w:tcPr>
                  <w:tcW w:w="1678" w:type="pct"/>
                  <w:shd w:val="clear" w:color="auto" w:fill="auto"/>
                  <w:vAlign w:val="center"/>
                </w:tcPr>
                <w:p w14:paraId="0E87258F">
                  <w:pPr>
                    <w:pStyle w:val="29"/>
                    <w:rPr>
                      <w:rFonts w:hint="default"/>
                      <w:color w:val="auto"/>
                    </w:rPr>
                  </w:pPr>
                  <w:r>
                    <w:rPr>
                      <w:color w:val="auto"/>
                    </w:rPr>
                    <w:t>时间及频率</w:t>
                  </w:r>
                </w:p>
              </w:tc>
            </w:tr>
            <w:tr w14:paraId="7C90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5" w:type="pct"/>
                  <w:shd w:val="clear" w:color="auto" w:fill="auto"/>
                  <w:vAlign w:val="center"/>
                </w:tcPr>
                <w:p w14:paraId="03D67BA6">
                  <w:pPr>
                    <w:pStyle w:val="29"/>
                    <w:rPr>
                      <w:rFonts w:hint="default"/>
                      <w:color w:val="auto"/>
                    </w:rPr>
                  </w:pPr>
                  <w:r>
                    <w:rPr>
                      <w:color w:val="auto"/>
                    </w:rPr>
                    <w:t>1</w:t>
                  </w:r>
                </w:p>
              </w:tc>
              <w:tc>
                <w:tcPr>
                  <w:tcW w:w="505" w:type="pct"/>
                  <w:shd w:val="clear" w:color="auto" w:fill="auto"/>
                  <w:vAlign w:val="center"/>
                </w:tcPr>
                <w:p w14:paraId="554F6BA4">
                  <w:pPr>
                    <w:pStyle w:val="29"/>
                    <w:rPr>
                      <w:rFonts w:hint="default"/>
                      <w:color w:val="auto"/>
                    </w:rPr>
                  </w:pPr>
                  <w:r>
                    <w:rPr>
                      <w:color w:val="auto"/>
                    </w:rPr>
                    <w:t>噪声</w:t>
                  </w:r>
                </w:p>
              </w:tc>
              <w:tc>
                <w:tcPr>
                  <w:tcW w:w="1277" w:type="pct"/>
                  <w:shd w:val="clear" w:color="auto" w:fill="auto"/>
                  <w:vAlign w:val="center"/>
                </w:tcPr>
                <w:p w14:paraId="6A5FD05C">
                  <w:pPr>
                    <w:pStyle w:val="29"/>
                    <w:rPr>
                      <w:rFonts w:hint="default"/>
                      <w:color w:val="auto"/>
                    </w:rPr>
                  </w:pPr>
                  <w:r>
                    <w:rPr>
                      <w:color w:val="auto"/>
                    </w:rPr>
                    <w:t>厂界，共设置4个</w:t>
                  </w:r>
                </w:p>
              </w:tc>
              <w:tc>
                <w:tcPr>
                  <w:tcW w:w="1193" w:type="pct"/>
                  <w:shd w:val="clear" w:color="auto" w:fill="auto"/>
                  <w:vAlign w:val="center"/>
                </w:tcPr>
                <w:p w14:paraId="7E1F3558">
                  <w:pPr>
                    <w:pStyle w:val="29"/>
                    <w:rPr>
                      <w:rFonts w:hint="default"/>
                      <w:color w:val="auto"/>
                    </w:rPr>
                  </w:pPr>
                  <w:r>
                    <w:rPr>
                      <w:color w:val="auto"/>
                    </w:rPr>
                    <w:t>等效连续A声级</w:t>
                  </w:r>
                </w:p>
              </w:tc>
              <w:tc>
                <w:tcPr>
                  <w:tcW w:w="1678" w:type="pct"/>
                  <w:shd w:val="clear" w:color="auto" w:fill="auto"/>
                  <w:vAlign w:val="center"/>
                </w:tcPr>
                <w:p w14:paraId="287BB77D">
                  <w:pPr>
                    <w:pStyle w:val="29"/>
                    <w:rPr>
                      <w:rFonts w:hint="default"/>
                      <w:color w:val="auto"/>
                    </w:rPr>
                  </w:pPr>
                  <w:r>
                    <w:rPr>
                      <w:color w:val="auto"/>
                    </w:rPr>
                    <w:t>自行监测，每个季度1次</w:t>
                  </w:r>
                  <w:r>
                    <w:rPr>
                      <w:rFonts w:hint="eastAsia"/>
                      <w:color w:val="auto"/>
                      <w:lang w:eastAsia="zh-CN"/>
                    </w:rPr>
                    <w:t>。</w:t>
                  </w:r>
                  <w:r>
                    <w:rPr>
                      <w:color w:val="auto"/>
                    </w:rPr>
                    <w:t>昼夜各监测1次</w:t>
                  </w:r>
                </w:p>
              </w:tc>
            </w:tr>
          </w:tbl>
          <w:p w14:paraId="6B6220C9">
            <w:pPr>
              <w:bidi w:val="0"/>
              <w:rPr>
                <w:rFonts w:hint="default"/>
                <w:b/>
                <w:bCs/>
                <w:color w:val="auto"/>
              </w:rPr>
            </w:pPr>
            <w:r>
              <w:rPr>
                <w:rFonts w:hint="eastAsia"/>
                <w:b/>
                <w:bCs/>
                <w:color w:val="auto"/>
                <w:lang w:eastAsia="zh-CN"/>
              </w:rPr>
              <w:t>四、</w:t>
            </w:r>
            <w:r>
              <w:rPr>
                <w:b/>
                <w:bCs/>
                <w:color w:val="auto"/>
              </w:rPr>
              <w:t>固废</w:t>
            </w:r>
          </w:p>
          <w:p w14:paraId="2A4AAC19">
            <w:pPr>
              <w:ind w:firstLine="482"/>
              <w:rPr>
                <w:b/>
                <w:bCs/>
                <w:color w:val="auto"/>
              </w:rPr>
            </w:pPr>
            <w:r>
              <w:rPr>
                <w:rFonts w:hint="eastAsia"/>
                <w:b/>
                <w:bCs/>
                <w:color w:val="auto"/>
              </w:rPr>
              <w:t>（一）源强及处置措施</w:t>
            </w:r>
          </w:p>
          <w:p w14:paraId="16A154C8">
            <w:pPr>
              <w:ind w:firstLine="480"/>
              <w:rPr>
                <w:bCs/>
                <w:color w:val="auto"/>
              </w:rPr>
            </w:pPr>
            <w:r>
              <w:rPr>
                <w:rFonts w:hint="eastAsia"/>
                <w:bCs/>
                <w:color w:val="auto"/>
                <w:lang w:eastAsia="zh-CN"/>
              </w:rPr>
              <w:t>根据工程分析，</w:t>
            </w:r>
            <w:r>
              <w:rPr>
                <w:rFonts w:hint="eastAsia"/>
                <w:bCs/>
                <w:color w:val="auto"/>
              </w:rPr>
              <w:t>项目</w:t>
            </w:r>
            <w:r>
              <w:rPr>
                <w:rFonts w:hint="eastAsia" w:eastAsia="宋体"/>
                <w:bCs/>
                <w:color w:val="auto"/>
                <w:lang w:eastAsia="zh-CN"/>
              </w:rPr>
              <w:t>产生的</w:t>
            </w:r>
            <w:r>
              <w:rPr>
                <w:rFonts w:hint="eastAsia"/>
                <w:bCs/>
                <w:color w:val="auto"/>
              </w:rPr>
              <w:t>固废包括</w:t>
            </w:r>
            <w:r>
              <w:rPr>
                <w:rFonts w:hint="eastAsia"/>
                <w:bCs/>
                <w:color w:val="auto"/>
                <w:lang w:eastAsia="zh-CN"/>
              </w:rPr>
              <w:t>：生活垃圾、麦糟、沉淀渣、酒花槽、废酵母、除尘灰、废弃包装物、化粪池污泥、污水处理站污泥、废布袋、废</w:t>
            </w:r>
            <w:r>
              <w:rPr>
                <w:rFonts w:hint="eastAsia"/>
                <w:bCs/>
                <w:color w:val="auto"/>
                <w:lang w:val="en-US" w:eastAsia="zh-CN"/>
              </w:rPr>
              <w:t>废滤芯、废石英砂、废RO膜、废</w:t>
            </w:r>
            <w:r>
              <w:rPr>
                <w:rFonts w:hint="eastAsia"/>
                <w:bCs/>
                <w:color w:val="auto"/>
                <w:lang w:eastAsia="zh-CN"/>
              </w:rPr>
              <w:t>机油、废油桶、</w:t>
            </w:r>
            <w:r>
              <w:rPr>
                <w:rFonts w:hint="eastAsia"/>
                <w:bCs/>
                <w:color w:val="auto"/>
                <w:lang w:val="en-US" w:eastAsia="zh-CN"/>
              </w:rPr>
              <w:t>酸碱废液</w:t>
            </w:r>
            <w:r>
              <w:rPr>
                <w:rFonts w:hint="eastAsia"/>
                <w:bCs/>
                <w:color w:val="auto"/>
              </w:rPr>
              <w:t>等。</w:t>
            </w:r>
          </w:p>
          <w:p w14:paraId="00BC4EE0">
            <w:pPr>
              <w:ind w:firstLine="480"/>
              <w:rPr>
                <w:rFonts w:hint="eastAsia"/>
                <w:b/>
                <w:bCs w:val="0"/>
                <w:color w:val="auto"/>
                <w:lang w:eastAsia="zh-CN"/>
              </w:rPr>
            </w:pPr>
            <w:r>
              <w:rPr>
                <w:rFonts w:hint="eastAsia"/>
                <w:b/>
                <w:bCs w:val="0"/>
                <w:color w:val="auto"/>
              </w:rPr>
              <w:t>1</w:t>
            </w:r>
            <w:r>
              <w:rPr>
                <w:rFonts w:hint="eastAsia"/>
                <w:b/>
                <w:bCs w:val="0"/>
                <w:color w:val="auto"/>
                <w:lang w:eastAsia="zh-CN"/>
              </w:rPr>
              <w:t>、生活垃圾</w:t>
            </w:r>
          </w:p>
          <w:p w14:paraId="4D8F492C">
            <w:pPr>
              <w:bidi w:val="0"/>
              <w:rPr>
                <w:rFonts w:hint="eastAsia"/>
                <w:bCs/>
                <w:color w:val="auto"/>
              </w:rPr>
            </w:pPr>
            <w:r>
              <w:rPr>
                <w:rFonts w:hint="eastAsia"/>
                <w:bCs/>
                <w:color w:val="auto"/>
              </w:rPr>
              <w:t>本项目劳动定员</w:t>
            </w:r>
            <w:r>
              <w:rPr>
                <w:rFonts w:hint="eastAsia"/>
                <w:bCs/>
                <w:color w:val="auto"/>
                <w:lang w:val="en-US" w:eastAsia="zh-CN"/>
              </w:rPr>
              <w:t>5</w:t>
            </w:r>
            <w:r>
              <w:rPr>
                <w:rFonts w:hint="eastAsia"/>
                <w:bCs/>
                <w:color w:val="auto"/>
              </w:rPr>
              <w:t>人，</w:t>
            </w:r>
            <w:r>
              <w:rPr>
                <w:rFonts w:hint="eastAsia"/>
                <w:bCs/>
                <w:color w:val="auto"/>
                <w:lang w:val="en-US" w:eastAsia="zh-CN"/>
              </w:rPr>
              <w:t>均不在厂区食宿，</w:t>
            </w:r>
            <w:r>
              <w:rPr>
                <w:rFonts w:hint="eastAsia"/>
                <w:bCs/>
                <w:color w:val="auto"/>
              </w:rPr>
              <w:t>生活垃圾按0.2kg/人·d计，则生活垃圾产生量为</w:t>
            </w:r>
            <w:r>
              <w:rPr>
                <w:rFonts w:hint="eastAsia"/>
                <w:bCs/>
                <w:color w:val="auto"/>
                <w:lang w:val="en-US" w:eastAsia="zh-CN"/>
              </w:rPr>
              <w:t>1</w:t>
            </w:r>
            <w:r>
              <w:rPr>
                <w:rFonts w:hint="eastAsia"/>
                <w:bCs/>
                <w:color w:val="auto"/>
              </w:rPr>
              <w:t>kg/d，</w:t>
            </w:r>
            <w:r>
              <w:rPr>
                <w:rFonts w:hint="eastAsia"/>
                <w:bCs/>
                <w:color w:val="auto"/>
                <w:lang w:val="en-US" w:eastAsia="zh-CN"/>
              </w:rPr>
              <w:t>0.3</w:t>
            </w:r>
            <w:r>
              <w:rPr>
                <w:rFonts w:hint="eastAsia"/>
                <w:bCs/>
                <w:color w:val="auto"/>
              </w:rPr>
              <w:t>t/a，统一收集后委托环卫部门定期</w:t>
            </w:r>
            <w:r>
              <w:rPr>
                <w:rFonts w:hint="eastAsia" w:eastAsia="宋体"/>
                <w:bCs/>
                <w:color w:val="auto"/>
                <w:lang w:eastAsia="zh-CN"/>
              </w:rPr>
              <w:t>处置</w:t>
            </w:r>
            <w:r>
              <w:rPr>
                <w:rFonts w:hint="eastAsia"/>
                <w:bCs/>
                <w:color w:val="auto"/>
              </w:rPr>
              <w:t>。</w:t>
            </w:r>
          </w:p>
          <w:p w14:paraId="38C90571">
            <w:pPr>
              <w:numPr>
                <w:ilvl w:val="0"/>
                <w:numId w:val="0"/>
              </w:numPr>
              <w:ind w:firstLine="482" w:firstLineChars="200"/>
              <w:rPr>
                <w:rFonts w:hint="default" w:eastAsia="宋体"/>
                <w:b/>
                <w:bCs w:val="0"/>
                <w:color w:val="auto"/>
                <w:lang w:val="en-US" w:eastAsia="zh-CN"/>
              </w:rPr>
            </w:pPr>
            <w:r>
              <w:rPr>
                <w:rFonts w:hint="eastAsia"/>
                <w:b/>
                <w:bCs w:val="0"/>
                <w:color w:val="auto"/>
              </w:rPr>
              <w:t>2、麦糟</w:t>
            </w:r>
          </w:p>
          <w:p w14:paraId="55416C71">
            <w:pPr>
              <w:numPr>
                <w:ilvl w:val="0"/>
                <w:numId w:val="0"/>
              </w:numPr>
              <w:ind w:firstLine="480" w:firstLineChars="200"/>
              <w:rPr>
                <w:rFonts w:hint="eastAsia"/>
                <w:b w:val="0"/>
                <w:bCs/>
                <w:color w:val="auto"/>
              </w:rPr>
            </w:pPr>
            <w:r>
              <w:rPr>
                <w:rFonts w:hint="eastAsia"/>
                <w:b w:val="0"/>
                <w:bCs/>
                <w:color w:val="auto"/>
              </w:rPr>
              <w:t>项目过滤工序会产生麦糟，麦糟为谷物糖化之后的残留物，含水率为80%，其产生量按0.275t/t啤酒计，则麦糟产生量为</w:t>
            </w:r>
            <w:r>
              <w:rPr>
                <w:rFonts w:hint="eastAsia"/>
                <w:b w:val="0"/>
                <w:bCs/>
                <w:color w:val="auto"/>
                <w:lang w:val="en-US" w:eastAsia="zh-CN"/>
              </w:rPr>
              <w:t>137.5</w:t>
            </w:r>
            <w:r>
              <w:rPr>
                <w:rFonts w:hint="eastAsia"/>
                <w:b w:val="0"/>
                <w:bCs/>
                <w:color w:val="auto"/>
              </w:rPr>
              <w:t>t/a，其含有丰富的营养成分，麦糟进入密闭设计的麦槽罐贮存后</w:t>
            </w:r>
            <w:r>
              <w:rPr>
                <w:rFonts w:hint="eastAsia"/>
                <w:b w:val="0"/>
                <w:bCs/>
                <w:color w:val="auto"/>
                <w:lang w:val="en-US" w:eastAsia="zh-CN"/>
              </w:rPr>
              <w:t>定向外售至已取得饲料生产合法资质的饲料加工企业，或具备规模化养殖资质、配套合规饲料加工车间的养殖场，作为饲料生产原料实现全量资源化利用，不交由无资质散户零散收购处置</w:t>
            </w:r>
            <w:r>
              <w:rPr>
                <w:rFonts w:hint="eastAsia"/>
                <w:b w:val="0"/>
                <w:bCs/>
                <w:color w:val="auto"/>
              </w:rPr>
              <w:t>，即产即清。</w:t>
            </w:r>
          </w:p>
          <w:p w14:paraId="374D6E64">
            <w:pPr>
              <w:numPr>
                <w:ilvl w:val="0"/>
                <w:numId w:val="0"/>
              </w:numPr>
              <w:ind w:firstLine="482" w:firstLineChars="200"/>
              <w:rPr>
                <w:rFonts w:hint="eastAsia"/>
                <w:b/>
                <w:bCs w:val="0"/>
                <w:color w:val="auto"/>
                <w:lang w:val="en-US" w:eastAsia="zh-CN"/>
              </w:rPr>
            </w:pPr>
            <w:r>
              <w:rPr>
                <w:rFonts w:hint="eastAsia"/>
                <w:b/>
                <w:bCs w:val="0"/>
                <w:color w:val="auto"/>
                <w:lang w:val="en-US" w:eastAsia="zh-CN"/>
              </w:rPr>
              <w:t>3、沉淀渣</w:t>
            </w:r>
          </w:p>
          <w:p w14:paraId="31C0E0DB">
            <w:pPr>
              <w:numPr>
                <w:ilvl w:val="0"/>
                <w:numId w:val="0"/>
              </w:numPr>
              <w:ind w:firstLine="480" w:firstLineChars="200"/>
              <w:rPr>
                <w:rFonts w:hint="default" w:eastAsia="宋体"/>
                <w:b w:val="0"/>
                <w:bCs/>
                <w:color w:val="auto"/>
                <w:lang w:val="en-US" w:eastAsia="zh-CN"/>
              </w:rPr>
            </w:pPr>
            <w:r>
              <w:rPr>
                <w:rFonts w:hint="eastAsia"/>
                <w:b w:val="0"/>
                <w:bCs/>
                <w:color w:val="auto"/>
                <w:lang w:val="en-US" w:eastAsia="zh-CN"/>
              </w:rPr>
              <w:t>根据建设单位提供资料，发酵酒过滤时会产生沉淀渣，产生量为32.5kg-t产品，含水率为80%，年产100t，发酵酒，则沉淀渣的产生量为3.25t/a，沉淀渣进入密闭设计的麦槽罐贮存后定向外售至已取得饲料生产合法资质的饲料加工企业，或具备规模化养殖资质、配套合规饲料加工车间的养殖场，作为饲料生产原料实现全量资源化利用，不交由无资质散户零散收购处置，即产即清。</w:t>
            </w:r>
          </w:p>
          <w:p w14:paraId="662170A3">
            <w:pPr>
              <w:numPr>
                <w:ilvl w:val="0"/>
                <w:numId w:val="0"/>
              </w:numPr>
              <w:ind w:firstLine="482" w:firstLineChars="200"/>
              <w:rPr>
                <w:rFonts w:hint="eastAsia"/>
                <w:b/>
                <w:bCs w:val="0"/>
                <w:color w:val="auto"/>
              </w:rPr>
            </w:pPr>
            <w:r>
              <w:rPr>
                <w:rFonts w:hint="eastAsia"/>
                <w:b/>
                <w:bCs w:val="0"/>
                <w:color w:val="auto"/>
                <w:lang w:val="en-US" w:eastAsia="zh-CN"/>
              </w:rPr>
              <w:t>4</w:t>
            </w:r>
            <w:r>
              <w:rPr>
                <w:rFonts w:hint="eastAsia"/>
                <w:b/>
                <w:bCs w:val="0"/>
                <w:color w:val="auto"/>
              </w:rPr>
              <w:t>、酒花槽</w:t>
            </w:r>
          </w:p>
          <w:p w14:paraId="74FF8AC5">
            <w:pPr>
              <w:numPr>
                <w:ilvl w:val="0"/>
                <w:numId w:val="0"/>
              </w:numPr>
              <w:ind w:firstLine="480" w:firstLineChars="200"/>
              <w:rPr>
                <w:rFonts w:hint="eastAsia"/>
                <w:b w:val="0"/>
                <w:bCs/>
                <w:color w:val="auto"/>
              </w:rPr>
            </w:pPr>
            <w:r>
              <w:rPr>
                <w:rFonts w:hint="eastAsia"/>
                <w:b w:val="0"/>
                <w:bCs/>
                <w:color w:val="auto"/>
              </w:rPr>
              <w:t>项目煮沸后的麦汁经过回旋沉淀后热固分离，该过程产生酒花槽，酒花槽为谷物的残留物，含水率为80%，其产生量按4.54kg/t啤酒计，则酒花糟产生量为</w:t>
            </w:r>
            <w:r>
              <w:rPr>
                <w:rFonts w:hint="eastAsia"/>
                <w:b w:val="0"/>
                <w:bCs/>
                <w:color w:val="auto"/>
                <w:lang w:val="en-US" w:eastAsia="zh-CN"/>
              </w:rPr>
              <w:t>2.27</w:t>
            </w:r>
            <w:r>
              <w:rPr>
                <w:rFonts w:hint="eastAsia"/>
                <w:b w:val="0"/>
                <w:bCs/>
                <w:color w:val="auto"/>
              </w:rPr>
              <w:t>t/a，其含有丰富的营养成分，酒花糟进入密闭设计的麦槽罐贮存后</w:t>
            </w:r>
            <w:r>
              <w:rPr>
                <w:rFonts w:hint="eastAsia"/>
                <w:b w:val="0"/>
                <w:bCs/>
                <w:color w:val="auto"/>
                <w:lang w:val="en-US" w:eastAsia="zh-CN"/>
              </w:rPr>
              <w:t>定向外售至已取得饲料生产合法资质的饲料加工企业，或具备规模化养殖资质、配套合规饲料加工车间的养殖场，作为饲料生产原料实现全量资源化利用，不交由无资质散户零散收购处置，</w:t>
            </w:r>
            <w:r>
              <w:rPr>
                <w:rFonts w:hint="eastAsia"/>
                <w:b w:val="0"/>
                <w:bCs/>
                <w:color w:val="auto"/>
              </w:rPr>
              <w:t>即产即清。</w:t>
            </w:r>
          </w:p>
          <w:p w14:paraId="4E3A2B60">
            <w:pPr>
              <w:numPr>
                <w:ilvl w:val="0"/>
                <w:numId w:val="0"/>
              </w:numPr>
              <w:ind w:firstLine="482" w:firstLineChars="200"/>
              <w:rPr>
                <w:rFonts w:hint="eastAsia"/>
                <w:b/>
                <w:bCs w:val="0"/>
                <w:color w:val="auto"/>
              </w:rPr>
            </w:pPr>
            <w:r>
              <w:rPr>
                <w:rFonts w:hint="eastAsia"/>
                <w:b/>
                <w:bCs w:val="0"/>
                <w:color w:val="auto"/>
                <w:lang w:val="en-US" w:eastAsia="zh-CN"/>
              </w:rPr>
              <w:t>5</w:t>
            </w:r>
            <w:r>
              <w:rPr>
                <w:rFonts w:hint="eastAsia"/>
                <w:b/>
                <w:bCs w:val="0"/>
                <w:color w:val="auto"/>
              </w:rPr>
              <w:t>、废酵母</w:t>
            </w:r>
          </w:p>
          <w:p w14:paraId="396D4ACC">
            <w:pPr>
              <w:numPr>
                <w:ilvl w:val="0"/>
                <w:numId w:val="0"/>
              </w:numPr>
              <w:ind w:firstLine="480" w:firstLineChars="200"/>
              <w:rPr>
                <w:rFonts w:hint="default" w:eastAsia="宋体"/>
                <w:b w:val="0"/>
                <w:bCs/>
                <w:color w:val="auto"/>
                <w:lang w:val="en-US" w:eastAsia="zh-CN"/>
              </w:rPr>
            </w:pPr>
            <w:r>
              <w:rPr>
                <w:rFonts w:hint="eastAsia"/>
                <w:b w:val="0"/>
                <w:bCs/>
                <w:color w:val="auto"/>
                <w:lang w:val="en-US" w:eastAsia="zh-CN"/>
              </w:rPr>
              <w:t>根据建设单位提供资料</w:t>
            </w:r>
            <w:r>
              <w:rPr>
                <w:rFonts w:hint="eastAsia"/>
                <w:b w:val="0"/>
                <w:bCs/>
                <w:color w:val="auto"/>
              </w:rPr>
              <w:t>，每生产1t精酿啤酒的废酵母产生量约为12kg，含水率80%，</w:t>
            </w:r>
            <w:r>
              <w:rPr>
                <w:rFonts w:hint="eastAsia"/>
                <w:b w:val="0"/>
                <w:bCs/>
                <w:color w:val="auto"/>
                <w:lang w:val="en-US" w:eastAsia="zh-CN"/>
              </w:rPr>
              <w:t>本项目年产500t啤酒，则</w:t>
            </w:r>
            <w:r>
              <w:rPr>
                <w:rFonts w:hint="eastAsia"/>
                <w:b w:val="0"/>
                <w:bCs/>
                <w:color w:val="auto"/>
              </w:rPr>
              <w:t>项目废酵母的产生量约</w:t>
            </w:r>
            <w:r>
              <w:rPr>
                <w:rFonts w:hint="eastAsia"/>
                <w:b w:val="0"/>
                <w:bCs/>
                <w:color w:val="auto"/>
                <w:lang w:val="en-US" w:eastAsia="zh-CN"/>
              </w:rPr>
              <w:t>6</w:t>
            </w:r>
            <w:r>
              <w:rPr>
                <w:rFonts w:hint="eastAsia"/>
                <w:b w:val="0"/>
                <w:bCs/>
                <w:color w:val="auto"/>
              </w:rPr>
              <w:t>t/a，</w:t>
            </w:r>
            <w:r>
              <w:rPr>
                <w:rFonts w:hint="eastAsia"/>
                <w:b w:val="0"/>
                <w:bCs/>
                <w:color w:val="auto"/>
                <w:lang w:val="en-US" w:eastAsia="zh-CN"/>
              </w:rPr>
              <w:t>每生产1吨发酵酒的废酵母产生量为15kg，含水率80%，本项目年产100t发酵酒，则项目废酵母的产生量约1.5t/a，共计7.5t/a。</w:t>
            </w:r>
          </w:p>
          <w:p w14:paraId="5085F40D">
            <w:pPr>
              <w:numPr>
                <w:ilvl w:val="0"/>
                <w:numId w:val="0"/>
              </w:numPr>
              <w:ind w:firstLine="480" w:firstLineChars="200"/>
              <w:rPr>
                <w:rFonts w:hint="eastAsia"/>
                <w:b/>
                <w:bCs w:val="0"/>
                <w:color w:val="auto"/>
              </w:rPr>
            </w:pPr>
            <w:r>
              <w:rPr>
                <w:rFonts w:hint="eastAsia"/>
                <w:b w:val="0"/>
                <w:bCs/>
                <w:color w:val="auto"/>
              </w:rPr>
              <w:t>废酵母进入密闭设计的麦槽罐贮存后</w:t>
            </w:r>
            <w:r>
              <w:rPr>
                <w:rFonts w:hint="eastAsia"/>
                <w:b w:val="0"/>
                <w:bCs/>
                <w:color w:val="auto"/>
                <w:lang w:val="en-US" w:eastAsia="zh-CN"/>
              </w:rPr>
              <w:t>定向外售至已取得饲料生产合法资质的饲料加工企业，或具备规模化养殖资质、配套合规饲料加工车间的养殖场，作为饲料生产原料实现全量资源化利用，不交由无资质散户零散收购处置</w:t>
            </w:r>
            <w:r>
              <w:rPr>
                <w:rFonts w:hint="eastAsia"/>
                <w:b w:val="0"/>
                <w:bCs/>
                <w:color w:val="auto"/>
              </w:rPr>
              <w:t>，即产即清。</w:t>
            </w:r>
          </w:p>
          <w:p w14:paraId="6A0B8BC6">
            <w:pPr>
              <w:numPr>
                <w:ilvl w:val="0"/>
                <w:numId w:val="0"/>
              </w:numPr>
              <w:ind w:firstLine="482" w:firstLineChars="200"/>
              <w:rPr>
                <w:rFonts w:hint="eastAsia" w:eastAsia="宋体"/>
                <w:b/>
                <w:bCs w:val="0"/>
                <w:color w:val="auto"/>
                <w:lang w:eastAsia="zh-CN"/>
              </w:rPr>
            </w:pPr>
            <w:r>
              <w:rPr>
                <w:rFonts w:hint="eastAsia"/>
                <w:b/>
                <w:bCs w:val="0"/>
                <w:color w:val="auto"/>
                <w:lang w:val="en-US" w:eastAsia="zh-CN"/>
              </w:rPr>
              <w:t>6</w:t>
            </w:r>
            <w:r>
              <w:rPr>
                <w:rFonts w:hint="eastAsia"/>
                <w:b/>
                <w:bCs w:val="0"/>
                <w:color w:val="auto"/>
              </w:rPr>
              <w:t>、</w:t>
            </w:r>
            <w:r>
              <w:rPr>
                <w:rFonts w:hint="eastAsia"/>
                <w:b/>
                <w:bCs w:val="0"/>
                <w:color w:val="auto"/>
                <w:lang w:eastAsia="zh-CN"/>
              </w:rPr>
              <w:t>除尘灰</w:t>
            </w:r>
          </w:p>
          <w:p w14:paraId="77905CFC">
            <w:pPr>
              <w:numPr>
                <w:ilvl w:val="0"/>
                <w:numId w:val="0"/>
              </w:numPr>
              <w:ind w:firstLine="480" w:firstLineChars="200"/>
              <w:rPr>
                <w:rFonts w:hint="eastAsia"/>
                <w:b/>
                <w:bCs w:val="0"/>
                <w:color w:val="auto"/>
              </w:rPr>
            </w:pPr>
            <w:r>
              <w:rPr>
                <w:rFonts w:hint="eastAsia"/>
                <w:b w:val="0"/>
                <w:bCs/>
                <w:color w:val="auto"/>
              </w:rPr>
              <w:t>麦芽在粉碎过程中产生粉尘，由布袋除尘器处理，根据工程分析可知，布袋除尘器收集到的粉尘量约</w:t>
            </w:r>
            <w:r>
              <w:rPr>
                <w:rFonts w:hint="eastAsia"/>
                <w:b w:val="0"/>
                <w:bCs/>
                <w:color w:val="auto"/>
                <w:lang w:val="en-US" w:eastAsia="zh-CN"/>
              </w:rPr>
              <w:t>0.0067</w:t>
            </w:r>
            <w:r>
              <w:rPr>
                <w:rFonts w:hint="eastAsia"/>
                <w:b w:val="0"/>
                <w:bCs/>
                <w:color w:val="auto"/>
              </w:rPr>
              <w:t>t/a，厂房内沉降粉尘约0.00</w:t>
            </w:r>
            <w:r>
              <w:rPr>
                <w:rFonts w:hint="eastAsia"/>
                <w:b w:val="0"/>
                <w:bCs/>
                <w:color w:val="auto"/>
                <w:lang w:val="en-US" w:eastAsia="zh-CN"/>
              </w:rPr>
              <w:t>12</w:t>
            </w:r>
            <w:r>
              <w:rPr>
                <w:rFonts w:hint="eastAsia"/>
                <w:b w:val="0"/>
                <w:bCs/>
                <w:color w:val="auto"/>
              </w:rPr>
              <w:t>t/a，因此本项目</w:t>
            </w:r>
            <w:r>
              <w:rPr>
                <w:rFonts w:hint="eastAsia"/>
                <w:b w:val="0"/>
                <w:bCs/>
                <w:color w:val="auto"/>
                <w:lang w:eastAsia="zh-CN"/>
              </w:rPr>
              <w:t>除尘灰</w:t>
            </w:r>
            <w:r>
              <w:rPr>
                <w:rFonts w:hint="eastAsia"/>
                <w:b w:val="0"/>
                <w:bCs/>
                <w:color w:val="auto"/>
              </w:rPr>
              <w:t>量为</w:t>
            </w:r>
            <w:r>
              <w:rPr>
                <w:rFonts w:hint="eastAsia"/>
                <w:b w:val="0"/>
                <w:bCs/>
                <w:color w:val="auto"/>
                <w:lang w:val="en-US" w:eastAsia="zh-CN"/>
              </w:rPr>
              <w:t>0.0079</w:t>
            </w:r>
            <w:r>
              <w:rPr>
                <w:rFonts w:hint="eastAsia"/>
                <w:b w:val="0"/>
                <w:bCs/>
                <w:color w:val="auto"/>
              </w:rPr>
              <w:t>t/a，该部分粉尘收集后外售。</w:t>
            </w:r>
          </w:p>
          <w:p w14:paraId="603036ED">
            <w:pPr>
              <w:numPr>
                <w:ilvl w:val="0"/>
                <w:numId w:val="0"/>
              </w:numPr>
              <w:ind w:firstLine="482" w:firstLineChars="200"/>
              <w:rPr>
                <w:rFonts w:hint="eastAsia"/>
                <w:b/>
                <w:bCs w:val="0"/>
                <w:color w:val="auto"/>
              </w:rPr>
            </w:pPr>
            <w:r>
              <w:rPr>
                <w:rFonts w:hint="eastAsia"/>
                <w:b/>
                <w:bCs w:val="0"/>
                <w:color w:val="auto"/>
                <w:lang w:val="en-US" w:eastAsia="zh-CN"/>
              </w:rPr>
              <w:t>7</w:t>
            </w:r>
            <w:r>
              <w:rPr>
                <w:rFonts w:hint="eastAsia"/>
                <w:b/>
                <w:bCs w:val="0"/>
                <w:color w:val="auto"/>
              </w:rPr>
              <w:t>、废弃包装物</w:t>
            </w:r>
          </w:p>
          <w:p w14:paraId="295F15E1">
            <w:pPr>
              <w:numPr>
                <w:ilvl w:val="0"/>
                <w:numId w:val="0"/>
              </w:numPr>
              <w:ind w:firstLine="480" w:firstLineChars="200"/>
              <w:rPr>
                <w:rFonts w:hint="eastAsia"/>
                <w:b w:val="0"/>
                <w:bCs/>
                <w:color w:val="auto"/>
              </w:rPr>
            </w:pPr>
            <w:r>
              <w:rPr>
                <w:rFonts w:hint="eastAsia"/>
                <w:b w:val="0"/>
                <w:bCs/>
                <w:color w:val="auto"/>
              </w:rPr>
              <w:t>项目生产过程中会产生废弃原、辅材料包装物、废弃产品包装物（（废纸、废塑料编织袋等），产生量约1t/a，该部分废弃包装物分类收集后统一外售给废品回收站。</w:t>
            </w:r>
          </w:p>
          <w:p w14:paraId="50D75905">
            <w:pPr>
              <w:numPr>
                <w:ilvl w:val="0"/>
                <w:numId w:val="0"/>
              </w:numPr>
              <w:ind w:firstLine="482" w:firstLineChars="200"/>
              <w:rPr>
                <w:rFonts w:hint="eastAsia"/>
                <w:b/>
                <w:bCs w:val="0"/>
                <w:color w:val="auto"/>
              </w:rPr>
            </w:pPr>
            <w:r>
              <w:rPr>
                <w:rFonts w:hint="eastAsia"/>
                <w:b/>
                <w:bCs w:val="0"/>
                <w:color w:val="auto"/>
                <w:lang w:val="en-US" w:eastAsia="zh-CN"/>
              </w:rPr>
              <w:t>8</w:t>
            </w:r>
            <w:r>
              <w:rPr>
                <w:rFonts w:hint="eastAsia"/>
                <w:b/>
                <w:bCs w:val="0"/>
                <w:color w:val="auto"/>
              </w:rPr>
              <w:t>、化粪池污泥</w:t>
            </w:r>
          </w:p>
          <w:p w14:paraId="35244FAA">
            <w:pPr>
              <w:numPr>
                <w:ilvl w:val="0"/>
                <w:numId w:val="0"/>
              </w:numPr>
              <w:ind w:firstLine="480" w:firstLineChars="200"/>
              <w:rPr>
                <w:rFonts w:hint="eastAsia"/>
                <w:b w:val="0"/>
                <w:bCs/>
                <w:color w:val="auto"/>
              </w:rPr>
            </w:pPr>
            <w:r>
              <w:rPr>
                <w:rFonts w:hint="eastAsia"/>
                <w:b w:val="0"/>
                <w:bCs/>
                <w:color w:val="auto"/>
              </w:rPr>
              <w:t>根据《建筑给水排水设计规范》（GB50015-2019），化粪池产生的污泥量按每立方米污水产泥量0.2kg计。本项目化粪池污水处理量为</w:t>
            </w:r>
            <w:r>
              <w:rPr>
                <w:rFonts w:hint="eastAsia"/>
                <w:b w:val="0"/>
                <w:bCs/>
                <w:color w:val="auto"/>
                <w:lang w:val="en-US" w:eastAsia="zh-CN"/>
              </w:rPr>
              <w:t>150</w:t>
            </w:r>
            <w:r>
              <w:rPr>
                <w:rFonts w:hint="eastAsia"/>
                <w:b w:val="0"/>
                <w:bCs/>
                <w:color w:val="auto"/>
              </w:rPr>
              <w:t>m</w:t>
            </w:r>
            <w:r>
              <w:rPr>
                <w:rFonts w:hint="eastAsia"/>
                <w:b w:val="0"/>
                <w:bCs/>
                <w:color w:val="auto"/>
                <w:vertAlign w:val="superscript"/>
              </w:rPr>
              <w:t>3</w:t>
            </w:r>
            <w:r>
              <w:rPr>
                <w:rFonts w:hint="eastAsia"/>
                <w:b w:val="0"/>
                <w:bCs/>
                <w:color w:val="auto"/>
              </w:rPr>
              <w:t>/a，则化粪池污泥产生量为</w:t>
            </w:r>
            <w:r>
              <w:rPr>
                <w:rFonts w:hint="eastAsia"/>
                <w:b w:val="0"/>
                <w:bCs/>
                <w:color w:val="auto"/>
                <w:lang w:val="en-US" w:eastAsia="zh-CN"/>
              </w:rPr>
              <w:t>0.03</w:t>
            </w:r>
            <w:r>
              <w:rPr>
                <w:rFonts w:hint="eastAsia"/>
                <w:b w:val="0"/>
                <w:bCs/>
                <w:color w:val="auto"/>
              </w:rPr>
              <w:t>t/a，废水中无有毒有害物质，属于一般固废，定期清掏后委托当地环卫部门清运处置。</w:t>
            </w:r>
          </w:p>
          <w:p w14:paraId="030F66C2">
            <w:pPr>
              <w:numPr>
                <w:ilvl w:val="0"/>
                <w:numId w:val="0"/>
              </w:numPr>
              <w:ind w:firstLine="482" w:firstLineChars="200"/>
              <w:rPr>
                <w:rFonts w:hint="eastAsia"/>
                <w:b/>
                <w:bCs w:val="0"/>
                <w:color w:val="auto"/>
              </w:rPr>
            </w:pPr>
            <w:r>
              <w:rPr>
                <w:rFonts w:hint="eastAsia"/>
                <w:b/>
                <w:bCs w:val="0"/>
                <w:color w:val="auto"/>
                <w:lang w:val="en-US" w:eastAsia="zh-CN"/>
              </w:rPr>
              <w:t>9</w:t>
            </w:r>
            <w:r>
              <w:rPr>
                <w:rFonts w:hint="eastAsia"/>
                <w:b/>
                <w:bCs w:val="0"/>
                <w:color w:val="auto"/>
              </w:rPr>
              <w:t>、污水处理站污泥</w:t>
            </w:r>
          </w:p>
          <w:p w14:paraId="37F5E8F4">
            <w:pPr>
              <w:numPr>
                <w:ilvl w:val="0"/>
                <w:numId w:val="0"/>
              </w:numPr>
              <w:ind w:firstLine="480" w:firstLineChars="200"/>
              <w:rPr>
                <w:rFonts w:hint="eastAsia"/>
                <w:b/>
                <w:bCs w:val="0"/>
                <w:color w:val="auto"/>
                <w:lang w:eastAsia="zh-CN"/>
              </w:rPr>
            </w:pPr>
            <w:r>
              <w:rPr>
                <w:rFonts w:hint="eastAsia"/>
                <w:b w:val="0"/>
                <w:bCs/>
                <w:color w:val="auto"/>
              </w:rPr>
              <w:t>污水处理站产生的污泥量一般每立方米污水产泥量0.1kg计，项目污水处理站废水处理量为</w:t>
            </w:r>
            <w:r>
              <w:rPr>
                <w:rFonts w:hint="eastAsia"/>
                <w:b w:val="0"/>
                <w:bCs/>
                <w:color w:val="auto"/>
                <w:lang w:val="en-US" w:eastAsia="zh-CN"/>
              </w:rPr>
              <w:t>3804.7265</w:t>
            </w:r>
            <w:r>
              <w:rPr>
                <w:rFonts w:hint="eastAsia"/>
                <w:b w:val="0"/>
                <w:bCs/>
                <w:color w:val="auto"/>
              </w:rPr>
              <w:t>m</w:t>
            </w:r>
            <w:r>
              <w:rPr>
                <w:rFonts w:hint="eastAsia"/>
                <w:b w:val="0"/>
                <w:bCs/>
                <w:color w:val="auto"/>
                <w:vertAlign w:val="superscript"/>
              </w:rPr>
              <w:t>3</w:t>
            </w:r>
            <w:r>
              <w:rPr>
                <w:rFonts w:hint="eastAsia"/>
                <w:b w:val="0"/>
                <w:bCs/>
                <w:color w:val="auto"/>
              </w:rPr>
              <w:t>/a，则污水处理站污泥产生量为</w:t>
            </w:r>
            <w:r>
              <w:rPr>
                <w:rFonts w:hint="eastAsia"/>
                <w:b w:val="0"/>
                <w:bCs/>
                <w:color w:val="auto"/>
                <w:lang w:val="en-US" w:eastAsia="zh-CN"/>
              </w:rPr>
              <w:t>0.38</w:t>
            </w:r>
            <w:r>
              <w:rPr>
                <w:rFonts w:hint="eastAsia"/>
                <w:b w:val="0"/>
                <w:bCs/>
                <w:color w:val="auto"/>
              </w:rPr>
              <w:t>t/a。废水中无有毒有害物质，属于一般固废，定期清掏后委托当地环卫部门清运处置。</w:t>
            </w:r>
          </w:p>
          <w:p w14:paraId="0CDFAC9D">
            <w:pPr>
              <w:numPr>
                <w:ilvl w:val="0"/>
                <w:numId w:val="0"/>
              </w:numPr>
              <w:ind w:firstLine="482" w:firstLineChars="200"/>
              <w:rPr>
                <w:rFonts w:hint="default"/>
                <w:b/>
                <w:bCs w:val="0"/>
                <w:color w:val="auto"/>
                <w:lang w:val="en-US" w:eastAsia="zh-CN"/>
              </w:rPr>
            </w:pPr>
            <w:r>
              <w:rPr>
                <w:rFonts w:hint="eastAsia"/>
                <w:b/>
                <w:bCs w:val="0"/>
                <w:color w:val="auto"/>
                <w:lang w:val="en-US" w:eastAsia="zh-CN"/>
              </w:rPr>
              <w:t>10、废布袋</w:t>
            </w:r>
          </w:p>
          <w:p w14:paraId="70FF3795">
            <w:pPr>
              <w:numPr>
                <w:ilvl w:val="0"/>
                <w:numId w:val="0"/>
              </w:numPr>
              <w:ind w:firstLine="480" w:firstLineChars="200"/>
              <w:rPr>
                <w:rFonts w:hint="default"/>
                <w:b w:val="0"/>
                <w:bCs/>
                <w:color w:val="auto"/>
                <w:lang w:val="en-US" w:eastAsia="zh-CN"/>
              </w:rPr>
            </w:pPr>
            <w:r>
              <w:rPr>
                <w:rFonts w:hint="eastAsia"/>
                <w:b w:val="0"/>
                <w:bCs/>
                <w:color w:val="auto"/>
                <w:lang w:val="en-US" w:eastAsia="zh-CN"/>
              </w:rPr>
              <w:t>根据工程分析可知，除尘器的废布袋产生量为0.002t/a，统一收集后委托环卫部门定期处置。</w:t>
            </w:r>
          </w:p>
          <w:p w14:paraId="72C61C47">
            <w:pPr>
              <w:numPr>
                <w:ilvl w:val="0"/>
                <w:numId w:val="0"/>
              </w:numPr>
              <w:ind w:firstLine="482" w:firstLineChars="200"/>
              <w:rPr>
                <w:rFonts w:hint="eastAsia"/>
                <w:b/>
                <w:bCs w:val="0"/>
                <w:color w:val="auto"/>
                <w:lang w:val="en-US" w:eastAsia="zh-CN"/>
              </w:rPr>
            </w:pPr>
            <w:r>
              <w:rPr>
                <w:rFonts w:hint="eastAsia"/>
                <w:b/>
                <w:bCs w:val="0"/>
                <w:color w:val="auto"/>
                <w:lang w:val="en-US" w:eastAsia="zh-CN"/>
              </w:rPr>
              <w:t>11、废滤芯</w:t>
            </w:r>
          </w:p>
          <w:p w14:paraId="1F4441DD">
            <w:pPr>
              <w:numPr>
                <w:ilvl w:val="0"/>
                <w:numId w:val="0"/>
              </w:numPr>
              <w:ind w:firstLine="480" w:firstLineChars="200"/>
              <w:rPr>
                <w:rFonts w:hint="eastAsia"/>
                <w:b w:val="0"/>
                <w:bCs/>
                <w:color w:val="auto"/>
                <w:lang w:val="en-US" w:eastAsia="zh-CN"/>
              </w:rPr>
            </w:pPr>
            <w:r>
              <w:rPr>
                <w:rFonts w:hint="eastAsia"/>
                <w:b w:val="0"/>
                <w:bCs/>
                <w:color w:val="auto"/>
                <w:lang w:val="en-US" w:eastAsia="zh-CN"/>
              </w:rPr>
              <w:t>项目纯水制备系统中的精密过滤器，在使用过程中截留的悬浮物累积，将堵塞滤芯，长时间使用后滤芯需定期更换。两年更换一次，废滤芯的产生量为0.06t/次（0.03t/a），废滤芯由过滤器厂家定期回收、更换。</w:t>
            </w:r>
          </w:p>
          <w:p w14:paraId="1EABC58A">
            <w:pPr>
              <w:numPr>
                <w:ilvl w:val="0"/>
                <w:numId w:val="0"/>
              </w:numPr>
              <w:ind w:firstLine="482" w:firstLineChars="200"/>
              <w:rPr>
                <w:rFonts w:hint="eastAsia"/>
                <w:b/>
                <w:bCs w:val="0"/>
                <w:color w:val="auto"/>
                <w:lang w:val="en-US" w:eastAsia="zh-CN"/>
              </w:rPr>
            </w:pPr>
            <w:r>
              <w:rPr>
                <w:rFonts w:hint="eastAsia"/>
                <w:b/>
                <w:bCs w:val="0"/>
                <w:color w:val="auto"/>
                <w:lang w:val="en-US" w:eastAsia="zh-CN"/>
              </w:rPr>
              <w:t>12、废石英砂</w:t>
            </w:r>
          </w:p>
          <w:p w14:paraId="6A081F26">
            <w:pPr>
              <w:numPr>
                <w:ilvl w:val="0"/>
                <w:numId w:val="0"/>
              </w:numPr>
              <w:ind w:firstLine="480" w:firstLineChars="200"/>
              <w:rPr>
                <w:rFonts w:hint="eastAsia"/>
                <w:b/>
                <w:bCs w:val="0"/>
                <w:color w:val="auto"/>
                <w:lang w:val="en-US" w:eastAsia="zh-CN"/>
              </w:rPr>
            </w:pPr>
            <w:r>
              <w:rPr>
                <w:rFonts w:hint="eastAsia"/>
                <w:b w:val="0"/>
                <w:bCs/>
                <w:color w:val="auto"/>
                <w:lang w:val="en-US" w:eastAsia="zh-CN"/>
              </w:rPr>
              <w:t>本项目石英砂用于制纯水设备粗滤阶段，石英砂过滤器的石英砂每两年更换一次，废石英砂的产生量为0.5t/次（0.25t/a），更换后废旧石英砂由生产厂家回收处理。</w:t>
            </w:r>
          </w:p>
          <w:p w14:paraId="25A9F08E">
            <w:pPr>
              <w:numPr>
                <w:ilvl w:val="0"/>
                <w:numId w:val="0"/>
              </w:numPr>
              <w:ind w:firstLine="482" w:firstLineChars="200"/>
              <w:rPr>
                <w:rFonts w:hint="eastAsia"/>
                <w:b/>
                <w:bCs w:val="0"/>
                <w:color w:val="auto"/>
                <w:lang w:val="en-US" w:eastAsia="zh-CN"/>
              </w:rPr>
            </w:pPr>
            <w:r>
              <w:rPr>
                <w:rFonts w:hint="eastAsia"/>
                <w:b/>
                <w:bCs w:val="0"/>
                <w:color w:val="auto"/>
                <w:lang w:val="en-US" w:eastAsia="zh-CN"/>
              </w:rPr>
              <w:t>13、废RO膜</w:t>
            </w:r>
          </w:p>
          <w:p w14:paraId="24D2EC43">
            <w:pPr>
              <w:numPr>
                <w:ilvl w:val="0"/>
                <w:numId w:val="0"/>
              </w:numPr>
              <w:ind w:firstLine="480" w:firstLineChars="200"/>
              <w:rPr>
                <w:rFonts w:hint="eastAsia"/>
                <w:b w:val="0"/>
                <w:bCs/>
                <w:color w:val="auto"/>
                <w:lang w:val="en-US" w:eastAsia="zh-CN"/>
              </w:rPr>
            </w:pPr>
            <w:r>
              <w:rPr>
                <w:rFonts w:hint="eastAsia"/>
                <w:b w:val="0"/>
                <w:bCs/>
                <w:color w:val="auto"/>
                <w:lang w:val="en-US" w:eastAsia="zh-CN"/>
              </w:rPr>
              <w:t>本项目纯水制备系统使用的RO膜需定期更换，每两年更换一次，废RO膜的产生量为0.016t/次（0.008t/a），更换后废RO膜由生产厂家回收处理。</w:t>
            </w:r>
          </w:p>
          <w:p w14:paraId="12E71474">
            <w:pPr>
              <w:numPr>
                <w:ilvl w:val="0"/>
                <w:numId w:val="0"/>
              </w:numPr>
              <w:ind w:firstLine="482" w:firstLineChars="200"/>
              <w:rPr>
                <w:rFonts w:hint="eastAsia"/>
                <w:b/>
                <w:bCs w:val="0"/>
                <w:color w:val="auto"/>
                <w:lang w:eastAsia="zh-CN"/>
              </w:rPr>
            </w:pPr>
            <w:r>
              <w:rPr>
                <w:rFonts w:hint="eastAsia"/>
                <w:b/>
                <w:bCs w:val="0"/>
                <w:color w:val="auto"/>
                <w:lang w:val="en-US" w:eastAsia="zh-CN"/>
              </w:rPr>
              <w:t>14、</w:t>
            </w:r>
            <w:r>
              <w:rPr>
                <w:rFonts w:hint="eastAsia"/>
                <w:b/>
                <w:bCs w:val="0"/>
                <w:color w:val="auto"/>
                <w:lang w:eastAsia="zh-CN"/>
              </w:rPr>
              <w:t>废机油、废油桶</w:t>
            </w:r>
          </w:p>
          <w:p w14:paraId="2BD60466">
            <w:pPr>
              <w:ind w:firstLine="480"/>
              <w:rPr>
                <w:color w:val="auto"/>
              </w:rPr>
            </w:pPr>
            <w:r>
              <w:rPr>
                <w:color w:val="auto"/>
              </w:rPr>
              <w:t>项目生产过程中养护维修机械设备时会产生少量废机油</w:t>
            </w:r>
            <w:r>
              <w:rPr>
                <w:rFonts w:hint="eastAsia"/>
                <w:color w:val="auto"/>
                <w:lang w:eastAsia="zh-CN"/>
              </w:rPr>
              <w:t>和废油桶</w:t>
            </w:r>
            <w:r>
              <w:rPr>
                <w:color w:val="auto"/>
              </w:rPr>
              <w:t>，属危险废物，编号HW08，</w:t>
            </w:r>
            <w:r>
              <w:rPr>
                <w:rFonts w:hint="eastAsia"/>
                <w:color w:val="auto"/>
                <w:lang w:eastAsia="zh-CN"/>
              </w:rPr>
              <w:t>废机油的</w:t>
            </w:r>
            <w:r>
              <w:rPr>
                <w:color w:val="auto"/>
              </w:rPr>
              <w:t>废物代码</w:t>
            </w:r>
            <w:r>
              <w:rPr>
                <w:rFonts w:hint="eastAsia"/>
                <w:color w:val="auto"/>
                <w:lang w:eastAsia="zh-CN"/>
              </w:rPr>
              <w:t>为</w:t>
            </w:r>
            <w:r>
              <w:rPr>
                <w:color w:val="auto"/>
              </w:rPr>
              <w:t>900-214-08</w:t>
            </w:r>
            <w:r>
              <w:rPr>
                <w:rFonts w:hint="eastAsia"/>
                <w:color w:val="auto"/>
                <w:lang w:eastAsia="zh-CN"/>
              </w:rPr>
              <w:t>，废油桶的</w:t>
            </w:r>
            <w:r>
              <w:rPr>
                <w:color w:val="auto"/>
              </w:rPr>
              <w:t>废物代码</w:t>
            </w:r>
            <w:r>
              <w:rPr>
                <w:rFonts w:hint="eastAsia"/>
                <w:color w:val="auto"/>
                <w:lang w:eastAsia="zh-CN"/>
              </w:rPr>
              <w:t>为</w:t>
            </w:r>
            <w:r>
              <w:rPr>
                <w:color w:val="auto"/>
              </w:rPr>
              <w:t>900-</w:t>
            </w:r>
            <w:r>
              <w:rPr>
                <w:rFonts w:hint="eastAsia"/>
                <w:color w:val="auto"/>
                <w:lang w:val="en-US" w:eastAsia="zh-CN"/>
              </w:rPr>
              <w:t>249</w:t>
            </w:r>
            <w:r>
              <w:rPr>
                <w:color w:val="auto"/>
              </w:rPr>
              <w:t>-08，</w:t>
            </w:r>
            <w:r>
              <w:rPr>
                <w:rFonts w:hint="eastAsia"/>
                <w:color w:val="auto"/>
              </w:rPr>
              <w:t>根据业主描述</w:t>
            </w:r>
            <w:r>
              <w:rPr>
                <w:rFonts w:hint="eastAsia"/>
                <w:color w:val="auto"/>
                <w:lang w:eastAsia="zh-CN"/>
              </w:rPr>
              <w:t>废机油的</w:t>
            </w:r>
            <w:r>
              <w:rPr>
                <w:color w:val="auto"/>
              </w:rPr>
              <w:t>产生量约为0.</w:t>
            </w:r>
            <w:r>
              <w:rPr>
                <w:rFonts w:hint="eastAsia"/>
                <w:color w:val="auto"/>
                <w:lang w:val="en-US" w:eastAsia="zh-CN"/>
              </w:rPr>
              <w:t>2</w:t>
            </w:r>
            <w:r>
              <w:rPr>
                <w:color w:val="auto"/>
              </w:rPr>
              <w:t>t/a</w:t>
            </w:r>
            <w:r>
              <w:rPr>
                <w:rFonts w:hint="eastAsia"/>
                <w:color w:val="auto"/>
                <w:lang w:eastAsia="zh-CN"/>
              </w:rPr>
              <w:t>，废油桶的产生量为</w:t>
            </w:r>
            <w:r>
              <w:rPr>
                <w:rFonts w:hint="eastAsia"/>
                <w:color w:val="auto"/>
                <w:lang w:val="en-US" w:eastAsia="zh-CN"/>
              </w:rPr>
              <w:t>0.1t/a</w:t>
            </w:r>
            <w:r>
              <w:rPr>
                <w:color w:val="auto"/>
              </w:rPr>
              <w:t>，暂存于危险废物暂存间内，统一收集后由有资质的单位处理。</w:t>
            </w:r>
          </w:p>
          <w:p w14:paraId="74695E65">
            <w:pPr>
              <w:bidi w:val="0"/>
              <w:rPr>
                <w:rFonts w:hint="default"/>
                <w:b/>
                <w:bCs/>
                <w:color w:val="auto"/>
                <w:lang w:val="en-US" w:eastAsia="zh-CN"/>
              </w:rPr>
            </w:pPr>
            <w:r>
              <w:rPr>
                <w:rFonts w:hint="eastAsia"/>
                <w:b/>
                <w:bCs/>
                <w:color w:val="auto"/>
                <w:lang w:val="en-US" w:eastAsia="zh-CN"/>
              </w:rPr>
              <w:t>15、酸、碱废液</w:t>
            </w:r>
          </w:p>
          <w:p w14:paraId="6C3BDED0">
            <w:pPr>
              <w:bidi w:val="0"/>
              <w:rPr>
                <w:rFonts w:hint="eastAsia"/>
                <w:b/>
                <w:bCs/>
                <w:color w:val="auto"/>
                <w:lang w:val="en-US" w:eastAsia="zh-CN"/>
              </w:rPr>
            </w:pPr>
            <w:r>
              <w:rPr>
                <w:rFonts w:hint="eastAsia"/>
                <w:b w:val="0"/>
                <w:bCs w:val="0"/>
                <w:color w:val="auto"/>
                <w:lang w:val="en-US" w:eastAsia="zh-CN"/>
              </w:rPr>
              <w:t>本项目CIP清洗系统内碱液、酸液循环使用，碱罐和酸罐每月定期补充碱液和酸液，碱罐、酸罐内液体约半年更换一次，酸液每年更换2次，每次更换量为0.1m</w:t>
            </w:r>
            <w:r>
              <w:rPr>
                <w:rFonts w:hint="eastAsia"/>
                <w:b w:val="0"/>
                <w:bCs w:val="0"/>
                <w:color w:val="auto"/>
                <w:vertAlign w:val="superscript"/>
                <w:lang w:val="en-US" w:eastAsia="zh-CN"/>
              </w:rPr>
              <w:t>3</w:t>
            </w:r>
            <w:r>
              <w:rPr>
                <w:rFonts w:hint="eastAsia"/>
                <w:b w:val="0"/>
                <w:bCs w:val="0"/>
                <w:color w:val="auto"/>
                <w:lang w:val="en-US" w:eastAsia="zh-CN"/>
              </w:rPr>
              <w:t>，则废酸液量为0.2t/a，碱液每年更换2次，每次更换量为0.1m</w:t>
            </w:r>
            <w:r>
              <w:rPr>
                <w:rFonts w:hint="eastAsia"/>
                <w:b w:val="0"/>
                <w:bCs w:val="0"/>
                <w:color w:val="auto"/>
                <w:vertAlign w:val="superscript"/>
                <w:lang w:val="en-US" w:eastAsia="zh-CN"/>
              </w:rPr>
              <w:t>3</w:t>
            </w:r>
            <w:r>
              <w:rPr>
                <w:rFonts w:hint="eastAsia"/>
                <w:b w:val="0"/>
                <w:bCs w:val="0"/>
                <w:color w:val="auto"/>
                <w:lang w:val="en-US" w:eastAsia="zh-CN"/>
              </w:rPr>
              <w:t>，则碱液更换量为0.2t/a，作为危废处置，暂存于危险废物暂存间内，统一收集后由有资质的单位处理。</w:t>
            </w:r>
          </w:p>
          <w:p w14:paraId="3A0BC7A5">
            <w:pPr>
              <w:bidi w:val="0"/>
              <w:rPr>
                <w:rFonts w:hint="eastAsia"/>
                <w:b/>
                <w:bCs/>
                <w:color w:val="auto"/>
              </w:rPr>
            </w:pPr>
            <w:r>
              <w:rPr>
                <w:rFonts w:hint="eastAsia"/>
                <w:b/>
                <w:bCs/>
                <w:color w:val="auto"/>
                <w:lang w:val="en-US" w:eastAsia="zh-CN"/>
              </w:rPr>
              <w:t>16、</w:t>
            </w:r>
            <w:r>
              <w:rPr>
                <w:rFonts w:hint="eastAsia"/>
                <w:b/>
                <w:bCs/>
                <w:color w:val="auto"/>
              </w:rPr>
              <w:t>固体废物汇总</w:t>
            </w:r>
          </w:p>
          <w:p w14:paraId="2A93C04C">
            <w:pPr>
              <w:pStyle w:val="13"/>
              <w:rPr>
                <w:rFonts w:hint="eastAsia"/>
                <w:color w:val="auto"/>
                <w:lang w:val="en-US" w:eastAsia="zh-CN"/>
              </w:rPr>
            </w:pPr>
            <w:r>
              <w:rPr>
                <w:rFonts w:hint="eastAsia"/>
                <w:color w:val="auto"/>
                <w:lang w:val="en-US" w:eastAsia="zh-CN"/>
              </w:rPr>
              <w:t>本项目固体废物产生情况详见下表。</w:t>
            </w:r>
          </w:p>
          <w:p w14:paraId="335428A6">
            <w:pPr>
              <w:pStyle w:val="30"/>
              <w:rPr>
                <w:color w:val="auto"/>
              </w:rPr>
            </w:pPr>
            <w:r>
              <w:rPr>
                <w:color w:val="auto"/>
              </w:rPr>
              <w:t>表4-</w:t>
            </w:r>
            <w:r>
              <w:rPr>
                <w:rFonts w:hint="eastAsia"/>
                <w:color w:val="auto"/>
                <w:lang w:val="en-US" w:eastAsia="zh-CN"/>
              </w:rPr>
              <w:t>23</w:t>
            </w:r>
            <w:r>
              <w:rPr>
                <w:color w:val="auto"/>
              </w:rPr>
              <w:t xml:space="preserve">  本项目固体废物产排情况一览表</w:t>
            </w:r>
          </w:p>
          <w:tbl>
            <w:tblPr>
              <w:tblStyle w:val="23"/>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910"/>
              <w:gridCol w:w="634"/>
              <w:gridCol w:w="1314"/>
              <w:gridCol w:w="634"/>
              <w:gridCol w:w="762"/>
              <w:gridCol w:w="1147"/>
              <w:gridCol w:w="586"/>
              <w:gridCol w:w="1072"/>
            </w:tblGrid>
            <w:tr w14:paraId="1F88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4B6D1EA5">
                  <w:pPr>
                    <w:pStyle w:val="29"/>
                    <w:rPr>
                      <w:rFonts w:hint="default"/>
                      <w:color w:val="auto"/>
                    </w:rPr>
                  </w:pPr>
                  <w:r>
                    <w:rPr>
                      <w:rFonts w:hint="default"/>
                      <w:color w:val="auto"/>
                    </w:rPr>
                    <w:t>名称</w:t>
                  </w:r>
                </w:p>
              </w:tc>
              <w:tc>
                <w:tcPr>
                  <w:tcW w:w="564" w:type="pct"/>
                  <w:vAlign w:val="center"/>
                </w:tcPr>
                <w:p w14:paraId="7312143A">
                  <w:pPr>
                    <w:pStyle w:val="29"/>
                    <w:rPr>
                      <w:rFonts w:hint="default"/>
                      <w:color w:val="auto"/>
                    </w:rPr>
                  </w:pPr>
                  <w:r>
                    <w:rPr>
                      <w:rFonts w:hint="default"/>
                      <w:color w:val="auto"/>
                    </w:rPr>
                    <w:t>产生环节</w:t>
                  </w:r>
                </w:p>
              </w:tc>
              <w:tc>
                <w:tcPr>
                  <w:tcW w:w="393" w:type="pct"/>
                  <w:vAlign w:val="center"/>
                </w:tcPr>
                <w:p w14:paraId="7566A9F9">
                  <w:pPr>
                    <w:pStyle w:val="29"/>
                    <w:rPr>
                      <w:rFonts w:hint="default"/>
                      <w:color w:val="auto"/>
                    </w:rPr>
                  </w:pPr>
                  <w:r>
                    <w:rPr>
                      <w:rFonts w:hint="default"/>
                      <w:color w:val="auto"/>
                    </w:rPr>
                    <w:t>属性</w:t>
                  </w:r>
                </w:p>
              </w:tc>
              <w:tc>
                <w:tcPr>
                  <w:tcW w:w="814" w:type="pct"/>
                  <w:vAlign w:val="center"/>
                </w:tcPr>
                <w:p w14:paraId="2F14C184">
                  <w:pPr>
                    <w:pStyle w:val="29"/>
                    <w:rPr>
                      <w:rFonts w:hint="default"/>
                      <w:color w:val="auto"/>
                    </w:rPr>
                  </w:pPr>
                  <w:r>
                    <w:rPr>
                      <w:color w:val="auto"/>
                    </w:rPr>
                    <w:t>废</w:t>
                  </w:r>
                  <w:r>
                    <w:rPr>
                      <w:rFonts w:hint="eastAsia"/>
                      <w:color w:val="auto"/>
                      <w:lang w:eastAsia="zh-CN"/>
                    </w:rPr>
                    <w:t>物</w:t>
                  </w:r>
                  <w:r>
                    <w:rPr>
                      <w:color w:val="auto"/>
                    </w:rPr>
                    <w:t>代码</w:t>
                  </w:r>
                </w:p>
              </w:tc>
              <w:tc>
                <w:tcPr>
                  <w:tcW w:w="393" w:type="pct"/>
                  <w:vAlign w:val="center"/>
                </w:tcPr>
                <w:p w14:paraId="3EB74F79">
                  <w:pPr>
                    <w:pStyle w:val="29"/>
                    <w:rPr>
                      <w:rFonts w:hint="default"/>
                      <w:color w:val="auto"/>
                    </w:rPr>
                  </w:pPr>
                  <w:r>
                    <w:rPr>
                      <w:rFonts w:hint="default"/>
                      <w:color w:val="auto"/>
                    </w:rPr>
                    <w:t>物理性状</w:t>
                  </w:r>
                </w:p>
              </w:tc>
              <w:tc>
                <w:tcPr>
                  <w:tcW w:w="472" w:type="pct"/>
                  <w:vAlign w:val="center"/>
                </w:tcPr>
                <w:p w14:paraId="28B22F9E">
                  <w:pPr>
                    <w:pStyle w:val="29"/>
                    <w:rPr>
                      <w:rFonts w:hint="default"/>
                      <w:color w:val="auto"/>
                    </w:rPr>
                  </w:pPr>
                  <w:r>
                    <w:rPr>
                      <w:rFonts w:hint="default"/>
                      <w:color w:val="auto"/>
                    </w:rPr>
                    <w:t>危险特性</w:t>
                  </w:r>
                </w:p>
              </w:tc>
              <w:tc>
                <w:tcPr>
                  <w:tcW w:w="711" w:type="pct"/>
                  <w:vAlign w:val="center"/>
                </w:tcPr>
                <w:p w14:paraId="741B3704">
                  <w:pPr>
                    <w:pStyle w:val="29"/>
                    <w:rPr>
                      <w:rFonts w:hint="default"/>
                      <w:color w:val="auto"/>
                    </w:rPr>
                  </w:pPr>
                  <w:r>
                    <w:rPr>
                      <w:rFonts w:hint="default"/>
                      <w:color w:val="auto"/>
                    </w:rPr>
                    <w:t>产生量</w:t>
                  </w:r>
                  <w:r>
                    <w:rPr>
                      <w:color w:val="auto"/>
                    </w:rPr>
                    <w:t>t/a</w:t>
                  </w:r>
                </w:p>
              </w:tc>
              <w:tc>
                <w:tcPr>
                  <w:tcW w:w="363" w:type="pct"/>
                  <w:vAlign w:val="center"/>
                </w:tcPr>
                <w:p w14:paraId="15990E9D">
                  <w:pPr>
                    <w:pStyle w:val="29"/>
                    <w:rPr>
                      <w:rFonts w:hint="default"/>
                      <w:color w:val="auto"/>
                    </w:rPr>
                  </w:pPr>
                  <w:r>
                    <w:rPr>
                      <w:rFonts w:hint="default"/>
                      <w:color w:val="auto"/>
                    </w:rPr>
                    <w:t>贮存方式</w:t>
                  </w:r>
                </w:p>
              </w:tc>
              <w:tc>
                <w:tcPr>
                  <w:tcW w:w="664" w:type="pct"/>
                  <w:vAlign w:val="center"/>
                </w:tcPr>
                <w:p w14:paraId="020A129E">
                  <w:pPr>
                    <w:pStyle w:val="29"/>
                    <w:rPr>
                      <w:rFonts w:hint="default"/>
                      <w:color w:val="auto"/>
                    </w:rPr>
                  </w:pPr>
                  <w:r>
                    <w:rPr>
                      <w:rFonts w:hint="default"/>
                      <w:color w:val="auto"/>
                    </w:rPr>
                    <w:t>处置方式</w:t>
                  </w:r>
                </w:p>
              </w:tc>
            </w:tr>
            <w:tr w14:paraId="5A7F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3F1526E8">
                  <w:pPr>
                    <w:pStyle w:val="29"/>
                    <w:rPr>
                      <w:rFonts w:hint="default" w:ascii="Times New Roman" w:hAnsi="Times New Roman" w:eastAsia="宋体" w:cs="Times New Roman"/>
                      <w:color w:val="auto"/>
                    </w:rPr>
                  </w:pPr>
                  <w:r>
                    <w:rPr>
                      <w:rFonts w:ascii="Times New Roman" w:hAnsi="Times New Roman" w:eastAsia="宋体" w:cs="Times New Roman"/>
                      <w:color w:val="auto"/>
                    </w:rPr>
                    <w:t>生活垃圾</w:t>
                  </w:r>
                </w:p>
              </w:tc>
              <w:tc>
                <w:tcPr>
                  <w:tcW w:w="564" w:type="pct"/>
                  <w:vAlign w:val="center"/>
                </w:tcPr>
                <w:p w14:paraId="55DBDD06">
                  <w:pPr>
                    <w:pStyle w:val="29"/>
                    <w:rPr>
                      <w:rFonts w:hint="default" w:ascii="Times New Roman" w:hAnsi="Times New Roman" w:eastAsia="宋体" w:cs="Times New Roman"/>
                      <w:color w:val="auto"/>
                    </w:rPr>
                  </w:pPr>
                  <w:r>
                    <w:rPr>
                      <w:rFonts w:ascii="Times New Roman" w:hAnsi="Times New Roman" w:eastAsia="宋体" w:cs="Times New Roman"/>
                      <w:color w:val="auto"/>
                    </w:rPr>
                    <w:t>员工生活</w:t>
                  </w:r>
                </w:p>
              </w:tc>
              <w:tc>
                <w:tcPr>
                  <w:tcW w:w="393" w:type="pct"/>
                  <w:vAlign w:val="center"/>
                </w:tcPr>
                <w:p w14:paraId="07387711">
                  <w:pPr>
                    <w:pStyle w:val="29"/>
                    <w:rPr>
                      <w:rFonts w:hint="default" w:ascii="Times New Roman" w:hAnsi="Times New Roman" w:eastAsia="宋体" w:cs="Times New Roman"/>
                      <w:color w:val="auto"/>
                    </w:rPr>
                  </w:pPr>
                  <w:r>
                    <w:rPr>
                      <w:rFonts w:hint="default" w:ascii="Times New Roman" w:hAnsi="Times New Roman" w:eastAsia="宋体" w:cs="Times New Roman"/>
                      <w:color w:val="auto"/>
                    </w:rPr>
                    <w:t>一般固废</w:t>
                  </w:r>
                </w:p>
              </w:tc>
              <w:tc>
                <w:tcPr>
                  <w:tcW w:w="814" w:type="pct"/>
                  <w:vAlign w:val="center"/>
                </w:tcPr>
                <w:p w14:paraId="6B3018F1">
                  <w:pPr>
                    <w:pStyle w:val="29"/>
                    <w:rPr>
                      <w:rFonts w:hint="default" w:ascii="Times New Roman" w:hAnsi="Times New Roman" w:eastAsia="宋体" w:cs="Times New Roman"/>
                      <w:color w:val="auto"/>
                    </w:rPr>
                  </w:pPr>
                  <w:r>
                    <w:rPr>
                      <w:rFonts w:hint="eastAsia" w:ascii="Times New Roman" w:hAnsi="Times New Roman" w:eastAsia="宋体" w:cs="Times New Roman"/>
                      <w:color w:val="auto"/>
                    </w:rPr>
                    <w:t>900-099-S64</w:t>
                  </w:r>
                </w:p>
              </w:tc>
              <w:tc>
                <w:tcPr>
                  <w:tcW w:w="393" w:type="pct"/>
                  <w:vAlign w:val="center"/>
                </w:tcPr>
                <w:p w14:paraId="6FDE9DB7">
                  <w:pPr>
                    <w:pStyle w:val="29"/>
                    <w:rPr>
                      <w:rFonts w:hint="default" w:ascii="Times New Roman" w:hAnsi="Times New Roman" w:eastAsia="宋体" w:cs="Times New Roman"/>
                      <w:color w:val="auto"/>
                    </w:rPr>
                  </w:pPr>
                  <w:r>
                    <w:rPr>
                      <w:rFonts w:ascii="Times New Roman" w:hAnsi="Times New Roman" w:eastAsia="宋体" w:cs="Times New Roman"/>
                      <w:color w:val="auto"/>
                    </w:rPr>
                    <w:t>固体</w:t>
                  </w:r>
                </w:p>
              </w:tc>
              <w:tc>
                <w:tcPr>
                  <w:tcW w:w="472" w:type="pct"/>
                  <w:vAlign w:val="center"/>
                </w:tcPr>
                <w:p w14:paraId="36E4592A">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w:t>
                  </w:r>
                </w:p>
              </w:tc>
              <w:tc>
                <w:tcPr>
                  <w:tcW w:w="711" w:type="pct"/>
                  <w:vAlign w:val="center"/>
                </w:tcPr>
                <w:p w14:paraId="0A686DF1">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0.3</w:t>
                  </w:r>
                </w:p>
              </w:tc>
              <w:tc>
                <w:tcPr>
                  <w:tcW w:w="363" w:type="pct"/>
                  <w:vAlign w:val="center"/>
                </w:tcPr>
                <w:p w14:paraId="28930BA8">
                  <w:pPr>
                    <w:pStyle w:val="29"/>
                    <w:rPr>
                      <w:rFonts w:hint="default" w:ascii="Times New Roman" w:hAnsi="Times New Roman" w:eastAsia="宋体" w:cs="Times New Roman"/>
                      <w:color w:val="auto"/>
                      <w:lang w:eastAsia="zh-CN"/>
                    </w:rPr>
                  </w:pPr>
                  <w:r>
                    <w:rPr>
                      <w:rFonts w:hint="eastAsia" w:ascii="Times New Roman" w:hAnsi="Times New Roman" w:eastAsia="宋体" w:cs="Times New Roman"/>
                      <w:color w:val="auto"/>
                      <w:lang w:eastAsia="zh-CN"/>
                    </w:rPr>
                    <w:t>垃圾桶</w:t>
                  </w:r>
                </w:p>
              </w:tc>
              <w:tc>
                <w:tcPr>
                  <w:tcW w:w="664" w:type="pct"/>
                  <w:vAlign w:val="center"/>
                </w:tcPr>
                <w:p w14:paraId="4FFDD3A8">
                  <w:pPr>
                    <w:pStyle w:val="29"/>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由当地环卫部门统一处置</w:t>
                  </w:r>
                </w:p>
              </w:tc>
            </w:tr>
            <w:tr w14:paraId="04A7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553CA1C4">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麦糟</w:t>
                  </w:r>
                </w:p>
              </w:tc>
              <w:tc>
                <w:tcPr>
                  <w:tcW w:w="564" w:type="pct"/>
                  <w:vAlign w:val="center"/>
                </w:tcPr>
                <w:p w14:paraId="1BC59C5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过滤</w:t>
                  </w:r>
                </w:p>
              </w:tc>
              <w:tc>
                <w:tcPr>
                  <w:tcW w:w="393" w:type="pct"/>
                  <w:vAlign w:val="center"/>
                </w:tcPr>
                <w:p w14:paraId="5FB81373">
                  <w:pPr>
                    <w:pStyle w:val="29"/>
                    <w:rPr>
                      <w:rFonts w:hint="default" w:ascii="Times New Roman" w:hAnsi="Times New Roman" w:eastAsia="宋体" w:cs="Times New Roman"/>
                      <w:color w:val="auto"/>
                    </w:rPr>
                  </w:pPr>
                  <w:r>
                    <w:rPr>
                      <w:rFonts w:hint="default" w:ascii="Times New Roman" w:hAnsi="Times New Roman" w:eastAsia="宋体" w:cs="Times New Roman"/>
                      <w:color w:val="auto"/>
                    </w:rPr>
                    <w:t>一般固废</w:t>
                  </w:r>
                </w:p>
              </w:tc>
              <w:tc>
                <w:tcPr>
                  <w:tcW w:w="814" w:type="pct"/>
                  <w:vAlign w:val="center"/>
                </w:tcPr>
                <w:p w14:paraId="78583DA7">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151-002-S13</w:t>
                  </w:r>
                </w:p>
              </w:tc>
              <w:tc>
                <w:tcPr>
                  <w:tcW w:w="393" w:type="pct"/>
                  <w:vAlign w:val="center"/>
                </w:tcPr>
                <w:p w14:paraId="1C13EBA1">
                  <w:pPr>
                    <w:pStyle w:val="29"/>
                    <w:rPr>
                      <w:rFonts w:hint="default" w:ascii="Times New Roman" w:hAnsi="Times New Roman" w:eastAsia="宋体" w:cs="Times New Roman"/>
                      <w:color w:val="auto"/>
                    </w:rPr>
                  </w:pPr>
                  <w:r>
                    <w:rPr>
                      <w:rFonts w:ascii="Times New Roman" w:hAnsi="Times New Roman" w:eastAsia="宋体" w:cs="Times New Roman"/>
                      <w:color w:val="auto"/>
                    </w:rPr>
                    <w:t>固体</w:t>
                  </w:r>
                </w:p>
              </w:tc>
              <w:tc>
                <w:tcPr>
                  <w:tcW w:w="472" w:type="pct"/>
                  <w:vAlign w:val="center"/>
                </w:tcPr>
                <w:p w14:paraId="437E2347">
                  <w:pPr>
                    <w:pStyle w:val="29"/>
                    <w:rPr>
                      <w:rFonts w:hint="default" w:ascii="Times New Roman" w:hAnsi="Times New Roman" w:eastAsia="宋体" w:cs="Times New Roman"/>
                      <w:color w:val="auto"/>
                    </w:rPr>
                  </w:pPr>
                  <w:r>
                    <w:rPr>
                      <w:rFonts w:ascii="Times New Roman" w:hAnsi="Times New Roman" w:eastAsia="宋体" w:cs="Times New Roman"/>
                      <w:color w:val="auto"/>
                    </w:rPr>
                    <w:t>/</w:t>
                  </w:r>
                </w:p>
              </w:tc>
              <w:tc>
                <w:tcPr>
                  <w:tcW w:w="711" w:type="pct"/>
                  <w:shd w:val="clear" w:color="auto" w:fill="auto"/>
                  <w:vAlign w:val="center"/>
                </w:tcPr>
                <w:p w14:paraId="6AD07A34">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137.5</w:t>
                  </w:r>
                </w:p>
              </w:tc>
              <w:tc>
                <w:tcPr>
                  <w:tcW w:w="363" w:type="pct"/>
                  <w:vAlign w:val="center"/>
                </w:tcPr>
                <w:p w14:paraId="41024A1E">
                  <w:pPr>
                    <w:pStyle w:val="29"/>
                    <w:rPr>
                      <w:rFonts w:hint="default" w:ascii="Times New Roman" w:hAnsi="Times New Roman" w:eastAsia="宋体" w:cs="Times New Roman"/>
                      <w:color w:val="auto"/>
                      <w:lang w:eastAsia="zh-CN"/>
                    </w:rPr>
                  </w:pPr>
                  <w:r>
                    <w:rPr>
                      <w:rFonts w:hint="eastAsia" w:ascii="Times New Roman" w:hAnsi="Times New Roman" w:eastAsia="宋体" w:cs="Times New Roman"/>
                      <w:color w:val="auto"/>
                      <w:lang w:eastAsia="zh-CN"/>
                    </w:rPr>
                    <w:t>/</w:t>
                  </w:r>
                </w:p>
              </w:tc>
              <w:tc>
                <w:tcPr>
                  <w:tcW w:w="664" w:type="pct"/>
                  <w:vMerge w:val="restart"/>
                  <w:vAlign w:val="center"/>
                </w:tcPr>
                <w:p w14:paraId="17998878">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定向外售至已取得饲料生产合法资质的饲料加工企业，或具备规模化养殖资质、配套合规饲料加工车间的养殖场，作为饲料生产原料实现全量资源化利用，不交由无资质散户零散收购处置</w:t>
                  </w:r>
                </w:p>
              </w:tc>
            </w:tr>
            <w:tr w14:paraId="65A1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40AD8332">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沉淀渣</w:t>
                  </w:r>
                </w:p>
              </w:tc>
              <w:tc>
                <w:tcPr>
                  <w:tcW w:w="564" w:type="pct"/>
                  <w:vAlign w:val="center"/>
                </w:tcPr>
                <w:p w14:paraId="23720951">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过滤</w:t>
                  </w:r>
                </w:p>
              </w:tc>
              <w:tc>
                <w:tcPr>
                  <w:tcW w:w="393" w:type="pct"/>
                  <w:shd w:val="clear" w:color="auto" w:fill="auto"/>
                  <w:vAlign w:val="center"/>
                </w:tcPr>
                <w:p w14:paraId="3B7F36B0">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rPr>
                    <w:t>一般固废</w:t>
                  </w:r>
                </w:p>
              </w:tc>
              <w:tc>
                <w:tcPr>
                  <w:tcW w:w="814" w:type="pct"/>
                  <w:shd w:val="clear" w:color="auto" w:fill="auto"/>
                  <w:vAlign w:val="center"/>
                </w:tcPr>
                <w:p w14:paraId="6F93A093">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rPr>
                    <w:t>151-001-S13</w:t>
                  </w:r>
                </w:p>
              </w:tc>
              <w:tc>
                <w:tcPr>
                  <w:tcW w:w="393" w:type="pct"/>
                  <w:shd w:val="clear" w:color="auto" w:fill="auto"/>
                  <w:vAlign w:val="center"/>
                </w:tcPr>
                <w:p w14:paraId="4EC15FB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rPr>
                    <w:t>固体</w:t>
                  </w:r>
                </w:p>
              </w:tc>
              <w:tc>
                <w:tcPr>
                  <w:tcW w:w="472" w:type="pct"/>
                  <w:shd w:val="clear" w:color="auto" w:fill="auto"/>
                  <w:vAlign w:val="center"/>
                </w:tcPr>
                <w:p w14:paraId="7609868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rPr>
                    <w:t>/</w:t>
                  </w:r>
                </w:p>
              </w:tc>
              <w:tc>
                <w:tcPr>
                  <w:tcW w:w="711" w:type="pct"/>
                  <w:shd w:val="clear" w:color="auto" w:fill="auto"/>
                  <w:vAlign w:val="center"/>
                </w:tcPr>
                <w:p w14:paraId="4575B18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3.25</w:t>
                  </w:r>
                </w:p>
              </w:tc>
              <w:tc>
                <w:tcPr>
                  <w:tcW w:w="363" w:type="pct"/>
                  <w:shd w:val="clear" w:color="auto" w:fill="auto"/>
                  <w:vAlign w:val="center"/>
                </w:tcPr>
                <w:p w14:paraId="495E753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eastAsia="zh-CN"/>
                    </w:rPr>
                    <w:t>/</w:t>
                  </w:r>
                </w:p>
              </w:tc>
              <w:tc>
                <w:tcPr>
                  <w:tcW w:w="664" w:type="pct"/>
                  <w:vMerge w:val="continue"/>
                  <w:shd w:val="clear" w:color="auto" w:fill="auto"/>
                  <w:vAlign w:val="center"/>
                </w:tcPr>
                <w:p w14:paraId="4311BC65">
                  <w:pPr>
                    <w:pStyle w:val="29"/>
                    <w:ind w:firstLine="0" w:firstLineChars="0"/>
                    <w:rPr>
                      <w:rFonts w:hint="eastAsia" w:ascii="Times New Roman" w:hAnsi="Times New Roman" w:eastAsia="宋体" w:cs="Times New Roman"/>
                      <w:b w:val="0"/>
                      <w:color w:val="auto"/>
                      <w:kern w:val="2"/>
                      <w:sz w:val="21"/>
                      <w:szCs w:val="21"/>
                      <w:lang w:val="en-US" w:eastAsia="zh-CN" w:bidi="ar-SA"/>
                    </w:rPr>
                  </w:pPr>
                </w:p>
              </w:tc>
            </w:tr>
            <w:tr w14:paraId="4046E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588A9C17">
                  <w:pPr>
                    <w:pStyle w:val="29"/>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酒花槽</w:t>
                  </w:r>
                </w:p>
              </w:tc>
              <w:tc>
                <w:tcPr>
                  <w:tcW w:w="564" w:type="pct"/>
                  <w:vAlign w:val="center"/>
                </w:tcPr>
                <w:p w14:paraId="3961AC30">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沉淀</w:t>
                  </w:r>
                </w:p>
              </w:tc>
              <w:tc>
                <w:tcPr>
                  <w:tcW w:w="393" w:type="pct"/>
                  <w:vAlign w:val="center"/>
                </w:tcPr>
                <w:p w14:paraId="6C6867FC">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一般固废</w:t>
                  </w:r>
                </w:p>
              </w:tc>
              <w:tc>
                <w:tcPr>
                  <w:tcW w:w="814" w:type="pct"/>
                  <w:vAlign w:val="center"/>
                </w:tcPr>
                <w:p w14:paraId="6FB3EABB">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151-001-S13</w:t>
                  </w:r>
                </w:p>
              </w:tc>
              <w:tc>
                <w:tcPr>
                  <w:tcW w:w="393" w:type="pct"/>
                  <w:vAlign w:val="center"/>
                </w:tcPr>
                <w:p w14:paraId="5F53971E">
                  <w:pPr>
                    <w:pStyle w:val="29"/>
                    <w:rPr>
                      <w:rFonts w:hint="eastAsia" w:ascii="Times New Roman" w:hAnsi="Times New Roman" w:eastAsia="宋体" w:cs="Times New Roman"/>
                      <w:color w:val="auto"/>
                    </w:rPr>
                  </w:pPr>
                  <w:r>
                    <w:rPr>
                      <w:rFonts w:hint="eastAsia" w:ascii="Times New Roman" w:hAnsi="Times New Roman" w:eastAsia="宋体" w:cs="Times New Roman"/>
                      <w:color w:val="auto"/>
                    </w:rPr>
                    <w:t>固态</w:t>
                  </w:r>
                </w:p>
              </w:tc>
              <w:tc>
                <w:tcPr>
                  <w:tcW w:w="472" w:type="pct"/>
                  <w:vAlign w:val="center"/>
                </w:tcPr>
                <w:p w14:paraId="72E1C754">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11" w:type="pct"/>
                  <w:shd w:val="clear" w:color="auto" w:fill="auto"/>
                  <w:vAlign w:val="center"/>
                </w:tcPr>
                <w:p w14:paraId="293AF1DE">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2.27</w:t>
                  </w:r>
                </w:p>
              </w:tc>
              <w:tc>
                <w:tcPr>
                  <w:tcW w:w="363" w:type="pct"/>
                  <w:vAlign w:val="center"/>
                </w:tcPr>
                <w:p w14:paraId="659EA386">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664" w:type="pct"/>
                  <w:vMerge w:val="continue"/>
                  <w:vAlign w:val="center"/>
                </w:tcPr>
                <w:p w14:paraId="56FD759B">
                  <w:pPr>
                    <w:pStyle w:val="29"/>
                    <w:rPr>
                      <w:rFonts w:hint="eastAsia" w:ascii="Times New Roman" w:hAnsi="Times New Roman" w:eastAsia="宋体" w:cs="Times New Roman"/>
                      <w:color w:val="auto"/>
                      <w:lang w:val="en-US" w:eastAsia="zh-CN"/>
                    </w:rPr>
                  </w:pPr>
                </w:p>
              </w:tc>
            </w:tr>
            <w:tr w14:paraId="4412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4F5161FB">
                  <w:pPr>
                    <w:pStyle w:val="29"/>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废酵母</w:t>
                  </w:r>
                </w:p>
              </w:tc>
              <w:tc>
                <w:tcPr>
                  <w:tcW w:w="564" w:type="pct"/>
                  <w:vAlign w:val="center"/>
                </w:tcPr>
                <w:p w14:paraId="4A570EEE">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发酵</w:t>
                  </w:r>
                </w:p>
              </w:tc>
              <w:tc>
                <w:tcPr>
                  <w:tcW w:w="393" w:type="pct"/>
                  <w:shd w:val="clear" w:color="auto" w:fill="auto"/>
                  <w:vAlign w:val="center"/>
                </w:tcPr>
                <w:p w14:paraId="0220973C">
                  <w:pPr>
                    <w:pStyle w:val="29"/>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一般固废</w:t>
                  </w:r>
                </w:p>
              </w:tc>
              <w:tc>
                <w:tcPr>
                  <w:tcW w:w="814" w:type="pct"/>
                  <w:shd w:val="clear" w:color="auto" w:fill="auto"/>
                  <w:vAlign w:val="center"/>
                </w:tcPr>
                <w:p w14:paraId="7605AA50">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151-00</w:t>
                  </w:r>
                  <w:r>
                    <w:rPr>
                      <w:rFonts w:hint="eastAsia" w:cs="Times New Roman"/>
                      <w:color w:val="auto"/>
                      <w:lang w:val="en-US" w:eastAsia="zh-CN"/>
                    </w:rPr>
                    <w:t>1</w:t>
                  </w:r>
                  <w:r>
                    <w:rPr>
                      <w:rFonts w:hint="eastAsia" w:ascii="Times New Roman" w:hAnsi="Times New Roman" w:eastAsia="宋体" w:cs="Times New Roman"/>
                      <w:color w:val="auto"/>
                      <w:lang w:val="en-US" w:eastAsia="zh-CN"/>
                    </w:rPr>
                    <w:t>-S13</w:t>
                  </w:r>
                </w:p>
              </w:tc>
              <w:tc>
                <w:tcPr>
                  <w:tcW w:w="393" w:type="pct"/>
                  <w:shd w:val="clear" w:color="auto" w:fill="auto"/>
                  <w:vAlign w:val="center"/>
                </w:tcPr>
                <w:p w14:paraId="39C3BA71">
                  <w:pPr>
                    <w:pStyle w:val="29"/>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固体</w:t>
                  </w:r>
                </w:p>
              </w:tc>
              <w:tc>
                <w:tcPr>
                  <w:tcW w:w="472" w:type="pct"/>
                  <w:vAlign w:val="center"/>
                </w:tcPr>
                <w:p w14:paraId="366D6A5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11" w:type="pct"/>
                  <w:shd w:val="clear" w:color="auto" w:fill="auto"/>
                  <w:vAlign w:val="center"/>
                </w:tcPr>
                <w:p w14:paraId="5FE878D6">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7.5</w:t>
                  </w:r>
                </w:p>
              </w:tc>
              <w:tc>
                <w:tcPr>
                  <w:tcW w:w="363" w:type="pct"/>
                  <w:vAlign w:val="center"/>
                </w:tcPr>
                <w:p w14:paraId="65F1D08B">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664" w:type="pct"/>
                  <w:vMerge w:val="continue"/>
                  <w:vAlign w:val="center"/>
                </w:tcPr>
                <w:p w14:paraId="7B4BA43F">
                  <w:pPr>
                    <w:pStyle w:val="29"/>
                    <w:rPr>
                      <w:rFonts w:hint="eastAsia" w:ascii="Times New Roman" w:hAnsi="Times New Roman" w:eastAsia="宋体" w:cs="Times New Roman"/>
                      <w:color w:val="auto"/>
                      <w:lang w:val="en-US" w:eastAsia="zh-CN"/>
                    </w:rPr>
                  </w:pPr>
                </w:p>
              </w:tc>
            </w:tr>
            <w:tr w14:paraId="679ED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515DBDB5">
                  <w:pPr>
                    <w:pStyle w:val="29"/>
                    <w:rPr>
                      <w:rFonts w:hint="eastAsia" w:ascii="Times New Roman" w:hAnsi="Times New Roman" w:eastAsia="宋体" w:cs="Times New Roman"/>
                      <w:color w:val="auto"/>
                      <w:lang w:val="en-US" w:eastAsia="zh-CN"/>
                    </w:rPr>
                  </w:pPr>
                  <w:r>
                    <w:rPr>
                      <w:rFonts w:hint="eastAsia" w:cs="Times New Roman"/>
                      <w:color w:val="auto"/>
                      <w:lang w:val="en-US" w:eastAsia="zh-CN"/>
                    </w:rPr>
                    <w:t>除尘灰</w:t>
                  </w:r>
                </w:p>
              </w:tc>
              <w:tc>
                <w:tcPr>
                  <w:tcW w:w="564" w:type="pct"/>
                  <w:vAlign w:val="center"/>
                </w:tcPr>
                <w:p w14:paraId="51C77457">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废气处理</w:t>
                  </w:r>
                </w:p>
              </w:tc>
              <w:tc>
                <w:tcPr>
                  <w:tcW w:w="393" w:type="pct"/>
                  <w:shd w:val="clear" w:color="auto" w:fill="auto"/>
                  <w:vAlign w:val="center"/>
                </w:tcPr>
                <w:p w14:paraId="24331B08">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一般固废</w:t>
                  </w:r>
                </w:p>
              </w:tc>
              <w:tc>
                <w:tcPr>
                  <w:tcW w:w="814" w:type="pct"/>
                  <w:shd w:val="clear" w:color="auto" w:fill="auto"/>
                  <w:vAlign w:val="center"/>
                </w:tcPr>
                <w:p w14:paraId="3BCDEE51">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900-099-S59</w:t>
                  </w:r>
                </w:p>
              </w:tc>
              <w:tc>
                <w:tcPr>
                  <w:tcW w:w="393" w:type="pct"/>
                  <w:shd w:val="clear" w:color="auto" w:fill="auto"/>
                  <w:vAlign w:val="center"/>
                </w:tcPr>
                <w:p w14:paraId="1125802B">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固态</w:t>
                  </w:r>
                </w:p>
              </w:tc>
              <w:tc>
                <w:tcPr>
                  <w:tcW w:w="472" w:type="pct"/>
                  <w:vAlign w:val="center"/>
                </w:tcPr>
                <w:p w14:paraId="34EE9596">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11" w:type="pct"/>
                  <w:vAlign w:val="center"/>
                </w:tcPr>
                <w:p w14:paraId="4E0886CC">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0.0079</w:t>
                  </w:r>
                </w:p>
              </w:tc>
              <w:tc>
                <w:tcPr>
                  <w:tcW w:w="363" w:type="pct"/>
                  <w:vAlign w:val="center"/>
                </w:tcPr>
                <w:p w14:paraId="6C54EF04">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664" w:type="pct"/>
                  <w:vAlign w:val="center"/>
                </w:tcPr>
                <w:p w14:paraId="4F1A3B1F">
                  <w:pPr>
                    <w:pStyle w:val="29"/>
                    <w:rPr>
                      <w:rFonts w:hint="eastAsia" w:ascii="Times New Roman" w:hAnsi="Times New Roman" w:eastAsia="宋体" w:cs="Times New Roman"/>
                      <w:color w:val="auto"/>
                      <w:lang w:eastAsia="zh-CN"/>
                    </w:rPr>
                  </w:pPr>
                  <w:r>
                    <w:rPr>
                      <w:rFonts w:hint="eastAsia" w:cs="Times New Roman"/>
                      <w:color w:val="auto"/>
                      <w:lang w:val="en-US" w:eastAsia="zh-CN"/>
                    </w:rPr>
                    <w:t>统一收集后外售</w:t>
                  </w:r>
                </w:p>
              </w:tc>
            </w:tr>
            <w:tr w14:paraId="06C5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52EFC03E">
                  <w:pPr>
                    <w:pStyle w:val="29"/>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废弃包装物</w:t>
                  </w:r>
                </w:p>
              </w:tc>
              <w:tc>
                <w:tcPr>
                  <w:tcW w:w="564" w:type="pct"/>
                  <w:vAlign w:val="center"/>
                </w:tcPr>
                <w:p w14:paraId="050867BC">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包装</w:t>
                  </w:r>
                </w:p>
              </w:tc>
              <w:tc>
                <w:tcPr>
                  <w:tcW w:w="393" w:type="pct"/>
                  <w:shd w:val="clear" w:color="auto" w:fill="auto"/>
                  <w:vAlign w:val="center"/>
                </w:tcPr>
                <w:p w14:paraId="43291C28">
                  <w:pPr>
                    <w:pStyle w:val="29"/>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rPr>
                    <w:t>一般固废</w:t>
                  </w:r>
                </w:p>
              </w:tc>
              <w:tc>
                <w:tcPr>
                  <w:tcW w:w="814" w:type="pct"/>
                  <w:shd w:val="clear" w:color="auto" w:fill="auto"/>
                  <w:vAlign w:val="center"/>
                </w:tcPr>
                <w:p w14:paraId="54996ACB">
                  <w:pPr>
                    <w:pStyle w:val="29"/>
                    <w:jc w:val="both"/>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900-099-S59</w:t>
                  </w:r>
                </w:p>
              </w:tc>
              <w:tc>
                <w:tcPr>
                  <w:tcW w:w="393" w:type="pct"/>
                  <w:shd w:val="clear" w:color="auto" w:fill="auto"/>
                  <w:vAlign w:val="center"/>
                </w:tcPr>
                <w:p w14:paraId="0C6A33D2">
                  <w:pPr>
                    <w:pStyle w:val="29"/>
                    <w:rPr>
                      <w:rFonts w:hint="eastAsia" w:ascii="Times New Roman" w:hAnsi="Times New Roman" w:eastAsia="宋体" w:cs="Times New Roman"/>
                      <w:color w:val="auto"/>
                      <w:lang w:val="en-US" w:eastAsia="zh-CN"/>
                    </w:rPr>
                  </w:pPr>
                  <w:r>
                    <w:rPr>
                      <w:rFonts w:ascii="Times New Roman" w:hAnsi="Times New Roman" w:eastAsia="宋体" w:cs="Times New Roman"/>
                      <w:color w:val="auto"/>
                    </w:rPr>
                    <w:t>固体</w:t>
                  </w:r>
                </w:p>
              </w:tc>
              <w:tc>
                <w:tcPr>
                  <w:tcW w:w="472" w:type="pct"/>
                  <w:shd w:val="clear" w:color="auto" w:fill="auto"/>
                  <w:vAlign w:val="center"/>
                </w:tcPr>
                <w:p w14:paraId="3323D78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11" w:type="pct"/>
                  <w:vAlign w:val="center"/>
                </w:tcPr>
                <w:p w14:paraId="12138B6E">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363" w:type="pct"/>
                  <w:vAlign w:val="center"/>
                </w:tcPr>
                <w:p w14:paraId="575380F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664" w:type="pct"/>
                  <w:vAlign w:val="center"/>
                </w:tcPr>
                <w:p w14:paraId="3CC2C17A">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由当地环卫部门统一处置</w:t>
                  </w:r>
                </w:p>
              </w:tc>
            </w:tr>
            <w:tr w14:paraId="76E0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3B2B81E3">
                  <w:pPr>
                    <w:pStyle w:val="29"/>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化粪池污泥</w:t>
                  </w:r>
                </w:p>
              </w:tc>
              <w:tc>
                <w:tcPr>
                  <w:tcW w:w="564" w:type="pct"/>
                  <w:vAlign w:val="center"/>
                </w:tcPr>
                <w:p w14:paraId="3D0D38CD">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化粪池</w:t>
                  </w:r>
                </w:p>
              </w:tc>
              <w:tc>
                <w:tcPr>
                  <w:tcW w:w="393" w:type="pct"/>
                  <w:shd w:val="clear" w:color="auto" w:fill="auto"/>
                  <w:vAlign w:val="center"/>
                </w:tcPr>
                <w:p w14:paraId="444696C0">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一般固废</w:t>
                  </w:r>
                </w:p>
              </w:tc>
              <w:tc>
                <w:tcPr>
                  <w:tcW w:w="814" w:type="pct"/>
                  <w:shd w:val="clear" w:color="auto" w:fill="auto"/>
                  <w:vAlign w:val="center"/>
                </w:tcPr>
                <w:p w14:paraId="05153CFC">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900-</w:t>
                  </w:r>
                  <w:r>
                    <w:rPr>
                      <w:rFonts w:hint="eastAsia" w:cs="Times New Roman"/>
                      <w:color w:val="auto"/>
                      <w:lang w:val="en-US" w:eastAsia="zh-CN"/>
                    </w:rPr>
                    <w:t>002</w:t>
                  </w:r>
                  <w:r>
                    <w:rPr>
                      <w:rFonts w:hint="eastAsia" w:ascii="Times New Roman" w:hAnsi="Times New Roman" w:eastAsia="宋体" w:cs="Times New Roman"/>
                      <w:color w:val="auto"/>
                      <w:lang w:val="en-US" w:eastAsia="zh-CN"/>
                    </w:rPr>
                    <w:t>-</w:t>
                  </w:r>
                  <w:r>
                    <w:rPr>
                      <w:rFonts w:hint="eastAsia" w:cs="Times New Roman"/>
                      <w:color w:val="auto"/>
                      <w:lang w:val="en-US" w:eastAsia="zh-CN"/>
                    </w:rPr>
                    <w:t>S64</w:t>
                  </w:r>
                </w:p>
              </w:tc>
              <w:tc>
                <w:tcPr>
                  <w:tcW w:w="393" w:type="pct"/>
                  <w:shd w:val="clear" w:color="auto" w:fill="auto"/>
                  <w:vAlign w:val="center"/>
                </w:tcPr>
                <w:p w14:paraId="7FBC2757">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固态</w:t>
                  </w:r>
                </w:p>
              </w:tc>
              <w:tc>
                <w:tcPr>
                  <w:tcW w:w="472" w:type="pct"/>
                  <w:vAlign w:val="center"/>
                </w:tcPr>
                <w:p w14:paraId="555238AB">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11" w:type="pct"/>
                  <w:vAlign w:val="center"/>
                </w:tcPr>
                <w:p w14:paraId="6A6F08C9">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0.03</w:t>
                  </w:r>
                </w:p>
              </w:tc>
              <w:tc>
                <w:tcPr>
                  <w:tcW w:w="363" w:type="pct"/>
                  <w:vAlign w:val="center"/>
                </w:tcPr>
                <w:p w14:paraId="5F03F3E6">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化粪池</w:t>
                  </w:r>
                </w:p>
              </w:tc>
              <w:tc>
                <w:tcPr>
                  <w:tcW w:w="664" w:type="pct"/>
                  <w:vAlign w:val="center"/>
                </w:tcPr>
                <w:p w14:paraId="333B3A9A">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定期清掏后处置</w:t>
                  </w:r>
                </w:p>
              </w:tc>
            </w:tr>
            <w:tr w14:paraId="0995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149B2C6B">
                  <w:pPr>
                    <w:pStyle w:val="29"/>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污水处理站污泥</w:t>
                  </w:r>
                </w:p>
              </w:tc>
              <w:tc>
                <w:tcPr>
                  <w:tcW w:w="564" w:type="pct"/>
                  <w:vAlign w:val="center"/>
                </w:tcPr>
                <w:p w14:paraId="464755C7">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一体化污水处理设备</w:t>
                  </w:r>
                </w:p>
              </w:tc>
              <w:tc>
                <w:tcPr>
                  <w:tcW w:w="393" w:type="pct"/>
                  <w:shd w:val="clear" w:color="auto" w:fill="auto"/>
                  <w:vAlign w:val="center"/>
                </w:tcPr>
                <w:p w14:paraId="537F7BCD">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一般固废</w:t>
                  </w:r>
                </w:p>
              </w:tc>
              <w:tc>
                <w:tcPr>
                  <w:tcW w:w="814" w:type="pct"/>
                  <w:shd w:val="clear" w:color="auto" w:fill="auto"/>
                  <w:vAlign w:val="center"/>
                </w:tcPr>
                <w:p w14:paraId="362FF0EB">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150-001-S07</w:t>
                  </w:r>
                </w:p>
              </w:tc>
              <w:tc>
                <w:tcPr>
                  <w:tcW w:w="393" w:type="pct"/>
                  <w:shd w:val="clear" w:color="auto" w:fill="auto"/>
                  <w:vAlign w:val="center"/>
                </w:tcPr>
                <w:p w14:paraId="115337D2">
                  <w:pPr>
                    <w:pStyle w:val="29"/>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固态</w:t>
                  </w:r>
                </w:p>
              </w:tc>
              <w:tc>
                <w:tcPr>
                  <w:tcW w:w="472" w:type="pct"/>
                  <w:vAlign w:val="center"/>
                </w:tcPr>
                <w:p w14:paraId="4A1F4DA5">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w:t>
                  </w:r>
                </w:p>
              </w:tc>
              <w:tc>
                <w:tcPr>
                  <w:tcW w:w="711" w:type="pct"/>
                  <w:vAlign w:val="center"/>
                </w:tcPr>
                <w:p w14:paraId="50808DFD">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0.38</w:t>
                  </w:r>
                </w:p>
              </w:tc>
              <w:tc>
                <w:tcPr>
                  <w:tcW w:w="363" w:type="pct"/>
                  <w:vAlign w:val="center"/>
                </w:tcPr>
                <w:p w14:paraId="6E984A31">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一体化污水处理设备</w:t>
                  </w:r>
                </w:p>
              </w:tc>
              <w:tc>
                <w:tcPr>
                  <w:tcW w:w="664" w:type="pct"/>
                  <w:vAlign w:val="center"/>
                </w:tcPr>
                <w:p w14:paraId="15128F38">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定期清掏后处置</w:t>
                  </w:r>
                </w:p>
              </w:tc>
            </w:tr>
            <w:tr w14:paraId="28092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5A3E2DB8">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废布袋</w:t>
                  </w:r>
                </w:p>
              </w:tc>
              <w:tc>
                <w:tcPr>
                  <w:tcW w:w="564" w:type="pct"/>
                  <w:vAlign w:val="center"/>
                </w:tcPr>
                <w:p w14:paraId="7BF3E415">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布袋除尘器</w:t>
                  </w:r>
                </w:p>
              </w:tc>
              <w:tc>
                <w:tcPr>
                  <w:tcW w:w="393" w:type="pct"/>
                  <w:shd w:val="clear" w:color="auto" w:fill="auto"/>
                  <w:vAlign w:val="center"/>
                </w:tcPr>
                <w:p w14:paraId="43555D8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rPr>
                    <w:t>一般固废</w:t>
                  </w:r>
                </w:p>
              </w:tc>
              <w:tc>
                <w:tcPr>
                  <w:tcW w:w="814" w:type="pct"/>
                  <w:shd w:val="clear" w:color="auto" w:fill="auto"/>
                  <w:vAlign w:val="center"/>
                </w:tcPr>
                <w:p w14:paraId="1BFEDE7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rPr>
                    <w:t>900-099-S59</w:t>
                  </w:r>
                </w:p>
              </w:tc>
              <w:tc>
                <w:tcPr>
                  <w:tcW w:w="393" w:type="pct"/>
                  <w:shd w:val="clear" w:color="auto" w:fill="auto"/>
                  <w:vAlign w:val="center"/>
                </w:tcPr>
                <w:p w14:paraId="67B51D9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ascii="Times New Roman" w:hAnsi="Times New Roman" w:eastAsia="宋体" w:cs="Times New Roman"/>
                      <w:color w:val="auto"/>
                    </w:rPr>
                    <w:t>固体</w:t>
                  </w:r>
                </w:p>
              </w:tc>
              <w:tc>
                <w:tcPr>
                  <w:tcW w:w="472" w:type="pct"/>
                  <w:shd w:val="clear" w:color="auto" w:fill="auto"/>
                  <w:vAlign w:val="center"/>
                </w:tcPr>
                <w:p w14:paraId="7B63668D">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w:t>
                  </w:r>
                </w:p>
              </w:tc>
              <w:tc>
                <w:tcPr>
                  <w:tcW w:w="711" w:type="pct"/>
                  <w:shd w:val="clear" w:color="auto" w:fill="auto"/>
                  <w:vAlign w:val="center"/>
                </w:tcPr>
                <w:p w14:paraId="4212EBBF">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0.0</w:t>
                  </w:r>
                  <w:r>
                    <w:rPr>
                      <w:rFonts w:hint="eastAsia" w:cs="Times New Roman"/>
                      <w:color w:val="auto"/>
                      <w:lang w:val="en-US" w:eastAsia="zh-CN"/>
                    </w:rPr>
                    <w:t>0</w:t>
                  </w:r>
                  <w:r>
                    <w:rPr>
                      <w:rFonts w:hint="eastAsia" w:ascii="Times New Roman" w:hAnsi="Times New Roman" w:eastAsia="宋体" w:cs="Times New Roman"/>
                      <w:color w:val="auto"/>
                      <w:lang w:val="en-US" w:eastAsia="zh-CN"/>
                    </w:rPr>
                    <w:t>2</w:t>
                  </w:r>
                </w:p>
              </w:tc>
              <w:tc>
                <w:tcPr>
                  <w:tcW w:w="363" w:type="pct"/>
                  <w:shd w:val="clear" w:color="auto" w:fill="auto"/>
                  <w:vAlign w:val="center"/>
                </w:tcPr>
                <w:p w14:paraId="77743F9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color w:val="auto"/>
                      <w:lang w:val="en-US" w:eastAsia="zh-CN"/>
                    </w:rPr>
                    <w:t>/</w:t>
                  </w:r>
                </w:p>
              </w:tc>
              <w:tc>
                <w:tcPr>
                  <w:tcW w:w="664" w:type="pct"/>
                  <w:shd w:val="clear" w:color="auto" w:fill="auto"/>
                  <w:vAlign w:val="center"/>
                </w:tcPr>
                <w:p w14:paraId="48EA7E4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color w:val="auto"/>
                      <w:lang w:eastAsia="zh-CN"/>
                    </w:rPr>
                    <w:t>由当地环卫部门统一处置</w:t>
                  </w:r>
                </w:p>
              </w:tc>
            </w:tr>
            <w:tr w14:paraId="1F7E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1BA9B87A">
                  <w:pPr>
                    <w:pStyle w:val="29"/>
                    <w:bidi w:val="0"/>
                    <w:rPr>
                      <w:rFonts w:hint="eastAsia"/>
                      <w:color w:val="auto"/>
                      <w:lang w:val="en-US" w:eastAsia="zh-CN"/>
                    </w:rPr>
                  </w:pPr>
                  <w:r>
                    <w:rPr>
                      <w:rFonts w:hint="default"/>
                      <w:color w:val="auto"/>
                      <w:lang w:val="en-US" w:eastAsia="zh-CN"/>
                    </w:rPr>
                    <w:t>废滤芯</w:t>
                  </w:r>
                </w:p>
              </w:tc>
              <w:tc>
                <w:tcPr>
                  <w:tcW w:w="564" w:type="pct"/>
                  <w:vMerge w:val="restart"/>
                  <w:vAlign w:val="center"/>
                </w:tcPr>
                <w:p w14:paraId="3365A590">
                  <w:pPr>
                    <w:pStyle w:val="29"/>
                    <w:rPr>
                      <w:rFonts w:hint="default" w:cs="Times New Roman"/>
                      <w:color w:val="auto"/>
                      <w:lang w:val="en-US" w:eastAsia="zh-CN"/>
                    </w:rPr>
                  </w:pPr>
                  <w:r>
                    <w:rPr>
                      <w:rFonts w:hint="eastAsia" w:cs="Times New Roman"/>
                      <w:color w:val="auto"/>
                      <w:lang w:val="en-US" w:eastAsia="zh-CN"/>
                    </w:rPr>
                    <w:t>纯水制备</w:t>
                  </w:r>
                </w:p>
              </w:tc>
              <w:tc>
                <w:tcPr>
                  <w:tcW w:w="393" w:type="pct"/>
                  <w:vMerge w:val="restart"/>
                  <w:shd w:val="clear" w:color="auto" w:fill="auto"/>
                  <w:vAlign w:val="center"/>
                </w:tcPr>
                <w:p w14:paraId="7A9269A0">
                  <w:pPr>
                    <w:pStyle w:val="29"/>
                    <w:ind w:firstLine="0" w:firstLineChars="0"/>
                    <w:rPr>
                      <w:rFonts w:hint="default" w:ascii="Times New Roman" w:hAnsi="Times New Roman" w:eastAsia="宋体" w:cs="Times New Roman"/>
                      <w:color w:val="auto"/>
                    </w:rPr>
                  </w:pPr>
                  <w:r>
                    <w:rPr>
                      <w:rFonts w:hint="default" w:ascii="Times New Roman" w:hAnsi="Times New Roman" w:eastAsia="宋体" w:cs="Times New Roman"/>
                      <w:color w:val="auto"/>
                    </w:rPr>
                    <w:t>一般固废</w:t>
                  </w:r>
                </w:p>
              </w:tc>
              <w:tc>
                <w:tcPr>
                  <w:tcW w:w="814" w:type="pct"/>
                  <w:shd w:val="clear" w:color="auto" w:fill="auto"/>
                  <w:vAlign w:val="center"/>
                </w:tcPr>
                <w:p w14:paraId="0EFA5CFC">
                  <w:pPr>
                    <w:pStyle w:val="29"/>
                    <w:ind w:firstLine="0" w:firstLineChars="0"/>
                    <w:rPr>
                      <w:rFonts w:hint="eastAsia" w:ascii="Times New Roman" w:hAnsi="Times New Roman" w:eastAsia="宋体" w:cs="Times New Roman"/>
                      <w:color w:val="auto"/>
                    </w:rPr>
                  </w:pPr>
                  <w:r>
                    <w:rPr>
                      <w:rFonts w:hint="eastAsia" w:ascii="Times New Roman" w:hAnsi="Times New Roman" w:eastAsia="宋体" w:cs="Times New Roman"/>
                      <w:color w:val="auto"/>
                    </w:rPr>
                    <w:t>900-099-S59</w:t>
                  </w:r>
                </w:p>
              </w:tc>
              <w:tc>
                <w:tcPr>
                  <w:tcW w:w="393" w:type="pct"/>
                  <w:shd w:val="clear" w:color="auto" w:fill="auto"/>
                  <w:vAlign w:val="center"/>
                </w:tcPr>
                <w:p w14:paraId="0076BF18">
                  <w:pPr>
                    <w:pStyle w:val="29"/>
                    <w:ind w:firstLine="0" w:firstLineChars="0"/>
                    <w:rPr>
                      <w:rFonts w:ascii="Times New Roman" w:hAnsi="Times New Roman" w:eastAsia="宋体" w:cs="Times New Roman"/>
                      <w:color w:val="auto"/>
                    </w:rPr>
                  </w:pPr>
                  <w:r>
                    <w:rPr>
                      <w:rFonts w:ascii="Times New Roman" w:hAnsi="Times New Roman" w:eastAsia="宋体" w:cs="Times New Roman"/>
                      <w:color w:val="auto"/>
                    </w:rPr>
                    <w:t>固体</w:t>
                  </w:r>
                </w:p>
              </w:tc>
              <w:tc>
                <w:tcPr>
                  <w:tcW w:w="472" w:type="pct"/>
                  <w:shd w:val="clear" w:color="auto" w:fill="auto"/>
                  <w:vAlign w:val="center"/>
                </w:tcPr>
                <w:p w14:paraId="65B2C84A">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711" w:type="pct"/>
                  <w:shd w:val="clear" w:color="auto" w:fill="auto"/>
                  <w:vAlign w:val="center"/>
                </w:tcPr>
                <w:p w14:paraId="501FCC5C">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0.03</w:t>
                  </w:r>
                </w:p>
              </w:tc>
              <w:tc>
                <w:tcPr>
                  <w:tcW w:w="363" w:type="pct"/>
                  <w:vMerge w:val="restart"/>
                  <w:shd w:val="clear" w:color="auto" w:fill="auto"/>
                  <w:vAlign w:val="center"/>
                </w:tcPr>
                <w:p w14:paraId="11EA104B">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664" w:type="pct"/>
                  <w:vMerge w:val="restart"/>
                  <w:shd w:val="clear" w:color="auto" w:fill="auto"/>
                  <w:vAlign w:val="center"/>
                </w:tcPr>
                <w:p w14:paraId="4B9D2817">
                  <w:pPr>
                    <w:pStyle w:val="29"/>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设备厂家更换回收处理</w:t>
                  </w:r>
                </w:p>
              </w:tc>
            </w:tr>
            <w:tr w14:paraId="209D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1F243311">
                  <w:pPr>
                    <w:pStyle w:val="29"/>
                    <w:bidi w:val="0"/>
                    <w:rPr>
                      <w:rFonts w:hint="eastAsia"/>
                      <w:color w:val="auto"/>
                      <w:lang w:val="en-US" w:eastAsia="zh-CN"/>
                    </w:rPr>
                  </w:pPr>
                  <w:r>
                    <w:rPr>
                      <w:rFonts w:hint="default"/>
                      <w:color w:val="auto"/>
                      <w:lang w:val="en-US" w:eastAsia="zh-CN"/>
                    </w:rPr>
                    <w:t>废石英砂</w:t>
                  </w:r>
                </w:p>
              </w:tc>
              <w:tc>
                <w:tcPr>
                  <w:tcW w:w="564" w:type="pct"/>
                  <w:vMerge w:val="continue"/>
                  <w:vAlign w:val="center"/>
                </w:tcPr>
                <w:p w14:paraId="7621FFD2">
                  <w:pPr>
                    <w:pStyle w:val="29"/>
                    <w:rPr>
                      <w:rFonts w:hint="eastAsia" w:cs="Times New Roman"/>
                      <w:color w:val="auto"/>
                      <w:lang w:val="en-US" w:eastAsia="zh-CN"/>
                    </w:rPr>
                  </w:pPr>
                </w:p>
              </w:tc>
              <w:tc>
                <w:tcPr>
                  <w:tcW w:w="393" w:type="pct"/>
                  <w:vMerge w:val="continue"/>
                  <w:shd w:val="clear" w:color="auto" w:fill="auto"/>
                  <w:vAlign w:val="center"/>
                </w:tcPr>
                <w:p w14:paraId="4AC6CA86">
                  <w:pPr>
                    <w:pStyle w:val="29"/>
                    <w:ind w:firstLine="0" w:firstLineChars="0"/>
                    <w:rPr>
                      <w:rFonts w:hint="default" w:ascii="Times New Roman" w:hAnsi="Times New Roman" w:eastAsia="宋体" w:cs="Times New Roman"/>
                      <w:color w:val="auto"/>
                    </w:rPr>
                  </w:pPr>
                </w:p>
              </w:tc>
              <w:tc>
                <w:tcPr>
                  <w:tcW w:w="814" w:type="pct"/>
                  <w:shd w:val="clear" w:color="auto" w:fill="auto"/>
                  <w:vAlign w:val="center"/>
                </w:tcPr>
                <w:p w14:paraId="551206D3">
                  <w:pPr>
                    <w:pStyle w:val="29"/>
                    <w:ind w:firstLine="0" w:firstLine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900-009-S59</w:t>
                  </w:r>
                </w:p>
              </w:tc>
              <w:tc>
                <w:tcPr>
                  <w:tcW w:w="393" w:type="pct"/>
                  <w:shd w:val="clear" w:color="auto" w:fill="auto"/>
                  <w:vAlign w:val="center"/>
                </w:tcPr>
                <w:p w14:paraId="0DB4DCD4">
                  <w:pPr>
                    <w:pStyle w:val="29"/>
                    <w:ind w:firstLine="0" w:firstLineChars="0"/>
                    <w:rPr>
                      <w:rFonts w:ascii="Times New Roman" w:hAnsi="Times New Roman" w:eastAsia="宋体" w:cs="Times New Roman"/>
                      <w:color w:val="auto"/>
                    </w:rPr>
                  </w:pPr>
                  <w:r>
                    <w:rPr>
                      <w:rFonts w:ascii="Times New Roman" w:hAnsi="Times New Roman" w:eastAsia="宋体" w:cs="Times New Roman"/>
                      <w:color w:val="auto"/>
                    </w:rPr>
                    <w:t>固体</w:t>
                  </w:r>
                </w:p>
              </w:tc>
              <w:tc>
                <w:tcPr>
                  <w:tcW w:w="472" w:type="pct"/>
                  <w:shd w:val="clear" w:color="auto" w:fill="auto"/>
                  <w:vAlign w:val="center"/>
                </w:tcPr>
                <w:p w14:paraId="54416842">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711" w:type="pct"/>
                  <w:shd w:val="clear" w:color="auto" w:fill="auto"/>
                  <w:vAlign w:val="center"/>
                </w:tcPr>
                <w:p w14:paraId="5A68E047">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0.25</w:t>
                  </w:r>
                </w:p>
              </w:tc>
              <w:tc>
                <w:tcPr>
                  <w:tcW w:w="363" w:type="pct"/>
                  <w:vMerge w:val="continue"/>
                  <w:shd w:val="clear" w:color="auto" w:fill="auto"/>
                  <w:vAlign w:val="center"/>
                </w:tcPr>
                <w:p w14:paraId="63A23C87">
                  <w:pPr>
                    <w:pStyle w:val="29"/>
                    <w:ind w:firstLine="0" w:firstLineChars="0"/>
                    <w:rPr>
                      <w:rFonts w:hint="eastAsia" w:ascii="Times New Roman" w:hAnsi="Times New Roman" w:eastAsia="宋体" w:cs="Times New Roman"/>
                      <w:color w:val="auto"/>
                      <w:lang w:val="en-US" w:eastAsia="zh-CN"/>
                    </w:rPr>
                  </w:pPr>
                </w:p>
              </w:tc>
              <w:tc>
                <w:tcPr>
                  <w:tcW w:w="664" w:type="pct"/>
                  <w:vMerge w:val="continue"/>
                  <w:shd w:val="clear" w:color="auto" w:fill="auto"/>
                  <w:vAlign w:val="center"/>
                </w:tcPr>
                <w:p w14:paraId="4EBBB16E">
                  <w:pPr>
                    <w:pStyle w:val="29"/>
                    <w:ind w:firstLine="0" w:firstLineChars="0"/>
                    <w:rPr>
                      <w:rFonts w:hint="default" w:ascii="Times New Roman" w:hAnsi="Times New Roman" w:eastAsia="宋体" w:cs="Times New Roman"/>
                      <w:color w:val="auto"/>
                      <w:lang w:eastAsia="zh-CN"/>
                    </w:rPr>
                  </w:pPr>
                </w:p>
              </w:tc>
            </w:tr>
            <w:tr w14:paraId="4091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274B2496">
                  <w:pPr>
                    <w:autoSpaceDE w:val="0"/>
                    <w:autoSpaceDN w:val="0"/>
                    <w:adjustRightInd w:val="0"/>
                    <w:snapToGrid w:val="0"/>
                    <w:ind w:left="0" w:leftChars="0" w:firstLine="0" w:firstLineChars="0"/>
                    <w:jc w:val="both"/>
                    <w:rPr>
                      <w:rFonts w:hint="eastAsia"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废RO膜</w:t>
                  </w:r>
                </w:p>
              </w:tc>
              <w:tc>
                <w:tcPr>
                  <w:tcW w:w="564" w:type="pct"/>
                  <w:vMerge w:val="continue"/>
                  <w:vAlign w:val="center"/>
                </w:tcPr>
                <w:p w14:paraId="2AA17334">
                  <w:pPr>
                    <w:pStyle w:val="29"/>
                    <w:rPr>
                      <w:rFonts w:hint="eastAsia" w:cs="Times New Roman"/>
                      <w:color w:val="auto"/>
                      <w:lang w:val="en-US" w:eastAsia="zh-CN"/>
                    </w:rPr>
                  </w:pPr>
                </w:p>
              </w:tc>
              <w:tc>
                <w:tcPr>
                  <w:tcW w:w="393" w:type="pct"/>
                  <w:vMerge w:val="continue"/>
                  <w:shd w:val="clear" w:color="auto" w:fill="auto"/>
                  <w:vAlign w:val="center"/>
                </w:tcPr>
                <w:p w14:paraId="281B81C3">
                  <w:pPr>
                    <w:pStyle w:val="29"/>
                    <w:ind w:firstLine="0" w:firstLineChars="0"/>
                    <w:rPr>
                      <w:rFonts w:hint="default" w:ascii="Times New Roman" w:hAnsi="Times New Roman" w:eastAsia="宋体" w:cs="Times New Roman"/>
                      <w:color w:val="auto"/>
                    </w:rPr>
                  </w:pPr>
                </w:p>
              </w:tc>
              <w:tc>
                <w:tcPr>
                  <w:tcW w:w="814" w:type="pct"/>
                  <w:shd w:val="clear" w:color="auto" w:fill="auto"/>
                  <w:vAlign w:val="center"/>
                </w:tcPr>
                <w:p w14:paraId="5EF686F2">
                  <w:pPr>
                    <w:pStyle w:val="29"/>
                    <w:ind w:firstLine="0" w:firstLineChars="0"/>
                    <w:rPr>
                      <w:rFonts w:hint="eastAsia" w:ascii="Times New Roman" w:hAnsi="Times New Roman" w:eastAsia="宋体" w:cs="Times New Roman"/>
                      <w:color w:val="auto"/>
                    </w:rPr>
                  </w:pPr>
                  <w:r>
                    <w:rPr>
                      <w:rFonts w:hint="eastAsia" w:ascii="Times New Roman" w:hAnsi="Times New Roman" w:eastAsia="宋体" w:cs="Times New Roman"/>
                      <w:color w:val="auto"/>
                      <w:lang w:val="en-US" w:eastAsia="zh-CN"/>
                    </w:rPr>
                    <w:t>900-009-S59</w:t>
                  </w:r>
                </w:p>
              </w:tc>
              <w:tc>
                <w:tcPr>
                  <w:tcW w:w="393" w:type="pct"/>
                  <w:shd w:val="clear" w:color="auto" w:fill="auto"/>
                  <w:vAlign w:val="center"/>
                </w:tcPr>
                <w:p w14:paraId="6226B8B7">
                  <w:pPr>
                    <w:pStyle w:val="29"/>
                    <w:ind w:firstLine="0" w:firstLineChars="0"/>
                    <w:rPr>
                      <w:rFonts w:ascii="Times New Roman" w:hAnsi="Times New Roman" w:eastAsia="宋体" w:cs="Times New Roman"/>
                      <w:color w:val="auto"/>
                    </w:rPr>
                  </w:pPr>
                  <w:r>
                    <w:rPr>
                      <w:rFonts w:ascii="Times New Roman" w:hAnsi="Times New Roman" w:eastAsia="宋体" w:cs="Times New Roman"/>
                      <w:color w:val="auto"/>
                    </w:rPr>
                    <w:t>固体</w:t>
                  </w:r>
                </w:p>
              </w:tc>
              <w:tc>
                <w:tcPr>
                  <w:tcW w:w="472" w:type="pct"/>
                  <w:shd w:val="clear" w:color="auto" w:fill="auto"/>
                  <w:vAlign w:val="center"/>
                </w:tcPr>
                <w:p w14:paraId="60AD344A">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w:t>
                  </w:r>
                </w:p>
              </w:tc>
              <w:tc>
                <w:tcPr>
                  <w:tcW w:w="711" w:type="pct"/>
                  <w:shd w:val="clear" w:color="auto" w:fill="auto"/>
                  <w:vAlign w:val="center"/>
                </w:tcPr>
                <w:p w14:paraId="7321295A">
                  <w:pPr>
                    <w:pStyle w:val="29"/>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0.008</w:t>
                  </w:r>
                </w:p>
              </w:tc>
              <w:tc>
                <w:tcPr>
                  <w:tcW w:w="363" w:type="pct"/>
                  <w:vMerge w:val="continue"/>
                  <w:shd w:val="clear" w:color="auto" w:fill="auto"/>
                  <w:vAlign w:val="center"/>
                </w:tcPr>
                <w:p w14:paraId="56B4BC05">
                  <w:pPr>
                    <w:pStyle w:val="29"/>
                    <w:ind w:firstLine="0" w:firstLineChars="0"/>
                    <w:rPr>
                      <w:rFonts w:hint="eastAsia" w:ascii="Times New Roman" w:hAnsi="Times New Roman" w:eastAsia="宋体" w:cs="Times New Roman"/>
                      <w:color w:val="auto"/>
                      <w:lang w:val="en-US" w:eastAsia="zh-CN"/>
                    </w:rPr>
                  </w:pPr>
                </w:p>
              </w:tc>
              <w:tc>
                <w:tcPr>
                  <w:tcW w:w="664" w:type="pct"/>
                  <w:vMerge w:val="continue"/>
                  <w:shd w:val="clear" w:color="auto" w:fill="auto"/>
                  <w:vAlign w:val="center"/>
                </w:tcPr>
                <w:p w14:paraId="23BD50E3">
                  <w:pPr>
                    <w:pStyle w:val="29"/>
                    <w:ind w:firstLine="0" w:firstLineChars="0"/>
                    <w:rPr>
                      <w:rFonts w:hint="default" w:ascii="Times New Roman" w:hAnsi="Times New Roman" w:eastAsia="宋体" w:cs="Times New Roman"/>
                      <w:color w:val="auto"/>
                      <w:lang w:eastAsia="zh-CN"/>
                    </w:rPr>
                  </w:pPr>
                </w:p>
              </w:tc>
            </w:tr>
            <w:tr w14:paraId="0D1D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614C46C4">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废机油</w:t>
                  </w:r>
                </w:p>
              </w:tc>
              <w:tc>
                <w:tcPr>
                  <w:tcW w:w="564" w:type="pct"/>
                  <w:vAlign w:val="center"/>
                </w:tcPr>
                <w:p w14:paraId="49A115EC">
                  <w:pPr>
                    <w:pStyle w:val="29"/>
                    <w:rPr>
                      <w:rFonts w:hint="default" w:ascii="Times New Roman" w:hAnsi="Times New Roman" w:eastAsia="宋体" w:cs="Times New Roman"/>
                      <w:color w:val="auto"/>
                    </w:rPr>
                  </w:pPr>
                  <w:r>
                    <w:rPr>
                      <w:rFonts w:ascii="Times New Roman" w:hAnsi="Times New Roman" w:eastAsia="宋体" w:cs="Times New Roman"/>
                      <w:color w:val="auto"/>
                    </w:rPr>
                    <w:t>机修</w:t>
                  </w:r>
                </w:p>
              </w:tc>
              <w:tc>
                <w:tcPr>
                  <w:tcW w:w="393" w:type="pct"/>
                  <w:vAlign w:val="center"/>
                </w:tcPr>
                <w:p w14:paraId="27505B28">
                  <w:pPr>
                    <w:pStyle w:val="29"/>
                    <w:rPr>
                      <w:rFonts w:hint="default" w:ascii="Times New Roman" w:hAnsi="Times New Roman" w:eastAsia="宋体" w:cs="Times New Roman"/>
                      <w:color w:val="auto"/>
                    </w:rPr>
                  </w:pPr>
                  <w:r>
                    <w:rPr>
                      <w:rFonts w:ascii="Times New Roman" w:hAnsi="Times New Roman" w:eastAsia="宋体" w:cs="Times New Roman"/>
                      <w:color w:val="auto"/>
                    </w:rPr>
                    <w:t>危险废物</w:t>
                  </w:r>
                </w:p>
              </w:tc>
              <w:tc>
                <w:tcPr>
                  <w:tcW w:w="814" w:type="pct"/>
                  <w:vAlign w:val="center"/>
                </w:tcPr>
                <w:p w14:paraId="70B2E3A2">
                  <w:pPr>
                    <w:pStyle w:val="29"/>
                    <w:rPr>
                      <w:rFonts w:hint="default" w:ascii="Times New Roman" w:hAnsi="Times New Roman" w:eastAsia="宋体" w:cs="Times New Roman"/>
                      <w:color w:val="auto"/>
                    </w:rPr>
                  </w:pPr>
                  <w:r>
                    <w:rPr>
                      <w:rFonts w:ascii="Times New Roman" w:hAnsi="Times New Roman" w:eastAsia="宋体" w:cs="Times New Roman"/>
                      <w:color w:val="auto"/>
                    </w:rPr>
                    <w:t>HW08</w:t>
                  </w:r>
                </w:p>
                <w:p w14:paraId="5EC0EAE0">
                  <w:pPr>
                    <w:pStyle w:val="29"/>
                    <w:rPr>
                      <w:rFonts w:hint="default" w:ascii="Times New Roman" w:hAnsi="Times New Roman" w:eastAsia="宋体" w:cs="Times New Roman"/>
                      <w:color w:val="auto"/>
                    </w:rPr>
                  </w:pPr>
                  <w:r>
                    <w:rPr>
                      <w:rFonts w:ascii="Times New Roman" w:hAnsi="Times New Roman" w:eastAsia="宋体" w:cs="Times New Roman"/>
                      <w:color w:val="auto"/>
                    </w:rPr>
                    <w:t>900-2</w:t>
                  </w:r>
                  <w:r>
                    <w:rPr>
                      <w:rFonts w:hint="eastAsia" w:ascii="Times New Roman" w:hAnsi="Times New Roman" w:eastAsia="宋体" w:cs="Times New Roman"/>
                      <w:color w:val="auto"/>
                      <w:lang w:val="en-US" w:eastAsia="zh-CN"/>
                    </w:rPr>
                    <w:t>14-</w:t>
                  </w:r>
                  <w:r>
                    <w:rPr>
                      <w:rFonts w:ascii="Times New Roman" w:hAnsi="Times New Roman" w:eastAsia="宋体" w:cs="Times New Roman"/>
                      <w:color w:val="auto"/>
                    </w:rPr>
                    <w:t>08</w:t>
                  </w:r>
                </w:p>
              </w:tc>
              <w:tc>
                <w:tcPr>
                  <w:tcW w:w="393" w:type="pct"/>
                  <w:vAlign w:val="center"/>
                </w:tcPr>
                <w:p w14:paraId="768F5E77">
                  <w:pPr>
                    <w:pStyle w:val="29"/>
                    <w:rPr>
                      <w:rFonts w:hint="default" w:ascii="Times New Roman" w:hAnsi="Times New Roman" w:eastAsia="宋体" w:cs="Times New Roman"/>
                      <w:color w:val="auto"/>
                    </w:rPr>
                  </w:pPr>
                  <w:r>
                    <w:rPr>
                      <w:rFonts w:ascii="Times New Roman" w:hAnsi="Times New Roman" w:eastAsia="宋体" w:cs="Times New Roman"/>
                      <w:color w:val="auto"/>
                    </w:rPr>
                    <w:t>液体</w:t>
                  </w:r>
                </w:p>
              </w:tc>
              <w:tc>
                <w:tcPr>
                  <w:tcW w:w="472" w:type="pct"/>
                  <w:vAlign w:val="center"/>
                </w:tcPr>
                <w:p w14:paraId="7E9FA234">
                  <w:pPr>
                    <w:pStyle w:val="29"/>
                    <w:rPr>
                      <w:rFonts w:hint="default" w:ascii="Times New Roman" w:hAnsi="Times New Roman" w:eastAsia="宋体" w:cs="Times New Roman"/>
                      <w:color w:val="auto"/>
                    </w:rPr>
                  </w:pPr>
                  <w:r>
                    <w:rPr>
                      <w:rFonts w:hint="eastAsia" w:ascii="Times New Roman" w:hAnsi="Times New Roman" w:eastAsia="宋体" w:cs="Times New Roman"/>
                      <w:color w:val="auto"/>
                    </w:rPr>
                    <w:t>T，I</w:t>
                  </w:r>
                </w:p>
              </w:tc>
              <w:tc>
                <w:tcPr>
                  <w:tcW w:w="711" w:type="pct"/>
                  <w:vAlign w:val="center"/>
                </w:tcPr>
                <w:p w14:paraId="1FD9C7D9">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0.2</w:t>
                  </w:r>
                </w:p>
              </w:tc>
              <w:tc>
                <w:tcPr>
                  <w:tcW w:w="363" w:type="pct"/>
                  <w:vMerge w:val="restart"/>
                  <w:vAlign w:val="center"/>
                </w:tcPr>
                <w:p w14:paraId="3CF7ED2E">
                  <w:pPr>
                    <w:pStyle w:val="29"/>
                    <w:rPr>
                      <w:rFonts w:hint="default" w:ascii="Times New Roman" w:hAnsi="Times New Roman" w:eastAsia="宋体" w:cs="Times New Roman"/>
                      <w:color w:val="auto"/>
                      <w:lang w:eastAsia="zh-CN"/>
                    </w:rPr>
                  </w:pPr>
                  <w:r>
                    <w:rPr>
                      <w:rFonts w:hint="eastAsia" w:ascii="Times New Roman" w:hAnsi="Times New Roman" w:eastAsia="宋体" w:cs="Times New Roman"/>
                      <w:color w:val="auto"/>
                      <w:lang w:eastAsia="zh-CN"/>
                    </w:rPr>
                    <w:t>危废暂存间</w:t>
                  </w:r>
                </w:p>
              </w:tc>
              <w:tc>
                <w:tcPr>
                  <w:tcW w:w="664" w:type="pct"/>
                  <w:vMerge w:val="restart"/>
                  <w:vAlign w:val="center"/>
                </w:tcPr>
                <w:p w14:paraId="166EA768">
                  <w:pPr>
                    <w:pStyle w:val="29"/>
                    <w:rPr>
                      <w:rFonts w:hint="default" w:ascii="Times New Roman" w:hAnsi="Times New Roman" w:eastAsia="宋体" w:cs="Times New Roman"/>
                      <w:color w:val="auto"/>
                      <w:lang w:eastAsia="zh-CN"/>
                    </w:rPr>
                  </w:pPr>
                  <w:r>
                    <w:rPr>
                      <w:rFonts w:hint="eastAsia" w:ascii="Times New Roman" w:hAnsi="Times New Roman" w:eastAsia="宋体" w:cs="Times New Roman"/>
                      <w:color w:val="auto"/>
                      <w:lang w:eastAsia="zh-CN"/>
                    </w:rPr>
                    <w:t>暂存于危废暂存间，委托有资质的单位处理处置</w:t>
                  </w:r>
                </w:p>
              </w:tc>
            </w:tr>
            <w:tr w14:paraId="6171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6D08CA83">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废油桶</w:t>
                  </w:r>
                </w:p>
              </w:tc>
              <w:tc>
                <w:tcPr>
                  <w:tcW w:w="564" w:type="pct"/>
                  <w:vAlign w:val="center"/>
                </w:tcPr>
                <w:p w14:paraId="6D3BE93D">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机修</w:t>
                  </w:r>
                </w:p>
              </w:tc>
              <w:tc>
                <w:tcPr>
                  <w:tcW w:w="393" w:type="pct"/>
                  <w:vAlign w:val="center"/>
                </w:tcPr>
                <w:p w14:paraId="7DB381B6">
                  <w:pPr>
                    <w:pStyle w:val="29"/>
                    <w:rPr>
                      <w:rFonts w:ascii="Times New Roman" w:hAnsi="Times New Roman" w:eastAsia="宋体" w:cs="Times New Roman"/>
                      <w:color w:val="auto"/>
                    </w:rPr>
                  </w:pPr>
                  <w:r>
                    <w:rPr>
                      <w:rFonts w:ascii="Times New Roman" w:hAnsi="Times New Roman" w:eastAsia="宋体" w:cs="Times New Roman"/>
                      <w:color w:val="auto"/>
                    </w:rPr>
                    <w:t>危险废物</w:t>
                  </w:r>
                </w:p>
              </w:tc>
              <w:tc>
                <w:tcPr>
                  <w:tcW w:w="814" w:type="pct"/>
                  <w:vAlign w:val="center"/>
                </w:tcPr>
                <w:p w14:paraId="6B9B947C">
                  <w:pPr>
                    <w:pStyle w:val="29"/>
                    <w:rPr>
                      <w:rFonts w:hint="default" w:ascii="Times New Roman" w:hAnsi="Times New Roman" w:eastAsia="宋体" w:cs="Times New Roman"/>
                      <w:color w:val="auto"/>
                    </w:rPr>
                  </w:pPr>
                  <w:r>
                    <w:rPr>
                      <w:rFonts w:ascii="Times New Roman" w:hAnsi="Times New Roman" w:eastAsia="宋体" w:cs="Times New Roman"/>
                      <w:color w:val="auto"/>
                    </w:rPr>
                    <w:t>HW08</w:t>
                  </w:r>
                </w:p>
                <w:p w14:paraId="61E90C89">
                  <w:pPr>
                    <w:pStyle w:val="29"/>
                    <w:rPr>
                      <w:rFonts w:ascii="Times New Roman" w:hAnsi="Times New Roman" w:eastAsia="宋体" w:cs="Times New Roman"/>
                      <w:color w:val="auto"/>
                    </w:rPr>
                  </w:pPr>
                  <w:r>
                    <w:rPr>
                      <w:rFonts w:ascii="Times New Roman" w:hAnsi="Times New Roman" w:eastAsia="宋体" w:cs="Times New Roman"/>
                      <w:color w:val="auto"/>
                    </w:rPr>
                    <w:t>900-2</w:t>
                  </w:r>
                  <w:r>
                    <w:rPr>
                      <w:rFonts w:hint="eastAsia" w:ascii="Times New Roman" w:hAnsi="Times New Roman" w:eastAsia="宋体" w:cs="Times New Roman"/>
                      <w:color w:val="auto"/>
                      <w:lang w:val="en-US" w:eastAsia="zh-CN"/>
                    </w:rPr>
                    <w:t>49-</w:t>
                  </w:r>
                  <w:r>
                    <w:rPr>
                      <w:rFonts w:ascii="Times New Roman" w:hAnsi="Times New Roman" w:eastAsia="宋体" w:cs="Times New Roman"/>
                      <w:color w:val="auto"/>
                    </w:rPr>
                    <w:t>08</w:t>
                  </w:r>
                </w:p>
              </w:tc>
              <w:tc>
                <w:tcPr>
                  <w:tcW w:w="393" w:type="pct"/>
                  <w:vAlign w:val="center"/>
                </w:tcPr>
                <w:p w14:paraId="4AFE456C">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固体</w:t>
                  </w:r>
                </w:p>
              </w:tc>
              <w:tc>
                <w:tcPr>
                  <w:tcW w:w="472" w:type="pct"/>
                  <w:vAlign w:val="center"/>
                </w:tcPr>
                <w:p w14:paraId="38FA18BA">
                  <w:pPr>
                    <w:pStyle w:val="29"/>
                    <w:rPr>
                      <w:rFonts w:ascii="Times New Roman" w:hAnsi="Times New Roman" w:eastAsia="宋体" w:cs="Times New Roman"/>
                      <w:color w:val="auto"/>
                    </w:rPr>
                  </w:pPr>
                  <w:r>
                    <w:rPr>
                      <w:rFonts w:hint="eastAsia" w:ascii="Times New Roman" w:hAnsi="Times New Roman" w:eastAsia="宋体" w:cs="Times New Roman"/>
                      <w:color w:val="auto"/>
                    </w:rPr>
                    <w:t>T，I</w:t>
                  </w:r>
                </w:p>
              </w:tc>
              <w:tc>
                <w:tcPr>
                  <w:tcW w:w="711" w:type="pct"/>
                  <w:vAlign w:val="center"/>
                </w:tcPr>
                <w:p w14:paraId="4CEEE208">
                  <w:pPr>
                    <w:pStyle w:val="29"/>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0.1</w:t>
                  </w:r>
                </w:p>
              </w:tc>
              <w:tc>
                <w:tcPr>
                  <w:tcW w:w="363" w:type="pct"/>
                  <w:vMerge w:val="continue"/>
                  <w:vAlign w:val="center"/>
                </w:tcPr>
                <w:p w14:paraId="0FDDA088">
                  <w:pPr>
                    <w:pStyle w:val="29"/>
                    <w:rPr>
                      <w:color w:val="auto"/>
                    </w:rPr>
                  </w:pPr>
                </w:p>
              </w:tc>
              <w:tc>
                <w:tcPr>
                  <w:tcW w:w="664" w:type="pct"/>
                  <w:vMerge w:val="continue"/>
                  <w:vAlign w:val="center"/>
                </w:tcPr>
                <w:p w14:paraId="1653847D">
                  <w:pPr>
                    <w:pStyle w:val="29"/>
                    <w:rPr>
                      <w:rFonts w:hint="eastAsia"/>
                      <w:color w:val="auto"/>
                      <w:lang w:eastAsia="zh-CN"/>
                    </w:rPr>
                  </w:pPr>
                </w:p>
              </w:tc>
            </w:tr>
            <w:tr w14:paraId="0BDE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5AE24C54">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废酸液</w:t>
                  </w:r>
                </w:p>
              </w:tc>
              <w:tc>
                <w:tcPr>
                  <w:tcW w:w="564" w:type="pct"/>
                  <w:vAlign w:val="center"/>
                </w:tcPr>
                <w:p w14:paraId="7CCC4E36">
                  <w:pPr>
                    <w:pStyle w:val="29"/>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val="en-US" w:eastAsia="zh-CN"/>
                    </w:rPr>
                    <w:t>CIP清洗</w:t>
                  </w:r>
                </w:p>
              </w:tc>
              <w:tc>
                <w:tcPr>
                  <w:tcW w:w="393" w:type="pct"/>
                  <w:vAlign w:val="center"/>
                </w:tcPr>
                <w:p w14:paraId="738076D1">
                  <w:pPr>
                    <w:pStyle w:val="29"/>
                    <w:rPr>
                      <w:rFonts w:hint="eastAsia" w:ascii="Times New Roman" w:hAnsi="Times New Roman" w:eastAsia="宋体" w:cs="Times New Roman"/>
                      <w:color w:val="auto"/>
                      <w:lang w:val="en-US" w:eastAsia="zh-CN"/>
                    </w:rPr>
                  </w:pPr>
                  <w:r>
                    <w:rPr>
                      <w:rFonts w:hint="eastAsia" w:cs="Times New Roman"/>
                      <w:color w:val="auto"/>
                      <w:lang w:val="en-US" w:eastAsia="zh-CN"/>
                    </w:rPr>
                    <w:t>危险废物</w:t>
                  </w:r>
                </w:p>
              </w:tc>
              <w:tc>
                <w:tcPr>
                  <w:tcW w:w="814" w:type="pct"/>
                  <w:vAlign w:val="center"/>
                </w:tcPr>
                <w:p w14:paraId="669E65F7">
                  <w:pPr>
                    <w:pStyle w:val="29"/>
                    <w:rPr>
                      <w:rFonts w:hint="eastAsia" w:ascii="Times New Roman" w:hAnsi="Times New Roman" w:eastAsia="宋体" w:cs="Times New Roman"/>
                      <w:color w:val="auto"/>
                    </w:rPr>
                  </w:pPr>
                  <w:r>
                    <w:rPr>
                      <w:rFonts w:hint="eastAsia" w:ascii="Times New Roman" w:hAnsi="Times New Roman" w:eastAsia="宋体" w:cs="Times New Roman"/>
                      <w:color w:val="auto"/>
                    </w:rPr>
                    <w:t>HW34</w:t>
                  </w:r>
                </w:p>
                <w:p w14:paraId="4AF24066">
                  <w:pPr>
                    <w:ind w:left="0" w:leftChars="0" w:firstLine="0" w:firstLineChars="0"/>
                    <w:rPr>
                      <w:color w:val="auto"/>
                    </w:rPr>
                  </w:pPr>
                  <w:r>
                    <w:rPr>
                      <w:rFonts w:hint="eastAsia" w:ascii="Times New Roman" w:hAnsi="Times New Roman" w:eastAsia="宋体" w:cs="Times New Roman"/>
                      <w:b w:val="0"/>
                      <w:color w:val="auto"/>
                      <w:kern w:val="2"/>
                      <w:sz w:val="21"/>
                      <w:szCs w:val="21"/>
                      <w:lang w:val="en-US" w:eastAsia="zh-CN" w:bidi="ar-SA"/>
                    </w:rPr>
                    <w:t>900-349-34</w:t>
                  </w:r>
                </w:p>
              </w:tc>
              <w:tc>
                <w:tcPr>
                  <w:tcW w:w="393" w:type="pct"/>
                  <w:vAlign w:val="center"/>
                </w:tcPr>
                <w:p w14:paraId="100942E9">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液体</w:t>
                  </w:r>
                </w:p>
              </w:tc>
              <w:tc>
                <w:tcPr>
                  <w:tcW w:w="472" w:type="pct"/>
                  <w:vAlign w:val="center"/>
                </w:tcPr>
                <w:p w14:paraId="0A5BFBB5">
                  <w:pPr>
                    <w:pStyle w:val="29"/>
                    <w:rPr>
                      <w:rFonts w:hint="eastAsia" w:ascii="Times New Roman" w:hAnsi="Times New Roman" w:eastAsia="宋体" w:cs="Times New Roman"/>
                      <w:color w:val="auto"/>
                    </w:rPr>
                  </w:pPr>
                  <w:r>
                    <w:rPr>
                      <w:rFonts w:hint="eastAsia" w:ascii="Times New Roman" w:hAnsi="Times New Roman" w:eastAsia="宋体" w:cs="Times New Roman"/>
                      <w:color w:val="auto"/>
                    </w:rPr>
                    <w:t>T，I</w:t>
                  </w:r>
                </w:p>
              </w:tc>
              <w:tc>
                <w:tcPr>
                  <w:tcW w:w="711" w:type="pct"/>
                  <w:vAlign w:val="center"/>
                </w:tcPr>
                <w:p w14:paraId="00CB4416">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0.2</w:t>
                  </w:r>
                </w:p>
              </w:tc>
              <w:tc>
                <w:tcPr>
                  <w:tcW w:w="363" w:type="pct"/>
                  <w:vAlign w:val="center"/>
                </w:tcPr>
                <w:p w14:paraId="034070B4">
                  <w:pPr>
                    <w:pStyle w:val="29"/>
                    <w:rPr>
                      <w:color w:val="auto"/>
                    </w:rPr>
                  </w:pPr>
                  <w:r>
                    <w:rPr>
                      <w:rFonts w:hint="eastAsia"/>
                      <w:color w:val="auto"/>
                      <w:lang w:eastAsia="zh-CN"/>
                    </w:rPr>
                    <w:t>危废暂存间</w:t>
                  </w:r>
                </w:p>
              </w:tc>
              <w:tc>
                <w:tcPr>
                  <w:tcW w:w="664" w:type="pct"/>
                  <w:vMerge w:val="continue"/>
                  <w:vAlign w:val="center"/>
                </w:tcPr>
                <w:p w14:paraId="537B20BA">
                  <w:pPr>
                    <w:pStyle w:val="29"/>
                    <w:rPr>
                      <w:rFonts w:hint="eastAsia"/>
                      <w:color w:val="auto"/>
                      <w:lang w:eastAsia="zh-CN"/>
                    </w:rPr>
                  </w:pPr>
                </w:p>
              </w:tc>
            </w:tr>
            <w:tr w14:paraId="3951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79C902F9">
                  <w:pPr>
                    <w:pStyle w:val="29"/>
                    <w:rPr>
                      <w:rFonts w:hint="default" w:cs="Times New Roman"/>
                      <w:color w:val="auto"/>
                      <w:lang w:val="en-US" w:eastAsia="zh-CN"/>
                    </w:rPr>
                  </w:pPr>
                  <w:r>
                    <w:rPr>
                      <w:rFonts w:hint="eastAsia" w:cs="Times New Roman"/>
                      <w:color w:val="auto"/>
                      <w:lang w:val="en-US" w:eastAsia="zh-CN"/>
                    </w:rPr>
                    <w:t>废碱液</w:t>
                  </w:r>
                </w:p>
              </w:tc>
              <w:tc>
                <w:tcPr>
                  <w:tcW w:w="564" w:type="pct"/>
                  <w:vAlign w:val="center"/>
                </w:tcPr>
                <w:p w14:paraId="67BE364A">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CIP清洗</w:t>
                  </w:r>
                </w:p>
              </w:tc>
              <w:tc>
                <w:tcPr>
                  <w:tcW w:w="393" w:type="pct"/>
                  <w:vAlign w:val="center"/>
                </w:tcPr>
                <w:p w14:paraId="4D12FDE6">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危险废物</w:t>
                  </w:r>
                </w:p>
              </w:tc>
              <w:tc>
                <w:tcPr>
                  <w:tcW w:w="814" w:type="pct"/>
                  <w:vAlign w:val="center"/>
                </w:tcPr>
                <w:p w14:paraId="2E885623">
                  <w:pPr>
                    <w:pStyle w:val="29"/>
                    <w:rPr>
                      <w:rFonts w:hint="eastAsia" w:ascii="Times New Roman" w:hAnsi="Times New Roman" w:eastAsia="宋体" w:cs="Times New Roman"/>
                      <w:color w:val="auto"/>
                    </w:rPr>
                  </w:pPr>
                  <w:r>
                    <w:rPr>
                      <w:rFonts w:hint="eastAsia" w:ascii="Times New Roman" w:hAnsi="Times New Roman" w:eastAsia="宋体" w:cs="Times New Roman"/>
                      <w:color w:val="auto"/>
                    </w:rPr>
                    <w:t>HW35</w:t>
                  </w:r>
                </w:p>
                <w:p w14:paraId="17D906EB">
                  <w:pPr>
                    <w:pStyle w:val="29"/>
                    <w:rPr>
                      <w:color w:val="auto"/>
                    </w:rPr>
                  </w:pPr>
                  <w:r>
                    <w:rPr>
                      <w:rFonts w:hint="eastAsia" w:ascii="Times New Roman" w:hAnsi="Times New Roman" w:eastAsia="宋体" w:cs="Times New Roman"/>
                      <w:color w:val="auto"/>
                    </w:rPr>
                    <w:t>900-352-35</w:t>
                  </w:r>
                </w:p>
              </w:tc>
              <w:tc>
                <w:tcPr>
                  <w:tcW w:w="393" w:type="pct"/>
                  <w:vAlign w:val="center"/>
                </w:tcPr>
                <w:p w14:paraId="42DD2504">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液体</w:t>
                  </w:r>
                </w:p>
              </w:tc>
              <w:tc>
                <w:tcPr>
                  <w:tcW w:w="472" w:type="pct"/>
                  <w:vAlign w:val="center"/>
                </w:tcPr>
                <w:p w14:paraId="72D61F22">
                  <w:pPr>
                    <w:pStyle w:val="29"/>
                    <w:rPr>
                      <w:rFonts w:hint="eastAsia" w:ascii="Times New Roman" w:hAnsi="Times New Roman" w:eastAsia="宋体" w:cs="Times New Roman"/>
                      <w:color w:val="auto"/>
                    </w:rPr>
                  </w:pPr>
                  <w:r>
                    <w:rPr>
                      <w:rFonts w:hint="eastAsia" w:ascii="Times New Roman" w:hAnsi="Times New Roman" w:eastAsia="宋体" w:cs="Times New Roman"/>
                      <w:color w:val="auto"/>
                    </w:rPr>
                    <w:t>T，I</w:t>
                  </w:r>
                </w:p>
              </w:tc>
              <w:tc>
                <w:tcPr>
                  <w:tcW w:w="711" w:type="pct"/>
                  <w:vAlign w:val="center"/>
                </w:tcPr>
                <w:p w14:paraId="2489C7D3">
                  <w:pPr>
                    <w:pStyle w:val="29"/>
                    <w:rPr>
                      <w:rFonts w:hint="default" w:ascii="Times New Roman" w:hAnsi="Times New Roman" w:eastAsia="宋体" w:cs="Times New Roman"/>
                      <w:color w:val="auto"/>
                      <w:lang w:val="en-US" w:eastAsia="zh-CN"/>
                    </w:rPr>
                  </w:pPr>
                  <w:r>
                    <w:rPr>
                      <w:rFonts w:hint="eastAsia" w:cs="Times New Roman"/>
                      <w:color w:val="auto"/>
                      <w:lang w:val="en-US" w:eastAsia="zh-CN"/>
                    </w:rPr>
                    <w:t>0.2</w:t>
                  </w:r>
                </w:p>
              </w:tc>
              <w:tc>
                <w:tcPr>
                  <w:tcW w:w="363" w:type="pct"/>
                  <w:vAlign w:val="center"/>
                </w:tcPr>
                <w:p w14:paraId="63669138">
                  <w:pPr>
                    <w:pStyle w:val="29"/>
                    <w:rPr>
                      <w:color w:val="auto"/>
                    </w:rPr>
                  </w:pPr>
                  <w:r>
                    <w:rPr>
                      <w:rFonts w:hint="eastAsia"/>
                      <w:color w:val="auto"/>
                      <w:lang w:eastAsia="zh-CN"/>
                    </w:rPr>
                    <w:t>危废暂存间</w:t>
                  </w:r>
                </w:p>
              </w:tc>
              <w:tc>
                <w:tcPr>
                  <w:tcW w:w="664" w:type="pct"/>
                  <w:vMerge w:val="continue"/>
                  <w:vAlign w:val="center"/>
                </w:tcPr>
                <w:p w14:paraId="1F78650F">
                  <w:pPr>
                    <w:pStyle w:val="29"/>
                    <w:rPr>
                      <w:rFonts w:hint="eastAsia"/>
                      <w:color w:val="auto"/>
                      <w:lang w:eastAsia="zh-CN"/>
                    </w:rPr>
                  </w:pPr>
                </w:p>
              </w:tc>
            </w:tr>
          </w:tbl>
          <w:p w14:paraId="4EFCE618">
            <w:pPr>
              <w:ind w:firstLine="480"/>
              <w:rPr>
                <w:color w:val="auto"/>
              </w:rPr>
            </w:pPr>
            <w:r>
              <w:rPr>
                <w:color w:val="auto"/>
              </w:rPr>
              <w:t>综上所述，在采取以上措施后，项目运营期产生的固体废物去向明确，处置合理，不会造成二次污染。</w:t>
            </w:r>
          </w:p>
          <w:p w14:paraId="04F5CF4E">
            <w:pPr>
              <w:ind w:firstLine="482"/>
              <w:rPr>
                <w:color w:val="auto"/>
              </w:rPr>
            </w:pPr>
            <w:r>
              <w:rPr>
                <w:rFonts w:hint="eastAsia"/>
                <w:b/>
                <w:bCs/>
                <w:color w:val="auto"/>
              </w:rPr>
              <w:t>（二）环境管理要求</w:t>
            </w:r>
          </w:p>
          <w:p w14:paraId="76547539">
            <w:pPr>
              <w:ind w:firstLine="480"/>
              <w:rPr>
                <w:rFonts w:hint="default" w:eastAsia="宋体" w:cs="Times New Roman"/>
                <w:bCs/>
                <w:color w:val="auto"/>
                <w:lang w:val="en-US" w:eastAsia="zh-CN"/>
              </w:rPr>
            </w:pPr>
            <w:r>
              <w:rPr>
                <w:rFonts w:hint="eastAsia" w:cs="Times New Roman"/>
                <w:bCs/>
                <w:color w:val="auto"/>
                <w:lang w:eastAsia="zh-CN"/>
              </w:rPr>
              <w:fldChar w:fldCharType="begin"/>
            </w:r>
            <w:r>
              <w:rPr>
                <w:rFonts w:hint="eastAsia" w:cs="Times New Roman"/>
                <w:bCs/>
                <w:color w:val="auto"/>
                <w:lang w:eastAsia="zh-CN"/>
              </w:rPr>
              <w:instrText xml:space="preserve"> = 1 \* ROMAN \* MERGEFORMAT </w:instrText>
            </w:r>
            <w:r>
              <w:rPr>
                <w:rFonts w:hint="eastAsia" w:cs="Times New Roman"/>
                <w:bCs/>
                <w:color w:val="auto"/>
                <w:lang w:eastAsia="zh-CN"/>
              </w:rPr>
              <w:fldChar w:fldCharType="separate"/>
            </w:r>
            <w:r>
              <w:rPr>
                <w:color w:val="auto"/>
              </w:rPr>
              <w:t>I</w:t>
            </w:r>
            <w:r>
              <w:rPr>
                <w:rFonts w:hint="eastAsia" w:cs="Times New Roman"/>
                <w:bCs/>
                <w:color w:val="auto"/>
                <w:lang w:eastAsia="zh-CN"/>
              </w:rPr>
              <w:fldChar w:fldCharType="end"/>
            </w:r>
            <w:r>
              <w:rPr>
                <w:rFonts w:hint="eastAsia" w:cs="Times New Roman"/>
                <w:bCs/>
                <w:color w:val="auto"/>
                <w:lang w:val="en-US" w:eastAsia="zh-CN"/>
              </w:rPr>
              <w:t>.环境管理要求</w:t>
            </w:r>
          </w:p>
          <w:p w14:paraId="5F252050">
            <w:pPr>
              <w:ind w:firstLine="480"/>
              <w:rPr>
                <w:rFonts w:hint="eastAsia" w:cs="Times New Roman"/>
                <w:bCs/>
                <w:color w:val="auto"/>
                <w:lang w:eastAsia="zh-CN"/>
              </w:rPr>
            </w:pPr>
            <w:r>
              <w:rPr>
                <w:rFonts w:hint="eastAsia" w:cs="Times New Roman"/>
                <w:bCs/>
                <w:color w:val="auto"/>
                <w:lang w:eastAsia="zh-CN"/>
              </w:rPr>
              <w:t>①</w:t>
            </w:r>
            <w:r>
              <w:rPr>
                <w:rFonts w:hint="eastAsia" w:cs="Times New Roman"/>
                <w:bCs/>
                <w:color w:val="auto"/>
                <w:lang w:val="en-US" w:eastAsia="zh-CN"/>
              </w:rPr>
              <w:t>贯彻落实</w:t>
            </w:r>
            <w:r>
              <w:rPr>
                <w:rFonts w:hint="eastAsia" w:cs="Times New Roman"/>
                <w:bCs/>
                <w:color w:val="auto"/>
                <w:lang w:eastAsia="zh-CN"/>
              </w:rPr>
              <w:t>国家相关法律法规为依据，落实防治环境污染和生态破坏的措施以及环境保护设施投资概算，及时向当地生态环境部门汇报各阶段的情况。</w:t>
            </w:r>
          </w:p>
          <w:p w14:paraId="3B882696">
            <w:pPr>
              <w:ind w:firstLine="480"/>
              <w:rPr>
                <w:rFonts w:hint="eastAsia" w:cs="Times New Roman"/>
                <w:bCs/>
                <w:color w:val="auto"/>
                <w:lang w:eastAsia="zh-CN"/>
              </w:rPr>
            </w:pPr>
            <w:r>
              <w:rPr>
                <w:rFonts w:hint="eastAsia" w:cs="Times New Roman"/>
                <w:bCs/>
                <w:color w:val="auto"/>
                <w:lang w:eastAsia="zh-CN"/>
              </w:rPr>
              <w:t>②项目的建设遵循“三同时”制度，即项目环保措施与主体工程同时设计、同时施工、同时投产使用。</w:t>
            </w:r>
          </w:p>
          <w:p w14:paraId="0764460E">
            <w:pPr>
              <w:ind w:firstLine="480"/>
              <w:rPr>
                <w:rFonts w:hint="eastAsia" w:cs="Times New Roman"/>
                <w:bCs/>
                <w:color w:val="auto"/>
                <w:lang w:eastAsia="zh-CN"/>
              </w:rPr>
            </w:pPr>
            <w:r>
              <w:rPr>
                <w:rFonts w:hint="eastAsia" w:cs="Times New Roman"/>
                <w:bCs/>
                <w:color w:val="auto"/>
                <w:lang w:eastAsia="zh-CN"/>
              </w:rPr>
              <w:t>③排污许可制度衔接。根据《固定污染源排污许可分类管理名录(2019年版)》“十、酒、饮料和精制茶制造业15酒的制造151”有发酵工艺的年生产能力5000千升以下的白酒、啤酒、黄酒、葡萄酒、其他酒制造火实行简化管理。本项目属于有发酵工艺的年产</w:t>
            </w:r>
            <w:r>
              <w:rPr>
                <w:rFonts w:hint="eastAsia" w:cs="Times New Roman"/>
                <w:bCs/>
                <w:color w:val="auto"/>
                <w:lang w:val="en-US" w:eastAsia="zh-CN"/>
              </w:rPr>
              <w:t>9</w:t>
            </w:r>
            <w:r>
              <w:rPr>
                <w:rFonts w:hint="eastAsia" w:cs="Times New Roman"/>
                <w:bCs/>
                <w:color w:val="auto"/>
                <w:lang w:eastAsia="zh-CN"/>
              </w:rPr>
              <w:t>00KL啤酒生产项目，且租用玉溪高新区九龙</w:t>
            </w:r>
            <w:r>
              <w:rPr>
                <w:rFonts w:hint="eastAsia" w:cs="Times New Roman"/>
                <w:bCs/>
                <w:color w:val="auto"/>
                <w:lang w:val="en-US" w:eastAsia="zh-CN"/>
              </w:rPr>
              <w:t>片区</w:t>
            </w:r>
            <w:r>
              <w:rPr>
                <w:rFonts w:hint="eastAsia" w:cs="Times New Roman"/>
                <w:bCs/>
                <w:color w:val="auto"/>
                <w:lang w:eastAsia="zh-CN"/>
              </w:rPr>
              <w:t>工业厂房，属于工业厂房内生产行为，故本项目应纳入排污许可管理，排污许可管理类别为简化管理，建设单位需要申请取得排污许可证，在发生实际排污行为之前，按照国家环境保护相关法律法规以及排污许可证申请与核发技术规范要求，在全国排污许可证管理信息平台申请排污许可证。根据《排污许可管理条例》第二条:依照法律规定实行排污许可管理的企业事业单位和其他生产经营者(以下称排污单位)，应当依照本条例规定申请取得排污许可证;未取得排污许可证的，不得排放污染物。故建设单位在发生实际排污行为之前须申请并取得排污许可证。</w:t>
            </w:r>
          </w:p>
          <w:p w14:paraId="50E53CD4">
            <w:pPr>
              <w:ind w:firstLine="480"/>
              <w:rPr>
                <w:rFonts w:hint="eastAsia" w:cs="Times New Roman"/>
                <w:bCs/>
                <w:color w:val="auto"/>
                <w:lang w:val="en-US" w:eastAsia="zh-CN"/>
              </w:rPr>
            </w:pPr>
            <w:r>
              <w:rPr>
                <w:rFonts w:hint="eastAsia" w:cs="Times New Roman"/>
                <w:bCs/>
                <w:color w:val="auto"/>
                <w:lang w:eastAsia="zh-CN"/>
              </w:rPr>
              <w:t>④建设项目竣工后，建设单位或者其委托</w:t>
            </w:r>
            <w:r>
              <w:rPr>
                <w:rFonts w:hint="eastAsia" w:cs="Times New Roman"/>
                <w:bCs/>
                <w:color w:val="auto"/>
                <w:lang w:val="en-US" w:eastAsia="zh-CN"/>
              </w:rPr>
              <w:t>的技术机构应当依照国家有关法律法规建设项目竣工环境保护验收技术规范。建设项目环境影响报告表和审批决定等要求，如实查验、监测、记载建设项目环境保护设施的建设和调试情况，同时还应如实记载其他环境保护对策措施落实情况，编制竣工环境保护验收报告。</w:t>
            </w:r>
          </w:p>
          <w:p w14:paraId="70C33135">
            <w:pPr>
              <w:ind w:firstLine="480"/>
              <w:rPr>
                <w:rFonts w:hint="eastAsia" w:cs="Times New Roman"/>
                <w:bCs/>
                <w:color w:val="auto"/>
                <w:lang w:val="en-US" w:eastAsia="zh-CN"/>
              </w:rPr>
            </w:pPr>
            <w:r>
              <w:rPr>
                <w:rFonts w:hint="eastAsia" w:cs="Times New Roman"/>
                <w:bCs/>
                <w:color w:val="auto"/>
                <w:lang w:val="en-US" w:eastAsia="zh-CN"/>
              </w:rPr>
              <w:fldChar w:fldCharType="begin"/>
            </w:r>
            <w:r>
              <w:rPr>
                <w:rFonts w:hint="eastAsia" w:cs="Times New Roman"/>
                <w:bCs/>
                <w:color w:val="auto"/>
                <w:lang w:val="en-US" w:eastAsia="zh-CN"/>
              </w:rPr>
              <w:instrText xml:space="preserve"> = 5 \* GB3 \* MERGEFORMAT </w:instrText>
            </w:r>
            <w:r>
              <w:rPr>
                <w:rFonts w:hint="eastAsia" w:cs="Times New Roman"/>
                <w:bCs/>
                <w:color w:val="auto"/>
                <w:lang w:val="en-US" w:eastAsia="zh-CN"/>
              </w:rPr>
              <w:fldChar w:fldCharType="separate"/>
            </w:r>
            <w:r>
              <w:rPr>
                <w:color w:val="auto"/>
              </w:rPr>
              <w:t>⑤</w:t>
            </w:r>
            <w:r>
              <w:rPr>
                <w:rFonts w:hint="eastAsia" w:cs="Times New Roman"/>
                <w:bCs/>
                <w:color w:val="auto"/>
                <w:lang w:val="en-US" w:eastAsia="zh-CN"/>
              </w:rPr>
              <w:fldChar w:fldCharType="end"/>
            </w:r>
            <w:r>
              <w:rPr>
                <w:rFonts w:hint="eastAsia" w:cs="Times New Roman"/>
                <w:bCs/>
                <w:color w:val="auto"/>
                <w:lang w:val="en-US" w:eastAsia="zh-CN"/>
              </w:rPr>
              <w:t>验收报告编制完成后，建设单位应组织成立验收工作组。验收工作组由建设单位、设计单位、施工单位、环境影响报告表编制机构、验收报告编制机构等单位代表和专业技术专家组成。建设单位应当对验收工作组提出的问题进行整改，合格后方可出具验收合格的意见。建设项目配套建设的环境保护设施经验收合格后，其主体工程才可以投入运营或者使用，并纳入环境保护管理部门的管理，对项目各阶段工作进行监督、检查。建设单位按照《环境保护信息公开办法》进行相关信息的公开。</w:t>
            </w:r>
          </w:p>
          <w:p w14:paraId="724B35B8">
            <w:pPr>
              <w:ind w:firstLine="480"/>
              <w:rPr>
                <w:rFonts w:hint="eastAsia" w:cs="Times New Roman"/>
                <w:b w:val="0"/>
                <w:bCs w:val="0"/>
                <w:color w:val="auto"/>
                <w:lang w:val="en-US" w:eastAsia="zh-CN"/>
              </w:rPr>
            </w:pPr>
            <w:r>
              <w:rPr>
                <w:rFonts w:hint="eastAsia" w:cs="Times New Roman"/>
                <w:b w:val="0"/>
                <w:bCs w:val="0"/>
                <w:color w:val="auto"/>
                <w:lang w:val="en-US" w:eastAsia="zh-CN"/>
              </w:rPr>
              <w:fldChar w:fldCharType="begin"/>
            </w:r>
            <w:r>
              <w:rPr>
                <w:rFonts w:hint="eastAsia" w:cs="Times New Roman"/>
                <w:b w:val="0"/>
                <w:bCs w:val="0"/>
                <w:color w:val="auto"/>
                <w:lang w:val="en-US" w:eastAsia="zh-CN"/>
              </w:rPr>
              <w:instrText xml:space="preserve"> = 6 \* GB3 \* MERGEFORMAT </w:instrText>
            </w:r>
            <w:r>
              <w:rPr>
                <w:rFonts w:hint="eastAsia" w:cs="Times New Roman"/>
                <w:b w:val="0"/>
                <w:bCs w:val="0"/>
                <w:color w:val="auto"/>
                <w:lang w:val="en-US" w:eastAsia="zh-CN"/>
              </w:rPr>
              <w:fldChar w:fldCharType="separate"/>
            </w:r>
            <w:r>
              <w:rPr>
                <w:b w:val="0"/>
                <w:bCs w:val="0"/>
                <w:color w:val="auto"/>
              </w:rPr>
              <w:t>⑥</w:t>
            </w:r>
            <w:r>
              <w:rPr>
                <w:rFonts w:hint="eastAsia" w:cs="Times New Roman"/>
                <w:b w:val="0"/>
                <w:bCs w:val="0"/>
                <w:color w:val="auto"/>
                <w:lang w:val="en-US" w:eastAsia="zh-CN"/>
              </w:rPr>
              <w:fldChar w:fldCharType="end"/>
            </w:r>
            <w:r>
              <w:rPr>
                <w:rFonts w:hint="eastAsia" w:cs="Times New Roman"/>
                <w:b w:val="0"/>
                <w:bCs w:val="0"/>
                <w:color w:val="auto"/>
                <w:lang w:val="en-US" w:eastAsia="zh-CN"/>
              </w:rPr>
              <w:t>突发环境事件应急预案管理要求</w:t>
            </w:r>
          </w:p>
          <w:p w14:paraId="1281A401">
            <w:pPr>
              <w:ind w:firstLine="480"/>
              <w:rPr>
                <w:rFonts w:hint="eastAsia" w:cs="Times New Roman"/>
                <w:bCs/>
                <w:color w:val="auto"/>
                <w:lang w:val="en-US" w:eastAsia="zh-CN"/>
              </w:rPr>
            </w:pPr>
            <w:r>
              <w:rPr>
                <w:rFonts w:hint="eastAsia" w:cs="Times New Roman"/>
                <w:bCs/>
                <w:color w:val="auto"/>
                <w:lang w:val="en-US" w:eastAsia="zh-CN"/>
              </w:rPr>
              <w:t>本项目属于啤酒制造类排污许可简化管理单位，建设单位应当在项目投产运行前，严格按照《企业突发环境事件风险分级方法》、《突发环境事件应急预案管理暂行办法》相关规范要求，结合本项目CIP清洗酸碱储罐、污水处理站、有机固废暂存间等环境风险源的实际情况，编制完成适配本项目的突发环境事件应急预案。</w:t>
            </w:r>
          </w:p>
          <w:p w14:paraId="1FB5AAC2">
            <w:pPr>
              <w:ind w:firstLine="480"/>
              <w:rPr>
                <w:rFonts w:hint="eastAsia" w:cs="Times New Roman"/>
                <w:bCs/>
                <w:color w:val="auto"/>
                <w:lang w:val="en-US" w:eastAsia="zh-CN"/>
              </w:rPr>
            </w:pPr>
            <w:r>
              <w:rPr>
                <w:rFonts w:hint="eastAsia" w:cs="Times New Roman"/>
                <w:bCs/>
                <w:color w:val="auto"/>
                <w:lang w:val="en-US" w:eastAsia="zh-CN"/>
              </w:rPr>
              <w:t>本项目风险物质总量远低于临界量阈值，无需开展复杂的专项预案评审，仅需完成“一图一表两卡”简化备案材料编制：包含厂区环境风险源分布图、突发环境事件应急处置信息表、岗位应急处置卡、重点风险单元应急处置卡，在投产前向属地生态环境主管部门完成应急预案备案工作，取得备案回执。</w:t>
            </w:r>
          </w:p>
          <w:p w14:paraId="4E431110">
            <w:pPr>
              <w:ind w:firstLine="480"/>
              <w:rPr>
                <w:rFonts w:hint="eastAsia" w:cs="Times New Roman"/>
                <w:bCs/>
                <w:color w:val="auto"/>
                <w:lang w:val="en-US" w:eastAsia="zh-CN"/>
              </w:rPr>
            </w:pPr>
            <w:r>
              <w:rPr>
                <w:rFonts w:hint="eastAsia" w:cs="Times New Roman"/>
                <w:bCs/>
                <w:color w:val="auto"/>
                <w:lang w:val="en-US" w:eastAsia="zh-CN"/>
              </w:rPr>
              <w:t>建设单位需配套落实以下应急管理要求：</w:t>
            </w:r>
          </w:p>
          <w:p w14:paraId="4BBC685D">
            <w:pPr>
              <w:ind w:firstLine="480"/>
              <w:rPr>
                <w:rFonts w:hint="eastAsia" w:cs="Times New Roman"/>
                <w:bCs/>
                <w:color w:val="auto"/>
                <w:lang w:val="en-US" w:eastAsia="zh-CN"/>
              </w:rPr>
            </w:pPr>
            <w:r>
              <w:rPr>
                <w:rFonts w:hint="eastAsia" w:cs="Times New Roman"/>
                <w:bCs/>
                <w:color w:val="auto"/>
                <w:lang w:val="en-US" w:eastAsia="zh-CN"/>
              </w:rPr>
              <w:t>建立企业内部应急组织机构，明确以企业主要负责人为总牵头的应急处置专班，划分现场处置、信息联络、后勤保障等专项小组，明确各岗位应急职责；在厂区配套储备对应应急物资，包括酸碱泄漏中和药剂、防渗吸附材料、应急消防器材、便携式水质快速检测设备等，依托自建事故应急池，实现事故状态下废水全收集、不外排；建立年度应急培训与演练制度，每年至少组织1次覆盖废水泄漏、消防次生污染等典型场景的应急演练，演练后及时复盘优化预案内容，每3年完成一次预案回顾性评估与修订更新，确保预案始终适配项目实际运行工况。</w:t>
            </w:r>
          </w:p>
          <w:p w14:paraId="627DC9F1">
            <w:pPr>
              <w:ind w:firstLine="480"/>
              <w:rPr>
                <w:rFonts w:hint="eastAsia" w:cs="Times New Roman"/>
                <w:bCs/>
                <w:color w:val="auto"/>
                <w:lang w:val="en-US" w:eastAsia="zh-CN"/>
              </w:rPr>
            </w:pPr>
            <w:r>
              <w:rPr>
                <w:rFonts w:hint="eastAsia" w:cs="Times New Roman"/>
                <w:bCs/>
                <w:color w:val="auto"/>
                <w:lang w:val="en-US" w:eastAsia="zh-CN"/>
              </w:rPr>
              <w:t>应急预案相关管理要求需与本项目排污许可申报内容深度衔接，将应急物资储备、演练计划等要求纳入排污许可证载明的环境管理事项，在后续实际排污运营过程中严格落实，有效防范突发环境污染事件风险。</w:t>
            </w:r>
          </w:p>
          <w:p w14:paraId="56B2DA6A">
            <w:pPr>
              <w:ind w:firstLine="480"/>
              <w:rPr>
                <w:rFonts w:hint="eastAsia" w:cs="Times New Roman"/>
                <w:bCs/>
                <w:color w:val="auto"/>
                <w:lang w:val="en-US" w:eastAsia="zh-CN"/>
              </w:rPr>
            </w:pPr>
            <w:r>
              <w:rPr>
                <w:rFonts w:hint="eastAsia" w:cs="Times New Roman"/>
                <w:bCs/>
                <w:color w:val="auto"/>
                <w:lang w:val="en-US" w:eastAsia="zh-CN"/>
              </w:rPr>
              <w:fldChar w:fldCharType="begin"/>
            </w:r>
            <w:r>
              <w:rPr>
                <w:rFonts w:hint="eastAsia" w:cs="Times New Roman"/>
                <w:bCs/>
                <w:color w:val="auto"/>
                <w:lang w:val="en-US" w:eastAsia="zh-CN"/>
              </w:rPr>
              <w:instrText xml:space="preserve"> = 7 \* GB3 \* MERGEFORMAT </w:instrText>
            </w:r>
            <w:r>
              <w:rPr>
                <w:rFonts w:hint="eastAsia" w:cs="Times New Roman"/>
                <w:bCs/>
                <w:color w:val="auto"/>
                <w:lang w:val="en-US" w:eastAsia="zh-CN"/>
              </w:rPr>
              <w:fldChar w:fldCharType="separate"/>
            </w:r>
            <w:r>
              <w:rPr>
                <w:color w:val="auto"/>
              </w:rPr>
              <w:t>⑦</w:t>
            </w:r>
            <w:r>
              <w:rPr>
                <w:rFonts w:hint="eastAsia" w:cs="Times New Roman"/>
                <w:bCs/>
                <w:color w:val="auto"/>
                <w:lang w:val="en-US" w:eastAsia="zh-CN"/>
              </w:rPr>
              <w:fldChar w:fldCharType="end"/>
            </w:r>
            <w:r>
              <w:rPr>
                <w:rFonts w:hint="eastAsia" w:cs="Times New Roman"/>
                <w:bCs/>
                <w:color w:val="auto"/>
                <w:lang w:val="en-US" w:eastAsia="zh-CN"/>
              </w:rPr>
              <w:t>排污口规范化管理</w:t>
            </w:r>
          </w:p>
          <w:p w14:paraId="30E02447">
            <w:pPr>
              <w:ind w:firstLine="480"/>
              <w:rPr>
                <w:rFonts w:hint="eastAsia" w:cs="Times New Roman"/>
                <w:bCs/>
                <w:color w:val="auto"/>
                <w:lang w:val="en-US" w:eastAsia="zh-CN"/>
              </w:rPr>
            </w:pPr>
            <w:r>
              <w:rPr>
                <w:rFonts w:hint="eastAsia" w:cs="Times New Roman"/>
                <w:bCs/>
                <w:color w:val="auto"/>
                <w:lang w:val="en-US" w:eastAsia="zh-CN"/>
              </w:rPr>
              <w:t>对排放口规范化整治的统一要求做到：首先排污口要设立标示管理，按照国家标准规定设立标志牌，根据排放口污染物的排放特点，设置提示性或警告性环境保护图形标志牌。</w:t>
            </w:r>
          </w:p>
          <w:p w14:paraId="783A1CA5">
            <w:pPr>
              <w:ind w:firstLine="480"/>
              <w:rPr>
                <w:rFonts w:hint="eastAsia" w:cs="Times New Roman"/>
                <w:bCs/>
                <w:color w:val="auto"/>
                <w:lang w:val="en-US" w:eastAsia="zh-CN"/>
              </w:rPr>
            </w:pPr>
            <w:r>
              <w:rPr>
                <w:rFonts w:hint="eastAsia" w:cs="Times New Roman"/>
                <w:bCs/>
                <w:color w:val="auto"/>
                <w:lang w:val="en-US" w:eastAsia="zh-CN"/>
              </w:rPr>
              <w:t>a.建设规范化排污口，建设完善规范化排污口，同时建设的规范化排污口要充分考虑便于采集样品、便于监测计量、便于日常环境监督管理的要求。</w:t>
            </w:r>
          </w:p>
          <w:p w14:paraId="33F990D6">
            <w:pPr>
              <w:ind w:firstLine="480"/>
              <w:rPr>
                <w:rFonts w:hint="eastAsia" w:cs="Times New Roman"/>
                <w:bCs/>
                <w:color w:val="auto"/>
                <w:lang w:val="en-US" w:eastAsia="zh-CN"/>
              </w:rPr>
            </w:pPr>
            <w:r>
              <w:rPr>
                <w:rFonts w:hint="eastAsia" w:cs="Times New Roman"/>
                <w:bCs/>
                <w:color w:val="auto"/>
                <w:lang w:val="en-US" w:eastAsia="zh-CN"/>
              </w:rPr>
              <w:t>b.设立标志牌，在自建污水处理设施处理后排入园区污水管网处设置废水排放口标志牌，标识出排放口名称、排放口编号、污染物种类、执行标准等信息。</w:t>
            </w:r>
          </w:p>
          <w:p w14:paraId="2432E63E">
            <w:pPr>
              <w:ind w:firstLine="480"/>
              <w:rPr>
                <w:rFonts w:hint="default" w:cs="Times New Roman"/>
                <w:bCs/>
                <w:color w:val="auto"/>
                <w:lang w:val="en-US" w:eastAsia="zh-CN"/>
              </w:rPr>
            </w:pPr>
            <w:r>
              <w:rPr>
                <w:rFonts w:hint="eastAsia" w:cs="Times New Roman"/>
                <w:bCs/>
                <w:color w:val="auto"/>
                <w:lang w:val="en-US" w:eastAsia="zh-CN"/>
              </w:rPr>
              <w:t>c.建立规范化排污口档案，建立各排污口相应的监督管理档案，内容包括排污单位名称，排污口性质及编号，排污口的地理位置(GPS定位经纬度)，排污口所排放的主要污染物种类、数量、浓度及排放去向、达标情况，设施运行及日常现场监督检查记录等有关资料和记录。</w:t>
            </w:r>
          </w:p>
          <w:p w14:paraId="3852794D">
            <w:pPr>
              <w:ind w:firstLine="480"/>
              <w:rPr>
                <w:rFonts w:hint="eastAsia" w:cs="Times New Roman"/>
                <w:bCs/>
                <w:color w:val="auto"/>
                <w:lang w:val="en-US" w:eastAsia="zh-CN"/>
              </w:rPr>
            </w:pPr>
            <w:r>
              <w:rPr>
                <w:rFonts w:hint="eastAsia" w:cs="Times New Roman"/>
                <w:bCs/>
                <w:color w:val="auto"/>
                <w:lang w:val="en-US" w:eastAsia="zh-CN"/>
              </w:rPr>
              <w:fldChar w:fldCharType="begin"/>
            </w:r>
            <w:r>
              <w:rPr>
                <w:rFonts w:hint="eastAsia" w:cs="Times New Roman"/>
                <w:bCs/>
                <w:color w:val="auto"/>
                <w:lang w:val="en-US" w:eastAsia="zh-CN"/>
              </w:rPr>
              <w:instrText xml:space="preserve"> = 2 \* ROMAN \* MERGEFORMAT </w:instrText>
            </w:r>
            <w:r>
              <w:rPr>
                <w:rFonts w:hint="eastAsia" w:cs="Times New Roman"/>
                <w:bCs/>
                <w:color w:val="auto"/>
                <w:lang w:val="en-US" w:eastAsia="zh-CN"/>
              </w:rPr>
              <w:fldChar w:fldCharType="separate"/>
            </w:r>
            <w:r>
              <w:rPr>
                <w:rFonts w:hint="eastAsia" w:cs="Times New Roman"/>
                <w:bCs/>
                <w:color w:val="auto"/>
                <w:lang w:val="en-US" w:eastAsia="zh-CN"/>
              </w:rPr>
              <w:t>II</w:t>
            </w:r>
            <w:r>
              <w:rPr>
                <w:rFonts w:hint="eastAsia" w:cs="Times New Roman"/>
                <w:bCs/>
                <w:color w:val="auto"/>
                <w:lang w:val="en-US" w:eastAsia="zh-CN"/>
              </w:rPr>
              <w:fldChar w:fldCharType="end"/>
            </w:r>
            <w:r>
              <w:rPr>
                <w:rFonts w:hint="eastAsia" w:cs="Times New Roman"/>
                <w:bCs/>
                <w:color w:val="auto"/>
                <w:lang w:val="en-US" w:eastAsia="zh-CN"/>
              </w:rPr>
              <w:t>.各类固废处置途径合理性论证</w:t>
            </w:r>
          </w:p>
          <w:p w14:paraId="6F7BEADD">
            <w:pPr>
              <w:ind w:firstLine="480"/>
              <w:rPr>
                <w:rFonts w:hint="eastAsia" w:cs="Times New Roman"/>
                <w:bCs/>
                <w:color w:val="auto"/>
                <w:lang w:val="en-US" w:eastAsia="zh-CN"/>
              </w:rPr>
            </w:pPr>
            <w:r>
              <w:rPr>
                <w:rFonts w:hint="eastAsia" w:cs="Times New Roman"/>
                <w:bCs/>
                <w:color w:val="auto"/>
                <w:lang w:val="en-US" w:eastAsia="zh-CN"/>
              </w:rPr>
              <w:t>结合本项目明确的固废处置方案，所有固体废物均按照“分类管控、资源化优先、无害化兜底”的原则匹配对应处置路径，完全符合《固体废物污染环境防治法》及行业污染防治技术政策要求，各品类处置合理性具体如下：</w:t>
            </w:r>
          </w:p>
          <w:p w14:paraId="73D595C9">
            <w:pPr>
              <w:ind w:firstLine="480"/>
              <w:rPr>
                <w:rFonts w:hint="eastAsia" w:cs="Times New Roman"/>
                <w:bCs/>
                <w:color w:val="auto"/>
                <w:lang w:val="en-US" w:eastAsia="zh-CN"/>
              </w:rPr>
            </w:pPr>
            <w:r>
              <w:rPr>
                <w:rFonts w:hint="eastAsia" w:cs="Times New Roman"/>
                <w:bCs/>
                <w:color w:val="auto"/>
                <w:lang w:val="en-US" w:eastAsia="zh-CN"/>
              </w:rPr>
              <w:t>‌麦糟、酒花糟、废酵母‌：该类物料属于高附加值的饲料级有机废弃物，项目采用密闭麦糟罐暂存后定向供应给具备合法饲料生产资质的加工企业，或配套合规饲料车间的规模化养殖场，实现100%资源化利用，同时严格规避无资质散户零散收购，执行即产即清。该路径既避免了有机固废腐败变质产生的恶臭、渗滤液污染问题，又将废弃物转化为农业生产原料，完全契合循环经济导向，技术成熟、经济可行，不存在资源浪费和环境违规风险。</w:t>
            </w:r>
          </w:p>
          <w:p w14:paraId="5A87EADC">
            <w:pPr>
              <w:ind w:firstLine="480"/>
              <w:rPr>
                <w:rFonts w:hint="eastAsia" w:cs="Times New Roman"/>
                <w:bCs/>
                <w:color w:val="auto"/>
                <w:lang w:val="en-US" w:eastAsia="zh-CN"/>
              </w:rPr>
            </w:pPr>
            <w:r>
              <w:rPr>
                <w:rFonts w:hint="eastAsia" w:cs="Times New Roman"/>
                <w:bCs/>
                <w:color w:val="auto"/>
                <w:lang w:val="en-US" w:eastAsia="zh-CN"/>
              </w:rPr>
              <w:t>‌除尘灰‌：统一收集后外售的处置方式，可实现该类物料的二次资源回收利用，避免其作为废弃物直接填埋占用填埋场库容，符合一般工业固废减量化要求。</w:t>
            </w:r>
          </w:p>
          <w:p w14:paraId="09F37F8F">
            <w:pPr>
              <w:ind w:firstLine="480"/>
              <w:rPr>
                <w:rFonts w:hint="eastAsia" w:cs="Times New Roman"/>
                <w:bCs/>
                <w:color w:val="auto"/>
                <w:lang w:val="en-US" w:eastAsia="zh-CN"/>
              </w:rPr>
            </w:pPr>
            <w:r>
              <w:rPr>
                <w:rFonts w:hint="eastAsia" w:cs="Times New Roman"/>
                <w:bCs/>
                <w:color w:val="auto"/>
                <w:lang w:val="en-US" w:eastAsia="zh-CN"/>
              </w:rPr>
              <w:t>‌废弃包装物、废布袋、生活垃圾‌：全部交由当地环卫部门统一处置，依托市政现有规范的生活垃圾收运处置体系完成无害化处理，无需企业额外配套处置设施，路径合规、运维成本可控，可有效避免零散包装物随意丢弃造成的视觉污染和环境遗留问题。</w:t>
            </w:r>
          </w:p>
          <w:p w14:paraId="3A017B8D">
            <w:pPr>
              <w:ind w:firstLine="480"/>
              <w:rPr>
                <w:rFonts w:hint="eastAsia" w:cs="Times New Roman"/>
                <w:bCs/>
                <w:color w:val="auto"/>
                <w:lang w:val="en-US" w:eastAsia="zh-CN"/>
              </w:rPr>
            </w:pPr>
            <w:r>
              <w:rPr>
                <w:rFonts w:hint="eastAsia" w:cs="Times New Roman"/>
                <w:bCs/>
                <w:color w:val="auto"/>
                <w:lang w:val="en-US" w:eastAsia="zh-CN"/>
              </w:rPr>
              <w:t>‌化粪池污泥、污水处理站污泥‌：委托环卫部门专业清掏处置，依托市政污泥规范化处置渠道完成处理，避免污泥随意堆放造成的土壤、水体污染，处置流程符合城镇环境管理相关要求。</w:t>
            </w:r>
          </w:p>
          <w:p w14:paraId="238ED5D4">
            <w:pPr>
              <w:ind w:firstLine="480"/>
              <w:rPr>
                <w:rFonts w:hint="eastAsia" w:cs="Times New Roman"/>
                <w:bCs/>
                <w:color w:val="auto"/>
                <w:lang w:val="en-US" w:eastAsia="zh-CN"/>
              </w:rPr>
            </w:pPr>
            <w:r>
              <w:rPr>
                <w:rFonts w:hint="eastAsia" w:cs="Times New Roman"/>
                <w:bCs/>
                <w:color w:val="auto"/>
                <w:lang w:val="en-US" w:eastAsia="zh-CN"/>
              </w:rPr>
              <w:t>‌废滤芯、废石英砂、废RO膜‌：由设备厂家更换后直接回收处理，依托生产企业的专业回收渠道完成资源化或无害化处置，大幅降低了该类工业废弃滤材的处置环节环境风险，属于行业通用的成熟合规处置模式。</w:t>
            </w:r>
          </w:p>
          <w:p w14:paraId="4C663183">
            <w:pPr>
              <w:ind w:firstLine="480"/>
              <w:rPr>
                <w:rFonts w:hint="eastAsia" w:cs="Times New Roman"/>
                <w:bCs/>
                <w:color w:val="auto"/>
                <w:lang w:val="en-US" w:eastAsia="zh-CN"/>
              </w:rPr>
            </w:pPr>
            <w:r>
              <w:rPr>
                <w:rFonts w:hint="eastAsia" w:cs="Times New Roman"/>
                <w:bCs/>
                <w:color w:val="auto"/>
                <w:lang w:val="en-US" w:eastAsia="zh-CN"/>
              </w:rPr>
              <w:t>‌废机油、废油桶、酸碱废液‌：作为危险废物单独分类收集，暂存于专用危废暂存间后，定期委托具备对应资质的单位转移处置，完全符合危险废物全链条管控的法规要求，杜绝危废混入一般固废体系造成的环境风险。</w:t>
            </w:r>
          </w:p>
          <w:p w14:paraId="21CB5205">
            <w:pPr>
              <w:ind w:firstLine="480"/>
              <w:rPr>
                <w:rFonts w:hint="eastAsia" w:cs="Times New Roman"/>
                <w:bCs/>
                <w:color w:val="auto"/>
                <w:lang w:val="en-US" w:eastAsia="zh-CN"/>
              </w:rPr>
            </w:pPr>
            <w:r>
              <w:rPr>
                <w:rFonts w:hint="eastAsia" w:cs="Times New Roman"/>
                <w:bCs/>
                <w:color w:val="auto"/>
                <w:lang w:val="en-US" w:eastAsia="zh-CN"/>
              </w:rPr>
              <w:t>整体来看，本项目所有固废均已匹配适配性强、合规性高的处置路径，各类固废均得到妥善安置，技术上成熟可靠，经济上企业完全可承担相关处置成本，不存在处置能力缺口和路径不合理问题。</w:t>
            </w:r>
          </w:p>
          <w:p w14:paraId="6E0C2701">
            <w:pPr>
              <w:ind w:firstLine="480"/>
              <w:rPr>
                <w:rFonts w:hint="eastAsia" w:cs="Times New Roman"/>
                <w:b/>
                <w:bCs w:val="0"/>
                <w:color w:val="auto"/>
                <w:lang w:val="en-US" w:eastAsia="zh-CN"/>
              </w:rPr>
            </w:pPr>
            <w:r>
              <w:rPr>
                <w:rFonts w:hint="eastAsia" w:cs="Times New Roman"/>
                <w:b/>
                <w:bCs w:val="0"/>
                <w:color w:val="auto"/>
                <w:lang w:val="en-US" w:eastAsia="zh-CN"/>
              </w:rPr>
              <w:t>全流程二次污染防治完善措施</w:t>
            </w:r>
          </w:p>
          <w:p w14:paraId="6ECB1FC7">
            <w:pPr>
              <w:ind w:firstLine="480"/>
              <w:rPr>
                <w:rFonts w:hint="eastAsia" w:cs="Times New Roman"/>
                <w:bCs/>
                <w:color w:val="auto"/>
                <w:lang w:val="en-US" w:eastAsia="zh-CN"/>
              </w:rPr>
            </w:pPr>
            <w:r>
              <w:rPr>
                <w:rFonts w:hint="eastAsia" w:cs="Times New Roman"/>
                <w:b/>
                <w:bCs w:val="0"/>
                <w:color w:val="auto"/>
                <w:lang w:val="en-US" w:eastAsia="zh-CN"/>
              </w:rPr>
              <w:t>固废暂存环节污染防控：</w:t>
            </w:r>
            <w:r>
              <w:rPr>
                <w:rFonts w:hint="eastAsia" w:cs="Times New Roman"/>
                <w:bCs/>
                <w:color w:val="auto"/>
                <w:lang w:val="en-US" w:eastAsia="zh-CN"/>
              </w:rPr>
              <w:t>严格落实分区分类暂存要求：针对不同属性固废划定专属存放区域，设置清晰的标识标牌，严禁一般固废与危险废物、有机易腐固废与粉状散料混存。所有暂存区域地面采用抗渗混凝土做基础防渗，防渗层渗透系数≤10</w:t>
            </w:r>
            <w:r>
              <w:rPr>
                <w:rFonts w:hint="eastAsia" w:cs="Times New Roman"/>
                <w:bCs/>
                <w:color w:val="auto"/>
                <w:vertAlign w:val="superscript"/>
                <w:lang w:val="en-US" w:eastAsia="zh-CN"/>
              </w:rPr>
              <w:t>-7</w:t>
            </w:r>
            <w:r>
              <w:rPr>
                <w:rFonts w:hint="eastAsia" w:cs="Times New Roman"/>
                <w:bCs/>
                <w:color w:val="auto"/>
                <w:lang w:val="en-US" w:eastAsia="zh-CN"/>
              </w:rPr>
              <w:t>cm/s，周边配套设置防渗漏围堰和渗滤液收集导排系统，收集的少量渗滤液直接送入厂区污水处理站处理，杜绝渗漏污染土壤和地下水。</w:t>
            </w:r>
          </w:p>
          <w:p w14:paraId="29C89A42">
            <w:pPr>
              <w:ind w:firstLine="480"/>
              <w:rPr>
                <w:rFonts w:hint="eastAsia" w:cs="Times New Roman"/>
                <w:bCs/>
                <w:color w:val="auto"/>
                <w:lang w:val="en-US" w:eastAsia="zh-CN"/>
              </w:rPr>
            </w:pPr>
            <w:r>
              <w:rPr>
                <w:rFonts w:hint="eastAsia" w:cs="Times New Roman"/>
                <w:bCs/>
                <w:color w:val="auto"/>
                <w:lang w:val="en-US" w:eastAsia="zh-CN"/>
              </w:rPr>
              <w:t>针对性配置专项防控设施：麦糟、酒花糟、废酵母的密闭麦糟罐配套负压抽风+生物除臭，避免有机物料暂存期间异味扩散；除尘灰暂存区域设置防风围挡，定期洒水抑尘，防止大风天气造成粉尘扬散；危废暂存间严格按照《危险废物贮存污染控制标准》建设，设置双人双锁管理制度，配套泄漏应急收集托盘，避免废机油、酸碱废液渗漏。</w:t>
            </w:r>
          </w:p>
          <w:p w14:paraId="0ADF0594">
            <w:pPr>
              <w:ind w:firstLine="480"/>
              <w:rPr>
                <w:rFonts w:hint="eastAsia" w:cs="Times New Roman"/>
                <w:bCs/>
                <w:color w:val="auto"/>
                <w:lang w:val="en-US" w:eastAsia="zh-CN"/>
              </w:rPr>
            </w:pPr>
            <w:r>
              <w:rPr>
                <w:rFonts w:hint="eastAsia" w:cs="Times New Roman"/>
                <w:bCs/>
                <w:color w:val="auto"/>
                <w:lang w:val="en-US" w:eastAsia="zh-CN"/>
              </w:rPr>
              <w:t>建立日常巡检机制：安排专人每日对各暂存区域的防渗设施、密闭设施、除臭抑尘设备运行状态进行核查，建立巡检台账，发现破损、泄漏隐患第一时间处置，有机易腐类固废严格落实即产即清要求，最长暂存时长不超过72小时。</w:t>
            </w:r>
          </w:p>
          <w:p w14:paraId="350894D2">
            <w:pPr>
              <w:ind w:firstLine="480"/>
              <w:rPr>
                <w:rFonts w:hint="eastAsia" w:cs="Times New Roman"/>
                <w:bCs/>
                <w:color w:val="auto"/>
                <w:lang w:val="en-US" w:eastAsia="zh-CN"/>
              </w:rPr>
            </w:pPr>
            <w:r>
              <w:rPr>
                <w:rFonts w:hint="eastAsia" w:cs="Times New Roman"/>
                <w:b/>
                <w:bCs w:val="0"/>
                <w:color w:val="auto"/>
                <w:lang w:val="en-US" w:eastAsia="zh-CN"/>
              </w:rPr>
              <w:t>固废转移环节污染防控：</w:t>
            </w:r>
            <w:r>
              <w:rPr>
                <w:rFonts w:hint="eastAsia" w:cs="Times New Roman"/>
                <w:bCs/>
                <w:color w:val="auto"/>
                <w:lang w:val="en-US" w:eastAsia="zh-CN"/>
              </w:rPr>
              <w:t>运输过程全密闭管控：所有出厂固废全部采用专用密闭运输车辆，车厢配套防扬散、防流失、防渗漏设施，粉状、液态类固废运输车辆全程做好苫盖，严禁超量装载，杜绝运输途中遗撒、滴漏污染市政道路和沿线环境。运输路线提前向属地主管部门报备，避开饮用水源保护区、居民区等环境敏感区域。全链条追溯管理：搭建固废数字化管控台账，如实记录每一批次固废的种类、数量、出厂时间、运输车辆信息、接收单位信息，严格执行转移联单制度，确保固废全程可追溯，杜绝中途私自倾倒、转运至不合规场所的风险。转移前责任确认：固废出厂前与接收单位签订正式处置协议，明确双方污染防治责任，提前核验接收单位的对应经营资质，确保所有固废全部送达约定的合规处置点位。</w:t>
            </w:r>
          </w:p>
          <w:p w14:paraId="5269B924">
            <w:pPr>
              <w:ind w:firstLine="480"/>
              <w:rPr>
                <w:rFonts w:hint="eastAsia" w:cs="Times New Roman"/>
                <w:bCs/>
                <w:color w:val="auto"/>
                <w:lang w:val="en-US" w:eastAsia="zh-CN"/>
              </w:rPr>
            </w:pPr>
            <w:r>
              <w:rPr>
                <w:rFonts w:hint="eastAsia" w:cs="Times New Roman"/>
                <w:b/>
                <w:bCs w:val="0"/>
                <w:color w:val="auto"/>
                <w:lang w:val="en-US" w:eastAsia="zh-CN"/>
              </w:rPr>
              <w:t>末端处置长效风险防控：</w:t>
            </w:r>
            <w:r>
              <w:rPr>
                <w:rFonts w:hint="eastAsia" w:cs="Times New Roman"/>
                <w:bCs/>
                <w:color w:val="auto"/>
                <w:lang w:val="en-US" w:eastAsia="zh-CN"/>
              </w:rPr>
              <w:t>定期回访核查：每半年对固废接收利用单位开展一次现场回访，核实固废实际利用处置情况，严禁接收单位将本项目供应的固废再次非法倾倒、违规填埋，每年至少开展1次全流程环境风险评估，及时排查潜在污染隐患。</w:t>
            </w:r>
          </w:p>
          <w:p w14:paraId="3BE8D7C2">
            <w:pPr>
              <w:ind w:firstLine="480"/>
              <w:rPr>
                <w:rFonts w:hint="eastAsia" w:cs="Times New Roman"/>
                <w:bCs/>
                <w:color w:val="auto"/>
                <w:lang w:val="en-US" w:eastAsia="zh-CN"/>
              </w:rPr>
            </w:pPr>
            <w:r>
              <w:rPr>
                <w:rFonts w:hint="eastAsia" w:cs="Times New Roman"/>
                <w:bCs/>
                <w:color w:val="auto"/>
                <w:lang w:val="en-US" w:eastAsia="zh-CN"/>
              </w:rPr>
              <w:t>完善监测与应急体系：在厂区地下水上下游分别布设跟踪监测点位，每年开展1次地下水水质监测，及时发现可能存在的渗漏污染隐患；编制固废环境风险应急预案，配套应急物资，定期开展应急演练，一旦发生泄漏、遗撒等突发情况可快速处置。</w:t>
            </w:r>
          </w:p>
          <w:p w14:paraId="44C12346">
            <w:pPr>
              <w:ind w:firstLine="480"/>
              <w:rPr>
                <w:rFonts w:hint="eastAsia" w:cs="Times New Roman"/>
                <w:bCs/>
                <w:color w:val="auto"/>
                <w:lang w:val="en-US" w:eastAsia="zh-CN"/>
              </w:rPr>
            </w:pPr>
            <w:r>
              <w:rPr>
                <w:rFonts w:hint="eastAsia" w:cs="Times New Roman"/>
                <w:bCs/>
                <w:color w:val="auto"/>
                <w:lang w:val="en-US" w:eastAsia="zh-CN"/>
              </w:rPr>
              <w:t>持续推进源头减量：通过工艺优化进一步降低固废产生强度，优先选用可循环包装、低损耗过滤材料，从源头减少固废产生量，逐步提升全厂固废资源化利用比例，进一步降低全流程环境风险。</w:t>
            </w:r>
          </w:p>
          <w:p w14:paraId="594116BE">
            <w:pPr>
              <w:bidi w:val="0"/>
              <w:rPr>
                <w:rFonts w:hint="default"/>
                <w:color w:val="auto"/>
                <w:lang w:val="en-US" w:eastAsia="zh-CN"/>
              </w:rPr>
            </w:pPr>
            <w:r>
              <w:rPr>
                <w:rFonts w:hint="eastAsia"/>
                <w:color w:val="auto"/>
                <w:lang w:val="en-US" w:eastAsia="zh-CN"/>
              </w:rPr>
              <w:fldChar w:fldCharType="begin"/>
            </w:r>
            <w:r>
              <w:rPr>
                <w:rFonts w:hint="eastAsia"/>
                <w:color w:val="auto"/>
                <w:lang w:val="en-US" w:eastAsia="zh-CN"/>
              </w:rPr>
              <w:instrText xml:space="preserve"> = 3 \* ROMAN \* MERGEFORMAT </w:instrText>
            </w:r>
            <w:r>
              <w:rPr>
                <w:rFonts w:hint="eastAsia"/>
                <w:color w:val="auto"/>
                <w:lang w:val="en-US" w:eastAsia="zh-CN"/>
              </w:rPr>
              <w:fldChar w:fldCharType="separate"/>
            </w:r>
            <w:r>
              <w:rPr>
                <w:color w:val="auto"/>
              </w:rPr>
              <w:t>III</w:t>
            </w:r>
            <w:r>
              <w:rPr>
                <w:rFonts w:hint="eastAsia"/>
                <w:color w:val="auto"/>
                <w:lang w:val="en-US" w:eastAsia="zh-CN"/>
              </w:rPr>
              <w:fldChar w:fldCharType="end"/>
            </w:r>
            <w:r>
              <w:rPr>
                <w:rFonts w:hint="eastAsia"/>
                <w:color w:val="auto"/>
                <w:lang w:val="en-US" w:eastAsia="zh-CN"/>
              </w:rPr>
              <w:t>.危废暂存间管理要求</w:t>
            </w:r>
          </w:p>
          <w:p w14:paraId="3D10F09C">
            <w:pPr>
              <w:bidi w:val="0"/>
              <w:rPr>
                <w:rFonts w:hint="eastAsia"/>
                <w:color w:val="auto"/>
                <w:lang w:val="en-US" w:eastAsia="zh-CN"/>
              </w:rPr>
            </w:pPr>
            <w:r>
              <w:rPr>
                <w:rFonts w:hint="eastAsia"/>
                <w:color w:val="auto"/>
                <w:lang w:val="en-US" w:eastAsia="zh-CN"/>
              </w:rPr>
              <w:t>本环评要求建设单位在厂区内新建1个危废暂存间，占地面积为10m</w:t>
            </w:r>
            <w:r>
              <w:rPr>
                <w:rFonts w:hint="eastAsia"/>
                <w:color w:val="auto"/>
                <w:vertAlign w:val="superscript"/>
                <w:lang w:val="en-US" w:eastAsia="zh-CN"/>
              </w:rPr>
              <w:t>2</w:t>
            </w:r>
            <w:r>
              <w:rPr>
                <w:rFonts w:hint="eastAsia"/>
                <w:color w:val="auto"/>
                <w:lang w:val="en-US" w:eastAsia="zh-CN"/>
              </w:rPr>
              <w:t>。根据《危险废物贮存污染控制标准》（GB18597-2023）的要求，危废贮存、危废暂存间的设置和危废管理要求如下：</w:t>
            </w:r>
          </w:p>
          <w:p w14:paraId="07996949">
            <w:pPr>
              <w:bidi w:val="0"/>
              <w:rPr>
                <w:rFonts w:hint="eastAsia"/>
                <w:color w:val="auto"/>
                <w:lang w:val="en-US" w:eastAsia="zh-CN"/>
              </w:rPr>
            </w:pPr>
            <w:r>
              <w:rPr>
                <w:rFonts w:hint="eastAsia"/>
                <w:color w:val="auto"/>
                <w:lang w:val="en-US" w:eastAsia="zh-CN"/>
              </w:rPr>
              <w:t>1、废机油贮存容器要求</w:t>
            </w:r>
          </w:p>
          <w:p w14:paraId="67AD3115">
            <w:pPr>
              <w:bidi w:val="0"/>
              <w:rPr>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color w:val="auto"/>
              </w:rPr>
              <w:t>危险废物的容器必须设置危险废物标识；</w:t>
            </w:r>
          </w:p>
          <w:p w14:paraId="1ECCE5A6">
            <w:pPr>
              <w:bidi w:val="0"/>
              <w:rPr>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color w:val="auto"/>
              </w:rPr>
              <w:t>装载危险废物的容器要完好无损，防渗漏；</w:t>
            </w:r>
          </w:p>
          <w:p w14:paraId="28CB99ED">
            <w:pPr>
              <w:bidi w:val="0"/>
              <w:rPr>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color w:val="auto"/>
              </w:rPr>
              <w:t>盛装危险废物的容器材质和衬里要与危险废物相容（不相互反应）；</w:t>
            </w:r>
          </w:p>
          <w:p w14:paraId="37CE86FD">
            <w:pPr>
              <w:bidi w:val="0"/>
              <w:rPr>
                <w:rFonts w:hint="eastAsia"/>
                <w:color w:val="auto"/>
                <w:lang w:val="en-US" w:eastAsia="zh-CN"/>
              </w:rPr>
            </w:pPr>
            <w:r>
              <w:rPr>
                <w:rFonts w:hint="default"/>
                <w:color w:val="auto"/>
                <w:lang w:eastAsia="zh-CN"/>
              </w:rPr>
              <w:t>（</w:t>
            </w:r>
            <w:r>
              <w:rPr>
                <w:rFonts w:hint="default"/>
                <w:color w:val="auto"/>
                <w:lang w:val="en-US" w:eastAsia="zh-CN"/>
              </w:rPr>
              <w:t>4</w:t>
            </w:r>
            <w:r>
              <w:rPr>
                <w:rFonts w:hint="default"/>
                <w:color w:val="auto"/>
                <w:lang w:eastAsia="zh-CN"/>
              </w:rPr>
              <w:t>）</w:t>
            </w:r>
            <w:r>
              <w:rPr>
                <w:color w:val="auto"/>
              </w:rPr>
              <w:t>装载危险废物的容器及材质要满足相应的强度要求。</w:t>
            </w:r>
          </w:p>
          <w:p w14:paraId="7EB93613">
            <w:pPr>
              <w:bidi w:val="0"/>
              <w:rPr>
                <w:rFonts w:hint="eastAsia"/>
                <w:color w:val="auto"/>
                <w:lang w:val="en-US" w:eastAsia="zh-CN"/>
              </w:rPr>
            </w:pPr>
            <w:r>
              <w:rPr>
                <w:rFonts w:hint="eastAsia"/>
                <w:color w:val="auto"/>
                <w:lang w:val="en-US" w:eastAsia="zh-CN"/>
              </w:rPr>
              <w:t>2、危险废物暂存间设计及施工要求</w:t>
            </w:r>
          </w:p>
          <w:p w14:paraId="08419B1D">
            <w:pPr>
              <w:bidi w:val="0"/>
              <w:rPr>
                <w:rFonts w:hint="eastAsia"/>
                <w:color w:val="auto"/>
                <w:lang w:val="en-US" w:eastAsia="zh-CN"/>
              </w:rPr>
            </w:pPr>
            <w:r>
              <w:rPr>
                <w:rFonts w:hint="eastAsia"/>
                <w:color w:val="auto"/>
                <w:lang w:val="en-US" w:eastAsia="zh-CN"/>
              </w:rPr>
              <w:t>（1）危废暂存间必须要密闭建设，地面做防渗、硬化措施，地面与裙脚要用坚固、防渗的材料建造，建筑材料必须与危险废物相容；</w:t>
            </w:r>
          </w:p>
          <w:p w14:paraId="0BF5FECA">
            <w:pPr>
              <w:bidi w:val="0"/>
              <w:rPr>
                <w:rFonts w:hint="eastAsia"/>
                <w:color w:val="auto"/>
                <w:lang w:val="en-US" w:eastAsia="zh-CN"/>
              </w:rPr>
            </w:pPr>
            <w:r>
              <w:rPr>
                <w:rFonts w:hint="eastAsia"/>
                <w:color w:val="auto"/>
                <w:lang w:val="en-US" w:eastAsia="zh-CN"/>
              </w:rPr>
              <w:t>（2）危废间内必须设有收集装置，如托盘、导流沟、收集池等，用以存放装载液体、半固体危险废物容器的地方，必须有耐腐蚀的硬化地面，且表面无裂隙。</w:t>
            </w:r>
          </w:p>
          <w:p w14:paraId="1BBB32C1">
            <w:pPr>
              <w:bidi w:val="0"/>
              <w:rPr>
                <w:rFonts w:hint="eastAsia"/>
                <w:color w:val="auto"/>
                <w:lang w:val="en-US" w:eastAsia="zh-CN"/>
              </w:rPr>
            </w:pPr>
            <w:r>
              <w:rPr>
                <w:rFonts w:hint="eastAsia"/>
                <w:color w:val="auto"/>
                <w:lang w:val="en-US" w:eastAsia="zh-CN"/>
              </w:rPr>
              <w:t>（3）危废间门口张贴危险废物标识（详见图4-7），危废间内要有安全照明设施和观察窗口；</w:t>
            </w:r>
          </w:p>
          <w:p w14:paraId="445D5573">
            <w:pPr>
              <w:bidi w:val="0"/>
              <w:jc w:val="center"/>
              <w:rPr>
                <w:rFonts w:hint="eastAsia"/>
                <w:color w:val="auto"/>
                <w:lang w:val="en-US" w:eastAsia="zh-CN"/>
              </w:rPr>
            </w:pPr>
            <w:r>
              <w:rPr>
                <w:rFonts w:hint="eastAsia"/>
                <w:color w:val="auto"/>
              </w:rPr>
              <w:drawing>
                <wp:inline distT="0" distB="0" distL="114300" distR="114300">
                  <wp:extent cx="3041650" cy="1610995"/>
                  <wp:effectExtent l="0" t="0" r="6350" b="8255"/>
                  <wp:docPr id="1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3"/>
                          <pic:cNvPicPr>
                            <a:picLocks noChangeAspect="1"/>
                          </pic:cNvPicPr>
                        </pic:nvPicPr>
                        <pic:blipFill>
                          <a:blip r:embed="rId44"/>
                          <a:stretch>
                            <a:fillRect/>
                          </a:stretch>
                        </pic:blipFill>
                        <pic:spPr>
                          <a:xfrm>
                            <a:off x="0" y="0"/>
                            <a:ext cx="3041650" cy="1610995"/>
                          </a:xfrm>
                          <a:prstGeom prst="rect">
                            <a:avLst/>
                          </a:prstGeom>
                          <a:noFill/>
                          <a:ln>
                            <a:noFill/>
                          </a:ln>
                        </pic:spPr>
                      </pic:pic>
                    </a:graphicData>
                  </a:graphic>
                </wp:inline>
              </w:drawing>
            </w:r>
          </w:p>
          <w:p w14:paraId="039926D9">
            <w:pPr>
              <w:pStyle w:val="30"/>
              <w:bidi w:val="0"/>
              <w:rPr>
                <w:rFonts w:hint="default"/>
                <w:color w:val="auto"/>
                <w:lang w:val="en-US" w:eastAsia="zh-CN"/>
              </w:rPr>
            </w:pPr>
            <w:r>
              <w:rPr>
                <w:rFonts w:hint="eastAsia"/>
                <w:color w:val="auto"/>
                <w:lang w:val="en-US" w:eastAsia="zh-CN"/>
              </w:rPr>
              <w:t>图4-8    危险废物标识示意图</w:t>
            </w:r>
          </w:p>
          <w:p w14:paraId="3696D3EB">
            <w:pPr>
              <w:bidi w:val="0"/>
              <w:rPr>
                <w:rFonts w:hint="eastAsia"/>
                <w:color w:val="auto"/>
                <w:lang w:val="en-US" w:eastAsia="zh-CN"/>
              </w:rPr>
            </w:pPr>
            <w:r>
              <w:rPr>
                <w:rFonts w:hint="eastAsia"/>
                <w:color w:val="auto"/>
                <w:lang w:val="en-US" w:eastAsia="zh-CN"/>
              </w:rPr>
              <w:t>（4）应设计堵截泄漏的裙脚，地面与裙脚所围建的容积不低于堵截最大容器的最大储量的总储量的五分之一。</w:t>
            </w:r>
          </w:p>
          <w:p w14:paraId="70572BE1">
            <w:pPr>
              <w:bidi w:val="0"/>
              <w:rPr>
                <w:rFonts w:hint="eastAsia"/>
                <w:color w:val="auto"/>
                <w:lang w:val="en-US" w:eastAsia="zh-CN"/>
              </w:rPr>
            </w:pPr>
            <w:r>
              <w:rPr>
                <w:rFonts w:hint="eastAsia"/>
                <w:color w:val="auto"/>
                <w:lang w:val="en-US" w:eastAsia="zh-CN"/>
              </w:rPr>
              <w:t>（5）不相容的危险废物必须分开存放，并设有隔离间隔断。</w:t>
            </w:r>
          </w:p>
          <w:p w14:paraId="552606B2">
            <w:pPr>
              <w:bidi w:val="0"/>
              <w:rPr>
                <w:rFonts w:hint="eastAsia"/>
                <w:color w:val="auto"/>
                <w:lang w:val="en-US" w:eastAsia="zh-CN"/>
              </w:rPr>
            </w:pPr>
            <w:r>
              <w:rPr>
                <w:rFonts w:hint="eastAsia"/>
                <w:color w:val="auto"/>
                <w:lang w:val="en-US" w:eastAsia="zh-CN"/>
              </w:rPr>
              <w:t>（6）危废暂存间施工中应做好施工记录，留存防渗等隐蔽工程的影像记录。</w:t>
            </w:r>
          </w:p>
          <w:p w14:paraId="3F5CE252">
            <w:pPr>
              <w:bidi w:val="0"/>
              <w:rPr>
                <w:rFonts w:hint="default"/>
                <w:color w:val="auto"/>
                <w:lang w:val="en-US" w:eastAsia="zh-CN"/>
              </w:rPr>
            </w:pPr>
            <w:r>
              <w:rPr>
                <w:rFonts w:hint="eastAsia"/>
                <w:color w:val="auto"/>
                <w:lang w:val="en-US" w:eastAsia="zh-CN"/>
              </w:rPr>
              <w:t>3、危险废物清运处置管理要求</w:t>
            </w:r>
          </w:p>
          <w:p w14:paraId="785F9816">
            <w:pPr>
              <w:bidi w:val="0"/>
              <w:rPr>
                <w:rFonts w:hint="eastAsia"/>
                <w:color w:val="auto"/>
                <w:lang w:val="en-US" w:eastAsia="zh-CN"/>
              </w:rPr>
            </w:pPr>
            <w:r>
              <w:rPr>
                <w:rFonts w:hint="eastAsia"/>
                <w:color w:val="auto"/>
                <w:lang w:val="en-US" w:eastAsia="zh-CN"/>
              </w:rPr>
              <w:t>建设单位应委托有资质的单位按危险废物转移联单管理办法，定期将废液压油、废润滑油、废油桶清运处置。根据《危险废物管理工作手册》，危险废物清运处置应做到以下几点：</w:t>
            </w:r>
          </w:p>
          <w:p w14:paraId="5404748D">
            <w:pPr>
              <w:bidi w:val="0"/>
              <w:rPr>
                <w:rFonts w:hint="default"/>
                <w:color w:val="auto"/>
                <w:lang w:val="en-US" w:eastAsia="zh-CN"/>
              </w:rPr>
            </w:pPr>
            <w:r>
              <w:rPr>
                <w:rFonts w:hint="eastAsia"/>
                <w:color w:val="auto"/>
                <w:lang w:val="en-US" w:eastAsia="zh-CN"/>
              </w:rPr>
              <w:t>建立台账，注明危险废物的名称、来源、数量、特性和包装容器的类别，入库日期</w:t>
            </w:r>
            <w:r>
              <w:rPr>
                <w:rFonts w:hint="default"/>
                <w:color w:val="auto"/>
                <w:lang w:val="en-US" w:eastAsia="zh-CN"/>
              </w:rPr>
              <w:t>、存放库位、废物出库日期及接</w:t>
            </w:r>
            <w:r>
              <w:rPr>
                <w:rFonts w:hint="eastAsia"/>
                <w:color w:val="auto"/>
                <w:lang w:val="en-US" w:eastAsia="zh-CN"/>
              </w:rPr>
              <w:t>收</w:t>
            </w:r>
            <w:r>
              <w:rPr>
                <w:rFonts w:hint="default"/>
                <w:color w:val="auto"/>
                <w:lang w:val="en-US" w:eastAsia="zh-CN"/>
              </w:rPr>
              <w:t>单位名称；</w:t>
            </w:r>
          </w:p>
          <w:p w14:paraId="305D90C4">
            <w:pPr>
              <w:bidi w:val="0"/>
              <w:rPr>
                <w:rFonts w:hint="default"/>
                <w:color w:val="auto"/>
                <w:lang w:val="en-US" w:eastAsia="zh-CN"/>
              </w:rPr>
            </w:pPr>
            <w:r>
              <w:rPr>
                <w:rFonts w:hint="default"/>
                <w:color w:val="auto"/>
                <w:lang w:val="en-US" w:eastAsia="zh-CN"/>
              </w:rPr>
              <w:t>按要求填写转移联单，严格执行危险废物转移联单管理办法；</w:t>
            </w:r>
          </w:p>
          <w:p w14:paraId="76EEB0A9">
            <w:pPr>
              <w:bidi w:val="0"/>
              <w:rPr>
                <w:rFonts w:hint="default"/>
                <w:color w:val="auto"/>
                <w:lang w:val="en-US" w:eastAsia="zh-CN"/>
              </w:rPr>
            </w:pPr>
            <w:r>
              <w:rPr>
                <w:rFonts w:hint="default"/>
                <w:color w:val="auto"/>
              </w:rPr>
              <w:t>对装有危废的容器进行定期检查，容器泄漏损坏时必须立即处理，并将危废装入完好容器内</w:t>
            </w:r>
            <w:r>
              <w:rPr>
                <w:rFonts w:hint="default"/>
                <w:color w:val="auto"/>
                <w:lang w:eastAsia="zh-CN"/>
              </w:rPr>
              <w:t>，</w:t>
            </w:r>
            <w:r>
              <w:rPr>
                <w:rFonts w:hint="default"/>
                <w:color w:val="auto"/>
              </w:rPr>
              <w:t>同时危险废物储存区设置警示标牌</w:t>
            </w:r>
            <w:r>
              <w:rPr>
                <w:rFonts w:hint="default"/>
                <w:color w:val="auto"/>
                <w:lang w:eastAsia="zh-CN"/>
              </w:rPr>
              <w:t>；</w:t>
            </w:r>
          </w:p>
          <w:p w14:paraId="61CA66D9">
            <w:pPr>
              <w:bidi w:val="0"/>
              <w:rPr>
                <w:rFonts w:hint="default"/>
                <w:color w:val="auto"/>
                <w:lang w:val="en-US" w:eastAsia="zh-CN"/>
              </w:rPr>
            </w:pPr>
            <w:r>
              <w:rPr>
                <w:rFonts w:hint="default"/>
                <w:color w:val="auto"/>
              </w:rPr>
              <w:t>所有包装袋、桶必须贴上危险废物标签，危险废物标签上文字字体为黑体、底色为醒目的桔黄色，稳妥贴附在包装袋、桶适当位置，使其清晰易读。危险废物标签要提供下列说明：</w:t>
            </w:r>
            <w:r>
              <w:rPr>
                <w:rFonts w:hint="eastAsia"/>
                <w:color w:val="auto"/>
                <w:lang w:eastAsia="zh-CN"/>
              </w:rPr>
              <w:t>“</w:t>
            </w:r>
            <w:r>
              <w:rPr>
                <w:rFonts w:hint="default"/>
                <w:color w:val="auto"/>
              </w:rPr>
              <w:t>危险废物</w:t>
            </w:r>
            <w:r>
              <w:rPr>
                <w:rFonts w:hint="eastAsia"/>
                <w:color w:val="auto"/>
                <w:lang w:eastAsia="zh-CN"/>
              </w:rPr>
              <w:t>”</w:t>
            </w:r>
            <w:r>
              <w:rPr>
                <w:rFonts w:hint="default"/>
                <w:color w:val="auto"/>
              </w:rPr>
              <w:t>字样、危险废物产生单位名称、联系人、联系电话、主要化学成分或商品名称、危险类别、安全措施等</w:t>
            </w:r>
            <w:r>
              <w:rPr>
                <w:rFonts w:hint="default"/>
                <w:color w:val="auto"/>
                <w:lang w:eastAsia="zh-CN"/>
              </w:rPr>
              <w:t>；</w:t>
            </w:r>
          </w:p>
          <w:p w14:paraId="6A9A39C5">
            <w:pPr>
              <w:bidi w:val="0"/>
              <w:rPr>
                <w:rFonts w:hint="default"/>
                <w:color w:val="auto"/>
                <w:lang w:val="en-US" w:eastAsia="zh-CN"/>
              </w:rPr>
            </w:pPr>
            <w:r>
              <w:rPr>
                <w:rFonts w:hint="default"/>
                <w:color w:val="auto"/>
              </w:rPr>
              <w:t>组织危险废物的运输单位，在事先需作出周密的运输计划和行驶路线，其中包括有效的废物</w:t>
            </w:r>
            <w:r>
              <w:rPr>
                <w:rFonts w:hint="eastAsia"/>
                <w:color w:val="auto"/>
                <w:lang w:val="en-US" w:eastAsia="zh-CN"/>
              </w:rPr>
              <w:t>泄漏</w:t>
            </w:r>
            <w:r>
              <w:rPr>
                <w:rFonts w:hint="default"/>
                <w:color w:val="auto"/>
              </w:rPr>
              <w:t>情况下的应急措施。</w:t>
            </w:r>
          </w:p>
          <w:p w14:paraId="7231A753">
            <w:pPr>
              <w:bidi w:val="0"/>
              <w:rPr>
                <w:color w:val="auto"/>
              </w:rPr>
            </w:pPr>
            <w:r>
              <w:rPr>
                <w:color w:val="auto"/>
              </w:rPr>
              <w:t>综上所述，本项目产生的固体废物均得到了合理的处置，对周围环境影响较小。</w:t>
            </w:r>
          </w:p>
          <w:p w14:paraId="1C4C509C">
            <w:pPr>
              <w:bidi w:val="0"/>
              <w:rPr>
                <w:rFonts w:hint="eastAsia" w:eastAsia="宋体"/>
                <w:b/>
                <w:bCs/>
                <w:color w:val="auto"/>
                <w:lang w:eastAsia="zh-CN"/>
              </w:rPr>
            </w:pPr>
            <w:r>
              <w:rPr>
                <w:rFonts w:hint="eastAsia"/>
                <w:b/>
                <w:bCs/>
                <w:color w:val="auto"/>
                <w:lang w:eastAsia="zh-CN"/>
              </w:rPr>
              <w:t>五、</w:t>
            </w:r>
            <w:r>
              <w:rPr>
                <w:rFonts w:hint="eastAsia"/>
                <w:b/>
                <w:bCs/>
                <w:color w:val="auto"/>
              </w:rPr>
              <w:t>地下水</w:t>
            </w:r>
            <w:r>
              <w:rPr>
                <w:rFonts w:hint="eastAsia"/>
                <w:b/>
                <w:bCs/>
                <w:color w:val="auto"/>
                <w:lang w:eastAsia="zh-CN"/>
              </w:rPr>
              <w:t>、</w:t>
            </w:r>
            <w:r>
              <w:rPr>
                <w:rFonts w:hint="eastAsia"/>
                <w:b/>
                <w:bCs/>
                <w:color w:val="auto"/>
              </w:rPr>
              <w:t>土壤影响分析</w:t>
            </w:r>
          </w:p>
          <w:p w14:paraId="65A85A86">
            <w:pPr>
              <w:ind w:firstLine="482"/>
              <w:rPr>
                <w:rFonts w:cs="Times New Roman"/>
                <w:b/>
                <w:bCs/>
                <w:color w:val="auto"/>
              </w:rPr>
            </w:pPr>
            <w:r>
              <w:rPr>
                <w:rFonts w:hint="eastAsia" w:cs="Times New Roman"/>
                <w:b/>
                <w:bCs/>
                <w:color w:val="auto"/>
                <w:lang w:val="en-US" w:eastAsia="zh-CN"/>
              </w:rPr>
              <w:t>1</w:t>
            </w:r>
            <w:r>
              <w:rPr>
                <w:rFonts w:cs="Times New Roman"/>
                <w:b/>
                <w:bCs/>
                <w:color w:val="auto"/>
              </w:rPr>
              <w:t>、</w:t>
            </w:r>
            <w:r>
              <w:rPr>
                <w:rFonts w:hint="eastAsia" w:cs="Times New Roman"/>
                <w:b/>
                <w:bCs/>
                <w:color w:val="auto"/>
              </w:rPr>
              <w:t>污染源及污染途径</w:t>
            </w:r>
          </w:p>
          <w:p w14:paraId="0B807793">
            <w:pPr>
              <w:ind w:firstLine="482"/>
              <w:rPr>
                <w:rFonts w:hint="eastAsia" w:cs="Times New Roman"/>
                <w:color w:val="auto"/>
              </w:rPr>
            </w:pPr>
            <w:r>
              <w:rPr>
                <w:rFonts w:hint="eastAsia" w:cs="Times New Roman"/>
                <w:color w:val="auto"/>
              </w:rPr>
              <w:t>本项目运营期废气可达标排放，废水和固废全部合理处置。项目不开展地下水环境影响评价和土壤环境影响评价。仅针对项目提出污染防控要求。</w:t>
            </w:r>
          </w:p>
          <w:p w14:paraId="325104E7">
            <w:pPr>
              <w:ind w:firstLine="482"/>
              <w:rPr>
                <w:rFonts w:hint="eastAsia" w:cs="Times New Roman"/>
                <w:color w:val="auto"/>
              </w:rPr>
            </w:pPr>
            <w:r>
              <w:rPr>
                <w:rFonts w:hint="eastAsia" w:cs="Times New Roman"/>
                <w:color w:val="auto"/>
              </w:rPr>
              <w:t>项目将按照“源头控制、分区防治、污染监控、应急响应”相结合的原则，从污染物的产生、入渗、扩散、应急响应全方位进行防控。</w:t>
            </w:r>
          </w:p>
          <w:p w14:paraId="6085AB07">
            <w:pPr>
              <w:ind w:firstLine="482"/>
              <w:rPr>
                <w:rFonts w:cs="Times New Roman"/>
                <w:b/>
                <w:bCs/>
                <w:color w:val="auto"/>
              </w:rPr>
            </w:pPr>
            <w:r>
              <w:rPr>
                <w:rFonts w:hint="eastAsia" w:cs="Times New Roman"/>
                <w:b/>
                <w:bCs/>
                <w:color w:val="auto"/>
                <w:lang w:val="en-US" w:eastAsia="zh-CN"/>
              </w:rPr>
              <w:t>2</w:t>
            </w:r>
            <w:r>
              <w:rPr>
                <w:rFonts w:cs="Times New Roman"/>
                <w:b/>
                <w:bCs/>
                <w:color w:val="auto"/>
              </w:rPr>
              <w:t>、污染防治措施</w:t>
            </w:r>
          </w:p>
          <w:p w14:paraId="4B57B4FC">
            <w:pPr>
              <w:bidi w:val="0"/>
              <w:rPr>
                <w:rFonts w:hint="eastAsia" w:cs="Times New Roman"/>
                <w:color w:val="auto"/>
              </w:rPr>
            </w:pPr>
            <w:bookmarkStart w:id="13" w:name="_Toc23775"/>
            <w:r>
              <w:rPr>
                <w:rFonts w:hint="eastAsia" w:cs="Times New Roman"/>
                <w:color w:val="auto"/>
              </w:rPr>
              <w:t>（1）源头控制</w:t>
            </w:r>
            <w:bookmarkEnd w:id="13"/>
          </w:p>
          <w:p w14:paraId="15F7EE64">
            <w:pPr>
              <w:bidi w:val="0"/>
              <w:rPr>
                <w:rFonts w:hint="eastAsia" w:cs="Times New Roman"/>
                <w:color w:val="auto"/>
              </w:rPr>
            </w:pPr>
            <w:r>
              <w:rPr>
                <w:rFonts w:hint="eastAsia" w:cs="Times New Roman"/>
                <w:color w:val="auto"/>
              </w:rPr>
              <w:t>项目应严格按照国家相关规范要求，对管道、设备、各工作间、污水储存和处理构筑物采取相应措施，以防止和降低污染物的跑、冒、滴、漏，将污染物泄漏的环境风险事故降到最低程度；存放各种化学试剂的在线监测室要按照国家相关规范要求，采取防泄漏、防溢流、防腐蚀等措施，严格危险化学品的管理。</w:t>
            </w:r>
          </w:p>
          <w:p w14:paraId="3E100382">
            <w:pPr>
              <w:bidi w:val="0"/>
              <w:rPr>
                <w:rFonts w:hint="default" w:eastAsia="宋体" w:cs="Times New Roman"/>
                <w:color w:val="auto"/>
                <w:lang w:val="en-US" w:eastAsia="zh-CN"/>
              </w:rPr>
            </w:pPr>
            <w:r>
              <w:rPr>
                <w:rFonts w:hint="eastAsia" w:cs="Times New Roman"/>
                <w:color w:val="auto"/>
                <w:lang w:eastAsia="zh-CN"/>
              </w:rPr>
              <w:t>（</w:t>
            </w:r>
            <w:r>
              <w:rPr>
                <w:rFonts w:hint="eastAsia" w:cs="Times New Roman"/>
                <w:color w:val="auto"/>
                <w:lang w:val="en-US" w:eastAsia="zh-CN"/>
              </w:rPr>
              <w:t>2</w:t>
            </w:r>
            <w:r>
              <w:rPr>
                <w:rFonts w:hint="eastAsia" w:cs="Times New Roman"/>
                <w:color w:val="auto"/>
                <w:lang w:eastAsia="zh-CN"/>
              </w:rPr>
              <w:t>）</w:t>
            </w:r>
            <w:r>
              <w:rPr>
                <w:rFonts w:hint="eastAsia" w:cs="Times New Roman"/>
                <w:color w:val="auto"/>
                <w:lang w:val="en-US" w:eastAsia="zh-CN"/>
              </w:rPr>
              <w:t>分区防渗</w:t>
            </w:r>
          </w:p>
          <w:p w14:paraId="04A1D104">
            <w:pPr>
              <w:bidi w:val="0"/>
              <w:rPr>
                <w:rFonts w:hint="eastAsia" w:cs="Times New Roman"/>
                <w:color w:val="auto"/>
              </w:rPr>
            </w:pPr>
            <w:r>
              <w:rPr>
                <w:rFonts w:hint="eastAsia" w:cs="Times New Roman"/>
                <w:color w:val="auto"/>
              </w:rPr>
              <w:t>按照“源头控制、分区防治、污染监控”原则做好地下水、土壤污染防治，重点做好以下工作：一般固废和危险废物分类入库存放；选用优质设备和管件并加强管理和维护；重点防治区（危废间）进行防腐防渗处理。</w:t>
            </w:r>
          </w:p>
          <w:p w14:paraId="53630891">
            <w:pPr>
              <w:bidi w:val="0"/>
              <w:rPr>
                <w:rFonts w:hint="eastAsia" w:cs="Times New Roman"/>
                <w:color w:val="auto"/>
              </w:rPr>
            </w:pPr>
            <w:r>
              <w:rPr>
                <w:rFonts w:hint="eastAsia" w:cs="Times New Roman"/>
                <w:color w:val="auto"/>
              </w:rPr>
              <w:t>为防止危险废物暂存间油类物质泄漏对地下水、土壤造成污染，本次评价提出以下措施：</w:t>
            </w:r>
          </w:p>
          <w:p w14:paraId="027A2889">
            <w:pPr>
              <w:bidi w:val="0"/>
              <w:rPr>
                <w:rFonts w:hint="eastAsia" w:cs="Times New Roman"/>
                <w:color w:val="auto"/>
              </w:rPr>
            </w:pPr>
            <w:r>
              <w:rPr>
                <w:rFonts w:hint="eastAsia" w:cs="Times New Roman"/>
                <w:color w:val="auto"/>
              </w:rPr>
              <w:t>危废暂存间做到防风、防雨、防晒、防渗、防流失，危废暂存间基础地面进行防渗，防渗层为至少1m厚</w:t>
            </w:r>
            <w:r>
              <w:rPr>
                <w:rFonts w:hint="eastAsia" w:cs="Times New Roman"/>
                <w:color w:val="auto"/>
                <w:lang w:eastAsia="zh-CN"/>
              </w:rPr>
              <w:t>黏土</w:t>
            </w:r>
            <w:r>
              <w:rPr>
                <w:rFonts w:hint="eastAsia" w:cs="Times New Roman"/>
                <w:color w:val="auto"/>
              </w:rPr>
              <w:t>层（渗透系数≤10</w:t>
            </w:r>
            <w:r>
              <w:rPr>
                <w:rFonts w:hint="eastAsia" w:cs="Times New Roman"/>
                <w:color w:val="auto"/>
                <w:vertAlign w:val="superscript"/>
              </w:rPr>
              <w:t>-7</w:t>
            </w:r>
            <w:r>
              <w:rPr>
                <w:rFonts w:hint="eastAsia" w:cs="Times New Roman"/>
                <w:color w:val="auto"/>
              </w:rPr>
              <w:t>cm/s），或2mm厚高密度聚乙烯，或至少2mm厚的其它人工材料，渗透系数≤10</w:t>
            </w:r>
            <w:r>
              <w:rPr>
                <w:rFonts w:hint="eastAsia" w:cs="Times New Roman"/>
                <w:color w:val="auto"/>
                <w:vertAlign w:val="superscript"/>
              </w:rPr>
              <w:t>-10</w:t>
            </w:r>
            <w:r>
              <w:rPr>
                <w:rFonts w:hint="eastAsia" w:cs="Times New Roman"/>
                <w:color w:val="auto"/>
              </w:rPr>
              <w:t>cm/s，并设置导流渠、收集池，能防止污染区域地下水环境。加强对危废暂存间的管理，防止污染地下水，具体措施如下：</w:t>
            </w:r>
          </w:p>
          <w:p w14:paraId="5811ECA7">
            <w:pPr>
              <w:bidi w:val="0"/>
              <w:rPr>
                <w:rFonts w:hint="eastAsia" w:cs="Times New Roman"/>
                <w:color w:val="auto"/>
              </w:rPr>
            </w:pPr>
            <w:r>
              <w:rPr>
                <w:rFonts w:hint="eastAsia" w:cs="Times New Roman"/>
                <w:color w:val="auto"/>
              </w:rPr>
              <w:t>（1）危废暂存间必须派专人管理，其他人员未经允许不得进入；</w:t>
            </w:r>
          </w:p>
          <w:p w14:paraId="4FEB1090">
            <w:pPr>
              <w:bidi w:val="0"/>
              <w:rPr>
                <w:rFonts w:hint="eastAsia" w:cs="Times New Roman"/>
                <w:color w:val="auto"/>
              </w:rPr>
            </w:pPr>
            <w:r>
              <w:rPr>
                <w:rFonts w:hint="eastAsia" w:cs="Times New Roman"/>
                <w:color w:val="auto"/>
              </w:rPr>
              <w:t>（2）危险废物暂存间不得存放除危险废物以外的其他废弃物；</w:t>
            </w:r>
          </w:p>
          <w:p w14:paraId="29753044">
            <w:pPr>
              <w:bidi w:val="0"/>
              <w:rPr>
                <w:rFonts w:hint="eastAsia" w:cs="Times New Roman"/>
                <w:color w:val="auto"/>
              </w:rPr>
            </w:pPr>
            <w:r>
              <w:rPr>
                <w:rFonts w:hint="eastAsia" w:cs="Times New Roman"/>
                <w:color w:val="auto"/>
              </w:rPr>
              <w:t>（3）危废暂存间管理人员须做好危险废物情况的台账记录，记录上须注明危险废物的名称、来源、数量、入库日期、废物出库日期及接收单位名称，每月汇总一次；</w:t>
            </w:r>
          </w:p>
          <w:p w14:paraId="3AA7369C">
            <w:pPr>
              <w:bidi w:val="0"/>
              <w:rPr>
                <w:rFonts w:hint="eastAsia" w:cs="Times New Roman"/>
                <w:color w:val="auto"/>
              </w:rPr>
            </w:pPr>
            <w:r>
              <w:rPr>
                <w:rFonts w:hint="eastAsia" w:cs="Times New Roman"/>
                <w:color w:val="auto"/>
              </w:rPr>
              <w:t>（4）危险废物暂存期间应定期进行检查，防止</w:t>
            </w:r>
            <w:r>
              <w:rPr>
                <w:rFonts w:hint="eastAsia" w:cs="Times New Roman"/>
                <w:color w:val="auto"/>
                <w:lang w:eastAsia="zh-CN"/>
              </w:rPr>
              <w:t>泄漏</w:t>
            </w:r>
            <w:r>
              <w:rPr>
                <w:rFonts w:hint="eastAsia" w:cs="Times New Roman"/>
                <w:color w:val="auto"/>
              </w:rPr>
              <w:t>渗漏事故发生；</w:t>
            </w:r>
          </w:p>
          <w:p w14:paraId="7EBD9F9E">
            <w:pPr>
              <w:bidi w:val="0"/>
              <w:rPr>
                <w:rFonts w:hint="eastAsia" w:cs="Times New Roman"/>
                <w:color w:val="auto"/>
              </w:rPr>
            </w:pPr>
            <w:r>
              <w:rPr>
                <w:rFonts w:hint="eastAsia" w:cs="Times New Roman"/>
                <w:color w:val="auto"/>
              </w:rPr>
              <w:t>（5）不定期对危废暂存间进行检查，门窗是否完好，包装容器是否完好无泄漏，地面是否有渗漏；</w:t>
            </w:r>
          </w:p>
          <w:p w14:paraId="120A7883">
            <w:pPr>
              <w:bidi w:val="0"/>
              <w:rPr>
                <w:rFonts w:hint="eastAsia" w:cs="Times New Roman"/>
                <w:color w:val="auto"/>
              </w:rPr>
            </w:pPr>
            <w:r>
              <w:rPr>
                <w:rFonts w:hint="eastAsia" w:cs="Times New Roman"/>
                <w:color w:val="auto"/>
              </w:rPr>
              <w:t>（6）定期委托资质单位处置，危废暂存期不超过一年；</w:t>
            </w:r>
          </w:p>
          <w:p w14:paraId="3182EAF5">
            <w:pPr>
              <w:bidi w:val="0"/>
              <w:rPr>
                <w:rFonts w:hint="eastAsia" w:cs="Times New Roman"/>
                <w:color w:val="auto"/>
              </w:rPr>
            </w:pPr>
            <w:r>
              <w:rPr>
                <w:rFonts w:hint="eastAsia" w:cs="Times New Roman"/>
                <w:color w:val="auto"/>
              </w:rPr>
              <w:t>（7）危废暂存间门口应设置危险废物警示标识；盛装容器上应张贴标识；</w:t>
            </w:r>
          </w:p>
          <w:p w14:paraId="636021E1">
            <w:pPr>
              <w:bidi w:val="0"/>
              <w:rPr>
                <w:rFonts w:hint="eastAsia" w:cs="Times New Roman"/>
                <w:color w:val="auto"/>
              </w:rPr>
            </w:pPr>
            <w:r>
              <w:rPr>
                <w:rFonts w:hint="eastAsia" w:cs="Times New Roman"/>
                <w:color w:val="auto"/>
              </w:rPr>
              <w:t>（8）制定危险废物管理计划，严格执行危废转移联单制度，建立危险废物管理台账，相关台账应保存三年以上，以备相关管理部门检查。</w:t>
            </w:r>
          </w:p>
          <w:p w14:paraId="40BFF67B">
            <w:pPr>
              <w:bidi w:val="0"/>
              <w:rPr>
                <w:rFonts w:hint="eastAsia" w:eastAsia="宋体" w:cs="Times New Roman"/>
                <w:color w:val="auto"/>
                <w:lang w:eastAsia="zh-CN"/>
              </w:rPr>
            </w:pPr>
            <w:r>
              <w:rPr>
                <w:rFonts w:hint="eastAsia" w:cs="Times New Roman"/>
                <w:color w:val="auto"/>
              </w:rPr>
              <w:t>结合项目污染特征因子及其污染控制难易程度，项目按照《地下水环境影响评价导则》（HJ610-2016）表7规定要求实施分区防渗，将场地划分为重点防渗区、一般防渗区和简单防渗区分区，分区情况及防渗要求详见</w:t>
            </w:r>
            <w:r>
              <w:rPr>
                <w:rFonts w:hint="eastAsia" w:cs="Times New Roman"/>
                <w:color w:val="auto"/>
                <w:lang w:eastAsia="zh-CN"/>
              </w:rPr>
              <w:t>下</w:t>
            </w:r>
            <w:r>
              <w:rPr>
                <w:rFonts w:hint="eastAsia" w:cs="Times New Roman"/>
                <w:color w:val="auto"/>
              </w:rPr>
              <w:t>表</w:t>
            </w:r>
            <w:r>
              <w:rPr>
                <w:rFonts w:hint="eastAsia" w:cs="Times New Roman"/>
                <w:color w:val="auto"/>
                <w:lang w:eastAsia="zh-CN"/>
              </w:rPr>
              <w:t>；</w:t>
            </w:r>
          </w:p>
          <w:p w14:paraId="56E5C6CB">
            <w:pPr>
              <w:pStyle w:val="56"/>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b/>
                <w:bCs/>
                <w:color w:val="auto"/>
                <w:spacing w:val="0"/>
                <w:w w:val="100"/>
                <w:position w:val="0"/>
                <w:sz w:val="21"/>
                <w:szCs w:val="21"/>
              </w:rPr>
              <w:t>表</w:t>
            </w:r>
            <w:r>
              <w:rPr>
                <w:rFonts w:hint="default" w:ascii="Times New Roman" w:hAnsi="Times New Roman" w:cs="Times New Roman"/>
                <w:b/>
                <w:bCs/>
                <w:color w:val="auto"/>
                <w:spacing w:val="0"/>
                <w:w w:val="100"/>
                <w:position w:val="0"/>
                <w:sz w:val="21"/>
                <w:szCs w:val="21"/>
                <w:lang w:val="en-US" w:eastAsia="zh-CN" w:bidi="en-US"/>
              </w:rPr>
              <w:t>4</w:t>
            </w:r>
            <w:r>
              <w:rPr>
                <w:rFonts w:hint="eastAsia" w:ascii="Times New Roman" w:hAnsi="Times New Roman" w:eastAsia="宋体" w:cs="Times New Roman"/>
                <w:b/>
                <w:bCs/>
                <w:color w:val="auto"/>
                <w:spacing w:val="0"/>
                <w:w w:val="100"/>
                <w:position w:val="0"/>
                <w:sz w:val="21"/>
                <w:szCs w:val="21"/>
                <w:lang w:val="en-US" w:eastAsia="zh-CN" w:bidi="en-US"/>
              </w:rPr>
              <w:t>-</w:t>
            </w:r>
            <w:r>
              <w:rPr>
                <w:rFonts w:hint="eastAsia" w:ascii="Times New Roman" w:hAnsi="Times New Roman" w:cs="Times New Roman"/>
                <w:b/>
                <w:bCs/>
                <w:color w:val="auto"/>
                <w:spacing w:val="0"/>
                <w:w w:val="100"/>
                <w:position w:val="0"/>
                <w:sz w:val="21"/>
                <w:szCs w:val="21"/>
                <w:lang w:val="en-US" w:eastAsia="zh-CN" w:bidi="en-US"/>
              </w:rPr>
              <w:t>24</w:t>
            </w:r>
            <w:r>
              <w:rPr>
                <w:rFonts w:hint="eastAsia" w:ascii="Times New Roman" w:hAnsi="Times New Roman" w:eastAsia="宋体" w:cs="Times New Roman"/>
                <w:b/>
                <w:bCs/>
                <w:color w:val="auto"/>
                <w:spacing w:val="0"/>
                <w:w w:val="100"/>
                <w:position w:val="0"/>
                <w:sz w:val="21"/>
                <w:szCs w:val="21"/>
                <w:lang w:val="en-US" w:eastAsia="zh-CN" w:bidi="en-US"/>
              </w:rPr>
              <w:t xml:space="preserve"> </w:t>
            </w:r>
            <w:r>
              <w:rPr>
                <w:rFonts w:hint="default" w:ascii="Times New Roman" w:hAnsi="Times New Roman" w:cs="Times New Roman"/>
                <w:b/>
                <w:bCs/>
                <w:color w:val="auto"/>
                <w:spacing w:val="0"/>
                <w:w w:val="100"/>
                <w:position w:val="0"/>
                <w:sz w:val="21"/>
                <w:szCs w:val="21"/>
                <w:lang w:val="en-US" w:eastAsia="zh-CN" w:bidi="en-US"/>
              </w:rPr>
              <w:t xml:space="preserve">  </w:t>
            </w:r>
            <w:r>
              <w:rPr>
                <w:rFonts w:hint="default" w:ascii="Times New Roman" w:hAnsi="Times New Roman" w:cs="Times New Roman"/>
                <w:b/>
                <w:bCs/>
                <w:color w:val="auto"/>
                <w:spacing w:val="0"/>
                <w:w w:val="100"/>
                <w:position w:val="0"/>
                <w:sz w:val="21"/>
                <w:szCs w:val="21"/>
              </w:rPr>
              <w:t>地下水污染防治区防渗措施</w:t>
            </w:r>
            <w:r>
              <w:rPr>
                <w:rFonts w:hint="eastAsia" w:ascii="Times New Roman" w:hAnsi="Times New Roman" w:cs="Times New Roman"/>
                <w:b/>
                <w:bCs/>
                <w:color w:val="auto"/>
                <w:spacing w:val="0"/>
                <w:w w:val="100"/>
                <w:position w:val="0"/>
                <w:sz w:val="21"/>
                <w:szCs w:val="21"/>
                <w:lang w:val="en-US" w:eastAsia="zh-CN"/>
              </w:rPr>
              <w:t>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67"/>
              <w:gridCol w:w="1119"/>
              <w:gridCol w:w="1871"/>
              <w:gridCol w:w="1601"/>
              <w:gridCol w:w="3016"/>
            </w:tblGrid>
            <w:tr w14:paraId="21EB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325" w:hRule="exact"/>
                <w:jc w:val="center"/>
              </w:trPr>
              <w:tc>
                <w:tcPr>
                  <w:tcW w:w="289" w:type="pct"/>
                  <w:tcBorders>
                    <w:tl2br w:val="nil"/>
                    <w:tr2bl w:val="nil"/>
                  </w:tcBorders>
                  <w:noWrap w:val="0"/>
                  <w:vAlign w:val="center"/>
                </w:tcPr>
                <w:p w14:paraId="7B915640">
                  <w:pPr>
                    <w:pStyle w:val="29"/>
                    <w:bidi w:val="0"/>
                    <w:rPr>
                      <w:rFonts w:hint="default"/>
                      <w:color w:val="auto"/>
                    </w:rPr>
                  </w:pPr>
                  <w:r>
                    <w:rPr>
                      <w:rFonts w:hint="default"/>
                      <w:color w:val="auto"/>
                    </w:rPr>
                    <w:t>序号</w:t>
                  </w:r>
                </w:p>
              </w:tc>
              <w:tc>
                <w:tcPr>
                  <w:tcW w:w="1851" w:type="pct"/>
                  <w:gridSpan w:val="2"/>
                  <w:tcBorders>
                    <w:tl2br w:val="nil"/>
                    <w:tr2bl w:val="nil"/>
                  </w:tcBorders>
                  <w:noWrap w:val="0"/>
                  <w:vAlign w:val="center"/>
                </w:tcPr>
                <w:p w14:paraId="0048E101">
                  <w:pPr>
                    <w:pStyle w:val="29"/>
                    <w:bidi w:val="0"/>
                    <w:rPr>
                      <w:rFonts w:hint="default"/>
                      <w:color w:val="auto"/>
                    </w:rPr>
                  </w:pPr>
                  <w:r>
                    <w:rPr>
                      <w:rFonts w:hint="default"/>
                      <w:color w:val="auto"/>
                    </w:rPr>
                    <w:t>区域名称</w:t>
                  </w:r>
                </w:p>
              </w:tc>
              <w:tc>
                <w:tcPr>
                  <w:tcW w:w="991" w:type="pct"/>
                  <w:tcBorders>
                    <w:tl2br w:val="nil"/>
                    <w:tr2bl w:val="nil"/>
                  </w:tcBorders>
                  <w:noWrap w:val="0"/>
                  <w:vAlign w:val="center"/>
                </w:tcPr>
                <w:p w14:paraId="74AEB8E7">
                  <w:pPr>
                    <w:pStyle w:val="29"/>
                    <w:bidi w:val="0"/>
                    <w:rPr>
                      <w:rFonts w:hint="default"/>
                      <w:color w:val="auto"/>
                      <w:lang w:val="en-US" w:eastAsia="zh-CN"/>
                    </w:rPr>
                  </w:pPr>
                  <w:r>
                    <w:rPr>
                      <w:rFonts w:hint="default"/>
                      <w:color w:val="auto"/>
                      <w:lang w:val="en-US" w:eastAsia="zh-CN"/>
                    </w:rPr>
                    <w:t>防渗区域</w:t>
                  </w:r>
                </w:p>
              </w:tc>
              <w:tc>
                <w:tcPr>
                  <w:tcW w:w="1867" w:type="pct"/>
                  <w:tcBorders>
                    <w:tl2br w:val="nil"/>
                    <w:tr2bl w:val="nil"/>
                  </w:tcBorders>
                  <w:noWrap w:val="0"/>
                  <w:vAlign w:val="center"/>
                </w:tcPr>
                <w:p w14:paraId="6BAA49B1">
                  <w:pPr>
                    <w:pStyle w:val="29"/>
                    <w:bidi w:val="0"/>
                    <w:rPr>
                      <w:rFonts w:hint="default"/>
                      <w:color w:val="auto"/>
                    </w:rPr>
                  </w:pPr>
                  <w:r>
                    <w:rPr>
                      <w:rFonts w:hint="default"/>
                      <w:color w:val="auto"/>
                    </w:rPr>
                    <w:t>防渗措施</w:t>
                  </w:r>
                </w:p>
              </w:tc>
            </w:tr>
            <w:tr w14:paraId="73924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96" w:hRule="atLeast"/>
                <w:jc w:val="center"/>
              </w:trPr>
              <w:tc>
                <w:tcPr>
                  <w:tcW w:w="289" w:type="pct"/>
                  <w:tcBorders>
                    <w:tl2br w:val="nil"/>
                    <w:tr2bl w:val="nil"/>
                  </w:tcBorders>
                  <w:noWrap w:val="0"/>
                  <w:vAlign w:val="center"/>
                </w:tcPr>
                <w:p w14:paraId="6FFE845B">
                  <w:pPr>
                    <w:pStyle w:val="29"/>
                    <w:bidi w:val="0"/>
                    <w:rPr>
                      <w:rFonts w:hint="default"/>
                      <w:color w:val="auto"/>
                    </w:rPr>
                  </w:pPr>
                  <w:r>
                    <w:rPr>
                      <w:rFonts w:hint="default"/>
                      <w:color w:val="auto"/>
                    </w:rPr>
                    <w:t>1</w:t>
                  </w:r>
                </w:p>
              </w:tc>
              <w:tc>
                <w:tcPr>
                  <w:tcW w:w="693" w:type="pct"/>
                  <w:tcBorders>
                    <w:tl2br w:val="nil"/>
                    <w:tr2bl w:val="nil"/>
                  </w:tcBorders>
                  <w:noWrap w:val="0"/>
                  <w:vAlign w:val="center"/>
                </w:tcPr>
                <w:p w14:paraId="37EC53DB">
                  <w:pPr>
                    <w:pStyle w:val="29"/>
                    <w:bidi w:val="0"/>
                    <w:rPr>
                      <w:color w:val="auto"/>
                    </w:rPr>
                  </w:pPr>
                  <w:r>
                    <w:rPr>
                      <w:rFonts w:hint="default"/>
                      <w:color w:val="auto"/>
                    </w:rPr>
                    <w:t>重点</w:t>
                  </w:r>
                  <w:r>
                    <w:rPr>
                      <w:rFonts w:hint="default"/>
                      <w:color w:val="auto"/>
                      <w:lang w:val="en-US" w:eastAsia="zh-CN"/>
                    </w:rPr>
                    <w:t>防渗区</w:t>
                  </w:r>
                </w:p>
              </w:tc>
              <w:tc>
                <w:tcPr>
                  <w:tcW w:w="1157" w:type="pct"/>
                  <w:tcBorders>
                    <w:tl2br w:val="nil"/>
                    <w:tr2bl w:val="nil"/>
                  </w:tcBorders>
                  <w:noWrap w:val="0"/>
                  <w:vAlign w:val="center"/>
                </w:tcPr>
                <w:p w14:paraId="02C37C00">
                  <w:pPr>
                    <w:pStyle w:val="29"/>
                    <w:bidi w:val="0"/>
                    <w:rPr>
                      <w:color w:val="auto"/>
                    </w:rPr>
                  </w:pPr>
                  <w:r>
                    <w:rPr>
                      <w:rFonts w:hint="default"/>
                      <w:color w:val="auto"/>
                    </w:rPr>
                    <w:t>危废暂存间</w:t>
                  </w:r>
                </w:p>
              </w:tc>
              <w:tc>
                <w:tcPr>
                  <w:tcW w:w="991" w:type="pct"/>
                  <w:tcBorders>
                    <w:tl2br w:val="nil"/>
                    <w:tr2bl w:val="nil"/>
                  </w:tcBorders>
                  <w:noWrap w:val="0"/>
                  <w:vAlign w:val="center"/>
                </w:tcPr>
                <w:p w14:paraId="0A5A8BC1">
                  <w:pPr>
                    <w:pStyle w:val="29"/>
                    <w:bidi w:val="0"/>
                    <w:rPr>
                      <w:color w:val="auto"/>
                    </w:rPr>
                  </w:pPr>
                  <w:r>
                    <w:rPr>
                      <w:rFonts w:hint="default"/>
                      <w:color w:val="auto"/>
                      <w:lang w:val="en-US" w:eastAsia="zh-CN"/>
                    </w:rPr>
                    <w:t>地面、墙角</w:t>
                  </w:r>
                </w:p>
              </w:tc>
              <w:tc>
                <w:tcPr>
                  <w:tcW w:w="1867" w:type="pct"/>
                  <w:tcBorders>
                    <w:tl2br w:val="nil"/>
                    <w:tr2bl w:val="nil"/>
                  </w:tcBorders>
                  <w:noWrap w:val="0"/>
                  <w:vAlign w:val="center"/>
                </w:tcPr>
                <w:p w14:paraId="105D8643">
                  <w:pPr>
                    <w:pStyle w:val="29"/>
                    <w:bidi w:val="0"/>
                    <w:rPr>
                      <w:rFonts w:hint="default"/>
                      <w:color w:val="auto"/>
                    </w:rPr>
                  </w:pPr>
                  <w:r>
                    <w:rPr>
                      <w:rFonts w:hint="eastAsia"/>
                      <w:color w:val="auto"/>
                      <w:lang w:eastAsia="zh-CN"/>
                    </w:rPr>
                    <w:t>防渗层为至少1m厚黏土层（渗透系数≤10</w:t>
                  </w:r>
                  <w:r>
                    <w:rPr>
                      <w:rFonts w:hint="eastAsia"/>
                      <w:color w:val="auto"/>
                      <w:vertAlign w:val="superscript"/>
                      <w:lang w:eastAsia="zh-CN"/>
                    </w:rPr>
                    <w:t>-7</w:t>
                  </w:r>
                  <w:r>
                    <w:rPr>
                      <w:rFonts w:hint="eastAsia"/>
                      <w:color w:val="auto"/>
                      <w:lang w:eastAsia="zh-CN"/>
                    </w:rPr>
                    <w:t>cm/s），或2mm厚高密度聚乙烯，或至少2mm厚的其它人工材料，渗透系数≤10</w:t>
                  </w:r>
                  <w:r>
                    <w:rPr>
                      <w:rFonts w:hint="eastAsia"/>
                      <w:color w:val="auto"/>
                      <w:vertAlign w:val="superscript"/>
                      <w:lang w:eastAsia="zh-CN"/>
                    </w:rPr>
                    <w:t>-10</w:t>
                  </w:r>
                  <w:r>
                    <w:rPr>
                      <w:rFonts w:hint="eastAsia"/>
                      <w:color w:val="auto"/>
                      <w:lang w:eastAsia="zh-CN"/>
                    </w:rPr>
                    <w:t>cm/s进行防渗</w:t>
                  </w:r>
                  <w:r>
                    <w:rPr>
                      <w:rFonts w:hint="default"/>
                      <w:color w:val="auto"/>
                    </w:rPr>
                    <w:t>。</w:t>
                  </w:r>
                </w:p>
              </w:tc>
            </w:tr>
            <w:tr w14:paraId="7D45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96" w:hRule="atLeast"/>
                <w:jc w:val="center"/>
              </w:trPr>
              <w:tc>
                <w:tcPr>
                  <w:tcW w:w="289" w:type="pct"/>
                  <w:tcBorders>
                    <w:tl2br w:val="nil"/>
                    <w:tr2bl w:val="nil"/>
                  </w:tcBorders>
                  <w:noWrap w:val="0"/>
                  <w:vAlign w:val="center"/>
                </w:tcPr>
                <w:p w14:paraId="683BB168">
                  <w:pPr>
                    <w:pStyle w:val="29"/>
                    <w:bidi w:val="0"/>
                    <w:rPr>
                      <w:rFonts w:hint="default"/>
                      <w:color w:val="auto"/>
                      <w:lang w:val="en-US" w:eastAsia="zh-CN"/>
                    </w:rPr>
                  </w:pPr>
                  <w:r>
                    <w:rPr>
                      <w:rFonts w:hint="eastAsia"/>
                      <w:color w:val="auto"/>
                      <w:lang w:val="en-US" w:eastAsia="zh-CN"/>
                    </w:rPr>
                    <w:t>2</w:t>
                  </w:r>
                </w:p>
              </w:tc>
              <w:tc>
                <w:tcPr>
                  <w:tcW w:w="693" w:type="pct"/>
                  <w:tcBorders>
                    <w:tl2br w:val="nil"/>
                    <w:tr2bl w:val="nil"/>
                  </w:tcBorders>
                  <w:noWrap w:val="0"/>
                  <w:vAlign w:val="center"/>
                </w:tcPr>
                <w:p w14:paraId="189B53C6">
                  <w:pPr>
                    <w:pStyle w:val="29"/>
                    <w:bidi w:val="0"/>
                    <w:rPr>
                      <w:rFonts w:hint="default"/>
                      <w:color w:val="auto"/>
                      <w:lang w:val="en-US" w:eastAsia="zh-CN"/>
                    </w:rPr>
                  </w:pPr>
                  <w:r>
                    <w:rPr>
                      <w:rFonts w:hint="eastAsia"/>
                      <w:color w:val="auto"/>
                      <w:lang w:val="en-US" w:eastAsia="zh-CN"/>
                    </w:rPr>
                    <w:t>一般防渗区</w:t>
                  </w:r>
                </w:p>
              </w:tc>
              <w:tc>
                <w:tcPr>
                  <w:tcW w:w="1157" w:type="pct"/>
                  <w:tcBorders>
                    <w:tl2br w:val="nil"/>
                    <w:tr2bl w:val="nil"/>
                  </w:tcBorders>
                  <w:noWrap w:val="0"/>
                  <w:vAlign w:val="center"/>
                </w:tcPr>
                <w:p w14:paraId="0CC8FEDE">
                  <w:pPr>
                    <w:pStyle w:val="29"/>
                    <w:bidi w:val="0"/>
                    <w:rPr>
                      <w:rFonts w:hint="default"/>
                      <w:color w:val="auto"/>
                      <w:lang w:val="en-US" w:eastAsia="zh-CN"/>
                    </w:rPr>
                  </w:pPr>
                  <w:r>
                    <w:rPr>
                      <w:rFonts w:hint="eastAsia"/>
                      <w:color w:val="auto"/>
                      <w:lang w:val="en-US" w:eastAsia="zh-CN"/>
                    </w:rPr>
                    <w:t>沉淀池、化粪池、一体化污水处理设备、事故池</w:t>
                  </w:r>
                </w:p>
              </w:tc>
              <w:tc>
                <w:tcPr>
                  <w:tcW w:w="991" w:type="pct"/>
                  <w:tcBorders>
                    <w:tl2br w:val="nil"/>
                    <w:tr2bl w:val="nil"/>
                  </w:tcBorders>
                  <w:noWrap w:val="0"/>
                  <w:vAlign w:val="center"/>
                </w:tcPr>
                <w:p w14:paraId="30E5692F">
                  <w:pPr>
                    <w:pStyle w:val="29"/>
                    <w:bidi w:val="0"/>
                    <w:rPr>
                      <w:rFonts w:hint="default"/>
                      <w:color w:val="auto"/>
                      <w:lang w:val="en-US" w:eastAsia="zh-CN"/>
                    </w:rPr>
                  </w:pPr>
                  <w:r>
                    <w:rPr>
                      <w:rFonts w:hint="eastAsia"/>
                      <w:color w:val="auto"/>
                      <w:lang w:val="en-US" w:eastAsia="zh-CN"/>
                    </w:rPr>
                    <w:t>池体</w:t>
                  </w:r>
                </w:p>
              </w:tc>
              <w:tc>
                <w:tcPr>
                  <w:tcW w:w="1867" w:type="pct"/>
                  <w:tcBorders>
                    <w:tl2br w:val="nil"/>
                    <w:tr2bl w:val="nil"/>
                  </w:tcBorders>
                  <w:noWrap w:val="0"/>
                  <w:vAlign w:val="center"/>
                </w:tcPr>
                <w:p w14:paraId="523BDD88">
                  <w:pPr>
                    <w:pStyle w:val="29"/>
                    <w:bidi w:val="0"/>
                    <w:rPr>
                      <w:rFonts w:hint="default"/>
                      <w:color w:val="auto"/>
                    </w:rPr>
                  </w:pPr>
                  <w:r>
                    <w:rPr>
                      <w:rFonts w:hint="default"/>
                      <w:color w:val="auto"/>
                    </w:rPr>
                    <w:t>等效黏土防渗层厚度Mb≥1.5m，渗透系数K≤1.0×10</w:t>
                  </w:r>
                  <w:r>
                    <w:rPr>
                      <w:rFonts w:hint="default"/>
                      <w:color w:val="auto"/>
                      <w:vertAlign w:val="superscript"/>
                    </w:rPr>
                    <w:t>-7</w:t>
                  </w:r>
                  <w:r>
                    <w:rPr>
                      <w:rFonts w:hint="default"/>
                      <w:color w:val="auto"/>
                    </w:rPr>
                    <w:t>cm/s</w:t>
                  </w:r>
                </w:p>
              </w:tc>
            </w:tr>
            <w:tr w14:paraId="394A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627" w:hRule="exact"/>
                <w:jc w:val="center"/>
              </w:trPr>
              <w:tc>
                <w:tcPr>
                  <w:tcW w:w="289" w:type="pct"/>
                  <w:tcBorders>
                    <w:tl2br w:val="nil"/>
                    <w:tr2bl w:val="nil"/>
                  </w:tcBorders>
                  <w:noWrap w:val="0"/>
                  <w:vAlign w:val="center"/>
                </w:tcPr>
                <w:p w14:paraId="5E25CD18">
                  <w:pPr>
                    <w:pStyle w:val="29"/>
                    <w:bidi w:val="0"/>
                    <w:rPr>
                      <w:rFonts w:hint="eastAsia"/>
                      <w:color w:val="auto"/>
                      <w:lang w:eastAsia="zh-CN"/>
                    </w:rPr>
                  </w:pPr>
                  <w:r>
                    <w:rPr>
                      <w:rFonts w:hint="eastAsia"/>
                      <w:color w:val="auto"/>
                      <w:lang w:val="en-US" w:eastAsia="zh-CN"/>
                    </w:rPr>
                    <w:t>3</w:t>
                  </w:r>
                </w:p>
              </w:tc>
              <w:tc>
                <w:tcPr>
                  <w:tcW w:w="693" w:type="pct"/>
                  <w:tcBorders>
                    <w:tl2br w:val="nil"/>
                    <w:tr2bl w:val="nil"/>
                  </w:tcBorders>
                  <w:noWrap w:val="0"/>
                  <w:vAlign w:val="center"/>
                </w:tcPr>
                <w:p w14:paraId="6005D7FF">
                  <w:pPr>
                    <w:pStyle w:val="29"/>
                    <w:bidi w:val="0"/>
                    <w:rPr>
                      <w:rFonts w:hint="default"/>
                      <w:color w:val="auto"/>
                    </w:rPr>
                  </w:pPr>
                  <w:r>
                    <w:rPr>
                      <w:rFonts w:hint="default"/>
                      <w:color w:val="auto"/>
                      <w:lang w:val="en-US" w:eastAsia="zh-CN"/>
                    </w:rPr>
                    <w:t>简单防渗区</w:t>
                  </w:r>
                </w:p>
              </w:tc>
              <w:tc>
                <w:tcPr>
                  <w:tcW w:w="1157" w:type="pct"/>
                  <w:tcBorders>
                    <w:tl2br w:val="nil"/>
                    <w:tr2bl w:val="nil"/>
                  </w:tcBorders>
                  <w:noWrap w:val="0"/>
                  <w:vAlign w:val="center"/>
                </w:tcPr>
                <w:p w14:paraId="2DF38C68">
                  <w:pPr>
                    <w:pStyle w:val="29"/>
                    <w:bidi w:val="0"/>
                    <w:rPr>
                      <w:rFonts w:hint="default"/>
                      <w:color w:val="auto"/>
                      <w:lang w:val="en-US" w:eastAsia="zh-CN"/>
                    </w:rPr>
                  </w:pPr>
                  <w:r>
                    <w:rPr>
                      <w:rFonts w:hint="eastAsia"/>
                      <w:color w:val="auto"/>
                      <w:lang w:val="en-US" w:eastAsia="zh-CN"/>
                    </w:rPr>
                    <w:t>办公区、生产车间、厂内道路</w:t>
                  </w:r>
                </w:p>
              </w:tc>
              <w:tc>
                <w:tcPr>
                  <w:tcW w:w="991" w:type="pct"/>
                  <w:tcBorders>
                    <w:tl2br w:val="nil"/>
                    <w:tr2bl w:val="nil"/>
                  </w:tcBorders>
                  <w:noWrap w:val="0"/>
                  <w:vAlign w:val="center"/>
                </w:tcPr>
                <w:p w14:paraId="1EB606F9">
                  <w:pPr>
                    <w:pStyle w:val="29"/>
                    <w:bidi w:val="0"/>
                    <w:rPr>
                      <w:rFonts w:hint="default"/>
                      <w:color w:val="auto"/>
                      <w:lang w:val="en-US" w:eastAsia="zh-CN"/>
                    </w:rPr>
                  </w:pPr>
                  <w:r>
                    <w:rPr>
                      <w:rFonts w:hint="default"/>
                      <w:color w:val="auto"/>
                      <w:lang w:val="en-US" w:eastAsia="zh-CN"/>
                    </w:rPr>
                    <w:t>地面</w:t>
                  </w:r>
                </w:p>
              </w:tc>
              <w:tc>
                <w:tcPr>
                  <w:tcW w:w="1867" w:type="pct"/>
                  <w:tcBorders>
                    <w:tl2br w:val="nil"/>
                    <w:tr2bl w:val="nil"/>
                  </w:tcBorders>
                  <w:noWrap w:val="0"/>
                  <w:vAlign w:val="center"/>
                </w:tcPr>
                <w:p w14:paraId="6113DFCD">
                  <w:pPr>
                    <w:pStyle w:val="29"/>
                    <w:bidi w:val="0"/>
                    <w:rPr>
                      <w:rFonts w:hint="default"/>
                      <w:color w:val="auto"/>
                    </w:rPr>
                  </w:pPr>
                  <w:r>
                    <w:rPr>
                      <w:rFonts w:hint="eastAsia"/>
                      <w:color w:val="auto"/>
                      <w:lang w:eastAsia="zh-CN"/>
                    </w:rPr>
                    <w:t>一般</w:t>
                  </w:r>
                  <w:r>
                    <w:rPr>
                      <w:rFonts w:hint="default"/>
                      <w:color w:val="auto"/>
                    </w:rPr>
                    <w:t>地面硬化</w:t>
                  </w:r>
                </w:p>
              </w:tc>
            </w:tr>
          </w:tbl>
          <w:p w14:paraId="58D2DD2E">
            <w:pPr>
              <w:bidi w:val="0"/>
              <w:rPr>
                <w:rFonts w:hint="default"/>
                <w:b/>
                <w:bCs/>
                <w:color w:val="auto"/>
              </w:rPr>
            </w:pPr>
            <w:r>
              <w:rPr>
                <w:rFonts w:hint="eastAsia"/>
                <w:b/>
                <w:bCs/>
                <w:color w:val="auto"/>
                <w:lang w:eastAsia="zh-CN"/>
              </w:rPr>
              <w:t>六、</w:t>
            </w:r>
            <w:r>
              <w:rPr>
                <w:b/>
                <w:bCs/>
                <w:color w:val="auto"/>
              </w:rPr>
              <w:t>环境风险</w:t>
            </w:r>
          </w:p>
          <w:p w14:paraId="750E096D">
            <w:pPr>
              <w:ind w:firstLine="482"/>
              <w:rPr>
                <w:b/>
                <w:bCs/>
                <w:color w:val="auto"/>
              </w:rPr>
            </w:pPr>
            <w:r>
              <w:rPr>
                <w:rFonts w:hint="eastAsia"/>
                <w:b/>
                <w:bCs/>
                <w:color w:val="auto"/>
              </w:rPr>
              <w:t>1、环境风险调查</w:t>
            </w:r>
          </w:p>
          <w:p w14:paraId="7551D683">
            <w:pPr>
              <w:ind w:firstLine="482"/>
              <w:rPr>
                <w:rFonts w:hint="eastAsia"/>
                <w:b/>
                <w:bCs/>
                <w:color w:val="auto"/>
              </w:rPr>
            </w:pPr>
            <w:r>
              <w:rPr>
                <w:rFonts w:hint="eastAsia"/>
                <w:b/>
                <w:bCs/>
                <w:color w:val="auto"/>
              </w:rPr>
              <w:t>（1）物质危险性识别</w:t>
            </w:r>
          </w:p>
          <w:p w14:paraId="2C283331">
            <w:pPr>
              <w:ind w:firstLine="480"/>
              <w:rPr>
                <w:color w:val="auto"/>
              </w:rPr>
            </w:pPr>
            <w:r>
              <w:rPr>
                <w:rFonts w:hint="eastAsia"/>
                <w:color w:val="auto"/>
              </w:rPr>
              <w:t>根据《建设项目环境风险评价技术导则》（HJ169-2018）的要求对项目生产过程中涉及的物质及生产设施进行风险识别。经查询《建设项目环境风险评价技术导则》（HJ169-2018）附录B及表B.2中健康危险急性毒性物质（类别2，类别3），本项目涉及的主要风险物质为</w:t>
            </w:r>
            <w:r>
              <w:rPr>
                <w:rFonts w:hint="eastAsia"/>
                <w:color w:val="auto"/>
                <w:lang w:eastAsia="zh-CN"/>
              </w:rPr>
              <w:t>机油和废机油。</w:t>
            </w:r>
            <w:r>
              <w:rPr>
                <w:rFonts w:hint="eastAsia"/>
                <w:color w:val="auto"/>
              </w:rPr>
              <w:t>项目涉及的风险物质厂区存储量详见</w:t>
            </w:r>
            <w:r>
              <w:rPr>
                <w:rFonts w:hint="eastAsia"/>
                <w:color w:val="auto"/>
                <w:lang w:eastAsia="zh-CN"/>
              </w:rPr>
              <w:t>下</w:t>
            </w:r>
            <w:r>
              <w:rPr>
                <w:rFonts w:hint="eastAsia"/>
                <w:color w:val="auto"/>
              </w:rPr>
              <w:t>表。</w:t>
            </w:r>
          </w:p>
          <w:p w14:paraId="2B0E3B3A">
            <w:pPr>
              <w:pStyle w:val="30"/>
              <w:rPr>
                <w:rFonts w:hint="default"/>
                <w:color w:val="auto"/>
              </w:rPr>
            </w:pPr>
            <w:r>
              <w:rPr>
                <w:rFonts w:hint="default"/>
                <w:color w:val="auto"/>
              </w:rPr>
              <w:t>表4-</w:t>
            </w:r>
            <w:r>
              <w:rPr>
                <w:rFonts w:hint="eastAsia"/>
                <w:color w:val="auto"/>
                <w:lang w:val="en-US" w:eastAsia="zh-CN"/>
              </w:rPr>
              <w:t>25</w:t>
            </w:r>
            <w:r>
              <w:rPr>
                <w:color w:val="auto"/>
              </w:rPr>
              <w:t xml:space="preserve">  </w:t>
            </w:r>
            <w:r>
              <w:rPr>
                <w:rFonts w:hint="default"/>
                <w:color w:val="auto"/>
              </w:rPr>
              <w:t>环境风险物质识别</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8"/>
              <w:gridCol w:w="1091"/>
              <w:gridCol w:w="1971"/>
              <w:gridCol w:w="1364"/>
              <w:gridCol w:w="2087"/>
            </w:tblGrid>
            <w:tr w14:paraId="1ED9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79AE6CE4">
                  <w:pPr>
                    <w:pStyle w:val="29"/>
                    <w:rPr>
                      <w:rFonts w:hint="default"/>
                      <w:color w:val="auto"/>
                    </w:rPr>
                  </w:pPr>
                  <w:r>
                    <w:rPr>
                      <w:rFonts w:hint="default"/>
                      <w:color w:val="auto"/>
                    </w:rPr>
                    <w:t>危险物质名称</w:t>
                  </w:r>
                </w:p>
              </w:tc>
              <w:tc>
                <w:tcPr>
                  <w:tcW w:w="675" w:type="pct"/>
                  <w:vAlign w:val="center"/>
                </w:tcPr>
                <w:p w14:paraId="783CA225">
                  <w:pPr>
                    <w:pStyle w:val="29"/>
                    <w:rPr>
                      <w:rFonts w:hint="default"/>
                      <w:color w:val="auto"/>
                    </w:rPr>
                  </w:pPr>
                  <w:r>
                    <w:rPr>
                      <w:rFonts w:hint="default"/>
                      <w:color w:val="auto"/>
                    </w:rPr>
                    <w:t>CAS号</w:t>
                  </w:r>
                </w:p>
              </w:tc>
              <w:tc>
                <w:tcPr>
                  <w:tcW w:w="1221" w:type="pct"/>
                  <w:vAlign w:val="center"/>
                </w:tcPr>
                <w:p w14:paraId="675C199D">
                  <w:pPr>
                    <w:pStyle w:val="29"/>
                    <w:rPr>
                      <w:rFonts w:hint="default"/>
                      <w:color w:val="auto"/>
                    </w:rPr>
                  </w:pPr>
                  <w:r>
                    <w:rPr>
                      <w:rFonts w:hint="default"/>
                      <w:color w:val="auto"/>
                    </w:rPr>
                    <w:t>最大存在总量qn/t</w:t>
                  </w:r>
                </w:p>
              </w:tc>
              <w:tc>
                <w:tcPr>
                  <w:tcW w:w="843" w:type="pct"/>
                  <w:vAlign w:val="center"/>
                </w:tcPr>
                <w:p w14:paraId="52A1719C">
                  <w:pPr>
                    <w:pStyle w:val="29"/>
                    <w:rPr>
                      <w:rFonts w:hint="default"/>
                      <w:color w:val="auto"/>
                    </w:rPr>
                  </w:pPr>
                  <w:r>
                    <w:rPr>
                      <w:rFonts w:hint="default"/>
                      <w:color w:val="auto"/>
                    </w:rPr>
                    <w:t>临界量Qn/t</w:t>
                  </w:r>
                </w:p>
              </w:tc>
              <w:tc>
                <w:tcPr>
                  <w:tcW w:w="1292" w:type="pct"/>
                  <w:vAlign w:val="center"/>
                </w:tcPr>
                <w:p w14:paraId="14F71638">
                  <w:pPr>
                    <w:pStyle w:val="29"/>
                    <w:rPr>
                      <w:rFonts w:hint="default"/>
                      <w:color w:val="auto"/>
                    </w:rPr>
                  </w:pPr>
                  <w:r>
                    <w:rPr>
                      <w:rFonts w:hint="default"/>
                      <w:color w:val="auto"/>
                    </w:rPr>
                    <w:t>该种危险物质Q值</w:t>
                  </w:r>
                </w:p>
              </w:tc>
            </w:tr>
            <w:tr w14:paraId="5BC5E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37DCC3EC">
                  <w:pPr>
                    <w:pStyle w:val="29"/>
                    <w:rPr>
                      <w:rFonts w:hint="eastAsia" w:eastAsia="宋体"/>
                      <w:color w:val="auto"/>
                      <w:lang w:eastAsia="zh-CN"/>
                    </w:rPr>
                  </w:pPr>
                  <w:r>
                    <w:rPr>
                      <w:rFonts w:hint="eastAsia"/>
                      <w:color w:val="auto"/>
                      <w:lang w:eastAsia="zh-CN"/>
                    </w:rPr>
                    <w:t>机油</w:t>
                  </w:r>
                </w:p>
              </w:tc>
              <w:tc>
                <w:tcPr>
                  <w:tcW w:w="675" w:type="pct"/>
                  <w:vAlign w:val="center"/>
                </w:tcPr>
                <w:p w14:paraId="21326465">
                  <w:pPr>
                    <w:pStyle w:val="29"/>
                    <w:rPr>
                      <w:rFonts w:hint="eastAsia" w:eastAsia="宋体"/>
                      <w:color w:val="auto"/>
                      <w:lang w:val="en-US" w:eastAsia="zh-CN"/>
                    </w:rPr>
                  </w:pPr>
                  <w:r>
                    <w:rPr>
                      <w:rFonts w:hint="eastAsia"/>
                      <w:color w:val="auto"/>
                      <w:lang w:val="en-US" w:eastAsia="zh-CN"/>
                    </w:rPr>
                    <w:t>/</w:t>
                  </w:r>
                </w:p>
              </w:tc>
              <w:tc>
                <w:tcPr>
                  <w:tcW w:w="1221" w:type="pct"/>
                  <w:vAlign w:val="center"/>
                </w:tcPr>
                <w:p w14:paraId="584D9D62">
                  <w:pPr>
                    <w:pStyle w:val="29"/>
                    <w:rPr>
                      <w:rFonts w:hint="default" w:eastAsia="宋体"/>
                      <w:color w:val="auto"/>
                      <w:lang w:val="en-US" w:eastAsia="zh-CN"/>
                    </w:rPr>
                  </w:pPr>
                  <w:r>
                    <w:rPr>
                      <w:rFonts w:hint="eastAsia"/>
                      <w:color w:val="auto"/>
                      <w:lang w:val="en-US" w:eastAsia="zh-CN"/>
                    </w:rPr>
                    <w:t>0.4</w:t>
                  </w:r>
                </w:p>
              </w:tc>
              <w:tc>
                <w:tcPr>
                  <w:tcW w:w="843" w:type="pct"/>
                  <w:vAlign w:val="center"/>
                </w:tcPr>
                <w:p w14:paraId="710D93A1">
                  <w:pPr>
                    <w:pStyle w:val="29"/>
                    <w:rPr>
                      <w:rFonts w:hint="default" w:eastAsia="宋体"/>
                      <w:color w:val="auto"/>
                      <w:lang w:val="en-US" w:eastAsia="zh-CN"/>
                    </w:rPr>
                  </w:pPr>
                  <w:r>
                    <w:rPr>
                      <w:rFonts w:hint="eastAsia"/>
                      <w:color w:val="auto"/>
                      <w:lang w:val="en-US" w:eastAsia="zh-CN"/>
                    </w:rPr>
                    <w:t>2500</w:t>
                  </w:r>
                </w:p>
              </w:tc>
              <w:tc>
                <w:tcPr>
                  <w:tcW w:w="1292" w:type="pct"/>
                  <w:vAlign w:val="center"/>
                </w:tcPr>
                <w:p w14:paraId="441C9B3E">
                  <w:pPr>
                    <w:pStyle w:val="29"/>
                    <w:rPr>
                      <w:rFonts w:hint="default" w:eastAsia="宋体"/>
                      <w:color w:val="auto"/>
                      <w:lang w:val="en-US" w:eastAsia="zh-CN"/>
                    </w:rPr>
                  </w:pPr>
                  <w:r>
                    <w:rPr>
                      <w:rFonts w:hint="eastAsia"/>
                      <w:color w:val="auto"/>
                      <w:lang w:val="en-US" w:eastAsia="zh-CN"/>
                    </w:rPr>
                    <w:t>0.00016</w:t>
                  </w:r>
                </w:p>
              </w:tc>
            </w:tr>
            <w:tr w14:paraId="4E90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57B0FB6C">
                  <w:pPr>
                    <w:pStyle w:val="29"/>
                    <w:rPr>
                      <w:rFonts w:hint="eastAsia" w:eastAsia="宋体"/>
                      <w:color w:val="auto"/>
                      <w:lang w:eastAsia="zh-CN"/>
                    </w:rPr>
                  </w:pPr>
                  <w:r>
                    <w:rPr>
                      <w:rFonts w:hint="eastAsia"/>
                      <w:color w:val="auto"/>
                      <w:lang w:eastAsia="zh-CN"/>
                    </w:rPr>
                    <w:t>废机油</w:t>
                  </w:r>
                </w:p>
              </w:tc>
              <w:tc>
                <w:tcPr>
                  <w:tcW w:w="675" w:type="pct"/>
                  <w:vAlign w:val="center"/>
                </w:tcPr>
                <w:p w14:paraId="67D1FA09">
                  <w:pPr>
                    <w:pStyle w:val="29"/>
                    <w:rPr>
                      <w:rFonts w:hint="default"/>
                      <w:color w:val="auto"/>
                    </w:rPr>
                  </w:pPr>
                  <w:r>
                    <w:rPr>
                      <w:rFonts w:hint="default"/>
                      <w:color w:val="auto"/>
                    </w:rPr>
                    <w:t>/</w:t>
                  </w:r>
                </w:p>
              </w:tc>
              <w:tc>
                <w:tcPr>
                  <w:tcW w:w="1221" w:type="pct"/>
                  <w:vAlign w:val="center"/>
                </w:tcPr>
                <w:p w14:paraId="26D11DB5">
                  <w:pPr>
                    <w:pStyle w:val="29"/>
                    <w:rPr>
                      <w:rFonts w:hint="default" w:eastAsia="宋体"/>
                      <w:color w:val="auto"/>
                      <w:lang w:val="en-US" w:eastAsia="zh-CN"/>
                    </w:rPr>
                  </w:pPr>
                  <w:r>
                    <w:rPr>
                      <w:rFonts w:hint="eastAsia"/>
                      <w:color w:val="auto"/>
                      <w:lang w:val="en-US" w:eastAsia="zh-CN"/>
                    </w:rPr>
                    <w:t>0.2</w:t>
                  </w:r>
                </w:p>
              </w:tc>
              <w:tc>
                <w:tcPr>
                  <w:tcW w:w="843" w:type="pct"/>
                  <w:vAlign w:val="center"/>
                </w:tcPr>
                <w:p w14:paraId="728C7CE2">
                  <w:pPr>
                    <w:pStyle w:val="29"/>
                    <w:rPr>
                      <w:rFonts w:hint="default"/>
                      <w:color w:val="auto"/>
                    </w:rPr>
                  </w:pPr>
                  <w:r>
                    <w:rPr>
                      <w:rFonts w:hint="default"/>
                      <w:color w:val="auto"/>
                    </w:rPr>
                    <w:t>2500</w:t>
                  </w:r>
                </w:p>
              </w:tc>
              <w:tc>
                <w:tcPr>
                  <w:tcW w:w="1292" w:type="pct"/>
                  <w:vAlign w:val="center"/>
                </w:tcPr>
                <w:p w14:paraId="57586161">
                  <w:pPr>
                    <w:pStyle w:val="29"/>
                    <w:rPr>
                      <w:rFonts w:hint="default"/>
                      <w:color w:val="auto"/>
                      <w:lang w:val="en-US"/>
                    </w:rPr>
                  </w:pPr>
                  <w:r>
                    <w:rPr>
                      <w:rFonts w:hint="eastAsia"/>
                      <w:color w:val="auto"/>
                      <w:lang w:val="en-US" w:eastAsia="zh-CN"/>
                    </w:rPr>
                    <w:t>0.00008</w:t>
                  </w:r>
                </w:p>
              </w:tc>
            </w:tr>
            <w:tr w14:paraId="6E90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16A31232">
                  <w:pPr>
                    <w:pStyle w:val="29"/>
                    <w:rPr>
                      <w:rFonts w:hint="default"/>
                      <w:color w:val="auto"/>
                      <w:lang w:val="en-US" w:eastAsia="zh-CN"/>
                    </w:rPr>
                  </w:pPr>
                  <w:r>
                    <w:rPr>
                      <w:rFonts w:hint="eastAsia"/>
                      <w:color w:val="auto"/>
                      <w:lang w:val="en-US" w:eastAsia="zh-CN"/>
                    </w:rPr>
                    <w:t>制冷剂R22</w:t>
                  </w:r>
                </w:p>
              </w:tc>
              <w:tc>
                <w:tcPr>
                  <w:tcW w:w="675" w:type="pct"/>
                  <w:vAlign w:val="center"/>
                </w:tcPr>
                <w:p w14:paraId="6DD4B008">
                  <w:pPr>
                    <w:pStyle w:val="29"/>
                    <w:rPr>
                      <w:rFonts w:hint="default"/>
                      <w:color w:val="auto"/>
                    </w:rPr>
                  </w:pPr>
                  <w:r>
                    <w:rPr>
                      <w:rFonts w:hint="default"/>
                      <w:color w:val="auto"/>
                    </w:rPr>
                    <w:t>‌75-45-6</w:t>
                  </w:r>
                </w:p>
              </w:tc>
              <w:tc>
                <w:tcPr>
                  <w:tcW w:w="1221" w:type="pct"/>
                  <w:vAlign w:val="center"/>
                </w:tcPr>
                <w:p w14:paraId="19A69FB4">
                  <w:pPr>
                    <w:pStyle w:val="29"/>
                    <w:rPr>
                      <w:rFonts w:hint="default"/>
                      <w:color w:val="auto"/>
                      <w:lang w:val="en-US" w:eastAsia="zh-CN"/>
                    </w:rPr>
                  </w:pPr>
                  <w:r>
                    <w:rPr>
                      <w:rFonts w:hint="eastAsia"/>
                      <w:color w:val="auto"/>
                      <w:lang w:val="en-US" w:eastAsia="zh-CN"/>
                    </w:rPr>
                    <w:t>1.2</w:t>
                  </w:r>
                </w:p>
              </w:tc>
              <w:tc>
                <w:tcPr>
                  <w:tcW w:w="843" w:type="pct"/>
                  <w:vAlign w:val="center"/>
                </w:tcPr>
                <w:p w14:paraId="0584F2F7">
                  <w:pPr>
                    <w:pStyle w:val="29"/>
                    <w:rPr>
                      <w:rFonts w:hint="default"/>
                      <w:color w:val="auto"/>
                      <w:lang w:val="en-US" w:eastAsia="zh-CN"/>
                    </w:rPr>
                  </w:pPr>
                  <w:r>
                    <w:rPr>
                      <w:rFonts w:hint="eastAsia"/>
                      <w:color w:val="auto"/>
                      <w:lang w:val="en-US" w:eastAsia="zh-CN"/>
                    </w:rPr>
                    <w:t>10</w:t>
                  </w:r>
                </w:p>
              </w:tc>
              <w:tc>
                <w:tcPr>
                  <w:tcW w:w="1292" w:type="pct"/>
                  <w:vAlign w:val="center"/>
                </w:tcPr>
                <w:p w14:paraId="0AECB5A5">
                  <w:pPr>
                    <w:pStyle w:val="29"/>
                    <w:rPr>
                      <w:rFonts w:hint="default"/>
                      <w:color w:val="auto"/>
                      <w:lang w:val="en-US" w:eastAsia="zh-CN"/>
                    </w:rPr>
                  </w:pPr>
                  <w:r>
                    <w:rPr>
                      <w:rFonts w:hint="eastAsia"/>
                      <w:color w:val="auto"/>
                      <w:lang w:val="en-US" w:eastAsia="zh-CN"/>
                    </w:rPr>
                    <w:t>0.12</w:t>
                  </w:r>
                </w:p>
              </w:tc>
            </w:tr>
            <w:tr w14:paraId="4C87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11570882">
                  <w:pPr>
                    <w:pStyle w:val="29"/>
                    <w:rPr>
                      <w:rFonts w:hint="default"/>
                      <w:color w:val="auto"/>
                      <w:lang w:val="en-US" w:eastAsia="zh-CN"/>
                    </w:rPr>
                  </w:pPr>
                  <w:r>
                    <w:rPr>
                      <w:rFonts w:hint="eastAsia"/>
                      <w:color w:val="auto"/>
                      <w:lang w:val="en-US" w:eastAsia="zh-CN"/>
                    </w:rPr>
                    <w:t>氢氧化钠</w:t>
                  </w:r>
                </w:p>
              </w:tc>
              <w:tc>
                <w:tcPr>
                  <w:tcW w:w="675" w:type="pct"/>
                  <w:vAlign w:val="center"/>
                </w:tcPr>
                <w:p w14:paraId="0478780E">
                  <w:pPr>
                    <w:pStyle w:val="29"/>
                    <w:rPr>
                      <w:rFonts w:hint="default" w:eastAsia="宋体"/>
                      <w:color w:val="auto"/>
                      <w:lang w:val="en-US" w:eastAsia="zh-CN"/>
                    </w:rPr>
                  </w:pPr>
                  <w:r>
                    <w:rPr>
                      <w:rFonts w:hint="eastAsia"/>
                      <w:color w:val="auto"/>
                      <w:lang w:val="en-US" w:eastAsia="zh-CN"/>
                    </w:rPr>
                    <w:t>1310-73-2</w:t>
                  </w:r>
                </w:p>
              </w:tc>
              <w:tc>
                <w:tcPr>
                  <w:tcW w:w="1221" w:type="pct"/>
                  <w:vAlign w:val="center"/>
                </w:tcPr>
                <w:p w14:paraId="1B2A1D37">
                  <w:pPr>
                    <w:pStyle w:val="29"/>
                    <w:rPr>
                      <w:rFonts w:hint="default"/>
                      <w:color w:val="auto"/>
                      <w:lang w:val="en-US" w:eastAsia="zh-CN"/>
                    </w:rPr>
                  </w:pPr>
                  <w:r>
                    <w:rPr>
                      <w:rFonts w:hint="eastAsia"/>
                      <w:color w:val="auto"/>
                      <w:lang w:val="en-US" w:eastAsia="zh-CN"/>
                    </w:rPr>
                    <w:t>1</w:t>
                  </w:r>
                </w:p>
              </w:tc>
              <w:tc>
                <w:tcPr>
                  <w:tcW w:w="843" w:type="pct"/>
                  <w:vAlign w:val="center"/>
                </w:tcPr>
                <w:p w14:paraId="3E309559">
                  <w:pPr>
                    <w:pStyle w:val="29"/>
                    <w:rPr>
                      <w:rFonts w:hint="default" w:eastAsia="宋体"/>
                      <w:color w:val="auto"/>
                      <w:lang w:val="en-US" w:eastAsia="zh-CN"/>
                    </w:rPr>
                  </w:pPr>
                  <w:r>
                    <w:rPr>
                      <w:rFonts w:hint="eastAsia"/>
                      <w:color w:val="auto"/>
                      <w:lang w:val="en-US" w:eastAsia="zh-CN"/>
                    </w:rPr>
                    <w:t>50</w:t>
                  </w:r>
                </w:p>
              </w:tc>
              <w:tc>
                <w:tcPr>
                  <w:tcW w:w="1292" w:type="pct"/>
                  <w:vAlign w:val="center"/>
                </w:tcPr>
                <w:p w14:paraId="65C320A1">
                  <w:pPr>
                    <w:pStyle w:val="29"/>
                    <w:rPr>
                      <w:rFonts w:hint="default"/>
                      <w:color w:val="auto"/>
                      <w:lang w:val="en-US" w:eastAsia="zh-CN"/>
                    </w:rPr>
                  </w:pPr>
                  <w:r>
                    <w:rPr>
                      <w:rFonts w:hint="eastAsia"/>
                      <w:color w:val="auto"/>
                      <w:lang w:val="en-US" w:eastAsia="zh-CN"/>
                    </w:rPr>
                    <w:t>0.02</w:t>
                  </w:r>
                </w:p>
              </w:tc>
            </w:tr>
            <w:tr w14:paraId="0ABF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shd w:val="clear" w:color="auto" w:fill="auto"/>
                  <w:vAlign w:val="center"/>
                </w:tcPr>
                <w:p w14:paraId="537B784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过氧乙酸</w:t>
                  </w:r>
                </w:p>
              </w:tc>
              <w:tc>
                <w:tcPr>
                  <w:tcW w:w="675" w:type="pct"/>
                  <w:shd w:val="clear" w:color="auto" w:fill="auto"/>
                  <w:vAlign w:val="center"/>
                </w:tcPr>
                <w:p w14:paraId="0FB7EBE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‌79-21-0</w:t>
                  </w:r>
                </w:p>
              </w:tc>
              <w:tc>
                <w:tcPr>
                  <w:tcW w:w="1221" w:type="pct"/>
                  <w:shd w:val="clear" w:color="auto" w:fill="auto"/>
                  <w:vAlign w:val="center"/>
                </w:tcPr>
                <w:p w14:paraId="3F7B0C8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0.5</w:t>
                  </w:r>
                </w:p>
              </w:tc>
              <w:tc>
                <w:tcPr>
                  <w:tcW w:w="843" w:type="pct"/>
                  <w:shd w:val="clear" w:color="auto" w:fill="auto"/>
                  <w:vAlign w:val="center"/>
                </w:tcPr>
                <w:p w14:paraId="1BA75BA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10</w:t>
                  </w:r>
                </w:p>
              </w:tc>
              <w:tc>
                <w:tcPr>
                  <w:tcW w:w="1292" w:type="pct"/>
                  <w:shd w:val="clear" w:color="auto" w:fill="auto"/>
                  <w:vAlign w:val="center"/>
                </w:tcPr>
                <w:p w14:paraId="25FFB3FD">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0.05</w:t>
                  </w:r>
                </w:p>
              </w:tc>
            </w:tr>
            <w:tr w14:paraId="7680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11754DBE">
                  <w:pPr>
                    <w:pStyle w:val="29"/>
                    <w:rPr>
                      <w:rFonts w:hint="default"/>
                      <w:color w:val="auto"/>
                      <w:lang w:val="en-US" w:eastAsia="zh-CN"/>
                    </w:rPr>
                  </w:pPr>
                  <w:r>
                    <w:rPr>
                      <w:rFonts w:hint="eastAsia"/>
                      <w:color w:val="auto"/>
                      <w:lang w:val="en-US" w:eastAsia="zh-CN"/>
                    </w:rPr>
                    <w:t>天然气</w:t>
                  </w:r>
                </w:p>
              </w:tc>
              <w:tc>
                <w:tcPr>
                  <w:tcW w:w="675" w:type="pct"/>
                  <w:vAlign w:val="center"/>
                </w:tcPr>
                <w:p w14:paraId="2A8908B8">
                  <w:pPr>
                    <w:pStyle w:val="29"/>
                    <w:rPr>
                      <w:rFonts w:hint="default"/>
                      <w:color w:val="auto"/>
                      <w:lang w:val="en-US" w:eastAsia="zh-CN"/>
                    </w:rPr>
                  </w:pPr>
                  <w:r>
                    <w:rPr>
                      <w:rFonts w:hint="eastAsia"/>
                      <w:color w:val="auto"/>
                      <w:lang w:val="en-US" w:eastAsia="zh-CN"/>
                    </w:rPr>
                    <w:t>74-82-8</w:t>
                  </w:r>
                </w:p>
              </w:tc>
              <w:tc>
                <w:tcPr>
                  <w:tcW w:w="1221" w:type="pct"/>
                  <w:vAlign w:val="center"/>
                </w:tcPr>
                <w:p w14:paraId="49DE4EC3">
                  <w:pPr>
                    <w:pStyle w:val="29"/>
                    <w:rPr>
                      <w:rFonts w:hint="default"/>
                      <w:color w:val="auto"/>
                      <w:lang w:val="en-US" w:eastAsia="zh-CN"/>
                    </w:rPr>
                  </w:pPr>
                  <w:r>
                    <w:rPr>
                      <w:rFonts w:hint="eastAsia"/>
                      <w:color w:val="auto"/>
                      <w:lang w:val="en-US" w:eastAsia="zh-CN"/>
                    </w:rPr>
                    <w:t>0.002</w:t>
                  </w:r>
                </w:p>
              </w:tc>
              <w:tc>
                <w:tcPr>
                  <w:tcW w:w="843" w:type="pct"/>
                  <w:vAlign w:val="center"/>
                </w:tcPr>
                <w:p w14:paraId="122A7FC5">
                  <w:pPr>
                    <w:pStyle w:val="29"/>
                    <w:rPr>
                      <w:rFonts w:hint="default"/>
                      <w:color w:val="auto"/>
                      <w:lang w:val="en-US" w:eastAsia="zh-CN"/>
                    </w:rPr>
                  </w:pPr>
                  <w:r>
                    <w:rPr>
                      <w:rFonts w:hint="eastAsia"/>
                      <w:color w:val="auto"/>
                      <w:lang w:val="en-US" w:eastAsia="zh-CN"/>
                    </w:rPr>
                    <w:t>10</w:t>
                  </w:r>
                </w:p>
              </w:tc>
              <w:tc>
                <w:tcPr>
                  <w:tcW w:w="1292" w:type="pct"/>
                  <w:vAlign w:val="center"/>
                </w:tcPr>
                <w:p w14:paraId="7F4D1B2E">
                  <w:pPr>
                    <w:pStyle w:val="29"/>
                    <w:rPr>
                      <w:rFonts w:hint="default"/>
                      <w:color w:val="auto"/>
                      <w:lang w:val="en-US" w:eastAsia="zh-CN"/>
                    </w:rPr>
                  </w:pPr>
                  <w:r>
                    <w:rPr>
                      <w:rFonts w:hint="eastAsia"/>
                      <w:color w:val="auto"/>
                      <w:lang w:val="en-US" w:eastAsia="zh-CN"/>
                    </w:rPr>
                    <w:t>0.0002</w:t>
                  </w:r>
                </w:p>
              </w:tc>
            </w:tr>
            <w:tr w14:paraId="10D8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66" w:type="pct"/>
                  <w:vAlign w:val="center"/>
                </w:tcPr>
                <w:p w14:paraId="35CFD12E">
                  <w:pPr>
                    <w:pStyle w:val="29"/>
                    <w:rPr>
                      <w:rFonts w:hint="default"/>
                      <w:color w:val="auto"/>
                      <w:lang w:val="en-US" w:eastAsia="zh-CN"/>
                    </w:rPr>
                  </w:pPr>
                  <w:r>
                    <w:rPr>
                      <w:rFonts w:hint="eastAsia"/>
                      <w:color w:val="auto"/>
                      <w:lang w:val="en-US" w:eastAsia="zh-CN"/>
                    </w:rPr>
                    <w:t>废碱液（氢氧化钠）</w:t>
                  </w:r>
                </w:p>
              </w:tc>
              <w:tc>
                <w:tcPr>
                  <w:tcW w:w="675" w:type="pct"/>
                  <w:vAlign w:val="center"/>
                </w:tcPr>
                <w:p w14:paraId="427ED206">
                  <w:pPr>
                    <w:pStyle w:val="29"/>
                    <w:rPr>
                      <w:rFonts w:hint="default"/>
                      <w:color w:val="auto"/>
                      <w:lang w:val="en-US" w:eastAsia="zh-CN"/>
                    </w:rPr>
                  </w:pPr>
                  <w:r>
                    <w:rPr>
                      <w:rFonts w:hint="eastAsia"/>
                      <w:color w:val="auto"/>
                      <w:lang w:val="en-US" w:eastAsia="zh-CN"/>
                    </w:rPr>
                    <w:t>1310-73-2</w:t>
                  </w:r>
                </w:p>
              </w:tc>
              <w:tc>
                <w:tcPr>
                  <w:tcW w:w="1221" w:type="pct"/>
                  <w:vAlign w:val="center"/>
                </w:tcPr>
                <w:p w14:paraId="0D7FB94A">
                  <w:pPr>
                    <w:pStyle w:val="29"/>
                    <w:rPr>
                      <w:rFonts w:hint="default"/>
                      <w:color w:val="auto"/>
                      <w:lang w:val="en-US" w:eastAsia="zh-CN"/>
                    </w:rPr>
                  </w:pPr>
                  <w:r>
                    <w:rPr>
                      <w:rFonts w:hint="eastAsia"/>
                      <w:color w:val="auto"/>
                      <w:lang w:val="en-US" w:eastAsia="zh-CN"/>
                    </w:rPr>
                    <w:t>0.2</w:t>
                  </w:r>
                </w:p>
              </w:tc>
              <w:tc>
                <w:tcPr>
                  <w:tcW w:w="843" w:type="pct"/>
                  <w:vAlign w:val="center"/>
                </w:tcPr>
                <w:p w14:paraId="1A16D290">
                  <w:pPr>
                    <w:pStyle w:val="29"/>
                    <w:rPr>
                      <w:rFonts w:hint="default"/>
                      <w:color w:val="auto"/>
                      <w:lang w:val="en-US" w:eastAsia="zh-CN"/>
                    </w:rPr>
                  </w:pPr>
                  <w:r>
                    <w:rPr>
                      <w:rFonts w:hint="eastAsia"/>
                      <w:color w:val="auto"/>
                      <w:lang w:val="en-US" w:eastAsia="zh-CN"/>
                    </w:rPr>
                    <w:t>50</w:t>
                  </w:r>
                </w:p>
              </w:tc>
              <w:tc>
                <w:tcPr>
                  <w:tcW w:w="1292" w:type="pct"/>
                  <w:vAlign w:val="center"/>
                </w:tcPr>
                <w:p w14:paraId="2F2A2C8C">
                  <w:pPr>
                    <w:pStyle w:val="29"/>
                    <w:rPr>
                      <w:rFonts w:hint="default"/>
                      <w:color w:val="auto"/>
                      <w:lang w:val="en-US" w:eastAsia="zh-CN"/>
                    </w:rPr>
                  </w:pPr>
                  <w:r>
                    <w:rPr>
                      <w:rFonts w:hint="eastAsia"/>
                      <w:color w:val="auto"/>
                      <w:lang w:val="en-US" w:eastAsia="zh-CN"/>
                    </w:rPr>
                    <w:t>0.004</w:t>
                  </w:r>
                </w:p>
              </w:tc>
            </w:tr>
            <w:tr w14:paraId="5635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6" w:type="pct"/>
                  <w:vAlign w:val="center"/>
                </w:tcPr>
                <w:p w14:paraId="0FC7F36D">
                  <w:pPr>
                    <w:pStyle w:val="29"/>
                    <w:rPr>
                      <w:rFonts w:hint="default"/>
                      <w:color w:val="auto"/>
                      <w:lang w:val="en-US" w:eastAsia="zh-CN"/>
                    </w:rPr>
                  </w:pPr>
                  <w:r>
                    <w:rPr>
                      <w:rFonts w:hint="eastAsia"/>
                      <w:color w:val="auto"/>
                      <w:lang w:val="en-US" w:eastAsia="zh-CN"/>
                    </w:rPr>
                    <w:t>废酸液（过氧乙酸）</w:t>
                  </w:r>
                </w:p>
              </w:tc>
              <w:tc>
                <w:tcPr>
                  <w:tcW w:w="675" w:type="pct"/>
                  <w:vAlign w:val="center"/>
                </w:tcPr>
                <w:p w14:paraId="3DD53FF2">
                  <w:pPr>
                    <w:pStyle w:val="29"/>
                    <w:rPr>
                      <w:rFonts w:hint="default"/>
                      <w:color w:val="auto"/>
                      <w:lang w:val="en-US" w:eastAsia="zh-CN"/>
                    </w:rPr>
                  </w:pPr>
                  <w:r>
                    <w:rPr>
                      <w:rFonts w:hint="eastAsia"/>
                      <w:color w:val="auto"/>
                      <w:lang w:val="en-US" w:eastAsia="zh-CN"/>
                    </w:rPr>
                    <w:t>79-21-0</w:t>
                  </w:r>
                </w:p>
              </w:tc>
              <w:tc>
                <w:tcPr>
                  <w:tcW w:w="1221" w:type="pct"/>
                  <w:vAlign w:val="center"/>
                </w:tcPr>
                <w:p w14:paraId="3135D5AA">
                  <w:pPr>
                    <w:pStyle w:val="29"/>
                    <w:rPr>
                      <w:rFonts w:hint="default"/>
                      <w:color w:val="auto"/>
                      <w:lang w:val="en-US" w:eastAsia="zh-CN"/>
                    </w:rPr>
                  </w:pPr>
                  <w:r>
                    <w:rPr>
                      <w:rFonts w:hint="eastAsia"/>
                      <w:color w:val="auto"/>
                      <w:lang w:val="en-US" w:eastAsia="zh-CN"/>
                    </w:rPr>
                    <w:t>0.2</w:t>
                  </w:r>
                </w:p>
              </w:tc>
              <w:tc>
                <w:tcPr>
                  <w:tcW w:w="843" w:type="pct"/>
                  <w:vAlign w:val="center"/>
                </w:tcPr>
                <w:p w14:paraId="2728F41E">
                  <w:pPr>
                    <w:pStyle w:val="29"/>
                    <w:rPr>
                      <w:rFonts w:hint="default"/>
                      <w:color w:val="auto"/>
                      <w:lang w:val="en-US" w:eastAsia="zh-CN"/>
                    </w:rPr>
                  </w:pPr>
                  <w:r>
                    <w:rPr>
                      <w:rFonts w:hint="eastAsia"/>
                      <w:color w:val="auto"/>
                      <w:lang w:val="en-US" w:eastAsia="zh-CN"/>
                    </w:rPr>
                    <w:t>5</w:t>
                  </w:r>
                </w:p>
              </w:tc>
              <w:tc>
                <w:tcPr>
                  <w:tcW w:w="1292" w:type="pct"/>
                  <w:vAlign w:val="center"/>
                </w:tcPr>
                <w:p w14:paraId="7DED026E">
                  <w:pPr>
                    <w:pStyle w:val="29"/>
                    <w:rPr>
                      <w:rFonts w:hint="default"/>
                      <w:color w:val="auto"/>
                      <w:lang w:val="en-US" w:eastAsia="zh-CN"/>
                    </w:rPr>
                  </w:pPr>
                  <w:r>
                    <w:rPr>
                      <w:rFonts w:hint="eastAsia"/>
                      <w:color w:val="auto"/>
                      <w:lang w:val="en-US" w:eastAsia="zh-CN"/>
                    </w:rPr>
                    <w:t>0.04</w:t>
                  </w:r>
                </w:p>
              </w:tc>
            </w:tr>
            <w:tr w14:paraId="3981F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707" w:type="pct"/>
                  <w:gridSpan w:val="4"/>
                  <w:vAlign w:val="center"/>
                </w:tcPr>
                <w:p w14:paraId="5879125F">
                  <w:pPr>
                    <w:pStyle w:val="29"/>
                    <w:rPr>
                      <w:rFonts w:hint="default"/>
                      <w:color w:val="auto"/>
                    </w:rPr>
                  </w:pPr>
                  <w:r>
                    <w:rPr>
                      <w:rFonts w:hint="default"/>
                      <w:color w:val="auto"/>
                    </w:rPr>
                    <w:t>合计</w:t>
                  </w:r>
                </w:p>
              </w:tc>
              <w:tc>
                <w:tcPr>
                  <w:tcW w:w="1292" w:type="pct"/>
                  <w:vAlign w:val="center"/>
                </w:tcPr>
                <w:p w14:paraId="438BAA59">
                  <w:pPr>
                    <w:pStyle w:val="29"/>
                    <w:rPr>
                      <w:rFonts w:hint="default"/>
                      <w:color w:val="auto"/>
                      <w:lang w:val="en-US" w:eastAsia="zh-CN"/>
                    </w:rPr>
                  </w:pPr>
                  <w:r>
                    <w:rPr>
                      <w:rFonts w:hint="eastAsia"/>
                      <w:color w:val="auto"/>
                      <w:lang w:val="en-US" w:eastAsia="zh-CN"/>
                    </w:rPr>
                    <w:t>0.23444</w:t>
                  </w:r>
                </w:p>
              </w:tc>
            </w:tr>
            <w:tr w14:paraId="1FA3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vAlign w:val="center"/>
                </w:tcPr>
                <w:p w14:paraId="71D995C2">
                  <w:pPr>
                    <w:pStyle w:val="29"/>
                    <w:jc w:val="left"/>
                    <w:rPr>
                      <w:rFonts w:hint="eastAsia"/>
                      <w:color w:val="auto"/>
                      <w:lang w:val="en-US" w:eastAsia="zh-CN"/>
                    </w:rPr>
                  </w:pPr>
                  <w:r>
                    <w:rPr>
                      <w:rFonts w:hint="eastAsia"/>
                      <w:color w:val="auto"/>
                      <w:lang w:val="en-US" w:eastAsia="zh-CN"/>
                    </w:rPr>
                    <w:t>注：1、本项目不设置独立的R22大容量场外储存储罐，所有制冷剂全程密封保存在3台螺杆式制冷机组的密闭循环管路系统内部，无厂内大量暂存场景。项目3台机组（2用1备）单台初始充注量为400kg，系统总初始充注量为1200kg，该数值即为厂界内R22制冷剂的最大在线存在总量。项目年制冷剂总使用量3t为全年运维过程中，设备动密封自然损耗、年度检修残余排放、工况波动补加的累计补充总量，不属于厂内某一时刻的瞬时暂存量，不纳入环境风险物质Q值的统计范围。</w:t>
                  </w:r>
                </w:p>
                <w:p w14:paraId="1BA73EC5">
                  <w:pPr>
                    <w:rPr>
                      <w:rFonts w:hint="default"/>
                      <w:color w:val="auto"/>
                      <w:lang w:val="en-US" w:eastAsia="zh-CN"/>
                    </w:rPr>
                  </w:pPr>
                  <w:r>
                    <w:rPr>
                      <w:rFonts w:hint="eastAsia" w:ascii="Times New Roman" w:hAnsi="Times New Roman" w:eastAsia="宋体" w:cs="Times New Roman"/>
                      <w:b w:val="0"/>
                      <w:color w:val="auto"/>
                      <w:kern w:val="2"/>
                      <w:sz w:val="21"/>
                      <w:szCs w:val="21"/>
                      <w:lang w:val="en-US" w:eastAsia="zh-CN" w:bidi="ar-SA"/>
                    </w:rPr>
                    <w:t>2、厂区天然气管线内实时最大在线存量约0.002t，无独立场外储罐，全部为设备在线存量。</w:t>
                  </w:r>
                </w:p>
              </w:tc>
            </w:tr>
          </w:tbl>
          <w:p w14:paraId="4E5C762F">
            <w:pPr>
              <w:ind w:firstLine="482"/>
              <w:rPr>
                <w:b/>
                <w:bCs/>
                <w:color w:val="auto"/>
              </w:rPr>
            </w:pPr>
            <w:r>
              <w:rPr>
                <w:rFonts w:hint="eastAsia"/>
                <w:b/>
                <w:bCs/>
                <w:color w:val="auto"/>
              </w:rPr>
              <w:t>（2）环境风险潜势</w:t>
            </w:r>
          </w:p>
          <w:p w14:paraId="62E7698F">
            <w:pPr>
              <w:ind w:firstLine="480"/>
              <w:rPr>
                <w:color w:val="auto"/>
              </w:rPr>
            </w:pPr>
            <w:r>
              <w:rPr>
                <w:rFonts w:hint="eastAsia"/>
                <w:color w:val="auto"/>
              </w:rPr>
              <w:t>根据《建设项目环境风险评价技术导则》（HJ169-2018）附录B重点关注的危险物质及临界量，本项目Q=</w:t>
            </w:r>
            <w:r>
              <w:rPr>
                <w:rFonts w:hint="eastAsia"/>
                <w:color w:val="auto"/>
                <w:lang w:eastAsia="zh-CN"/>
              </w:rPr>
              <w:t>0.23444</w:t>
            </w:r>
            <w:r>
              <w:rPr>
                <w:rFonts w:hint="eastAsia"/>
                <w:color w:val="auto"/>
              </w:rPr>
              <w:t>。</w:t>
            </w:r>
          </w:p>
          <w:p w14:paraId="087B2B11">
            <w:pPr>
              <w:ind w:firstLine="480"/>
              <w:rPr>
                <w:color w:val="auto"/>
              </w:rPr>
            </w:pPr>
            <w:r>
              <w:rPr>
                <w:rFonts w:hint="eastAsia"/>
                <w:color w:val="auto"/>
              </w:rPr>
              <w:t>综上，Q=</w:t>
            </w:r>
            <w:r>
              <w:rPr>
                <w:rFonts w:hint="eastAsia"/>
                <w:color w:val="auto"/>
                <w:lang w:eastAsia="zh-CN"/>
              </w:rPr>
              <w:t>0.23444</w:t>
            </w:r>
            <w:r>
              <w:rPr>
                <w:rFonts w:hint="eastAsia"/>
                <w:color w:val="auto"/>
              </w:rPr>
              <w:t>，根据导则附录C知，当Q值小于1时，项目的环境风险潜势为I级。</w:t>
            </w:r>
          </w:p>
          <w:p w14:paraId="58743EDA">
            <w:pPr>
              <w:ind w:firstLine="482"/>
              <w:rPr>
                <w:b/>
                <w:bCs/>
                <w:color w:val="auto"/>
              </w:rPr>
            </w:pPr>
            <w:r>
              <w:rPr>
                <w:rFonts w:hint="eastAsia"/>
                <w:b/>
                <w:bCs/>
                <w:color w:val="auto"/>
              </w:rPr>
              <w:t>（3）评价工作等级</w:t>
            </w:r>
          </w:p>
          <w:p w14:paraId="1159EAC7">
            <w:pPr>
              <w:ind w:firstLine="480"/>
              <w:rPr>
                <w:color w:val="auto"/>
              </w:rPr>
            </w:pPr>
            <w:r>
              <w:rPr>
                <w:rFonts w:hint="eastAsia"/>
                <w:color w:val="auto"/>
              </w:rPr>
              <w:t>根据《建设项目环境风险评价技术导则》（HJ169-2018），项目Q＜1，故本项目直接评为一般环境风险等级，仅进行简单分析</w:t>
            </w:r>
            <w:r>
              <w:rPr>
                <w:color w:val="auto"/>
              </w:rPr>
              <w:t>。</w:t>
            </w:r>
          </w:p>
          <w:p w14:paraId="3E9C1AC6">
            <w:pPr>
              <w:ind w:firstLine="482"/>
              <w:rPr>
                <w:rFonts w:hint="eastAsia"/>
                <w:b/>
                <w:bCs/>
                <w:color w:val="auto"/>
              </w:rPr>
            </w:pPr>
            <w:r>
              <w:rPr>
                <w:rFonts w:hint="eastAsia"/>
                <w:b/>
                <w:bCs/>
                <w:color w:val="auto"/>
              </w:rPr>
              <w:t>3、风险事故</w:t>
            </w:r>
          </w:p>
          <w:p w14:paraId="00B78A3C">
            <w:pPr>
              <w:bidi w:val="0"/>
              <w:rPr>
                <w:rFonts w:hint="eastAsia" w:cs="Times New Roman"/>
                <w:color w:val="auto"/>
                <w:lang w:val="en-US" w:eastAsia="zh-CN"/>
              </w:rPr>
            </w:pPr>
            <w:r>
              <w:rPr>
                <w:rFonts w:cs="Times New Roman"/>
                <w:color w:val="auto"/>
              </w:rPr>
              <w:t>本项目</w:t>
            </w:r>
            <w:r>
              <w:rPr>
                <w:rFonts w:hint="eastAsia" w:cs="Times New Roman"/>
                <w:color w:val="auto"/>
                <w:lang w:val="en-US" w:eastAsia="zh-CN"/>
              </w:rPr>
              <w:t>存在的环境风险事故见下表：</w:t>
            </w:r>
          </w:p>
          <w:p w14:paraId="5F1A4332">
            <w:pPr>
              <w:pStyle w:val="30"/>
              <w:bidi w:val="0"/>
              <w:rPr>
                <w:rFonts w:hint="eastAsia"/>
                <w:color w:val="auto"/>
                <w:lang w:val="en-US" w:eastAsia="zh-CN"/>
              </w:rPr>
            </w:pPr>
            <w:r>
              <w:rPr>
                <w:rFonts w:hint="eastAsia"/>
                <w:color w:val="auto"/>
                <w:lang w:eastAsia="zh-CN"/>
              </w:rPr>
              <w:t>表</w:t>
            </w:r>
            <w:r>
              <w:rPr>
                <w:rFonts w:hint="eastAsia"/>
                <w:color w:val="auto"/>
                <w:lang w:val="en-US" w:eastAsia="zh-CN"/>
              </w:rPr>
              <w:t>4-26 风险分析事故一览表</w:t>
            </w:r>
          </w:p>
          <w:tbl>
            <w:tblPr>
              <w:tblStyle w:val="24"/>
              <w:tblW w:w="79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9"/>
              <w:gridCol w:w="1313"/>
              <w:gridCol w:w="796"/>
              <w:gridCol w:w="1375"/>
              <w:gridCol w:w="1844"/>
              <w:gridCol w:w="1313"/>
            </w:tblGrid>
            <w:tr w14:paraId="02790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3D2BED6E">
                  <w:pPr>
                    <w:pStyle w:val="29"/>
                    <w:bidi w:val="0"/>
                    <w:rPr>
                      <w:rFonts w:hint="default"/>
                      <w:color w:val="auto"/>
                      <w:vertAlign w:val="baseline"/>
                      <w:lang w:val="en-US" w:eastAsia="zh-CN"/>
                    </w:rPr>
                  </w:pPr>
                  <w:r>
                    <w:rPr>
                      <w:rFonts w:hint="eastAsia"/>
                      <w:color w:val="auto"/>
                      <w:vertAlign w:val="baseline"/>
                      <w:lang w:val="en-US" w:eastAsia="zh-CN"/>
                    </w:rPr>
                    <w:t>事故起因</w:t>
                  </w:r>
                </w:p>
              </w:tc>
              <w:tc>
                <w:tcPr>
                  <w:tcW w:w="1313" w:type="dxa"/>
                  <w:vAlign w:val="center"/>
                </w:tcPr>
                <w:p w14:paraId="5789CD67">
                  <w:pPr>
                    <w:pStyle w:val="29"/>
                    <w:bidi w:val="0"/>
                    <w:rPr>
                      <w:rFonts w:hint="default"/>
                      <w:color w:val="auto"/>
                      <w:vertAlign w:val="baseline"/>
                      <w:lang w:val="en-US" w:eastAsia="zh-CN"/>
                    </w:rPr>
                  </w:pPr>
                  <w:r>
                    <w:rPr>
                      <w:rFonts w:hint="eastAsia"/>
                      <w:color w:val="auto"/>
                      <w:vertAlign w:val="baseline"/>
                      <w:lang w:val="en-US" w:eastAsia="zh-CN"/>
                    </w:rPr>
                    <w:t>环境风险描述</w:t>
                  </w:r>
                </w:p>
              </w:tc>
              <w:tc>
                <w:tcPr>
                  <w:tcW w:w="796" w:type="dxa"/>
                  <w:vAlign w:val="center"/>
                </w:tcPr>
                <w:p w14:paraId="451BF815">
                  <w:pPr>
                    <w:pStyle w:val="29"/>
                    <w:bidi w:val="0"/>
                    <w:rPr>
                      <w:rFonts w:hint="default"/>
                      <w:color w:val="auto"/>
                      <w:vertAlign w:val="baseline"/>
                      <w:lang w:val="en-US" w:eastAsia="zh-CN"/>
                    </w:rPr>
                  </w:pPr>
                  <w:r>
                    <w:rPr>
                      <w:rFonts w:hint="eastAsia"/>
                      <w:color w:val="auto"/>
                      <w:vertAlign w:val="baseline"/>
                      <w:lang w:val="en-US" w:eastAsia="zh-CN"/>
                    </w:rPr>
                    <w:t>涉及物质</w:t>
                  </w:r>
                </w:p>
              </w:tc>
              <w:tc>
                <w:tcPr>
                  <w:tcW w:w="1375" w:type="dxa"/>
                  <w:vAlign w:val="center"/>
                </w:tcPr>
                <w:p w14:paraId="4B2A3F33">
                  <w:pPr>
                    <w:pStyle w:val="29"/>
                    <w:bidi w:val="0"/>
                    <w:rPr>
                      <w:rFonts w:hint="default"/>
                      <w:color w:val="auto"/>
                      <w:vertAlign w:val="baseline"/>
                      <w:lang w:val="en-US" w:eastAsia="zh-CN"/>
                    </w:rPr>
                  </w:pPr>
                  <w:r>
                    <w:rPr>
                      <w:rFonts w:hint="eastAsia"/>
                      <w:color w:val="auto"/>
                      <w:vertAlign w:val="baseline"/>
                      <w:lang w:val="en-US" w:eastAsia="zh-CN"/>
                    </w:rPr>
                    <w:t>风险类别</w:t>
                  </w:r>
                </w:p>
              </w:tc>
              <w:tc>
                <w:tcPr>
                  <w:tcW w:w="1844" w:type="dxa"/>
                  <w:vAlign w:val="center"/>
                </w:tcPr>
                <w:p w14:paraId="596783F8">
                  <w:pPr>
                    <w:pStyle w:val="29"/>
                    <w:bidi w:val="0"/>
                    <w:rPr>
                      <w:rFonts w:hint="default"/>
                      <w:color w:val="auto"/>
                      <w:vertAlign w:val="baseline"/>
                      <w:lang w:val="en-US" w:eastAsia="zh-CN"/>
                    </w:rPr>
                  </w:pPr>
                  <w:r>
                    <w:rPr>
                      <w:rFonts w:hint="eastAsia"/>
                      <w:color w:val="auto"/>
                      <w:vertAlign w:val="baseline"/>
                      <w:lang w:val="en-US" w:eastAsia="zh-CN"/>
                    </w:rPr>
                    <w:t>途径及后果</w:t>
                  </w:r>
                </w:p>
              </w:tc>
              <w:tc>
                <w:tcPr>
                  <w:tcW w:w="1313" w:type="dxa"/>
                  <w:vAlign w:val="center"/>
                </w:tcPr>
                <w:p w14:paraId="43D4A0F2">
                  <w:pPr>
                    <w:pStyle w:val="29"/>
                    <w:bidi w:val="0"/>
                    <w:rPr>
                      <w:rFonts w:hint="default"/>
                      <w:color w:val="auto"/>
                      <w:vertAlign w:val="baseline"/>
                      <w:lang w:val="en-US" w:eastAsia="zh-CN"/>
                    </w:rPr>
                  </w:pPr>
                  <w:r>
                    <w:rPr>
                      <w:rFonts w:hint="eastAsia"/>
                      <w:color w:val="auto"/>
                      <w:vertAlign w:val="baseline"/>
                      <w:lang w:val="en-US" w:eastAsia="zh-CN"/>
                    </w:rPr>
                    <w:t>风险源</w:t>
                  </w:r>
                </w:p>
              </w:tc>
            </w:tr>
            <w:tr w14:paraId="32BF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4642BBA0">
                  <w:pPr>
                    <w:pStyle w:val="29"/>
                    <w:bidi w:val="0"/>
                    <w:rPr>
                      <w:rFonts w:hint="default"/>
                      <w:color w:val="auto"/>
                      <w:vertAlign w:val="baseline"/>
                      <w:lang w:val="en-US" w:eastAsia="zh-CN"/>
                    </w:rPr>
                  </w:pPr>
                  <w:r>
                    <w:rPr>
                      <w:rFonts w:hint="default"/>
                      <w:color w:val="auto"/>
                      <w:vertAlign w:val="baseline"/>
                      <w:lang w:val="en-US" w:eastAsia="zh-CN"/>
                    </w:rPr>
                    <w:t>废水泄漏</w:t>
                  </w:r>
                </w:p>
              </w:tc>
              <w:tc>
                <w:tcPr>
                  <w:tcW w:w="1313" w:type="dxa"/>
                  <w:vAlign w:val="center"/>
                </w:tcPr>
                <w:p w14:paraId="5AE8FC04">
                  <w:pPr>
                    <w:pStyle w:val="29"/>
                    <w:bidi w:val="0"/>
                    <w:rPr>
                      <w:rFonts w:hint="default"/>
                      <w:color w:val="auto"/>
                      <w:vertAlign w:val="baseline"/>
                      <w:lang w:val="en-US" w:eastAsia="zh-CN"/>
                    </w:rPr>
                  </w:pPr>
                  <w:r>
                    <w:rPr>
                      <w:rFonts w:hint="default"/>
                      <w:color w:val="auto"/>
                      <w:vertAlign w:val="baseline"/>
                      <w:lang w:val="en-US" w:eastAsia="zh-CN"/>
                    </w:rPr>
                    <w:t>泄漏废水污染地表水及土壤、地下水</w:t>
                  </w:r>
                </w:p>
              </w:tc>
              <w:tc>
                <w:tcPr>
                  <w:tcW w:w="796" w:type="dxa"/>
                  <w:vAlign w:val="center"/>
                </w:tcPr>
                <w:p w14:paraId="03336227">
                  <w:pPr>
                    <w:pStyle w:val="29"/>
                    <w:bidi w:val="0"/>
                    <w:rPr>
                      <w:rFonts w:hint="default"/>
                      <w:color w:val="auto"/>
                      <w:vertAlign w:val="baseline"/>
                      <w:lang w:val="en-US" w:eastAsia="zh-CN"/>
                    </w:rPr>
                  </w:pPr>
                  <w:r>
                    <w:rPr>
                      <w:rFonts w:hint="eastAsia"/>
                      <w:color w:val="auto"/>
                      <w:vertAlign w:val="baseline"/>
                      <w:lang w:val="en-US" w:eastAsia="zh-CN"/>
                    </w:rPr>
                    <w:t>生产废水</w:t>
                  </w:r>
                </w:p>
              </w:tc>
              <w:tc>
                <w:tcPr>
                  <w:tcW w:w="1375" w:type="dxa"/>
                  <w:vAlign w:val="center"/>
                </w:tcPr>
                <w:p w14:paraId="2E388778">
                  <w:pPr>
                    <w:pStyle w:val="29"/>
                    <w:bidi w:val="0"/>
                    <w:rPr>
                      <w:rFonts w:hint="default"/>
                      <w:color w:val="auto"/>
                      <w:vertAlign w:val="baseline"/>
                      <w:lang w:val="en-US" w:eastAsia="zh-CN"/>
                    </w:rPr>
                  </w:pPr>
                  <w:r>
                    <w:rPr>
                      <w:rFonts w:hint="default"/>
                      <w:color w:val="auto"/>
                      <w:vertAlign w:val="baseline"/>
                      <w:lang w:val="en-US" w:eastAsia="zh-CN"/>
                    </w:rPr>
                    <w:t>水环境、土壤环境</w:t>
                  </w:r>
                </w:p>
              </w:tc>
              <w:tc>
                <w:tcPr>
                  <w:tcW w:w="1844" w:type="dxa"/>
                  <w:vAlign w:val="center"/>
                </w:tcPr>
                <w:p w14:paraId="67046FAE">
                  <w:pPr>
                    <w:pStyle w:val="29"/>
                    <w:bidi w:val="0"/>
                    <w:rPr>
                      <w:rFonts w:hint="default"/>
                      <w:color w:val="auto"/>
                      <w:vertAlign w:val="baseline"/>
                      <w:lang w:val="en-US" w:eastAsia="zh-CN"/>
                    </w:rPr>
                  </w:pPr>
                  <w:r>
                    <w:rPr>
                      <w:rFonts w:hint="default"/>
                      <w:color w:val="auto"/>
                      <w:vertAlign w:val="baseline"/>
                      <w:lang w:val="en-US" w:eastAsia="zh-CN"/>
                    </w:rPr>
                    <w:t>泄漏的废水通过地面渗透进入到附近水体、周边土壤</w:t>
                  </w:r>
                </w:p>
              </w:tc>
              <w:tc>
                <w:tcPr>
                  <w:tcW w:w="1313" w:type="dxa"/>
                  <w:vAlign w:val="center"/>
                </w:tcPr>
                <w:p w14:paraId="6DC80FF2">
                  <w:pPr>
                    <w:pStyle w:val="29"/>
                    <w:bidi w:val="0"/>
                    <w:rPr>
                      <w:rFonts w:hint="default"/>
                      <w:color w:val="auto"/>
                      <w:vertAlign w:val="baseline"/>
                      <w:lang w:val="en-US" w:eastAsia="zh-CN"/>
                    </w:rPr>
                  </w:pPr>
                  <w:r>
                    <w:rPr>
                      <w:rFonts w:hint="eastAsia"/>
                      <w:color w:val="auto"/>
                      <w:vertAlign w:val="baseline"/>
                      <w:lang w:val="en-US" w:eastAsia="zh-CN"/>
                    </w:rPr>
                    <w:t>化粪池、</w:t>
                  </w:r>
                  <w:r>
                    <w:rPr>
                      <w:rFonts w:hint="default"/>
                      <w:color w:val="auto"/>
                      <w:vertAlign w:val="baseline"/>
                      <w:lang w:val="en-US" w:eastAsia="zh-CN"/>
                    </w:rPr>
                    <w:t>废水处理设施、输送管网</w:t>
                  </w:r>
                </w:p>
              </w:tc>
            </w:tr>
            <w:tr w14:paraId="57103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Merge w:val="restart"/>
                  <w:vAlign w:val="center"/>
                </w:tcPr>
                <w:p w14:paraId="0523E28B">
                  <w:pPr>
                    <w:pStyle w:val="29"/>
                    <w:bidi w:val="0"/>
                    <w:rPr>
                      <w:rFonts w:hint="default"/>
                      <w:color w:val="auto"/>
                      <w:vertAlign w:val="baseline"/>
                      <w:lang w:val="en-US" w:eastAsia="zh-CN"/>
                    </w:rPr>
                  </w:pPr>
                  <w:r>
                    <w:rPr>
                      <w:rFonts w:hint="default"/>
                      <w:color w:val="auto"/>
                      <w:vertAlign w:val="baseline"/>
                      <w:lang w:val="en-US" w:eastAsia="zh-CN"/>
                    </w:rPr>
                    <w:t>火灾事故</w:t>
                  </w:r>
                  <w:r>
                    <w:rPr>
                      <w:rFonts w:hint="eastAsia"/>
                      <w:color w:val="auto"/>
                      <w:vertAlign w:val="baseline"/>
                      <w:lang w:val="en-US" w:eastAsia="zh-CN"/>
                    </w:rPr>
                    <w:t>次生污染</w:t>
                  </w:r>
                </w:p>
              </w:tc>
              <w:tc>
                <w:tcPr>
                  <w:tcW w:w="1313" w:type="dxa"/>
                  <w:vAlign w:val="center"/>
                </w:tcPr>
                <w:p w14:paraId="67088963">
                  <w:pPr>
                    <w:pStyle w:val="29"/>
                    <w:bidi w:val="0"/>
                    <w:rPr>
                      <w:rFonts w:hint="default"/>
                      <w:color w:val="auto"/>
                      <w:vertAlign w:val="baseline"/>
                      <w:lang w:val="en-US" w:eastAsia="zh-CN"/>
                    </w:rPr>
                  </w:pPr>
                  <w:r>
                    <w:rPr>
                      <w:rFonts w:hint="default"/>
                      <w:color w:val="auto"/>
                      <w:vertAlign w:val="baseline"/>
                      <w:lang w:val="en-US" w:eastAsia="zh-CN"/>
                    </w:rPr>
                    <w:t>燃烧烟尘及污染物污染周围大气环境</w:t>
                  </w:r>
                </w:p>
              </w:tc>
              <w:tc>
                <w:tcPr>
                  <w:tcW w:w="796" w:type="dxa"/>
                  <w:vAlign w:val="center"/>
                </w:tcPr>
                <w:p w14:paraId="20789369">
                  <w:pPr>
                    <w:pStyle w:val="29"/>
                    <w:bidi w:val="0"/>
                    <w:rPr>
                      <w:rFonts w:hint="default"/>
                      <w:color w:val="auto"/>
                      <w:vertAlign w:val="baseline"/>
                      <w:lang w:val="en-US" w:eastAsia="zh-CN"/>
                    </w:rPr>
                  </w:pPr>
                  <w:r>
                    <w:rPr>
                      <w:rFonts w:hint="default"/>
                      <w:color w:val="auto"/>
                      <w:vertAlign w:val="baseline"/>
                      <w:lang w:val="en-US" w:eastAsia="zh-CN"/>
                    </w:rPr>
                    <w:t>CO、NO</w:t>
                  </w:r>
                  <w:r>
                    <w:rPr>
                      <w:rFonts w:hint="default"/>
                      <w:color w:val="auto"/>
                      <w:vertAlign w:val="subscript"/>
                      <w:lang w:val="en-US" w:eastAsia="zh-CN"/>
                    </w:rPr>
                    <w:t>X</w:t>
                  </w:r>
                </w:p>
              </w:tc>
              <w:tc>
                <w:tcPr>
                  <w:tcW w:w="1375" w:type="dxa"/>
                  <w:vAlign w:val="center"/>
                </w:tcPr>
                <w:p w14:paraId="61AACE9D">
                  <w:pPr>
                    <w:pStyle w:val="29"/>
                    <w:bidi w:val="0"/>
                    <w:rPr>
                      <w:rFonts w:hint="default"/>
                      <w:color w:val="auto"/>
                      <w:vertAlign w:val="baseline"/>
                      <w:lang w:val="en-US" w:eastAsia="zh-CN"/>
                    </w:rPr>
                  </w:pPr>
                  <w:r>
                    <w:rPr>
                      <w:rFonts w:hint="default"/>
                      <w:color w:val="auto"/>
                      <w:vertAlign w:val="baseline"/>
                      <w:lang w:val="en-US" w:eastAsia="zh-CN"/>
                    </w:rPr>
                    <w:t>大气环境</w:t>
                  </w:r>
                </w:p>
              </w:tc>
              <w:tc>
                <w:tcPr>
                  <w:tcW w:w="1844" w:type="dxa"/>
                  <w:vAlign w:val="center"/>
                </w:tcPr>
                <w:p w14:paraId="4E5AB0D5">
                  <w:pPr>
                    <w:pStyle w:val="29"/>
                    <w:bidi w:val="0"/>
                    <w:rPr>
                      <w:rFonts w:hint="default"/>
                      <w:color w:val="auto"/>
                      <w:vertAlign w:val="baseline"/>
                      <w:lang w:val="en-US" w:eastAsia="zh-CN"/>
                    </w:rPr>
                  </w:pPr>
                  <w:r>
                    <w:rPr>
                      <w:rFonts w:hint="default"/>
                      <w:color w:val="auto"/>
                      <w:vertAlign w:val="baseline"/>
                      <w:lang w:val="en-US" w:eastAsia="zh-CN"/>
                    </w:rPr>
                    <w:t>燃烧烟气通过扩散，对周围大气环境造成短时污染</w:t>
                  </w:r>
                </w:p>
              </w:tc>
              <w:tc>
                <w:tcPr>
                  <w:tcW w:w="1313" w:type="dxa"/>
                  <w:vMerge w:val="restart"/>
                  <w:vAlign w:val="center"/>
                </w:tcPr>
                <w:p w14:paraId="6E4315E1">
                  <w:pPr>
                    <w:pStyle w:val="29"/>
                    <w:bidi w:val="0"/>
                    <w:rPr>
                      <w:rFonts w:hint="default"/>
                      <w:color w:val="auto"/>
                      <w:vertAlign w:val="baseline"/>
                      <w:lang w:val="en-US" w:eastAsia="zh-CN"/>
                    </w:rPr>
                  </w:pPr>
                  <w:r>
                    <w:rPr>
                      <w:rFonts w:hint="eastAsia"/>
                      <w:color w:val="auto"/>
                      <w:vertAlign w:val="baseline"/>
                      <w:lang w:val="en-US" w:eastAsia="zh-CN"/>
                    </w:rPr>
                    <w:t>可燃物质</w:t>
                  </w:r>
                </w:p>
              </w:tc>
            </w:tr>
            <w:tr w14:paraId="4160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Merge w:val="continue"/>
                  <w:vAlign w:val="center"/>
                </w:tcPr>
                <w:p w14:paraId="1383CF0C">
                  <w:pPr>
                    <w:pStyle w:val="29"/>
                    <w:bidi w:val="0"/>
                    <w:rPr>
                      <w:rFonts w:hint="default"/>
                      <w:color w:val="auto"/>
                      <w:vertAlign w:val="baseline"/>
                      <w:lang w:val="en-US" w:eastAsia="zh-CN"/>
                    </w:rPr>
                  </w:pPr>
                </w:p>
              </w:tc>
              <w:tc>
                <w:tcPr>
                  <w:tcW w:w="1313" w:type="dxa"/>
                  <w:vAlign w:val="center"/>
                </w:tcPr>
                <w:p w14:paraId="20634A14">
                  <w:pPr>
                    <w:pStyle w:val="29"/>
                    <w:bidi w:val="0"/>
                    <w:rPr>
                      <w:rFonts w:hint="default"/>
                      <w:color w:val="auto"/>
                      <w:vertAlign w:val="baseline"/>
                      <w:lang w:val="en-US" w:eastAsia="zh-CN"/>
                    </w:rPr>
                  </w:pPr>
                  <w:r>
                    <w:rPr>
                      <w:rFonts w:hint="default"/>
                      <w:color w:val="auto"/>
                      <w:vertAlign w:val="baseline"/>
                      <w:lang w:val="en-US" w:eastAsia="zh-CN"/>
                    </w:rPr>
                    <w:t>消防废水进入附近水体</w:t>
                  </w:r>
                </w:p>
              </w:tc>
              <w:tc>
                <w:tcPr>
                  <w:tcW w:w="796" w:type="dxa"/>
                  <w:vAlign w:val="center"/>
                </w:tcPr>
                <w:p w14:paraId="2C79B6A4">
                  <w:pPr>
                    <w:pStyle w:val="29"/>
                    <w:bidi w:val="0"/>
                    <w:rPr>
                      <w:rFonts w:hint="default"/>
                      <w:color w:val="auto"/>
                      <w:vertAlign w:val="baseline"/>
                      <w:lang w:val="en-US" w:eastAsia="zh-CN"/>
                    </w:rPr>
                  </w:pPr>
                  <w:r>
                    <w:rPr>
                      <w:rFonts w:hint="default"/>
                      <w:color w:val="auto"/>
                      <w:vertAlign w:val="baseline"/>
                      <w:lang w:val="en-US" w:eastAsia="zh-CN"/>
                    </w:rPr>
                    <w:t>COD</w:t>
                  </w:r>
                  <w:r>
                    <w:rPr>
                      <w:rFonts w:hint="default"/>
                      <w:color w:val="auto"/>
                      <w:vertAlign w:val="subscript"/>
                      <w:lang w:val="en-US" w:eastAsia="zh-CN"/>
                    </w:rPr>
                    <w:t>Cr</w:t>
                  </w:r>
                  <w:r>
                    <w:rPr>
                      <w:rFonts w:hint="default"/>
                      <w:color w:val="auto"/>
                      <w:vertAlign w:val="baseline"/>
                      <w:lang w:val="en-US" w:eastAsia="zh-CN"/>
                    </w:rPr>
                    <w:t>等</w:t>
                  </w:r>
                </w:p>
              </w:tc>
              <w:tc>
                <w:tcPr>
                  <w:tcW w:w="1375" w:type="dxa"/>
                  <w:vAlign w:val="center"/>
                </w:tcPr>
                <w:p w14:paraId="635EB534">
                  <w:pPr>
                    <w:pStyle w:val="29"/>
                    <w:bidi w:val="0"/>
                    <w:rPr>
                      <w:rFonts w:hint="default"/>
                      <w:color w:val="auto"/>
                      <w:vertAlign w:val="baseline"/>
                      <w:lang w:val="en-US" w:eastAsia="zh-CN"/>
                    </w:rPr>
                  </w:pPr>
                  <w:r>
                    <w:rPr>
                      <w:rFonts w:hint="eastAsia"/>
                      <w:color w:val="auto"/>
                      <w:vertAlign w:val="baseline"/>
                      <w:lang w:val="en-US" w:eastAsia="zh-CN"/>
                    </w:rPr>
                    <w:t>水环境</w:t>
                  </w:r>
                </w:p>
              </w:tc>
              <w:tc>
                <w:tcPr>
                  <w:tcW w:w="1844" w:type="dxa"/>
                  <w:vAlign w:val="center"/>
                </w:tcPr>
                <w:p w14:paraId="17963E4F">
                  <w:pPr>
                    <w:pStyle w:val="29"/>
                    <w:bidi w:val="0"/>
                    <w:rPr>
                      <w:rFonts w:hint="default"/>
                      <w:color w:val="auto"/>
                      <w:vertAlign w:val="baseline"/>
                      <w:lang w:val="en-US" w:eastAsia="zh-CN"/>
                    </w:rPr>
                  </w:pPr>
                  <w:r>
                    <w:rPr>
                      <w:rFonts w:hint="default"/>
                      <w:color w:val="auto"/>
                      <w:vertAlign w:val="baseline"/>
                      <w:lang w:val="en-US" w:eastAsia="zh-CN"/>
                    </w:rPr>
                    <w:t>通过雨水排入附近内河涌，对其水质造成影响</w:t>
                  </w:r>
                </w:p>
              </w:tc>
              <w:tc>
                <w:tcPr>
                  <w:tcW w:w="1313" w:type="dxa"/>
                  <w:vMerge w:val="continue"/>
                  <w:vAlign w:val="center"/>
                </w:tcPr>
                <w:p w14:paraId="5A9EB747">
                  <w:pPr>
                    <w:pStyle w:val="29"/>
                    <w:bidi w:val="0"/>
                    <w:rPr>
                      <w:rFonts w:hint="default"/>
                      <w:color w:val="auto"/>
                      <w:vertAlign w:val="baseline"/>
                      <w:lang w:val="en-US" w:eastAsia="zh-CN"/>
                    </w:rPr>
                  </w:pPr>
                </w:p>
              </w:tc>
            </w:tr>
            <w:tr w14:paraId="48CB7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9" w:type="dxa"/>
                  <w:vAlign w:val="center"/>
                </w:tcPr>
                <w:p w14:paraId="238A8D00">
                  <w:pPr>
                    <w:pStyle w:val="29"/>
                    <w:bidi w:val="0"/>
                    <w:rPr>
                      <w:rFonts w:hint="default"/>
                      <w:color w:val="auto"/>
                      <w:vertAlign w:val="baseline"/>
                      <w:lang w:val="en-US" w:eastAsia="zh-CN"/>
                    </w:rPr>
                  </w:pPr>
                  <w:r>
                    <w:rPr>
                      <w:rFonts w:hint="eastAsia"/>
                      <w:color w:val="auto"/>
                      <w:vertAlign w:val="baseline"/>
                      <w:lang w:val="en-US" w:eastAsia="zh-CN"/>
                    </w:rPr>
                    <w:t>废机油</w:t>
                  </w:r>
                  <w:r>
                    <w:rPr>
                      <w:rFonts w:hint="default"/>
                      <w:color w:val="auto"/>
                      <w:vertAlign w:val="baseline"/>
                      <w:lang w:val="en-US" w:eastAsia="zh-CN"/>
                    </w:rPr>
                    <w:t>泄漏</w:t>
                  </w:r>
                </w:p>
              </w:tc>
              <w:tc>
                <w:tcPr>
                  <w:tcW w:w="1313" w:type="dxa"/>
                  <w:vAlign w:val="center"/>
                </w:tcPr>
                <w:p w14:paraId="1C37209E">
                  <w:pPr>
                    <w:pStyle w:val="29"/>
                    <w:bidi w:val="0"/>
                    <w:rPr>
                      <w:rFonts w:hint="default"/>
                      <w:color w:val="auto"/>
                      <w:vertAlign w:val="baseline"/>
                      <w:lang w:val="en-US" w:eastAsia="zh-CN"/>
                    </w:rPr>
                  </w:pPr>
                  <w:r>
                    <w:rPr>
                      <w:rFonts w:hint="default"/>
                      <w:color w:val="auto"/>
                      <w:vertAlign w:val="baseline"/>
                      <w:lang w:val="en-US" w:eastAsia="zh-CN"/>
                    </w:rPr>
                    <w:t>泄漏污染地下水、土壤</w:t>
                  </w:r>
                </w:p>
              </w:tc>
              <w:tc>
                <w:tcPr>
                  <w:tcW w:w="796" w:type="dxa"/>
                  <w:vAlign w:val="center"/>
                </w:tcPr>
                <w:p w14:paraId="6A246F97">
                  <w:pPr>
                    <w:pStyle w:val="29"/>
                    <w:bidi w:val="0"/>
                    <w:rPr>
                      <w:rFonts w:hint="default"/>
                      <w:color w:val="auto"/>
                      <w:vertAlign w:val="baseline"/>
                      <w:lang w:val="en-US" w:eastAsia="zh-CN"/>
                    </w:rPr>
                  </w:pPr>
                  <w:r>
                    <w:rPr>
                      <w:rFonts w:hint="eastAsia"/>
                      <w:color w:val="auto"/>
                      <w:vertAlign w:val="baseline"/>
                      <w:lang w:val="en-US" w:eastAsia="zh-CN"/>
                    </w:rPr>
                    <w:t>废机油</w:t>
                  </w:r>
                </w:p>
              </w:tc>
              <w:tc>
                <w:tcPr>
                  <w:tcW w:w="1375" w:type="dxa"/>
                  <w:vAlign w:val="center"/>
                </w:tcPr>
                <w:p w14:paraId="45CECD8A">
                  <w:pPr>
                    <w:pStyle w:val="29"/>
                    <w:bidi w:val="0"/>
                    <w:rPr>
                      <w:rFonts w:hint="default"/>
                      <w:color w:val="auto"/>
                      <w:vertAlign w:val="baseline"/>
                      <w:lang w:val="en-US" w:eastAsia="zh-CN"/>
                    </w:rPr>
                  </w:pPr>
                  <w:r>
                    <w:rPr>
                      <w:rFonts w:hint="eastAsia"/>
                      <w:color w:val="auto"/>
                      <w:vertAlign w:val="baseline"/>
                      <w:lang w:val="en-US" w:eastAsia="zh-CN"/>
                    </w:rPr>
                    <w:t>地下水、土壤环境</w:t>
                  </w:r>
                </w:p>
              </w:tc>
              <w:tc>
                <w:tcPr>
                  <w:tcW w:w="1844" w:type="dxa"/>
                  <w:vAlign w:val="center"/>
                </w:tcPr>
                <w:p w14:paraId="42F85EC2">
                  <w:pPr>
                    <w:pStyle w:val="29"/>
                    <w:bidi w:val="0"/>
                    <w:rPr>
                      <w:rFonts w:hint="default"/>
                      <w:color w:val="auto"/>
                      <w:vertAlign w:val="baseline"/>
                      <w:lang w:val="en-US" w:eastAsia="zh-CN"/>
                    </w:rPr>
                  </w:pPr>
                  <w:r>
                    <w:rPr>
                      <w:rFonts w:hint="default"/>
                      <w:color w:val="auto"/>
                      <w:vertAlign w:val="baseline"/>
                      <w:lang w:val="en-US" w:eastAsia="zh-CN"/>
                    </w:rPr>
                    <w:t>通过地表径流污染地下水、土壤</w:t>
                  </w:r>
                </w:p>
              </w:tc>
              <w:tc>
                <w:tcPr>
                  <w:tcW w:w="1313" w:type="dxa"/>
                  <w:vAlign w:val="center"/>
                </w:tcPr>
                <w:p w14:paraId="7B3EAE7A">
                  <w:pPr>
                    <w:pStyle w:val="29"/>
                    <w:bidi w:val="0"/>
                    <w:rPr>
                      <w:rFonts w:hint="default"/>
                      <w:color w:val="auto"/>
                      <w:vertAlign w:val="baseline"/>
                      <w:lang w:val="en-US" w:eastAsia="zh-CN"/>
                    </w:rPr>
                  </w:pPr>
                  <w:r>
                    <w:rPr>
                      <w:rFonts w:hint="eastAsia"/>
                      <w:color w:val="auto"/>
                      <w:vertAlign w:val="baseline"/>
                      <w:lang w:val="en-US" w:eastAsia="zh-CN"/>
                    </w:rPr>
                    <w:t>危废暂存间</w:t>
                  </w:r>
                </w:p>
              </w:tc>
            </w:tr>
          </w:tbl>
          <w:p w14:paraId="6476098A">
            <w:pPr>
              <w:ind w:firstLine="482"/>
              <w:rPr>
                <w:b/>
                <w:bCs/>
                <w:color w:val="auto"/>
              </w:rPr>
            </w:pPr>
            <w:r>
              <w:rPr>
                <w:rFonts w:hint="eastAsia"/>
                <w:b/>
                <w:bCs/>
                <w:color w:val="auto"/>
                <w:lang w:val="en-US" w:eastAsia="zh-CN"/>
              </w:rPr>
              <w:t>4</w:t>
            </w:r>
            <w:r>
              <w:rPr>
                <w:rFonts w:hint="eastAsia"/>
                <w:b/>
                <w:bCs/>
                <w:color w:val="auto"/>
              </w:rPr>
              <w:t>、风险防范措施</w:t>
            </w:r>
          </w:p>
          <w:p w14:paraId="2075C70F">
            <w:pPr>
              <w:ind w:firstLine="480"/>
              <w:rPr>
                <w:rFonts w:hint="eastAsia"/>
                <w:b/>
                <w:bCs/>
                <w:color w:val="auto"/>
                <w:lang w:val="en-US" w:eastAsia="zh-CN"/>
              </w:rPr>
            </w:pPr>
            <w:r>
              <w:rPr>
                <w:rFonts w:cs="Times New Roman"/>
                <w:b/>
                <w:bCs/>
                <w:color w:val="auto"/>
              </w:rPr>
              <w:t>（</w:t>
            </w:r>
            <w:r>
              <w:rPr>
                <w:rFonts w:hint="eastAsia" w:cs="Times New Roman"/>
                <w:b/>
                <w:bCs/>
                <w:color w:val="auto"/>
                <w:lang w:val="en-US" w:eastAsia="zh-CN"/>
              </w:rPr>
              <w:t>1</w:t>
            </w:r>
            <w:r>
              <w:rPr>
                <w:rFonts w:cs="Times New Roman"/>
                <w:b/>
                <w:bCs/>
                <w:color w:val="auto"/>
              </w:rPr>
              <w:t>）</w:t>
            </w:r>
            <w:r>
              <w:rPr>
                <w:rFonts w:hint="eastAsia"/>
                <w:b/>
                <w:bCs/>
                <w:color w:val="auto"/>
                <w:lang w:val="en-US" w:eastAsia="zh-CN"/>
              </w:rPr>
              <w:t>废气收集处理系统（泄漏事故）</w:t>
            </w:r>
          </w:p>
          <w:p w14:paraId="2B523765">
            <w:pPr>
              <w:rPr>
                <w:rFonts w:hint="default"/>
                <w:color w:val="auto"/>
                <w:lang w:val="en-US" w:eastAsia="zh-CN"/>
              </w:rPr>
            </w:pPr>
            <w:r>
              <w:rPr>
                <w:rFonts w:hint="default"/>
                <w:color w:val="auto"/>
                <w:lang w:val="en-US" w:eastAsia="zh-CN"/>
              </w:rPr>
              <w:t>厂区采用市政电网供电系统，系统停电概率较小，一旦停电，生产设备及配套设置的废气处理设备将立即停止运转，但这种事故排放的影响时间较短；企业应加强检修维护，定期对设备及废气输送管道检查巡护，防止因</w:t>
            </w:r>
            <w:r>
              <w:rPr>
                <w:rFonts w:hint="eastAsia"/>
                <w:color w:val="auto"/>
                <w:lang w:val="en-US" w:eastAsia="zh-CN"/>
              </w:rPr>
              <w:t>除尘器</w:t>
            </w:r>
            <w:r>
              <w:rPr>
                <w:rFonts w:hint="default"/>
                <w:color w:val="auto"/>
                <w:lang w:val="en-US" w:eastAsia="zh-CN"/>
              </w:rPr>
              <w:t>设备故障引起废气泄漏/超标排放，确保</w:t>
            </w:r>
            <w:r>
              <w:rPr>
                <w:rFonts w:hint="eastAsia"/>
                <w:color w:val="auto"/>
                <w:lang w:val="en-US" w:eastAsia="zh-CN"/>
              </w:rPr>
              <w:t>除尘器</w:t>
            </w:r>
            <w:r>
              <w:rPr>
                <w:rFonts w:hint="default"/>
                <w:color w:val="auto"/>
                <w:lang w:val="en-US" w:eastAsia="zh-CN"/>
              </w:rPr>
              <w:t>收集系统正常运行。</w:t>
            </w:r>
          </w:p>
          <w:p w14:paraId="6CF3AA07">
            <w:pPr>
              <w:bidi w:val="0"/>
              <w:rPr>
                <w:rFonts w:hint="default"/>
                <w:b/>
                <w:bCs/>
                <w:color w:val="auto"/>
                <w:lang w:val="en-US" w:eastAsia="zh-CN"/>
              </w:rPr>
            </w:pPr>
            <w:r>
              <w:rPr>
                <w:rFonts w:hint="eastAsia"/>
                <w:b/>
                <w:bCs/>
                <w:color w:val="auto"/>
                <w:lang w:val="en-US" w:eastAsia="zh-CN"/>
              </w:rPr>
              <w:t>（2）废水泄漏事故</w:t>
            </w:r>
          </w:p>
          <w:p w14:paraId="4B2E0D70">
            <w:pPr>
              <w:bidi w:val="0"/>
              <w:rPr>
                <w:rFonts w:hint="eastAsia"/>
                <w:b w:val="0"/>
                <w:bCs w:val="0"/>
                <w:color w:val="auto"/>
                <w:lang w:val="en-US" w:eastAsia="zh-CN"/>
              </w:rPr>
            </w:pPr>
            <w:r>
              <w:rPr>
                <w:rFonts w:hint="eastAsia"/>
                <w:b w:val="0"/>
                <w:bCs w:val="0"/>
                <w:color w:val="auto"/>
                <w:lang w:val="en-US" w:eastAsia="zh-CN"/>
              </w:rPr>
              <w:t>项目废水为生活污水及生产废水，若废水管网、化粪池、一体化污水处理设施、发酵罐或酸碱罐发生故障，使得废水直接泄露外排进入外环境中，将会对地表水、土壤等造成不同程度的影响，或一体化污水处理设施发生故障，导致生产废水未经处理直接进入市政管网，对玉溪市第一、第三污水处理厂造成冲击。配有专门的运行人员进行日常巡检和维护，若化粪池、污水管道、一体化污水处理设施发生故障时，应及时检修，尽快使其恢复运行。</w:t>
            </w:r>
          </w:p>
          <w:p w14:paraId="7D7783BA">
            <w:pPr>
              <w:bidi w:val="0"/>
              <w:rPr>
                <w:rFonts w:hint="eastAsia"/>
                <w:b w:val="0"/>
                <w:bCs w:val="0"/>
                <w:color w:val="auto"/>
                <w:lang w:val="en-US" w:eastAsia="zh-CN"/>
              </w:rPr>
            </w:pPr>
            <w:r>
              <w:rPr>
                <w:rFonts w:hint="eastAsia"/>
                <w:b w:val="0"/>
                <w:bCs w:val="0"/>
                <w:color w:val="auto"/>
                <w:lang w:val="en-US" w:eastAsia="zh-CN"/>
              </w:rPr>
              <w:fldChar w:fldCharType="begin"/>
            </w:r>
            <w:r>
              <w:rPr>
                <w:rFonts w:hint="eastAsia"/>
                <w:b w:val="0"/>
                <w:bCs w:val="0"/>
                <w:color w:val="auto"/>
                <w:lang w:val="en-US" w:eastAsia="zh-CN"/>
              </w:rPr>
              <w:instrText xml:space="preserve"> = 1 \* GB3 \* MERGEFORMAT </w:instrText>
            </w:r>
            <w:r>
              <w:rPr>
                <w:rFonts w:hint="eastAsia"/>
                <w:b w:val="0"/>
                <w:bCs w:val="0"/>
                <w:color w:val="auto"/>
                <w:lang w:val="en-US" w:eastAsia="zh-CN"/>
              </w:rPr>
              <w:fldChar w:fldCharType="separate"/>
            </w:r>
            <w:r>
              <w:rPr>
                <w:color w:val="auto"/>
              </w:rPr>
              <w:t>①</w:t>
            </w:r>
            <w:r>
              <w:rPr>
                <w:rFonts w:hint="eastAsia"/>
                <w:b w:val="0"/>
                <w:bCs w:val="0"/>
                <w:color w:val="auto"/>
                <w:lang w:val="en-US" w:eastAsia="zh-CN"/>
              </w:rPr>
              <w:fldChar w:fldCharType="end"/>
            </w:r>
            <w:r>
              <w:rPr>
                <w:rFonts w:hint="eastAsia"/>
                <w:b w:val="0"/>
                <w:bCs w:val="0"/>
                <w:color w:val="auto"/>
                <w:lang w:val="en-US" w:eastAsia="zh-CN"/>
              </w:rPr>
              <w:t>发酵罐区域风险防范措施</w:t>
            </w:r>
          </w:p>
          <w:p w14:paraId="49BCBBD5">
            <w:pPr>
              <w:bidi w:val="0"/>
              <w:rPr>
                <w:rFonts w:hint="eastAsia"/>
                <w:b w:val="0"/>
                <w:bCs w:val="0"/>
                <w:color w:val="auto"/>
                <w:lang w:val="en-US" w:eastAsia="zh-CN"/>
              </w:rPr>
            </w:pPr>
            <w:r>
              <w:rPr>
                <w:rFonts w:hint="eastAsia"/>
                <w:b w:val="0"/>
                <w:bCs w:val="0"/>
                <w:color w:val="auto"/>
                <w:lang w:val="en-US" w:eastAsia="zh-CN"/>
              </w:rPr>
              <w:t>‌结构与工程安全防控‌</w:t>
            </w:r>
          </w:p>
          <w:p w14:paraId="596BC195">
            <w:pPr>
              <w:bidi w:val="0"/>
              <w:rPr>
                <w:rFonts w:hint="eastAsia"/>
                <w:b w:val="0"/>
                <w:bCs w:val="0"/>
                <w:color w:val="auto"/>
                <w:lang w:val="en-US" w:eastAsia="zh-CN"/>
              </w:rPr>
            </w:pPr>
            <w:r>
              <w:rPr>
                <w:rFonts w:hint="eastAsia"/>
                <w:b w:val="0"/>
                <w:bCs w:val="0"/>
                <w:color w:val="auto"/>
                <w:lang w:val="en-US" w:eastAsia="zh-CN"/>
              </w:rPr>
              <w:t>罐体选用食品级304/316不锈钢材质，严格按照压力容器规范开展结构受力验算，预留足够安全裕度；罐体基础提前做承载力核验，定期观测竖向轴线偏移情况，避免不均匀沉降引发罐体变形开裂。罐区地面设置高度不低于1m的防渗围堰，配套导排系统，一旦发生发酵液泄漏可将物料完全封闭在围堰范围内，避免外流污染周边环境。</w:t>
            </w:r>
          </w:p>
          <w:p w14:paraId="0A6330B0">
            <w:pPr>
              <w:bidi w:val="0"/>
              <w:rPr>
                <w:rFonts w:hint="eastAsia"/>
                <w:b w:val="0"/>
                <w:bCs w:val="0"/>
                <w:color w:val="auto"/>
                <w:lang w:val="en-US" w:eastAsia="zh-CN"/>
              </w:rPr>
            </w:pPr>
            <w:r>
              <w:rPr>
                <w:rFonts w:hint="eastAsia"/>
                <w:b w:val="0"/>
                <w:bCs w:val="0"/>
                <w:color w:val="auto"/>
                <w:lang w:val="en-US" w:eastAsia="zh-CN"/>
              </w:rPr>
              <w:t>罐体顶部配套校验合格的安全阀、超压泄放装置，同步安装压力、温度实时传感设备，与进料泵、进气阀设置联锁控制，压力、温度超出阈值时自动切断进料并触发声光报警，杜绝超压运行导致罐体膨胀开裂。</w:t>
            </w:r>
          </w:p>
          <w:p w14:paraId="760CC3E2">
            <w:pPr>
              <w:bidi w:val="0"/>
              <w:rPr>
                <w:rFonts w:hint="eastAsia"/>
                <w:b w:val="0"/>
                <w:bCs w:val="0"/>
                <w:color w:val="auto"/>
                <w:lang w:val="en-US" w:eastAsia="zh-CN"/>
              </w:rPr>
            </w:pPr>
            <w:r>
              <w:rPr>
                <w:rFonts w:hint="eastAsia"/>
                <w:b w:val="0"/>
                <w:bCs w:val="0"/>
                <w:color w:val="auto"/>
                <w:lang w:val="en-US" w:eastAsia="zh-CN"/>
              </w:rPr>
              <w:t>‌运行过程风险管控‌</w:t>
            </w:r>
          </w:p>
          <w:p w14:paraId="115ADB43">
            <w:pPr>
              <w:bidi w:val="0"/>
              <w:rPr>
                <w:rFonts w:hint="eastAsia"/>
                <w:b w:val="0"/>
                <w:bCs w:val="0"/>
                <w:color w:val="auto"/>
                <w:lang w:val="en-US" w:eastAsia="zh-CN"/>
              </w:rPr>
            </w:pPr>
            <w:r>
              <w:rPr>
                <w:rFonts w:hint="eastAsia"/>
                <w:b w:val="0"/>
                <w:bCs w:val="0"/>
                <w:color w:val="auto"/>
                <w:lang w:val="en-US" w:eastAsia="zh-CN"/>
              </w:rPr>
              <w:t>严格按照设计工艺参数控制进料浓度、搅拌转速，严禁超负荷运行加剧罐体螺栓、焊缝应力损耗；定期对罐壁焊缝、密封点开展腐蚀排查，重点检查底部受潮区域的螺栓锈蚀情况，避免隐蔽性腐蚀引发穿孔泄漏。</w:t>
            </w:r>
          </w:p>
          <w:p w14:paraId="66CEFA39">
            <w:pPr>
              <w:bidi w:val="0"/>
              <w:rPr>
                <w:rFonts w:hint="eastAsia"/>
                <w:b w:val="0"/>
                <w:bCs w:val="0"/>
                <w:color w:val="auto"/>
                <w:lang w:val="en-US" w:eastAsia="zh-CN"/>
              </w:rPr>
            </w:pPr>
            <w:r>
              <w:rPr>
                <w:rFonts w:hint="eastAsia"/>
                <w:b w:val="0"/>
                <w:bCs w:val="0"/>
                <w:color w:val="auto"/>
                <w:lang w:val="en-US" w:eastAsia="zh-CN"/>
              </w:rPr>
              <w:t>罐区所有电气设备全部采用防爆型配置，罐体及配套管道设置完整的静电接地装置，每年至少检测1次接地电阻，确保阻值符合安全要求；罐区内严禁明火作业，确需动火必须履行升级审批手续，彻底置换罐内残留二氧化碳、发酵尾气并检测气体合格后方可作业。</w:t>
            </w:r>
          </w:p>
          <w:p w14:paraId="6C7621A8">
            <w:pPr>
              <w:bidi w:val="0"/>
              <w:rPr>
                <w:rFonts w:hint="eastAsia"/>
                <w:b w:val="0"/>
                <w:bCs w:val="0"/>
                <w:color w:val="auto"/>
                <w:lang w:val="en-US" w:eastAsia="zh-CN"/>
              </w:rPr>
            </w:pPr>
            <w:r>
              <w:rPr>
                <w:rFonts w:hint="eastAsia"/>
                <w:b w:val="0"/>
                <w:bCs w:val="0"/>
                <w:color w:val="auto"/>
                <w:lang w:val="en-US" w:eastAsia="zh-CN"/>
              </w:rPr>
              <w:t>‌有限空间作业专项防控‌</w:t>
            </w:r>
          </w:p>
          <w:p w14:paraId="265F819B">
            <w:pPr>
              <w:bidi w:val="0"/>
              <w:rPr>
                <w:rFonts w:hint="eastAsia"/>
                <w:b w:val="0"/>
                <w:bCs w:val="0"/>
                <w:color w:val="auto"/>
                <w:lang w:val="en-US" w:eastAsia="zh-CN"/>
              </w:rPr>
            </w:pPr>
            <w:r>
              <w:rPr>
                <w:rFonts w:hint="eastAsia"/>
                <w:b w:val="0"/>
                <w:bCs w:val="0"/>
                <w:color w:val="auto"/>
                <w:lang w:val="en-US" w:eastAsia="zh-CN"/>
              </w:rPr>
              <w:t>建立发酵罐有限空间管理台账，在罐口位置设置醒目警示标识，标注危险提示与应急联系方式。严格执行“先通风、再检测、后作业”铁律，作业前采用机械通风置换罐内气体，检测氧气浓度、可燃气体浓度全部达标后，作业人员佩戴空气呼吸器、安全绳方可进入，外部必须安排专职监护人全程值守，严禁未防护盲目施救。</w:t>
            </w:r>
          </w:p>
          <w:p w14:paraId="38E63563">
            <w:pPr>
              <w:bidi w:val="0"/>
              <w:rPr>
                <w:rFonts w:hint="eastAsia"/>
                <w:b w:val="0"/>
                <w:bCs w:val="0"/>
                <w:color w:val="auto"/>
                <w:lang w:val="en-US" w:eastAsia="zh-CN"/>
              </w:rPr>
            </w:pPr>
            <w:r>
              <w:rPr>
                <w:rFonts w:hint="eastAsia"/>
                <w:b w:val="0"/>
                <w:bCs w:val="0"/>
                <w:color w:val="auto"/>
                <w:lang w:val="en-US" w:eastAsia="zh-CN"/>
              </w:rPr>
              <w:fldChar w:fldCharType="begin"/>
            </w:r>
            <w:r>
              <w:rPr>
                <w:rFonts w:hint="eastAsia"/>
                <w:b w:val="0"/>
                <w:bCs w:val="0"/>
                <w:color w:val="auto"/>
                <w:lang w:val="en-US" w:eastAsia="zh-CN"/>
              </w:rPr>
              <w:instrText xml:space="preserve"> = 2 \* GB3 \* MERGEFORMAT </w:instrText>
            </w:r>
            <w:r>
              <w:rPr>
                <w:rFonts w:hint="eastAsia"/>
                <w:b w:val="0"/>
                <w:bCs w:val="0"/>
                <w:color w:val="auto"/>
                <w:lang w:val="en-US" w:eastAsia="zh-CN"/>
              </w:rPr>
              <w:fldChar w:fldCharType="separate"/>
            </w:r>
            <w:r>
              <w:rPr>
                <w:color w:val="auto"/>
              </w:rPr>
              <w:t>②</w:t>
            </w:r>
            <w:r>
              <w:rPr>
                <w:rFonts w:hint="eastAsia"/>
                <w:b w:val="0"/>
                <w:bCs w:val="0"/>
                <w:color w:val="auto"/>
                <w:lang w:val="en-US" w:eastAsia="zh-CN"/>
              </w:rPr>
              <w:fldChar w:fldCharType="end"/>
            </w:r>
            <w:r>
              <w:rPr>
                <w:rFonts w:hint="eastAsia"/>
                <w:b w:val="0"/>
                <w:bCs w:val="0"/>
                <w:color w:val="auto"/>
                <w:lang w:val="en-US" w:eastAsia="zh-CN"/>
              </w:rPr>
              <w:t>酸碱储罐区域风险防范措施</w:t>
            </w:r>
          </w:p>
          <w:p w14:paraId="52911340">
            <w:pPr>
              <w:bidi w:val="0"/>
              <w:rPr>
                <w:rFonts w:hint="eastAsia"/>
                <w:b w:val="0"/>
                <w:bCs w:val="0"/>
                <w:color w:val="auto"/>
                <w:lang w:val="en-US" w:eastAsia="zh-CN"/>
              </w:rPr>
            </w:pPr>
            <w:r>
              <w:rPr>
                <w:rFonts w:hint="eastAsia"/>
                <w:b w:val="0"/>
                <w:bCs w:val="0"/>
                <w:color w:val="auto"/>
                <w:lang w:val="en-US" w:eastAsia="zh-CN"/>
              </w:rPr>
              <w:t>‌泄漏源头防控‌</w:t>
            </w:r>
          </w:p>
          <w:p w14:paraId="5D1F74C9">
            <w:pPr>
              <w:bidi w:val="0"/>
              <w:rPr>
                <w:rFonts w:hint="eastAsia"/>
                <w:b w:val="0"/>
                <w:bCs w:val="0"/>
                <w:color w:val="auto"/>
                <w:lang w:val="en-US" w:eastAsia="zh-CN"/>
              </w:rPr>
            </w:pPr>
            <w:r>
              <w:rPr>
                <w:rFonts w:hint="eastAsia"/>
                <w:b w:val="0"/>
                <w:bCs w:val="0"/>
                <w:color w:val="auto"/>
                <w:lang w:val="en-US" w:eastAsia="zh-CN"/>
              </w:rPr>
              <w:t>根据储存的酸、碱介质特性，选用玻璃钢、衬塑等适配防腐材质制作储罐，定期开展防腐维护，避免介质腐蚀罐壁引发穿孔泄漏。储罐配套高液位报警装置，进料阀与液位计设置联锁控制，达到设定液位后自动切断进料，防止过量输料导致溢漏。</w:t>
            </w:r>
          </w:p>
          <w:p w14:paraId="3A234A35">
            <w:pPr>
              <w:bidi w:val="0"/>
              <w:rPr>
                <w:rFonts w:hint="eastAsia"/>
                <w:b w:val="0"/>
                <w:bCs w:val="0"/>
                <w:color w:val="auto"/>
                <w:lang w:val="en-US" w:eastAsia="zh-CN"/>
              </w:rPr>
            </w:pPr>
            <w:r>
              <w:rPr>
                <w:rFonts w:hint="eastAsia"/>
                <w:b w:val="0"/>
                <w:bCs w:val="0"/>
                <w:color w:val="auto"/>
                <w:lang w:val="en-US" w:eastAsia="zh-CN"/>
              </w:rPr>
              <w:t>储罐外围设置符合规范要求的防腐围堰，围堰容积不小于最大单台储罐的容积，地面做双层防渗处理，配套设置泄漏废液收集池，一旦发生酸碱泄漏可将废液全部收集，杜绝渗漏污染土壤和地下水。</w:t>
            </w:r>
          </w:p>
          <w:p w14:paraId="65218E3A">
            <w:pPr>
              <w:bidi w:val="0"/>
              <w:rPr>
                <w:rFonts w:hint="eastAsia"/>
                <w:b w:val="0"/>
                <w:bCs w:val="0"/>
                <w:color w:val="auto"/>
                <w:lang w:val="en-US" w:eastAsia="zh-CN"/>
              </w:rPr>
            </w:pPr>
            <w:r>
              <w:rPr>
                <w:rFonts w:hint="eastAsia"/>
                <w:b w:val="0"/>
                <w:bCs w:val="0"/>
                <w:color w:val="auto"/>
                <w:lang w:val="en-US" w:eastAsia="zh-CN"/>
              </w:rPr>
              <w:t>‌日常运维管控‌</w:t>
            </w:r>
          </w:p>
          <w:p w14:paraId="3B6D1777">
            <w:pPr>
              <w:bidi w:val="0"/>
              <w:rPr>
                <w:rFonts w:hint="eastAsia"/>
                <w:b w:val="0"/>
                <w:bCs w:val="0"/>
                <w:color w:val="auto"/>
                <w:lang w:val="en-US" w:eastAsia="zh-CN"/>
              </w:rPr>
            </w:pPr>
            <w:r>
              <w:rPr>
                <w:rFonts w:hint="eastAsia"/>
                <w:b w:val="0"/>
                <w:bCs w:val="0"/>
                <w:color w:val="auto"/>
                <w:lang w:val="en-US" w:eastAsia="zh-CN"/>
              </w:rPr>
              <w:t>储罐区设置清晰的分区标识，强酸、强碱储罐分开布置，严禁混存混放。作业人员必须经过专项培训持证上岗，作业时配套穿戴防酸碱防护服、护目镜、耐酸碱手套等个人防护用品。定期对储罐进出口阀门、法兰、密封点开展巡检，发现跑冒滴漏第一时间停机处置，严禁设备带病运行。</w:t>
            </w:r>
          </w:p>
          <w:p w14:paraId="28A8B82D">
            <w:pPr>
              <w:bidi w:val="0"/>
              <w:rPr>
                <w:rFonts w:hint="eastAsia"/>
                <w:b w:val="0"/>
                <w:bCs w:val="0"/>
                <w:color w:val="auto"/>
                <w:lang w:val="en-US" w:eastAsia="zh-CN"/>
              </w:rPr>
            </w:pPr>
            <w:r>
              <w:rPr>
                <w:rFonts w:hint="eastAsia"/>
                <w:b w:val="0"/>
                <w:bCs w:val="0"/>
                <w:color w:val="auto"/>
                <w:lang w:val="en-US" w:eastAsia="zh-CN"/>
              </w:rPr>
              <w:t>储罐区周边配套足量的中和吸附物资，如纯碱、蛭石、应急收集桶等，可快速对少量泄漏的酸碱进行吸附中和处置，避免泄漏范围扩大。</w:t>
            </w:r>
          </w:p>
          <w:p w14:paraId="42A4ADBE">
            <w:pPr>
              <w:bidi w:val="0"/>
              <w:rPr>
                <w:rFonts w:hint="eastAsia"/>
                <w:b w:val="0"/>
                <w:bCs w:val="0"/>
                <w:color w:val="auto"/>
                <w:lang w:val="en-US" w:eastAsia="zh-CN"/>
              </w:rPr>
            </w:pPr>
            <w:r>
              <w:rPr>
                <w:rFonts w:hint="eastAsia"/>
                <w:b w:val="0"/>
                <w:bCs w:val="0"/>
                <w:color w:val="auto"/>
                <w:lang w:val="en-US" w:eastAsia="zh-CN"/>
              </w:rPr>
              <w:t>‌合规管理要求‌</w:t>
            </w:r>
          </w:p>
          <w:p w14:paraId="3CDC9E95">
            <w:pPr>
              <w:bidi w:val="0"/>
              <w:rPr>
                <w:rFonts w:hint="eastAsia"/>
                <w:b w:val="0"/>
                <w:bCs w:val="0"/>
                <w:color w:val="auto"/>
                <w:lang w:val="en-US" w:eastAsia="zh-CN"/>
              </w:rPr>
            </w:pPr>
            <w:r>
              <w:rPr>
                <w:rFonts w:hint="eastAsia"/>
                <w:b w:val="0"/>
                <w:bCs w:val="0"/>
                <w:color w:val="auto"/>
                <w:lang w:val="en-US" w:eastAsia="zh-CN"/>
              </w:rPr>
              <w:t>严格执行危化品出入库登记制度，控制储罐日常存储量，在满足生产需求的前提下尽可能降低存量，削减环境风险。定期对储罐开展壁厚检测、密封性校验，每年度委托有资质机构完成1次安全附件校验，确保安全阀、紧急切断阀等设施完好有效。</w:t>
            </w:r>
          </w:p>
          <w:p w14:paraId="64967F50">
            <w:pPr>
              <w:bidi w:val="0"/>
              <w:rPr>
                <w:rFonts w:hint="eastAsia"/>
                <w:b/>
                <w:bCs/>
                <w:color w:val="auto"/>
                <w:lang w:val="en-US" w:eastAsia="zh-CN"/>
              </w:rPr>
            </w:pPr>
            <w:r>
              <w:rPr>
                <w:rFonts w:hint="eastAsia"/>
                <w:b/>
                <w:bCs/>
                <w:color w:val="auto"/>
                <w:lang w:val="en-US" w:eastAsia="zh-CN"/>
              </w:rPr>
              <w:t>（3）火灾爆炸事故</w:t>
            </w:r>
          </w:p>
          <w:p w14:paraId="2981FC78">
            <w:pPr>
              <w:bidi w:val="0"/>
              <w:rPr>
                <w:rFonts w:hint="eastAsia"/>
                <w:color w:val="auto"/>
                <w:lang w:val="en-US" w:eastAsia="zh-CN"/>
              </w:rPr>
            </w:pPr>
            <w:r>
              <w:rPr>
                <w:rFonts w:hint="eastAsia"/>
                <w:color w:val="auto"/>
                <w:lang w:val="en-US" w:eastAsia="zh-CN"/>
              </w:rPr>
              <w:t>仓库采取全面通风或局部通风；电气设备和线路必须符合防火防爆要求，规范生产操作过程，避免产生撞击火花；划定禁火区域，严格执行动火审批制度，在禁火区域设置安全标识，加强对火源的管理；在厂房配置足够的消防栓，水源要充足，一旦发生事故就能及时启动消防设施，以降低或减少损失；在仓库外设置相应的防火警告标识牌和应急事故标识牌、现场疏散图等，同时厂区内各个区域必须配套有防毒面具、应急砂等。</w:t>
            </w:r>
          </w:p>
          <w:p w14:paraId="2389B28E">
            <w:pPr>
              <w:bidi w:val="0"/>
              <w:rPr>
                <w:rFonts w:hint="eastAsia"/>
                <w:b/>
                <w:bCs/>
                <w:color w:val="auto"/>
                <w:lang w:val="en-US" w:eastAsia="zh-CN"/>
              </w:rPr>
            </w:pPr>
            <w:r>
              <w:rPr>
                <w:rFonts w:hint="eastAsia"/>
                <w:b/>
                <w:bCs/>
                <w:color w:val="auto"/>
                <w:lang w:val="en-US" w:eastAsia="zh-CN"/>
              </w:rPr>
              <w:t>（4）危废暂存间</w:t>
            </w:r>
          </w:p>
          <w:p w14:paraId="1059364B">
            <w:pPr>
              <w:bidi w:val="0"/>
              <w:rPr>
                <w:rFonts w:hint="eastAsia"/>
                <w:color w:val="auto"/>
                <w:lang w:val="en-US" w:eastAsia="zh-CN"/>
              </w:rPr>
            </w:pPr>
            <w:r>
              <w:rPr>
                <w:rFonts w:hint="eastAsia"/>
                <w:color w:val="auto"/>
                <w:lang w:val="en-US" w:eastAsia="zh-CN"/>
              </w:rPr>
              <w:t>按照《危险废物贮存污染控制标准》（GB18597-2023）和《危险废物收集贮存运输技术规范》（HJ2025-2012）要求对危险废物暂存场进行设计和建设，加强危险废物的贮存过程的管理，规范操作和使用规范，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color w:val="auto"/>
                <w:vertAlign w:val="superscript"/>
                <w:lang w:val="en-US" w:eastAsia="zh-CN"/>
              </w:rPr>
              <w:t>-7</w:t>
            </w:r>
            <w:r>
              <w:rPr>
                <w:rFonts w:hint="eastAsia"/>
                <w:color w:val="auto"/>
                <w:lang w:val="en-US" w:eastAsia="zh-CN"/>
              </w:rPr>
              <w:t>cm/s)，或至少2mm厚高密度聚乙烯膜等人工防渗材料(渗透系数不大于10</w:t>
            </w:r>
            <w:r>
              <w:rPr>
                <w:rFonts w:hint="eastAsia"/>
                <w:color w:val="auto"/>
                <w:vertAlign w:val="superscript"/>
                <w:lang w:val="en-US" w:eastAsia="zh-CN"/>
              </w:rPr>
              <w:t>-10</w:t>
            </w:r>
            <w:r>
              <w:rPr>
                <w:rFonts w:hint="eastAsia"/>
                <w:color w:val="auto"/>
                <w:lang w:val="en-US" w:eastAsia="zh-CN"/>
              </w:rPr>
              <w:t>cm/s)，或其他防渗性能等效的材料。同一贮存设施宜采用相同的防渗、防腐工艺(包括防渗、防腐结构或材料)，防渗、防腐材料应覆盖所有可能与废物及其渗滤液、渗漏液等接触的构筑物表面；采用不同防渗、防腐工艺应分别建设贮存分区。贮存设施应采取技术和管理措施防止无关人员进入。产生的危险废物定期交由有相应危险废物处理资质的单位处置。</w:t>
            </w:r>
          </w:p>
          <w:p w14:paraId="71A5F430">
            <w:pPr>
              <w:bidi w:val="0"/>
              <w:rPr>
                <w:rFonts w:hint="eastAsia"/>
                <w:b/>
                <w:bCs/>
                <w:color w:val="auto"/>
                <w:lang w:val="en-US" w:eastAsia="zh-CN"/>
              </w:rPr>
            </w:pPr>
            <w:r>
              <w:rPr>
                <w:rFonts w:hint="eastAsia"/>
                <w:b/>
                <w:bCs/>
                <w:color w:val="auto"/>
                <w:lang w:val="en-US" w:eastAsia="zh-CN"/>
              </w:rPr>
              <w:t>七、竣工环境保护验收</w:t>
            </w:r>
          </w:p>
          <w:p w14:paraId="30C80D4D">
            <w:pPr>
              <w:bidi w:val="0"/>
              <w:rPr>
                <w:rFonts w:hint="default" w:ascii="Times New Roman" w:hAnsi="Times New Roman" w:cs="Times New Roman"/>
                <w:b/>
                <w:color w:val="auto"/>
                <w:sz w:val="21"/>
                <w:szCs w:val="21"/>
              </w:rPr>
            </w:pPr>
            <w:r>
              <w:rPr>
                <w:rFonts w:hint="default" w:ascii="Times New Roman" w:hAnsi="Times New Roman" w:eastAsia="宋体" w:cs="Times New Roman"/>
                <w:color w:val="auto"/>
                <w:sz w:val="24"/>
                <w:szCs w:val="24"/>
              </w:rPr>
              <w:t>本</w:t>
            </w:r>
            <w:r>
              <w:rPr>
                <w:rFonts w:hint="eastAsia" w:ascii="Times New Roman" w:hAnsi="Times New Roman" w:eastAsia="宋体" w:cs="Times New Roman"/>
                <w:color w:val="auto"/>
                <w:sz w:val="24"/>
                <w:szCs w:val="24"/>
                <w:lang w:val="en-US" w:eastAsia="zh-CN"/>
              </w:rPr>
              <w:t>项目</w:t>
            </w:r>
            <w:r>
              <w:rPr>
                <w:rFonts w:hint="default" w:ascii="Times New Roman" w:hAnsi="Times New Roman" w:eastAsia="宋体" w:cs="Times New Roman"/>
                <w:color w:val="auto"/>
                <w:sz w:val="24"/>
                <w:szCs w:val="24"/>
              </w:rPr>
              <w:t>所有环保设施均应与主体工程</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三同时</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，项目建成投产后及时</w:t>
            </w:r>
            <w:r>
              <w:rPr>
                <w:rFonts w:hint="eastAsia" w:cs="Times New Roman"/>
                <w:color w:val="auto"/>
                <w:sz w:val="24"/>
                <w:szCs w:val="24"/>
                <w:lang w:eastAsia="zh-CN"/>
              </w:rPr>
              <w:t>自行</w:t>
            </w:r>
            <w:r>
              <w:rPr>
                <w:rFonts w:hint="default" w:ascii="Times New Roman" w:hAnsi="Times New Roman" w:eastAsia="宋体" w:cs="Times New Roman"/>
                <w:color w:val="auto"/>
                <w:sz w:val="24"/>
                <w:szCs w:val="24"/>
              </w:rPr>
              <w:t>组织竣工环境保护验收。如实查验、监测、记载建设项目环境保护设施的建设和调试情况，同时还应如实记载其他环境保护对策措施“三同时”落实情况，编制竣工环境保护验收报告。验收报告编制完成后，建设单位应组织成立验收工作组</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验收工作组由建设单位、设计单位、施工单位、环境影响报告书（表）编制机构、验收报告编制机构等单位代表和专业技术专家组成，建设单位应当对验收工作组提出的问题进行整改，合格后方可出具验收合格的意见，并报生态环境部门备案。建设项目配套建设的环境保护设施经竣工验收通过后方可正式投产</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环保验收</w:t>
            </w:r>
            <w:r>
              <w:rPr>
                <w:rFonts w:hint="eastAsia" w:ascii="Times New Roman" w:hAnsi="Times New Roman" w:eastAsia="宋体" w:cs="Times New Roman"/>
                <w:color w:val="auto"/>
                <w:sz w:val="24"/>
                <w:szCs w:val="24"/>
                <w:lang w:val="en-US" w:eastAsia="zh-CN"/>
              </w:rPr>
              <w:t>内容详</w:t>
            </w:r>
            <w:r>
              <w:rPr>
                <w:rFonts w:hint="default" w:ascii="Times New Roman" w:hAnsi="Times New Roman" w:eastAsia="宋体" w:cs="Times New Roman"/>
                <w:color w:val="auto"/>
                <w:sz w:val="24"/>
                <w:szCs w:val="24"/>
              </w:rPr>
              <w:t>见</w:t>
            </w:r>
            <w:r>
              <w:rPr>
                <w:rFonts w:hint="eastAsia" w:ascii="Times New Roman" w:hAnsi="Times New Roman" w:eastAsia="宋体" w:cs="Times New Roman"/>
                <w:color w:val="auto"/>
                <w:sz w:val="24"/>
                <w:szCs w:val="24"/>
                <w:lang w:eastAsia="zh-CN"/>
              </w:rPr>
              <w:t>下</w:t>
            </w:r>
            <w:r>
              <w:rPr>
                <w:rFonts w:hint="default" w:ascii="Times New Roman" w:hAnsi="Times New Roman" w:eastAsia="宋体" w:cs="Times New Roman"/>
                <w:color w:val="auto"/>
                <w:sz w:val="24"/>
                <w:szCs w:val="24"/>
              </w:rPr>
              <w:t>表</w:t>
            </w:r>
          </w:p>
          <w:p w14:paraId="22ABF5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表</w:t>
            </w:r>
            <w:r>
              <w:rPr>
                <w:rFonts w:hint="eastAsia" w:cs="Times New Roman"/>
                <w:b/>
                <w:color w:val="auto"/>
                <w:sz w:val="21"/>
                <w:szCs w:val="21"/>
                <w:lang w:val="en-US" w:eastAsia="zh-CN"/>
              </w:rPr>
              <w:t xml:space="preserve">4-27   </w:t>
            </w:r>
            <w:r>
              <w:rPr>
                <w:rFonts w:hint="default" w:ascii="Times New Roman" w:hAnsi="Times New Roman" w:cs="Times New Roman"/>
                <w:b/>
                <w:color w:val="auto"/>
                <w:sz w:val="21"/>
                <w:szCs w:val="21"/>
              </w:rPr>
              <w:t>项目环境保护竣工验收一览表</w:t>
            </w:r>
          </w:p>
          <w:tbl>
            <w:tblPr>
              <w:tblStyle w:val="2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4"/>
              <w:gridCol w:w="1201"/>
              <w:gridCol w:w="1163"/>
              <w:gridCol w:w="2504"/>
              <w:gridCol w:w="2299"/>
            </w:tblGrid>
            <w:tr w14:paraId="5A1F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gridSpan w:val="3"/>
                  <w:shd w:val="clear" w:color="auto" w:fill="auto"/>
                  <w:vAlign w:val="center"/>
                </w:tcPr>
                <w:p w14:paraId="7BA9EA5D">
                  <w:pPr>
                    <w:pStyle w:val="29"/>
                    <w:bidi w:val="0"/>
                    <w:rPr>
                      <w:rFonts w:hint="default"/>
                      <w:color w:val="auto"/>
                      <w:lang w:val="en-US" w:eastAsia="zh-CN"/>
                    </w:rPr>
                  </w:pPr>
                  <w:r>
                    <w:rPr>
                      <w:rFonts w:hint="default"/>
                      <w:color w:val="auto"/>
                    </w:rPr>
                    <w:t>污染源</w:t>
                  </w:r>
                </w:p>
              </w:tc>
              <w:tc>
                <w:tcPr>
                  <w:tcW w:w="720" w:type="pct"/>
                  <w:shd w:val="clear" w:color="auto" w:fill="auto"/>
                  <w:vAlign w:val="center"/>
                </w:tcPr>
                <w:p w14:paraId="2225B44E">
                  <w:pPr>
                    <w:pStyle w:val="29"/>
                    <w:bidi w:val="0"/>
                    <w:rPr>
                      <w:rFonts w:hint="default"/>
                      <w:color w:val="auto"/>
                      <w:lang w:val="en-US" w:eastAsia="zh-CN"/>
                    </w:rPr>
                  </w:pPr>
                  <w:r>
                    <w:rPr>
                      <w:rFonts w:hint="eastAsia"/>
                      <w:color w:val="auto"/>
                      <w:lang w:val="en-US" w:eastAsia="zh-CN"/>
                    </w:rPr>
                    <w:t>主要污染物</w:t>
                  </w:r>
                </w:p>
              </w:tc>
              <w:tc>
                <w:tcPr>
                  <w:tcW w:w="1551" w:type="pct"/>
                  <w:shd w:val="clear" w:color="auto" w:fill="auto"/>
                  <w:vAlign w:val="center"/>
                </w:tcPr>
                <w:p w14:paraId="5517E99E">
                  <w:pPr>
                    <w:pStyle w:val="29"/>
                    <w:bidi w:val="0"/>
                    <w:rPr>
                      <w:rFonts w:hint="default"/>
                      <w:color w:val="auto"/>
                      <w:lang w:val="en-US" w:eastAsia="zh-CN"/>
                    </w:rPr>
                  </w:pPr>
                  <w:r>
                    <w:rPr>
                      <w:rFonts w:hint="default"/>
                      <w:color w:val="auto"/>
                    </w:rPr>
                    <w:t>处理措施</w:t>
                  </w:r>
                </w:p>
              </w:tc>
              <w:tc>
                <w:tcPr>
                  <w:tcW w:w="1424" w:type="pct"/>
                  <w:shd w:val="clear" w:color="auto" w:fill="auto"/>
                  <w:vAlign w:val="center"/>
                </w:tcPr>
                <w:p w14:paraId="02AEE518">
                  <w:pPr>
                    <w:pStyle w:val="29"/>
                    <w:bidi w:val="0"/>
                    <w:rPr>
                      <w:rFonts w:hint="default"/>
                      <w:color w:val="auto"/>
                      <w:lang w:val="en-US" w:eastAsia="zh-CN"/>
                    </w:rPr>
                  </w:pPr>
                  <w:r>
                    <w:rPr>
                      <w:rFonts w:hint="default"/>
                      <w:color w:val="auto"/>
                    </w:rPr>
                    <w:t>预期效果</w:t>
                  </w:r>
                </w:p>
              </w:tc>
            </w:tr>
            <w:tr w14:paraId="2BD3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 w:type="pct"/>
                  <w:vMerge w:val="restart"/>
                  <w:shd w:val="clear" w:color="auto" w:fill="auto"/>
                  <w:vAlign w:val="center"/>
                </w:tcPr>
                <w:p w14:paraId="28A0936C">
                  <w:pPr>
                    <w:pStyle w:val="29"/>
                    <w:bidi w:val="0"/>
                    <w:ind w:firstLine="0" w:firstLineChars="0"/>
                    <w:rPr>
                      <w:rFonts w:hint="default"/>
                      <w:color w:val="auto"/>
                    </w:rPr>
                  </w:pPr>
                  <w:r>
                    <w:rPr>
                      <w:rFonts w:hint="eastAsia"/>
                      <w:color w:val="auto"/>
                      <w:lang w:val="en-US" w:eastAsia="zh-CN"/>
                    </w:rPr>
                    <w:t>有组织废气</w:t>
                  </w:r>
                </w:p>
              </w:tc>
              <w:tc>
                <w:tcPr>
                  <w:tcW w:w="851" w:type="pct"/>
                  <w:gridSpan w:val="2"/>
                  <w:shd w:val="clear" w:color="auto" w:fill="auto"/>
                  <w:vAlign w:val="center"/>
                </w:tcPr>
                <w:p w14:paraId="27C175C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锅炉废气</w:t>
                  </w:r>
                </w:p>
              </w:tc>
              <w:tc>
                <w:tcPr>
                  <w:tcW w:w="720" w:type="pct"/>
                  <w:shd w:val="clear" w:color="auto" w:fill="auto"/>
                  <w:vAlign w:val="center"/>
                </w:tcPr>
                <w:p w14:paraId="22F9B096">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颗粒物、SO</w:t>
                  </w:r>
                  <w:r>
                    <w:rPr>
                      <w:rFonts w:hint="eastAsia" w:cs="Times New Roman"/>
                      <w:b w:val="0"/>
                      <w:color w:val="auto"/>
                      <w:kern w:val="2"/>
                      <w:sz w:val="21"/>
                      <w:szCs w:val="21"/>
                      <w:vertAlign w:val="subscript"/>
                      <w:lang w:val="en-US" w:eastAsia="zh-CN" w:bidi="ar-SA"/>
                    </w:rPr>
                    <w:t>2</w:t>
                  </w:r>
                  <w:r>
                    <w:rPr>
                      <w:rFonts w:hint="eastAsia" w:cs="Times New Roman"/>
                      <w:b w:val="0"/>
                      <w:color w:val="auto"/>
                      <w:kern w:val="2"/>
                      <w:sz w:val="21"/>
                      <w:szCs w:val="21"/>
                      <w:lang w:val="en-US" w:eastAsia="zh-CN" w:bidi="ar-SA"/>
                    </w:rPr>
                    <w:t>、NO</w:t>
                  </w:r>
                  <w:r>
                    <w:rPr>
                      <w:rFonts w:hint="eastAsia" w:cs="Times New Roman"/>
                      <w:b w:val="0"/>
                      <w:color w:val="auto"/>
                      <w:kern w:val="2"/>
                      <w:sz w:val="21"/>
                      <w:szCs w:val="21"/>
                      <w:vertAlign w:val="subscript"/>
                      <w:lang w:val="en-US" w:eastAsia="zh-CN" w:bidi="ar-SA"/>
                    </w:rPr>
                    <w:t>X</w:t>
                  </w:r>
                </w:p>
              </w:tc>
              <w:tc>
                <w:tcPr>
                  <w:tcW w:w="1551" w:type="pct"/>
                  <w:shd w:val="clear" w:color="auto" w:fill="auto"/>
                  <w:vAlign w:val="center"/>
                </w:tcPr>
                <w:p w14:paraId="4C6CCA83">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低氮燃烧装置+18m高排气筒排放（DA001）</w:t>
                  </w:r>
                </w:p>
              </w:tc>
              <w:tc>
                <w:tcPr>
                  <w:tcW w:w="1424" w:type="pct"/>
                  <w:shd w:val="clear" w:color="auto" w:fill="auto"/>
                  <w:vAlign w:val="center"/>
                </w:tcPr>
                <w:p w14:paraId="13F50ED7">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《锅炉大气污染物排放标准》（GB13271-2014）</w:t>
                  </w:r>
                  <w:r>
                    <w:rPr>
                      <w:rFonts w:hint="default"/>
                      <w:color w:val="auto"/>
                      <w:lang w:val="en-US" w:eastAsia="zh-CN"/>
                    </w:rPr>
                    <w:t>表2新建锅炉大气污染物排放标准中</w:t>
                  </w:r>
                  <w:r>
                    <w:rPr>
                      <w:rFonts w:hint="eastAsia"/>
                      <w:color w:val="auto"/>
                      <w:lang w:val="en-US" w:eastAsia="zh-CN"/>
                    </w:rPr>
                    <w:t>燃气锅炉</w:t>
                  </w:r>
                  <w:r>
                    <w:rPr>
                      <w:rFonts w:hint="default"/>
                      <w:color w:val="auto"/>
                      <w:lang w:val="en-US" w:eastAsia="zh-CN"/>
                    </w:rPr>
                    <w:t>浓度限值</w:t>
                  </w:r>
                </w:p>
              </w:tc>
            </w:tr>
            <w:tr w14:paraId="602F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2" w:type="pct"/>
                  <w:vMerge w:val="continue"/>
                  <w:shd w:val="clear" w:color="auto" w:fill="auto"/>
                  <w:vAlign w:val="center"/>
                </w:tcPr>
                <w:p w14:paraId="7CD3618C">
                  <w:pPr>
                    <w:pStyle w:val="29"/>
                    <w:bidi w:val="0"/>
                    <w:ind w:firstLine="0" w:firstLineChars="0"/>
                    <w:rPr>
                      <w:rFonts w:hint="eastAsia"/>
                      <w:color w:val="auto"/>
                      <w:lang w:val="en-US" w:eastAsia="zh-CN"/>
                    </w:rPr>
                  </w:pPr>
                </w:p>
              </w:tc>
              <w:tc>
                <w:tcPr>
                  <w:tcW w:w="851" w:type="pct"/>
                  <w:gridSpan w:val="2"/>
                  <w:shd w:val="clear" w:color="auto" w:fill="auto"/>
                  <w:vAlign w:val="center"/>
                </w:tcPr>
                <w:p w14:paraId="208914C5">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破碎粉尘</w:t>
                  </w:r>
                </w:p>
              </w:tc>
              <w:tc>
                <w:tcPr>
                  <w:tcW w:w="720" w:type="pct"/>
                  <w:shd w:val="clear" w:color="auto" w:fill="auto"/>
                  <w:vAlign w:val="center"/>
                </w:tcPr>
                <w:p w14:paraId="7AB4F1B3">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551" w:type="pct"/>
                  <w:shd w:val="clear" w:color="auto" w:fill="auto"/>
                  <w:vAlign w:val="center"/>
                </w:tcPr>
                <w:p w14:paraId="596B4FCA">
                  <w:pPr>
                    <w:pStyle w:val="29"/>
                    <w:bidi w:val="0"/>
                    <w:ind w:firstLine="0" w:firstLineChars="0"/>
                    <w:jc w:val="center"/>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布袋除尘器+20m高排气筒排放（DA002）</w:t>
                  </w:r>
                </w:p>
              </w:tc>
              <w:tc>
                <w:tcPr>
                  <w:tcW w:w="1424" w:type="pct"/>
                  <w:shd w:val="clear" w:color="auto" w:fill="auto"/>
                  <w:vAlign w:val="center"/>
                </w:tcPr>
                <w:p w14:paraId="1BEF1322">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《大气污染物综合排放标准》（GB16297-1996）表2中二级标准限值</w:t>
                  </w:r>
                </w:p>
              </w:tc>
            </w:tr>
            <w:tr w14:paraId="7F01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restart"/>
                  <w:vAlign w:val="center"/>
                </w:tcPr>
                <w:p w14:paraId="2BEF6D28">
                  <w:pPr>
                    <w:pStyle w:val="29"/>
                    <w:bidi w:val="0"/>
                    <w:rPr>
                      <w:rFonts w:hint="default" w:eastAsia="宋体"/>
                      <w:color w:val="auto"/>
                      <w:lang w:val="en-US" w:eastAsia="zh-CN"/>
                    </w:rPr>
                  </w:pPr>
                  <w:r>
                    <w:rPr>
                      <w:rFonts w:hint="eastAsia"/>
                      <w:color w:val="auto"/>
                      <w:lang w:val="en-US" w:eastAsia="zh-CN"/>
                    </w:rPr>
                    <w:t>无组织废气</w:t>
                  </w:r>
                </w:p>
              </w:tc>
              <w:tc>
                <w:tcPr>
                  <w:tcW w:w="851" w:type="pct"/>
                  <w:gridSpan w:val="2"/>
                  <w:shd w:val="clear" w:color="auto" w:fill="auto"/>
                  <w:vAlign w:val="center"/>
                </w:tcPr>
                <w:p w14:paraId="3D5C50D8">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发酵废气</w:t>
                  </w:r>
                </w:p>
              </w:tc>
              <w:tc>
                <w:tcPr>
                  <w:tcW w:w="720" w:type="pct"/>
                  <w:shd w:val="clear" w:color="auto" w:fill="auto"/>
                  <w:vAlign w:val="center"/>
                </w:tcPr>
                <w:p w14:paraId="341D9A7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CO</w:t>
                  </w:r>
                  <w:r>
                    <w:rPr>
                      <w:rFonts w:hint="eastAsia" w:cs="Times New Roman"/>
                      <w:b w:val="0"/>
                      <w:color w:val="auto"/>
                      <w:kern w:val="2"/>
                      <w:sz w:val="21"/>
                      <w:szCs w:val="21"/>
                      <w:vertAlign w:val="subscript"/>
                      <w:lang w:val="en-US" w:eastAsia="zh-CN" w:bidi="ar-SA"/>
                    </w:rPr>
                    <w:t>2</w:t>
                  </w:r>
                  <w:r>
                    <w:rPr>
                      <w:rFonts w:hint="eastAsia" w:cs="Times New Roman"/>
                      <w:b w:val="0"/>
                      <w:color w:val="auto"/>
                      <w:kern w:val="2"/>
                      <w:sz w:val="21"/>
                      <w:szCs w:val="21"/>
                      <w:lang w:val="en-US" w:eastAsia="zh-CN" w:bidi="ar-SA"/>
                    </w:rPr>
                    <w:t>、非甲烷总烃</w:t>
                  </w:r>
                </w:p>
              </w:tc>
              <w:tc>
                <w:tcPr>
                  <w:tcW w:w="1551" w:type="pct"/>
                  <w:vMerge w:val="restart"/>
                  <w:shd w:val="clear" w:color="auto" w:fill="auto"/>
                  <w:vAlign w:val="center"/>
                </w:tcPr>
                <w:p w14:paraId="09DFD959">
                  <w:pPr>
                    <w:pStyle w:val="29"/>
                    <w:bidi w:val="0"/>
                    <w:ind w:firstLine="0" w:firstLineChars="0"/>
                    <w:rPr>
                      <w:rFonts w:hint="default"/>
                      <w:color w:val="auto"/>
                      <w:lang w:val="en-US" w:eastAsia="zh-CN"/>
                    </w:rPr>
                  </w:pPr>
                  <w:r>
                    <w:rPr>
                      <w:rFonts w:hint="eastAsia"/>
                      <w:color w:val="auto"/>
                      <w:lang w:val="en-US" w:eastAsia="zh-CN"/>
                    </w:rPr>
                    <w:t>车间阻隔，自然扩散、密封桶暂存，定期喷洒除臭剂</w:t>
                  </w:r>
                </w:p>
              </w:tc>
              <w:tc>
                <w:tcPr>
                  <w:tcW w:w="1424" w:type="pct"/>
                  <w:vMerge w:val="restart"/>
                  <w:vAlign w:val="center"/>
                </w:tcPr>
                <w:p w14:paraId="1A5B2A80">
                  <w:pPr>
                    <w:pStyle w:val="29"/>
                    <w:bidi w:val="0"/>
                    <w:rPr>
                      <w:rFonts w:hint="default"/>
                      <w:color w:val="auto"/>
                    </w:rPr>
                  </w:pPr>
                  <w:r>
                    <w:rPr>
                      <w:rFonts w:hint="default"/>
                      <w:color w:val="auto"/>
                      <w:lang w:val="en-US" w:eastAsia="zh-CN"/>
                    </w:rPr>
                    <w:t>厂界</w:t>
                  </w:r>
                  <w:r>
                    <w:rPr>
                      <w:rFonts w:hint="default"/>
                      <w:color w:val="auto"/>
                      <w:lang w:eastAsia="zh-CN"/>
                    </w:rPr>
                    <w:t>颗粒物、</w:t>
                  </w:r>
                  <w:r>
                    <w:rPr>
                      <w:rFonts w:hint="default"/>
                      <w:color w:val="auto"/>
                      <w:lang w:val="en-US" w:eastAsia="zh-CN"/>
                    </w:rPr>
                    <w:t>非甲烷总烃</w:t>
                  </w:r>
                  <w:r>
                    <w:rPr>
                      <w:rFonts w:hint="default"/>
                      <w:color w:val="auto"/>
                      <w:lang w:eastAsia="zh-CN"/>
                    </w:rPr>
                    <w:t>执行</w:t>
                  </w:r>
                  <w:r>
                    <w:rPr>
                      <w:rFonts w:hint="default"/>
                      <w:color w:val="auto"/>
                      <w:lang w:val="en-US" w:eastAsia="zh-CN"/>
                    </w:rPr>
                    <w:t>《大气污染物综合排放标准》（GB16297-1996）</w:t>
                  </w:r>
                  <w:r>
                    <w:rPr>
                      <w:rFonts w:hint="default"/>
                      <w:color w:val="auto"/>
                      <w:lang w:eastAsia="zh-CN"/>
                    </w:rPr>
                    <w:t>表</w:t>
                  </w:r>
                  <w:r>
                    <w:rPr>
                      <w:rFonts w:hint="default"/>
                      <w:color w:val="auto"/>
                      <w:lang w:val="en-US" w:eastAsia="zh-CN"/>
                    </w:rPr>
                    <w:t>2无组织排放监控浓度限值要求；厂区内无组织非甲烷总烃排放浓度执行《挥发性有机物无组织排放控制标准》（GB37822-2019）附录A中表A.1厂区内VOC</w:t>
                  </w:r>
                  <w:r>
                    <w:rPr>
                      <w:rFonts w:hint="default"/>
                      <w:color w:val="auto"/>
                      <w:vertAlign w:val="subscript"/>
                      <w:lang w:val="en-US" w:eastAsia="zh-CN"/>
                    </w:rPr>
                    <w:t>S</w:t>
                  </w:r>
                  <w:r>
                    <w:rPr>
                      <w:rFonts w:hint="default"/>
                      <w:color w:val="auto"/>
                      <w:lang w:val="en-US" w:eastAsia="zh-CN"/>
                    </w:rPr>
                    <w:t>无组织排放限值；</w:t>
                  </w:r>
                  <w:r>
                    <w:rPr>
                      <w:rFonts w:hint="default"/>
                      <w:color w:val="auto"/>
                      <w:lang w:eastAsia="zh-CN"/>
                    </w:rPr>
                    <w:t>NH</w:t>
                  </w:r>
                  <w:r>
                    <w:rPr>
                      <w:rFonts w:hint="default"/>
                      <w:color w:val="auto"/>
                      <w:vertAlign w:val="subscript"/>
                      <w:lang w:eastAsia="zh-CN"/>
                    </w:rPr>
                    <w:t>3</w:t>
                  </w:r>
                  <w:r>
                    <w:rPr>
                      <w:rFonts w:hint="default"/>
                      <w:color w:val="auto"/>
                      <w:lang w:eastAsia="zh-CN"/>
                    </w:rPr>
                    <w:t>、H</w:t>
                  </w:r>
                  <w:r>
                    <w:rPr>
                      <w:rFonts w:hint="default"/>
                      <w:color w:val="auto"/>
                      <w:vertAlign w:val="subscript"/>
                      <w:lang w:eastAsia="zh-CN"/>
                    </w:rPr>
                    <w:t>2</w:t>
                  </w:r>
                  <w:r>
                    <w:rPr>
                      <w:rFonts w:hint="default"/>
                      <w:color w:val="auto"/>
                      <w:lang w:eastAsia="zh-CN"/>
                    </w:rPr>
                    <w:t>S和臭气浓度执行《恶臭污染物排放标准》（</w:t>
                  </w:r>
                  <w:r>
                    <w:rPr>
                      <w:rFonts w:hint="default"/>
                      <w:color w:val="auto"/>
                      <w:lang w:val="en-US" w:eastAsia="zh-CN"/>
                    </w:rPr>
                    <w:t>G</w:t>
                  </w:r>
                  <w:r>
                    <w:rPr>
                      <w:rFonts w:hint="default"/>
                      <w:color w:val="auto"/>
                      <w:lang w:eastAsia="zh-CN"/>
                    </w:rPr>
                    <w:t>B</w:t>
                  </w:r>
                  <w:r>
                    <w:rPr>
                      <w:rFonts w:hint="default"/>
                      <w:color w:val="auto"/>
                      <w:lang w:val="en-US" w:eastAsia="zh-CN"/>
                    </w:rPr>
                    <w:t>14554</w:t>
                  </w:r>
                  <w:r>
                    <w:rPr>
                      <w:rFonts w:hint="default"/>
                      <w:color w:val="auto"/>
                      <w:lang w:eastAsia="zh-CN"/>
                    </w:rPr>
                    <w:t>-</w:t>
                  </w:r>
                  <w:r>
                    <w:rPr>
                      <w:rFonts w:hint="default"/>
                      <w:color w:val="auto"/>
                      <w:lang w:val="en-US" w:eastAsia="zh-CN"/>
                    </w:rPr>
                    <w:t>93</w:t>
                  </w:r>
                  <w:r>
                    <w:rPr>
                      <w:rFonts w:hint="default"/>
                      <w:color w:val="auto"/>
                      <w:lang w:eastAsia="zh-CN"/>
                    </w:rPr>
                    <w:t>）表1</w:t>
                  </w:r>
                  <w:r>
                    <w:rPr>
                      <w:rFonts w:hint="default"/>
                      <w:color w:val="auto"/>
                      <w:lang w:val="en-US" w:eastAsia="zh-CN"/>
                    </w:rPr>
                    <w:t>二级新改扩建厂界</w:t>
                  </w:r>
                  <w:r>
                    <w:rPr>
                      <w:rFonts w:hint="default"/>
                      <w:color w:val="auto"/>
                      <w:lang w:eastAsia="zh-CN"/>
                    </w:rPr>
                    <w:t>限值</w:t>
                  </w:r>
                </w:p>
              </w:tc>
            </w:tr>
            <w:tr w14:paraId="7B6B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1F9B8114">
                  <w:pPr>
                    <w:pStyle w:val="29"/>
                    <w:bidi w:val="0"/>
                    <w:rPr>
                      <w:rFonts w:hint="default"/>
                      <w:color w:val="auto"/>
                    </w:rPr>
                  </w:pPr>
                </w:p>
              </w:tc>
              <w:tc>
                <w:tcPr>
                  <w:tcW w:w="851" w:type="pct"/>
                  <w:gridSpan w:val="2"/>
                  <w:shd w:val="clear" w:color="auto" w:fill="auto"/>
                  <w:vAlign w:val="center"/>
                </w:tcPr>
                <w:p w14:paraId="7E7B1C8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固废暂存废气</w:t>
                  </w:r>
                </w:p>
              </w:tc>
              <w:tc>
                <w:tcPr>
                  <w:tcW w:w="720" w:type="pct"/>
                  <w:shd w:val="clear" w:color="auto" w:fill="auto"/>
                  <w:vAlign w:val="center"/>
                </w:tcPr>
                <w:p w14:paraId="5C9FD3B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恶臭</w:t>
                  </w:r>
                </w:p>
              </w:tc>
              <w:tc>
                <w:tcPr>
                  <w:tcW w:w="1551" w:type="pct"/>
                  <w:vMerge w:val="continue"/>
                  <w:shd w:val="clear" w:color="auto" w:fill="auto"/>
                  <w:vAlign w:val="center"/>
                </w:tcPr>
                <w:p w14:paraId="350F301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p>
              </w:tc>
              <w:tc>
                <w:tcPr>
                  <w:tcW w:w="1424" w:type="pct"/>
                  <w:vMerge w:val="continue"/>
                  <w:vAlign w:val="center"/>
                </w:tcPr>
                <w:p w14:paraId="03CCAD18">
                  <w:pPr>
                    <w:pStyle w:val="29"/>
                    <w:bidi w:val="0"/>
                    <w:rPr>
                      <w:rFonts w:hint="default"/>
                      <w:color w:val="auto"/>
                    </w:rPr>
                  </w:pPr>
                </w:p>
              </w:tc>
            </w:tr>
            <w:tr w14:paraId="4AD65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shd w:val="clear" w:color="auto" w:fill="auto"/>
                  <w:vAlign w:val="center"/>
                </w:tcPr>
                <w:p w14:paraId="75AD9A70">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c>
                <w:tcPr>
                  <w:tcW w:w="851" w:type="pct"/>
                  <w:gridSpan w:val="2"/>
                  <w:shd w:val="clear" w:color="auto" w:fill="auto"/>
                  <w:vAlign w:val="center"/>
                </w:tcPr>
                <w:p w14:paraId="2BCB0B2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rPr>
                    <w:t>污水处理恶臭</w:t>
                  </w:r>
                </w:p>
              </w:tc>
              <w:tc>
                <w:tcPr>
                  <w:tcW w:w="720" w:type="pct"/>
                  <w:shd w:val="clear" w:color="auto" w:fill="auto"/>
                  <w:vAlign w:val="center"/>
                </w:tcPr>
                <w:p w14:paraId="508704D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NH</w:t>
                  </w:r>
                  <w:r>
                    <w:rPr>
                      <w:rFonts w:hint="default" w:ascii="Times New Roman" w:hAnsi="Times New Roman" w:eastAsia="宋体" w:cs="Times New Roman"/>
                      <w:b w:val="0"/>
                      <w:color w:val="auto"/>
                      <w:kern w:val="2"/>
                      <w:sz w:val="21"/>
                      <w:szCs w:val="21"/>
                      <w:vertAlign w:val="subscript"/>
                      <w:lang w:val="en-US" w:eastAsia="zh-CN" w:bidi="ar-SA"/>
                    </w:rPr>
                    <w:t>3</w:t>
                  </w:r>
                  <w:r>
                    <w:rPr>
                      <w:rFonts w:hint="default" w:ascii="Times New Roman" w:hAnsi="Times New Roman" w:eastAsia="宋体" w:cs="Times New Roman"/>
                      <w:b w:val="0"/>
                      <w:color w:val="auto"/>
                      <w:kern w:val="2"/>
                      <w:sz w:val="21"/>
                      <w:szCs w:val="21"/>
                      <w:lang w:val="en-US" w:eastAsia="zh-CN" w:bidi="ar-SA"/>
                    </w:rPr>
                    <w:t>、H</w:t>
                  </w:r>
                  <w:r>
                    <w:rPr>
                      <w:rFonts w:hint="default" w:ascii="Times New Roman" w:hAnsi="Times New Roman" w:eastAsia="宋体" w:cs="Times New Roman"/>
                      <w:b w:val="0"/>
                      <w:color w:val="auto"/>
                      <w:kern w:val="2"/>
                      <w:sz w:val="21"/>
                      <w:szCs w:val="21"/>
                      <w:vertAlign w:val="subscript"/>
                      <w:lang w:val="en-US" w:eastAsia="zh-CN" w:bidi="ar-SA"/>
                    </w:rPr>
                    <w:t>2</w:t>
                  </w:r>
                  <w:r>
                    <w:rPr>
                      <w:rFonts w:hint="default" w:ascii="Times New Roman" w:hAnsi="Times New Roman" w:eastAsia="宋体" w:cs="Times New Roman"/>
                      <w:b w:val="0"/>
                      <w:color w:val="auto"/>
                      <w:kern w:val="2"/>
                      <w:sz w:val="21"/>
                      <w:szCs w:val="21"/>
                      <w:lang w:val="en-US" w:eastAsia="zh-CN" w:bidi="ar-SA"/>
                    </w:rPr>
                    <w:t>S</w:t>
                  </w:r>
                </w:p>
              </w:tc>
              <w:tc>
                <w:tcPr>
                  <w:tcW w:w="1551" w:type="pct"/>
                  <w:vMerge w:val="restart"/>
                  <w:shd w:val="clear" w:color="auto" w:fill="auto"/>
                  <w:vAlign w:val="center"/>
                </w:tcPr>
                <w:p w14:paraId="1A856E6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定期喷洒除臭剂</w:t>
                  </w:r>
                </w:p>
                <w:p w14:paraId="7330F35B">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厂区道路硬化、路面遗撒及时清扫，运输车辆进行遮盖并采用洒水车进行降尘。</w:t>
                  </w:r>
                </w:p>
              </w:tc>
              <w:tc>
                <w:tcPr>
                  <w:tcW w:w="1424" w:type="pct"/>
                  <w:vMerge w:val="continue"/>
                  <w:shd w:val="clear" w:color="auto" w:fill="auto"/>
                  <w:vAlign w:val="center"/>
                </w:tcPr>
                <w:p w14:paraId="77C943A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p>
              </w:tc>
            </w:tr>
            <w:tr w14:paraId="07F4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shd w:val="clear" w:color="auto" w:fill="auto"/>
                  <w:vAlign w:val="center"/>
                </w:tcPr>
                <w:p w14:paraId="1CA9C5EB">
                  <w:pPr>
                    <w:pStyle w:val="29"/>
                    <w:bidi w:val="0"/>
                    <w:ind w:firstLine="0" w:firstLineChars="0"/>
                    <w:rPr>
                      <w:rFonts w:hint="eastAsia"/>
                      <w:color w:val="auto"/>
                      <w:lang w:val="en-US" w:eastAsia="zh-CN"/>
                    </w:rPr>
                  </w:pPr>
                </w:p>
              </w:tc>
              <w:tc>
                <w:tcPr>
                  <w:tcW w:w="851" w:type="pct"/>
                  <w:gridSpan w:val="2"/>
                  <w:shd w:val="clear" w:color="auto" w:fill="auto"/>
                  <w:vAlign w:val="center"/>
                </w:tcPr>
                <w:p w14:paraId="03849DE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rPr>
                    <w:t>车辆运输扬尘</w:t>
                  </w:r>
                </w:p>
              </w:tc>
              <w:tc>
                <w:tcPr>
                  <w:tcW w:w="720" w:type="pct"/>
                  <w:shd w:val="clear" w:color="auto" w:fill="auto"/>
                  <w:vAlign w:val="center"/>
                </w:tcPr>
                <w:p w14:paraId="600EF8F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551" w:type="pct"/>
                  <w:vMerge w:val="continue"/>
                  <w:shd w:val="clear" w:color="auto" w:fill="auto"/>
                  <w:vAlign w:val="center"/>
                </w:tcPr>
                <w:p w14:paraId="517D8863">
                  <w:pPr>
                    <w:pStyle w:val="29"/>
                    <w:ind w:firstLine="0" w:firstLineChars="0"/>
                    <w:rPr>
                      <w:rFonts w:hint="eastAsia" w:ascii="Times New Roman" w:hAnsi="Times New Roman" w:eastAsia="宋体" w:cs="Times New Roman"/>
                      <w:b w:val="0"/>
                      <w:color w:val="auto"/>
                      <w:kern w:val="2"/>
                      <w:sz w:val="21"/>
                      <w:szCs w:val="21"/>
                      <w:lang w:val="en-US" w:eastAsia="zh-CN" w:bidi="ar-SA"/>
                    </w:rPr>
                  </w:pPr>
                </w:p>
              </w:tc>
              <w:tc>
                <w:tcPr>
                  <w:tcW w:w="1424" w:type="pct"/>
                  <w:vMerge w:val="continue"/>
                  <w:shd w:val="clear" w:color="auto" w:fill="auto"/>
                  <w:vAlign w:val="center"/>
                </w:tcPr>
                <w:p w14:paraId="144FE788">
                  <w:pPr>
                    <w:pStyle w:val="29"/>
                    <w:bidi w:val="0"/>
                    <w:ind w:firstLine="0" w:firstLineChars="0"/>
                    <w:rPr>
                      <w:rFonts w:hint="eastAsia"/>
                      <w:color w:val="auto"/>
                    </w:rPr>
                  </w:pPr>
                </w:p>
              </w:tc>
            </w:tr>
            <w:tr w14:paraId="7C47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2" w:type="pct"/>
                  <w:vMerge w:val="continue"/>
                  <w:shd w:val="clear" w:color="auto" w:fill="auto"/>
                  <w:vAlign w:val="center"/>
                </w:tcPr>
                <w:p w14:paraId="522731C5">
                  <w:pPr>
                    <w:pStyle w:val="29"/>
                    <w:bidi w:val="0"/>
                    <w:ind w:firstLine="0" w:firstLineChars="0"/>
                    <w:rPr>
                      <w:rFonts w:hint="eastAsia"/>
                      <w:color w:val="auto"/>
                      <w:lang w:val="en-US" w:eastAsia="zh-CN"/>
                    </w:rPr>
                  </w:pPr>
                </w:p>
              </w:tc>
              <w:tc>
                <w:tcPr>
                  <w:tcW w:w="851" w:type="pct"/>
                  <w:gridSpan w:val="2"/>
                  <w:shd w:val="clear" w:color="auto" w:fill="auto"/>
                  <w:vAlign w:val="center"/>
                </w:tcPr>
                <w:p w14:paraId="634BE72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eastAsia="zh-CN"/>
                    </w:rPr>
                    <w:t>未捕集粉尘</w:t>
                  </w:r>
                </w:p>
              </w:tc>
              <w:tc>
                <w:tcPr>
                  <w:tcW w:w="720" w:type="pct"/>
                  <w:shd w:val="clear" w:color="auto" w:fill="auto"/>
                  <w:vAlign w:val="center"/>
                </w:tcPr>
                <w:p w14:paraId="4FF44A3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551" w:type="pct"/>
                  <w:shd w:val="clear" w:color="auto" w:fill="auto"/>
                  <w:vAlign w:val="center"/>
                </w:tcPr>
                <w:p w14:paraId="487FFA6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color w:val="auto"/>
                      <w:sz w:val="21"/>
                      <w:szCs w:val="21"/>
                      <w:lang w:eastAsia="zh-CN"/>
                    </w:rPr>
                    <w:t>在厂房内自由扩散，以无组织形式排放</w:t>
                  </w:r>
                  <w:r>
                    <w:rPr>
                      <w:rFonts w:hint="eastAsia"/>
                      <w:color w:val="auto"/>
                      <w:sz w:val="21"/>
                      <w:szCs w:val="21"/>
                      <w:lang w:eastAsia="zh-CN"/>
                    </w:rPr>
                    <w:t>。</w:t>
                  </w:r>
                </w:p>
              </w:tc>
              <w:tc>
                <w:tcPr>
                  <w:tcW w:w="1424" w:type="pct"/>
                  <w:vMerge w:val="continue"/>
                  <w:shd w:val="clear" w:color="auto" w:fill="auto"/>
                  <w:vAlign w:val="center"/>
                </w:tcPr>
                <w:p w14:paraId="1707ED69">
                  <w:pPr>
                    <w:pStyle w:val="29"/>
                    <w:bidi w:val="0"/>
                    <w:ind w:firstLine="0" w:firstLineChars="0"/>
                    <w:rPr>
                      <w:rFonts w:hint="eastAsia"/>
                      <w:color w:val="auto"/>
                    </w:rPr>
                  </w:pPr>
                </w:p>
              </w:tc>
            </w:tr>
            <w:tr w14:paraId="40B2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restart"/>
                  <w:vAlign w:val="center"/>
                </w:tcPr>
                <w:p w14:paraId="66FFECC8">
                  <w:pPr>
                    <w:pStyle w:val="29"/>
                    <w:bidi w:val="0"/>
                    <w:rPr>
                      <w:rFonts w:hint="default"/>
                      <w:color w:val="auto"/>
                    </w:rPr>
                  </w:pPr>
                  <w:r>
                    <w:rPr>
                      <w:rFonts w:hint="default"/>
                      <w:color w:val="auto"/>
                    </w:rPr>
                    <w:t>废水</w:t>
                  </w:r>
                </w:p>
              </w:tc>
              <w:tc>
                <w:tcPr>
                  <w:tcW w:w="851" w:type="pct"/>
                  <w:gridSpan w:val="2"/>
                  <w:shd w:val="clear" w:color="auto" w:fill="auto"/>
                  <w:vAlign w:val="center"/>
                </w:tcPr>
                <w:p w14:paraId="13E8B628">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生活污水</w:t>
                  </w:r>
                </w:p>
              </w:tc>
              <w:tc>
                <w:tcPr>
                  <w:tcW w:w="720" w:type="pct"/>
                  <w:shd w:val="clear" w:color="auto" w:fill="auto"/>
                  <w:vAlign w:val="center"/>
                </w:tcPr>
                <w:p w14:paraId="38DC0CA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SS、BOD</w:t>
                  </w:r>
                  <w:r>
                    <w:rPr>
                      <w:rFonts w:hint="default"/>
                      <w:color w:val="auto"/>
                      <w:vertAlign w:val="subscript"/>
                    </w:rPr>
                    <w:t>5</w:t>
                  </w:r>
                  <w:r>
                    <w:rPr>
                      <w:rFonts w:hint="default"/>
                      <w:color w:val="auto"/>
                    </w:rPr>
                    <w:t>、COD</w:t>
                  </w:r>
                  <w:r>
                    <w:rPr>
                      <w:rFonts w:hint="default"/>
                      <w:color w:val="auto"/>
                      <w:vertAlign w:val="subscript"/>
                    </w:rPr>
                    <w:t>Cr</w:t>
                  </w:r>
                  <w:r>
                    <w:rPr>
                      <w:rFonts w:hint="default"/>
                      <w:color w:val="auto"/>
                    </w:rPr>
                    <w:t>、NH</w:t>
                  </w:r>
                  <w:r>
                    <w:rPr>
                      <w:rFonts w:hint="default"/>
                      <w:color w:val="auto"/>
                      <w:vertAlign w:val="subscript"/>
                    </w:rPr>
                    <w:t>3</w:t>
                  </w:r>
                  <w:r>
                    <w:rPr>
                      <w:rFonts w:hint="default"/>
                      <w:color w:val="auto"/>
                    </w:rPr>
                    <w:t>-N、</w:t>
                  </w:r>
                  <w:r>
                    <w:rPr>
                      <w:rFonts w:hint="default"/>
                      <w:color w:val="auto"/>
                      <w:lang w:val="en-US" w:eastAsia="zh-CN"/>
                    </w:rPr>
                    <w:t>TN、TP</w:t>
                  </w:r>
                </w:p>
              </w:tc>
              <w:tc>
                <w:tcPr>
                  <w:tcW w:w="1551" w:type="pct"/>
                  <w:shd w:val="clear" w:color="auto" w:fill="auto"/>
                  <w:vAlign w:val="center"/>
                </w:tcPr>
                <w:p w14:paraId="275AD76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1个</w:t>
                  </w:r>
                  <w:r>
                    <w:rPr>
                      <w:rFonts w:hint="default"/>
                      <w:color w:val="auto"/>
                    </w:rPr>
                    <w:t>化粪池</w:t>
                  </w:r>
                  <w:r>
                    <w:rPr>
                      <w:rFonts w:hint="eastAsia"/>
                      <w:color w:val="auto"/>
                      <w:lang w:eastAsia="zh-CN"/>
                    </w:rPr>
                    <w:t>，</w:t>
                  </w:r>
                  <w:r>
                    <w:rPr>
                      <w:rFonts w:hint="eastAsia"/>
                      <w:color w:val="auto"/>
                      <w:lang w:val="en-US" w:eastAsia="zh-CN"/>
                    </w:rPr>
                    <w:t>1个容积30m</w:t>
                  </w:r>
                  <w:r>
                    <w:rPr>
                      <w:rFonts w:hint="eastAsia"/>
                      <w:color w:val="auto"/>
                      <w:vertAlign w:val="superscript"/>
                      <w:lang w:val="en-US" w:eastAsia="zh-CN"/>
                    </w:rPr>
                    <w:t>3</w:t>
                  </w:r>
                </w:p>
              </w:tc>
              <w:tc>
                <w:tcPr>
                  <w:tcW w:w="1424" w:type="pct"/>
                  <w:shd w:val="clear" w:color="auto" w:fill="auto"/>
                  <w:vAlign w:val="center"/>
                </w:tcPr>
                <w:p w14:paraId="46FCB1BB">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eastAsia="宋体"/>
                      <w:color w:val="auto"/>
                      <w:lang w:eastAsia="zh-CN"/>
                    </w:rPr>
                    <w:t>《污水综合排放标准》（GB8978-1996）表4三级标准及《污水排入城镇下水道水质标准》（GB/T31962-2015）表1</w:t>
                  </w:r>
                  <w:r>
                    <w:rPr>
                      <w:rFonts w:hint="eastAsia"/>
                      <w:color w:val="auto"/>
                      <w:lang w:val="en-US" w:eastAsia="zh-CN"/>
                    </w:rPr>
                    <w:t>A</w:t>
                  </w:r>
                  <w:r>
                    <w:rPr>
                      <w:rFonts w:hint="eastAsia" w:eastAsia="宋体"/>
                      <w:color w:val="auto"/>
                      <w:lang w:eastAsia="zh-CN"/>
                    </w:rPr>
                    <w:t>等级标准从严值</w:t>
                  </w:r>
                </w:p>
              </w:tc>
            </w:tr>
            <w:tr w14:paraId="5C5F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 w:type="pct"/>
                  <w:vMerge w:val="continue"/>
                  <w:vAlign w:val="center"/>
                </w:tcPr>
                <w:p w14:paraId="3A5C8A82">
                  <w:pPr>
                    <w:pStyle w:val="29"/>
                    <w:bidi w:val="0"/>
                    <w:rPr>
                      <w:rFonts w:hint="default"/>
                      <w:color w:val="auto"/>
                    </w:rPr>
                  </w:pPr>
                </w:p>
              </w:tc>
              <w:tc>
                <w:tcPr>
                  <w:tcW w:w="851" w:type="pct"/>
                  <w:gridSpan w:val="2"/>
                  <w:shd w:val="clear" w:color="auto" w:fill="auto"/>
                  <w:vAlign w:val="center"/>
                </w:tcPr>
                <w:p w14:paraId="6C141C8D">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生产废水</w:t>
                  </w:r>
                </w:p>
              </w:tc>
              <w:tc>
                <w:tcPr>
                  <w:tcW w:w="720" w:type="pct"/>
                  <w:shd w:val="clear" w:color="auto" w:fill="auto"/>
                  <w:vAlign w:val="center"/>
                </w:tcPr>
                <w:p w14:paraId="763C134E">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COD</w:t>
                  </w:r>
                  <w:r>
                    <w:rPr>
                      <w:rFonts w:hint="eastAsia"/>
                      <w:color w:val="auto"/>
                      <w:vertAlign w:val="subscript"/>
                      <w:lang w:val="en-US" w:eastAsia="zh-CN"/>
                    </w:rPr>
                    <w:t>Cr</w:t>
                  </w:r>
                  <w:r>
                    <w:rPr>
                      <w:rFonts w:hint="eastAsia"/>
                      <w:color w:val="auto"/>
                      <w:lang w:val="en-US" w:eastAsia="zh-CN"/>
                    </w:rPr>
                    <w:t>、BOD</w:t>
                  </w:r>
                  <w:r>
                    <w:rPr>
                      <w:rFonts w:hint="eastAsia"/>
                      <w:color w:val="auto"/>
                      <w:vertAlign w:val="subscript"/>
                      <w:lang w:val="en-US" w:eastAsia="zh-CN"/>
                    </w:rPr>
                    <w:t>5</w:t>
                  </w: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-N、TN、TP、SS</w:t>
                  </w:r>
                </w:p>
              </w:tc>
              <w:tc>
                <w:tcPr>
                  <w:tcW w:w="1551" w:type="pct"/>
                  <w:shd w:val="clear" w:color="auto" w:fill="auto"/>
                  <w:vAlign w:val="center"/>
                </w:tcPr>
                <w:p w14:paraId="2038DB55">
                  <w:pPr>
                    <w:pStyle w:val="29"/>
                    <w:bidi w:val="0"/>
                    <w:ind w:firstLine="0" w:firstLineChars="0"/>
                    <w:rPr>
                      <w:rFonts w:hint="default"/>
                      <w:color w:val="auto"/>
                      <w:lang w:val="en-US" w:eastAsia="zh-CN"/>
                    </w:rPr>
                  </w:pPr>
                  <w:r>
                    <w:rPr>
                      <w:rFonts w:hint="eastAsia" w:ascii="Times New Roman" w:hAnsi="Times New Roman" w:eastAsia="宋体" w:cs="Times New Roman"/>
                      <w:b w:val="0"/>
                      <w:color w:val="auto"/>
                      <w:kern w:val="2"/>
                      <w:sz w:val="21"/>
                      <w:szCs w:val="21"/>
                      <w:lang w:val="en-US" w:eastAsia="zh-CN" w:bidi="ar-SA"/>
                    </w:rPr>
                    <w:t>沉淀池</w:t>
                  </w:r>
                  <w:r>
                    <w:rPr>
                      <w:rFonts w:hint="eastAsia" w:cs="Times New Roman"/>
                      <w:b w:val="0"/>
                      <w:color w:val="auto"/>
                      <w:kern w:val="2"/>
                      <w:sz w:val="21"/>
                      <w:szCs w:val="21"/>
                      <w:lang w:val="en-US" w:eastAsia="zh-CN" w:bidi="ar-SA"/>
                    </w:rPr>
                    <w:t>3</w:t>
                  </w:r>
                  <w:r>
                    <w:rPr>
                      <w:rFonts w:hint="eastAsia" w:ascii="Times New Roman" w:hAnsi="Times New Roman" w:eastAsia="宋体" w:cs="Times New Roman"/>
                      <w:b w:val="0"/>
                      <w:color w:val="auto"/>
                      <w:kern w:val="2"/>
                      <w:sz w:val="21"/>
                      <w:szCs w:val="21"/>
                      <w:lang w:val="en-US" w:eastAsia="zh-CN" w:bidi="ar-SA"/>
                    </w:rPr>
                    <w:t>个，</w:t>
                  </w:r>
                  <w:r>
                    <w:rPr>
                      <w:rFonts w:hint="eastAsia" w:cs="Times New Roman"/>
                      <w:b w:val="0"/>
                      <w:color w:val="auto"/>
                      <w:kern w:val="2"/>
                      <w:sz w:val="21"/>
                      <w:szCs w:val="21"/>
                      <w:lang w:val="en-US" w:eastAsia="zh-CN" w:bidi="ar-SA"/>
                    </w:rPr>
                    <w:t>9.51</w:t>
                  </w:r>
                  <w:r>
                    <w:rPr>
                      <w:rFonts w:hint="eastAsia" w:ascii="Times New Roman" w:hAnsi="Times New Roman" w:eastAsia="宋体" w:cs="Times New Roman"/>
                      <w:b w:val="0"/>
                      <w:color w:val="auto"/>
                      <w:kern w:val="2"/>
                      <w:sz w:val="21"/>
                      <w:szCs w:val="21"/>
                      <w:lang w:val="en-US" w:eastAsia="zh-CN" w:bidi="ar-SA"/>
                    </w:rPr>
                    <w:t>m</w:t>
                  </w:r>
                  <w:r>
                    <w:rPr>
                      <w:rFonts w:hint="eastAsia" w:ascii="Times New Roman" w:hAnsi="Times New Roman" w:eastAsia="宋体" w:cs="Times New Roman"/>
                      <w:b w:val="0"/>
                      <w:color w:val="auto"/>
                      <w:kern w:val="2"/>
                      <w:sz w:val="21"/>
                      <w:szCs w:val="21"/>
                      <w:vertAlign w:val="superscript"/>
                      <w:lang w:val="en-US" w:eastAsia="zh-CN" w:bidi="ar-SA"/>
                    </w:rPr>
                    <w:t>3</w:t>
                  </w:r>
                  <w:r>
                    <w:rPr>
                      <w:rFonts w:hint="eastAsia" w:cs="Times New Roman"/>
                      <w:b w:val="0"/>
                      <w:color w:val="auto"/>
                      <w:kern w:val="2"/>
                      <w:sz w:val="21"/>
                      <w:szCs w:val="21"/>
                      <w:vertAlign w:val="baseline"/>
                      <w:lang w:val="en-US" w:eastAsia="zh-CN" w:bidi="ar-SA"/>
                    </w:rPr>
                    <w:t>，一套一体化污水处理设备（15m</w:t>
                  </w:r>
                  <w:r>
                    <w:rPr>
                      <w:rFonts w:hint="eastAsia" w:cs="Times New Roman"/>
                      <w:b w:val="0"/>
                      <w:color w:val="auto"/>
                      <w:kern w:val="2"/>
                      <w:sz w:val="21"/>
                      <w:szCs w:val="21"/>
                      <w:vertAlign w:val="superscript"/>
                      <w:lang w:val="en-US" w:eastAsia="zh-CN" w:bidi="ar-SA"/>
                    </w:rPr>
                    <w:t>3</w:t>
                  </w:r>
                  <w:r>
                    <w:rPr>
                      <w:rFonts w:hint="eastAsia" w:cs="Times New Roman"/>
                      <w:b w:val="0"/>
                      <w:color w:val="auto"/>
                      <w:kern w:val="2"/>
                      <w:sz w:val="21"/>
                      <w:szCs w:val="21"/>
                      <w:vertAlign w:val="baseline"/>
                      <w:lang w:val="en-US" w:eastAsia="zh-CN" w:bidi="ar-SA"/>
                    </w:rPr>
                    <w:t>/d），事故应急池1个，15m</w:t>
                  </w:r>
                  <w:r>
                    <w:rPr>
                      <w:rFonts w:hint="eastAsia" w:cs="Times New Roman"/>
                      <w:b w:val="0"/>
                      <w:color w:val="auto"/>
                      <w:kern w:val="2"/>
                      <w:sz w:val="21"/>
                      <w:szCs w:val="21"/>
                      <w:vertAlign w:val="superscript"/>
                      <w:lang w:val="en-US" w:eastAsia="zh-CN" w:bidi="ar-SA"/>
                    </w:rPr>
                    <w:t>3</w:t>
                  </w:r>
                </w:p>
              </w:tc>
              <w:tc>
                <w:tcPr>
                  <w:tcW w:w="1424" w:type="pct"/>
                  <w:shd w:val="clear" w:color="auto" w:fill="auto"/>
                  <w:vAlign w:val="center"/>
                </w:tcPr>
                <w:p w14:paraId="1754613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《酒类制造业水污染物排放标准》（GB 19821—2025）表1规定的间接排放限值标准《酒类制造业水污染物排放标准》（GB 19821—2025）表1规定的间接排放限值标准以及《污水综合排放标准》（GB8978-1996）表4三级标准及《污水排入城镇下水道水质标准》（GB/T31962-2015）表1 A等级标准三级标准从严值</w:t>
                  </w:r>
                </w:p>
              </w:tc>
            </w:tr>
            <w:tr w14:paraId="0CD6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gridSpan w:val="3"/>
                  <w:shd w:val="clear" w:color="auto" w:fill="auto"/>
                  <w:vAlign w:val="center"/>
                </w:tcPr>
                <w:p w14:paraId="1161EF2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雨水</w:t>
                  </w:r>
                </w:p>
              </w:tc>
              <w:tc>
                <w:tcPr>
                  <w:tcW w:w="720" w:type="pct"/>
                  <w:shd w:val="clear" w:color="auto" w:fill="auto"/>
                  <w:vAlign w:val="center"/>
                </w:tcPr>
                <w:p w14:paraId="3CD8FB0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SS</w:t>
                  </w:r>
                </w:p>
              </w:tc>
              <w:tc>
                <w:tcPr>
                  <w:tcW w:w="1551" w:type="pct"/>
                  <w:shd w:val="clear" w:color="auto" w:fill="auto"/>
                  <w:vAlign w:val="center"/>
                </w:tcPr>
                <w:p w14:paraId="43B1023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项目区雨水经厂房周边园区雨水沟流入市政雨水管网</w:t>
                  </w:r>
                </w:p>
              </w:tc>
              <w:tc>
                <w:tcPr>
                  <w:tcW w:w="1424" w:type="pct"/>
                  <w:shd w:val="clear" w:color="auto" w:fill="auto"/>
                  <w:vAlign w:val="center"/>
                </w:tcPr>
                <w:p w14:paraId="276BF6F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r>
            <w:tr w14:paraId="2D06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shd w:val="clear" w:color="auto" w:fill="auto"/>
                  <w:vAlign w:val="center"/>
                </w:tcPr>
                <w:p w14:paraId="329DB3F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噪声</w:t>
                  </w:r>
                </w:p>
              </w:tc>
              <w:tc>
                <w:tcPr>
                  <w:tcW w:w="744" w:type="pct"/>
                  <w:shd w:val="clear" w:color="auto" w:fill="auto"/>
                  <w:vAlign w:val="center"/>
                </w:tcPr>
                <w:p w14:paraId="323D0BC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生产设备</w:t>
                  </w:r>
                </w:p>
              </w:tc>
              <w:tc>
                <w:tcPr>
                  <w:tcW w:w="720" w:type="pct"/>
                  <w:shd w:val="clear" w:color="auto" w:fill="auto"/>
                  <w:vAlign w:val="center"/>
                </w:tcPr>
                <w:p w14:paraId="2962BCCF">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等效连续A声级</w:t>
                  </w:r>
                </w:p>
              </w:tc>
              <w:tc>
                <w:tcPr>
                  <w:tcW w:w="1551" w:type="pct"/>
                  <w:shd w:val="clear" w:color="auto" w:fill="auto"/>
                  <w:vAlign w:val="center"/>
                </w:tcPr>
                <w:p w14:paraId="07C5ECE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夜间22时至次日6时禁止生产；对高噪声、高振动设备底部设置减震基础进行降噪</w:t>
                  </w:r>
                </w:p>
              </w:tc>
              <w:tc>
                <w:tcPr>
                  <w:tcW w:w="1424" w:type="pct"/>
                  <w:shd w:val="clear" w:color="auto" w:fill="auto"/>
                  <w:vAlign w:val="center"/>
                </w:tcPr>
                <w:p w14:paraId="0CEC4162">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《工业企业厂界环境噪声排放标准》（GB12348-2008）</w:t>
                  </w:r>
                  <w:r>
                    <w:rPr>
                      <w:rFonts w:hint="eastAsia"/>
                      <w:color w:val="auto"/>
                      <w:lang w:val="en-US" w:eastAsia="zh-CN"/>
                    </w:rPr>
                    <w:t>3</w:t>
                  </w:r>
                  <w:r>
                    <w:rPr>
                      <w:rFonts w:hint="default"/>
                      <w:color w:val="auto"/>
                    </w:rPr>
                    <w:t>类标准</w:t>
                  </w:r>
                </w:p>
              </w:tc>
            </w:tr>
            <w:tr w14:paraId="4CB4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restart"/>
                  <w:shd w:val="clear" w:color="auto" w:fill="auto"/>
                  <w:vAlign w:val="center"/>
                </w:tcPr>
                <w:p w14:paraId="25163DCA">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固废</w:t>
                  </w:r>
                </w:p>
              </w:tc>
              <w:tc>
                <w:tcPr>
                  <w:tcW w:w="744" w:type="pct"/>
                  <w:vMerge w:val="restart"/>
                  <w:shd w:val="clear" w:color="auto" w:fill="auto"/>
                  <w:vAlign w:val="center"/>
                </w:tcPr>
                <w:p w14:paraId="0199F05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一般固废</w:t>
                  </w:r>
                </w:p>
              </w:tc>
              <w:tc>
                <w:tcPr>
                  <w:tcW w:w="720" w:type="pct"/>
                  <w:shd w:val="clear" w:color="auto" w:fill="auto"/>
                  <w:vAlign w:val="center"/>
                </w:tcPr>
                <w:p w14:paraId="160B0990">
                  <w:pPr>
                    <w:pStyle w:val="29"/>
                    <w:bidi w:val="0"/>
                    <w:rPr>
                      <w:rFonts w:hint="default"/>
                      <w:color w:val="auto"/>
                      <w:lang w:val="en-US" w:eastAsia="zh-CN"/>
                    </w:rPr>
                  </w:pPr>
                  <w:r>
                    <w:rPr>
                      <w:color w:val="auto"/>
                    </w:rPr>
                    <w:t>生活垃圾</w:t>
                  </w:r>
                </w:p>
              </w:tc>
              <w:tc>
                <w:tcPr>
                  <w:tcW w:w="1551" w:type="pct"/>
                  <w:shd w:val="clear" w:color="auto" w:fill="auto"/>
                  <w:vAlign w:val="center"/>
                </w:tcPr>
                <w:p w14:paraId="543E5F8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由当地环卫部门统一处置</w:t>
                  </w:r>
                </w:p>
              </w:tc>
              <w:tc>
                <w:tcPr>
                  <w:tcW w:w="1424" w:type="pct"/>
                  <w:vMerge w:val="restart"/>
                  <w:shd w:val="clear" w:color="auto" w:fill="auto"/>
                  <w:vAlign w:val="center"/>
                </w:tcPr>
                <w:p w14:paraId="19DB0ABE">
                  <w:pPr>
                    <w:pStyle w:val="29"/>
                    <w:bidi w:val="0"/>
                    <w:ind w:firstLine="0" w:firstLineChars="0"/>
                    <w:rPr>
                      <w:rFonts w:hint="default"/>
                      <w:color w:val="auto"/>
                    </w:rPr>
                  </w:pPr>
                  <w:r>
                    <w:rPr>
                      <w:rFonts w:hint="default"/>
                      <w:color w:val="auto"/>
                    </w:rPr>
                    <w:t>处置率100%，不外排</w:t>
                  </w:r>
                </w:p>
              </w:tc>
            </w:tr>
            <w:tr w14:paraId="5B1DF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5AAA79C2">
                  <w:pPr>
                    <w:pStyle w:val="29"/>
                    <w:bidi w:val="0"/>
                    <w:ind w:firstLine="0" w:firstLineChars="0"/>
                    <w:rPr>
                      <w:rFonts w:hint="default"/>
                      <w:color w:val="auto"/>
                    </w:rPr>
                  </w:pPr>
                </w:p>
              </w:tc>
              <w:tc>
                <w:tcPr>
                  <w:tcW w:w="744" w:type="pct"/>
                  <w:vMerge w:val="continue"/>
                  <w:shd w:val="clear" w:color="auto" w:fill="auto"/>
                  <w:vAlign w:val="center"/>
                </w:tcPr>
                <w:p w14:paraId="37AA1445">
                  <w:pPr>
                    <w:pStyle w:val="29"/>
                    <w:bidi w:val="0"/>
                    <w:ind w:firstLine="0" w:firstLineChars="0"/>
                    <w:rPr>
                      <w:rFonts w:hint="eastAsia"/>
                      <w:color w:val="auto"/>
                      <w:lang w:val="en-US" w:eastAsia="zh-CN"/>
                    </w:rPr>
                  </w:pPr>
                </w:p>
              </w:tc>
              <w:tc>
                <w:tcPr>
                  <w:tcW w:w="720" w:type="pct"/>
                  <w:shd w:val="clear" w:color="auto" w:fill="auto"/>
                  <w:vAlign w:val="center"/>
                </w:tcPr>
                <w:p w14:paraId="614C6794">
                  <w:pPr>
                    <w:pStyle w:val="29"/>
                    <w:bidi w:val="0"/>
                    <w:rPr>
                      <w:rFonts w:hint="default"/>
                      <w:color w:val="auto"/>
                      <w:lang w:val="en-US" w:eastAsia="zh-CN"/>
                    </w:rPr>
                  </w:pPr>
                  <w:r>
                    <w:rPr>
                      <w:rFonts w:hint="default"/>
                      <w:color w:val="auto"/>
                      <w:lang w:val="en-US" w:eastAsia="zh-CN"/>
                    </w:rPr>
                    <w:t>麦糟</w:t>
                  </w:r>
                </w:p>
              </w:tc>
              <w:tc>
                <w:tcPr>
                  <w:tcW w:w="1551" w:type="pct"/>
                  <w:vMerge w:val="restart"/>
                  <w:shd w:val="clear" w:color="auto" w:fill="auto"/>
                  <w:vAlign w:val="center"/>
                </w:tcPr>
                <w:p w14:paraId="6C3F8B4C">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r>
                    <w:rPr>
                      <w:rFonts w:hint="eastAsia" w:ascii="Times New Roman" w:hAnsi="Times New Roman" w:eastAsia="宋体" w:cs="黑体"/>
                      <w:b w:val="0"/>
                      <w:color w:val="auto"/>
                      <w:kern w:val="2"/>
                      <w:sz w:val="21"/>
                      <w:szCs w:val="24"/>
                      <w:lang w:val="en-US" w:eastAsia="zh-CN" w:bidi="ar-SA"/>
                    </w:rPr>
                    <w:t>进入密闭设计的麦槽罐贮存后定向外售至已取得饲料生产合法资质的饲料加工企业，或具备规模化养殖资质、配套合规饲料加工车间的养殖场，作为饲料生产原料实现全量资源化利用，不交由无资质散户零散收购处置</w:t>
                  </w:r>
                  <w:r>
                    <w:rPr>
                      <w:rFonts w:hint="eastAsia" w:cs="黑体"/>
                      <w:b w:val="0"/>
                      <w:color w:val="auto"/>
                      <w:kern w:val="2"/>
                      <w:sz w:val="21"/>
                      <w:szCs w:val="24"/>
                      <w:lang w:val="en-US" w:eastAsia="zh-CN" w:bidi="ar-SA"/>
                    </w:rPr>
                    <w:t>。</w:t>
                  </w:r>
                </w:p>
              </w:tc>
              <w:tc>
                <w:tcPr>
                  <w:tcW w:w="1424" w:type="pct"/>
                  <w:vMerge w:val="continue"/>
                  <w:shd w:val="clear" w:color="auto" w:fill="auto"/>
                  <w:vAlign w:val="center"/>
                </w:tcPr>
                <w:p w14:paraId="44AE5934">
                  <w:pPr>
                    <w:pStyle w:val="29"/>
                    <w:bidi w:val="0"/>
                    <w:ind w:firstLine="0" w:firstLineChars="0"/>
                    <w:rPr>
                      <w:rFonts w:hint="default"/>
                      <w:color w:val="auto"/>
                    </w:rPr>
                  </w:pPr>
                </w:p>
              </w:tc>
            </w:tr>
            <w:tr w14:paraId="5E61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3E7ACBDD">
                  <w:pPr>
                    <w:pStyle w:val="29"/>
                    <w:bidi w:val="0"/>
                    <w:ind w:firstLine="0" w:firstLineChars="0"/>
                    <w:rPr>
                      <w:rFonts w:hint="default"/>
                      <w:color w:val="auto"/>
                    </w:rPr>
                  </w:pPr>
                </w:p>
              </w:tc>
              <w:tc>
                <w:tcPr>
                  <w:tcW w:w="744" w:type="pct"/>
                  <w:vMerge w:val="continue"/>
                  <w:shd w:val="clear" w:color="auto" w:fill="auto"/>
                  <w:vAlign w:val="center"/>
                </w:tcPr>
                <w:p w14:paraId="535D4B36">
                  <w:pPr>
                    <w:pStyle w:val="29"/>
                    <w:bidi w:val="0"/>
                    <w:ind w:firstLine="0" w:firstLineChars="0"/>
                    <w:rPr>
                      <w:rFonts w:hint="eastAsia"/>
                      <w:color w:val="auto"/>
                      <w:lang w:val="en-US" w:eastAsia="zh-CN"/>
                    </w:rPr>
                  </w:pPr>
                </w:p>
              </w:tc>
              <w:tc>
                <w:tcPr>
                  <w:tcW w:w="720" w:type="pct"/>
                  <w:shd w:val="clear" w:color="auto" w:fill="auto"/>
                  <w:vAlign w:val="center"/>
                </w:tcPr>
                <w:p w14:paraId="1A7685AF">
                  <w:pPr>
                    <w:pStyle w:val="29"/>
                    <w:bidi w:val="0"/>
                    <w:rPr>
                      <w:rFonts w:hint="default"/>
                      <w:color w:val="auto"/>
                      <w:lang w:val="en-US" w:eastAsia="zh-CN"/>
                    </w:rPr>
                  </w:pPr>
                  <w:r>
                    <w:rPr>
                      <w:rFonts w:hint="default"/>
                      <w:color w:val="auto"/>
                      <w:lang w:val="en-US" w:eastAsia="zh-CN"/>
                    </w:rPr>
                    <w:t>酒花槽</w:t>
                  </w:r>
                </w:p>
              </w:tc>
              <w:tc>
                <w:tcPr>
                  <w:tcW w:w="1551" w:type="pct"/>
                  <w:vMerge w:val="continue"/>
                  <w:shd w:val="clear" w:color="auto" w:fill="auto"/>
                  <w:vAlign w:val="center"/>
                </w:tcPr>
                <w:p w14:paraId="2B382973">
                  <w:pPr>
                    <w:adjustRightInd w:val="0"/>
                    <w:snapToGrid w:val="0"/>
                    <w:ind w:left="0" w:leftChars="0" w:firstLine="0" w:firstLineChars="0"/>
                    <w:jc w:val="center"/>
                    <w:rPr>
                      <w:rFonts w:hint="eastAsia" w:ascii="Times New Roman" w:hAnsi="Times New Roman" w:eastAsia="宋体" w:cs="黑体"/>
                      <w:b w:val="0"/>
                      <w:color w:val="auto"/>
                      <w:kern w:val="2"/>
                      <w:sz w:val="21"/>
                      <w:szCs w:val="24"/>
                      <w:lang w:val="en-US" w:eastAsia="zh-CN" w:bidi="ar-SA"/>
                    </w:rPr>
                  </w:pPr>
                </w:p>
              </w:tc>
              <w:tc>
                <w:tcPr>
                  <w:tcW w:w="1424" w:type="pct"/>
                  <w:vMerge w:val="continue"/>
                  <w:shd w:val="clear" w:color="auto" w:fill="auto"/>
                  <w:vAlign w:val="center"/>
                </w:tcPr>
                <w:p w14:paraId="67427205">
                  <w:pPr>
                    <w:pStyle w:val="29"/>
                    <w:bidi w:val="0"/>
                    <w:ind w:firstLine="0" w:firstLineChars="0"/>
                    <w:rPr>
                      <w:rFonts w:hint="default"/>
                      <w:color w:val="auto"/>
                    </w:rPr>
                  </w:pPr>
                </w:p>
              </w:tc>
            </w:tr>
            <w:tr w14:paraId="43FDB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0" w:type="pct"/>
                  <w:gridSpan w:val="2"/>
                  <w:vMerge w:val="continue"/>
                  <w:shd w:val="clear" w:color="auto" w:fill="auto"/>
                  <w:vAlign w:val="center"/>
                </w:tcPr>
                <w:p w14:paraId="50B57672">
                  <w:pPr>
                    <w:pStyle w:val="29"/>
                    <w:bidi w:val="0"/>
                    <w:ind w:firstLine="0" w:firstLineChars="0"/>
                    <w:rPr>
                      <w:rFonts w:hint="default"/>
                      <w:color w:val="auto"/>
                    </w:rPr>
                  </w:pPr>
                </w:p>
              </w:tc>
              <w:tc>
                <w:tcPr>
                  <w:tcW w:w="744" w:type="pct"/>
                  <w:vMerge w:val="continue"/>
                  <w:shd w:val="clear" w:color="auto" w:fill="auto"/>
                  <w:vAlign w:val="center"/>
                </w:tcPr>
                <w:p w14:paraId="63E487AA">
                  <w:pPr>
                    <w:pStyle w:val="29"/>
                    <w:bidi w:val="0"/>
                    <w:ind w:firstLine="0" w:firstLineChars="0"/>
                    <w:rPr>
                      <w:rFonts w:hint="eastAsia"/>
                      <w:color w:val="auto"/>
                      <w:lang w:val="en-US" w:eastAsia="zh-CN"/>
                    </w:rPr>
                  </w:pPr>
                </w:p>
              </w:tc>
              <w:tc>
                <w:tcPr>
                  <w:tcW w:w="720" w:type="pct"/>
                  <w:shd w:val="clear" w:color="auto" w:fill="auto"/>
                  <w:vAlign w:val="center"/>
                </w:tcPr>
                <w:p w14:paraId="3132ED77">
                  <w:pPr>
                    <w:pStyle w:val="29"/>
                    <w:bidi w:val="0"/>
                    <w:rPr>
                      <w:rFonts w:hint="eastAsia"/>
                      <w:color w:val="auto"/>
                      <w:lang w:val="en-US" w:eastAsia="zh-CN"/>
                    </w:rPr>
                  </w:pPr>
                  <w:r>
                    <w:rPr>
                      <w:rFonts w:hint="default"/>
                      <w:color w:val="auto"/>
                      <w:lang w:val="en-US" w:eastAsia="zh-CN"/>
                    </w:rPr>
                    <w:t>废酵母</w:t>
                  </w:r>
                </w:p>
              </w:tc>
              <w:tc>
                <w:tcPr>
                  <w:tcW w:w="1551" w:type="pct"/>
                  <w:vMerge w:val="continue"/>
                  <w:shd w:val="clear" w:color="auto" w:fill="auto"/>
                  <w:vAlign w:val="center"/>
                </w:tcPr>
                <w:p w14:paraId="140B8E24">
                  <w:pPr>
                    <w:adjustRightInd w:val="0"/>
                    <w:snapToGrid w:val="0"/>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p>
              </w:tc>
              <w:tc>
                <w:tcPr>
                  <w:tcW w:w="1424" w:type="pct"/>
                  <w:vMerge w:val="continue"/>
                  <w:shd w:val="clear" w:color="auto" w:fill="auto"/>
                  <w:vAlign w:val="center"/>
                </w:tcPr>
                <w:p w14:paraId="2D249170">
                  <w:pPr>
                    <w:pStyle w:val="29"/>
                    <w:bidi w:val="0"/>
                    <w:ind w:firstLine="0" w:firstLineChars="0"/>
                    <w:rPr>
                      <w:rFonts w:hint="default"/>
                      <w:color w:val="auto"/>
                    </w:rPr>
                  </w:pPr>
                </w:p>
              </w:tc>
            </w:tr>
            <w:tr w14:paraId="1821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177CCC64">
                  <w:pPr>
                    <w:pStyle w:val="29"/>
                    <w:bidi w:val="0"/>
                    <w:ind w:firstLine="0" w:firstLineChars="0"/>
                    <w:rPr>
                      <w:rFonts w:hint="default"/>
                      <w:color w:val="auto"/>
                    </w:rPr>
                  </w:pPr>
                </w:p>
              </w:tc>
              <w:tc>
                <w:tcPr>
                  <w:tcW w:w="744" w:type="pct"/>
                  <w:vMerge w:val="continue"/>
                  <w:shd w:val="clear" w:color="auto" w:fill="auto"/>
                  <w:vAlign w:val="center"/>
                </w:tcPr>
                <w:p w14:paraId="3E0CDA8C">
                  <w:pPr>
                    <w:pStyle w:val="29"/>
                    <w:bidi w:val="0"/>
                    <w:ind w:firstLine="0" w:firstLineChars="0"/>
                    <w:rPr>
                      <w:rFonts w:hint="eastAsia"/>
                      <w:color w:val="auto"/>
                      <w:lang w:val="en-US" w:eastAsia="zh-CN"/>
                    </w:rPr>
                  </w:pPr>
                </w:p>
              </w:tc>
              <w:tc>
                <w:tcPr>
                  <w:tcW w:w="720" w:type="pct"/>
                  <w:shd w:val="clear" w:color="auto" w:fill="auto"/>
                  <w:vAlign w:val="center"/>
                </w:tcPr>
                <w:p w14:paraId="7CF1927E">
                  <w:pPr>
                    <w:pStyle w:val="29"/>
                    <w:bidi w:val="0"/>
                    <w:rPr>
                      <w:rFonts w:hint="eastAsia"/>
                      <w:color w:val="auto"/>
                      <w:lang w:val="en-US" w:eastAsia="zh-CN"/>
                    </w:rPr>
                  </w:pPr>
                  <w:r>
                    <w:rPr>
                      <w:rFonts w:hint="eastAsia"/>
                      <w:color w:val="auto"/>
                      <w:lang w:val="en-US" w:eastAsia="zh-CN"/>
                    </w:rPr>
                    <w:t>除尘灰</w:t>
                  </w:r>
                </w:p>
              </w:tc>
              <w:tc>
                <w:tcPr>
                  <w:tcW w:w="1551" w:type="pct"/>
                  <w:shd w:val="clear" w:color="auto" w:fill="auto"/>
                  <w:vAlign w:val="center"/>
                </w:tcPr>
                <w:p w14:paraId="4F829A47">
                  <w:pPr>
                    <w:pStyle w:val="29"/>
                    <w:bidi w:val="0"/>
                    <w:rPr>
                      <w:rFonts w:hint="eastAsia"/>
                      <w:color w:val="auto"/>
                      <w:lang w:val="en-US" w:eastAsia="zh-CN"/>
                    </w:rPr>
                  </w:pPr>
                  <w:r>
                    <w:rPr>
                      <w:rFonts w:hint="eastAsia"/>
                      <w:color w:val="auto"/>
                      <w:lang w:val="en-US" w:eastAsia="zh-CN"/>
                    </w:rPr>
                    <w:t>统一收集后外售。</w:t>
                  </w:r>
                </w:p>
              </w:tc>
              <w:tc>
                <w:tcPr>
                  <w:tcW w:w="1424" w:type="pct"/>
                  <w:vMerge w:val="continue"/>
                  <w:shd w:val="clear" w:color="auto" w:fill="auto"/>
                  <w:vAlign w:val="center"/>
                </w:tcPr>
                <w:p w14:paraId="3FC2D8AD">
                  <w:pPr>
                    <w:pStyle w:val="29"/>
                    <w:bidi w:val="0"/>
                    <w:ind w:firstLine="0" w:firstLineChars="0"/>
                    <w:rPr>
                      <w:rFonts w:hint="default"/>
                      <w:color w:val="auto"/>
                    </w:rPr>
                  </w:pPr>
                </w:p>
              </w:tc>
            </w:tr>
            <w:tr w14:paraId="5E33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rPr>
              <w:tc>
                <w:tcPr>
                  <w:tcW w:w="560" w:type="pct"/>
                  <w:gridSpan w:val="2"/>
                  <w:vMerge w:val="continue"/>
                  <w:shd w:val="clear" w:color="auto" w:fill="auto"/>
                  <w:vAlign w:val="center"/>
                </w:tcPr>
                <w:p w14:paraId="198A3F36">
                  <w:pPr>
                    <w:pStyle w:val="29"/>
                    <w:bidi w:val="0"/>
                    <w:ind w:firstLine="0" w:firstLineChars="0"/>
                    <w:rPr>
                      <w:rFonts w:hint="default"/>
                      <w:color w:val="auto"/>
                    </w:rPr>
                  </w:pPr>
                </w:p>
              </w:tc>
              <w:tc>
                <w:tcPr>
                  <w:tcW w:w="744" w:type="pct"/>
                  <w:vMerge w:val="continue"/>
                  <w:shd w:val="clear" w:color="auto" w:fill="auto"/>
                  <w:vAlign w:val="center"/>
                </w:tcPr>
                <w:p w14:paraId="44D5B6B7">
                  <w:pPr>
                    <w:pStyle w:val="29"/>
                    <w:bidi w:val="0"/>
                    <w:ind w:firstLine="0" w:firstLineChars="0"/>
                    <w:rPr>
                      <w:rFonts w:hint="eastAsia"/>
                      <w:color w:val="auto"/>
                      <w:lang w:val="en-US" w:eastAsia="zh-CN"/>
                    </w:rPr>
                  </w:pPr>
                </w:p>
              </w:tc>
              <w:tc>
                <w:tcPr>
                  <w:tcW w:w="720" w:type="pct"/>
                  <w:shd w:val="clear" w:color="auto" w:fill="auto"/>
                  <w:vAlign w:val="center"/>
                </w:tcPr>
                <w:p w14:paraId="46F5DBA7">
                  <w:pPr>
                    <w:pStyle w:val="29"/>
                    <w:bidi w:val="0"/>
                    <w:rPr>
                      <w:rFonts w:hint="eastAsia"/>
                      <w:color w:val="auto"/>
                      <w:lang w:val="en-US" w:eastAsia="zh-CN"/>
                    </w:rPr>
                  </w:pPr>
                  <w:r>
                    <w:rPr>
                      <w:rFonts w:hint="default"/>
                      <w:color w:val="auto"/>
                      <w:lang w:val="en-US" w:eastAsia="zh-CN"/>
                    </w:rPr>
                    <w:t>废弃包装物</w:t>
                  </w:r>
                </w:p>
              </w:tc>
              <w:tc>
                <w:tcPr>
                  <w:tcW w:w="1551" w:type="pct"/>
                  <w:shd w:val="clear" w:color="auto" w:fill="auto"/>
                  <w:vAlign w:val="center"/>
                </w:tcPr>
                <w:p w14:paraId="13741E57">
                  <w:pPr>
                    <w:pStyle w:val="29"/>
                    <w:bidi w:val="0"/>
                    <w:rPr>
                      <w:rFonts w:hint="eastAsia"/>
                      <w:color w:val="auto"/>
                      <w:lang w:val="en-US" w:eastAsia="zh-CN"/>
                    </w:rPr>
                  </w:pPr>
                  <w:r>
                    <w:rPr>
                      <w:rFonts w:hint="eastAsia"/>
                      <w:color w:val="auto"/>
                      <w:lang w:val="en-US" w:eastAsia="zh-CN"/>
                    </w:rPr>
                    <w:t>收集后由环卫部门统一处置。</w:t>
                  </w:r>
                </w:p>
              </w:tc>
              <w:tc>
                <w:tcPr>
                  <w:tcW w:w="1424" w:type="pct"/>
                  <w:vMerge w:val="continue"/>
                  <w:shd w:val="clear" w:color="auto" w:fill="auto"/>
                  <w:vAlign w:val="center"/>
                </w:tcPr>
                <w:p w14:paraId="209956C6">
                  <w:pPr>
                    <w:pStyle w:val="29"/>
                    <w:bidi w:val="0"/>
                    <w:ind w:firstLine="0" w:firstLineChars="0"/>
                    <w:rPr>
                      <w:rFonts w:hint="default"/>
                      <w:color w:val="auto"/>
                    </w:rPr>
                  </w:pPr>
                </w:p>
              </w:tc>
            </w:tr>
            <w:tr w14:paraId="3A39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0BAC815A">
                  <w:pPr>
                    <w:pStyle w:val="29"/>
                    <w:bidi w:val="0"/>
                    <w:ind w:firstLine="0" w:firstLineChars="0"/>
                    <w:rPr>
                      <w:rFonts w:hint="default"/>
                      <w:color w:val="auto"/>
                    </w:rPr>
                  </w:pPr>
                </w:p>
              </w:tc>
              <w:tc>
                <w:tcPr>
                  <w:tcW w:w="744" w:type="pct"/>
                  <w:vMerge w:val="continue"/>
                  <w:shd w:val="clear" w:color="auto" w:fill="auto"/>
                  <w:vAlign w:val="center"/>
                </w:tcPr>
                <w:p w14:paraId="11D138B6">
                  <w:pPr>
                    <w:pStyle w:val="29"/>
                    <w:bidi w:val="0"/>
                    <w:ind w:firstLine="0" w:firstLineChars="0"/>
                    <w:rPr>
                      <w:rFonts w:hint="eastAsia"/>
                      <w:color w:val="auto"/>
                      <w:lang w:val="en-US" w:eastAsia="zh-CN"/>
                    </w:rPr>
                  </w:pPr>
                </w:p>
              </w:tc>
              <w:tc>
                <w:tcPr>
                  <w:tcW w:w="720" w:type="pct"/>
                  <w:shd w:val="clear" w:color="auto" w:fill="auto"/>
                  <w:vAlign w:val="center"/>
                </w:tcPr>
                <w:p w14:paraId="770DC9DA">
                  <w:pPr>
                    <w:pStyle w:val="29"/>
                    <w:bidi w:val="0"/>
                    <w:rPr>
                      <w:rFonts w:hint="default"/>
                      <w:color w:val="auto"/>
                      <w:lang w:val="en-US" w:eastAsia="zh-CN"/>
                    </w:rPr>
                  </w:pPr>
                  <w:r>
                    <w:rPr>
                      <w:rFonts w:hint="default"/>
                      <w:color w:val="auto"/>
                      <w:lang w:val="en-US" w:eastAsia="zh-CN"/>
                    </w:rPr>
                    <w:t>化粪池污泥</w:t>
                  </w:r>
                </w:p>
              </w:tc>
              <w:tc>
                <w:tcPr>
                  <w:tcW w:w="1551" w:type="pct"/>
                  <w:vMerge w:val="restart"/>
                  <w:shd w:val="clear" w:color="auto" w:fill="auto"/>
                  <w:vAlign w:val="center"/>
                </w:tcPr>
                <w:p w14:paraId="0E390EA0">
                  <w:pPr>
                    <w:pStyle w:val="29"/>
                    <w:bidi w:val="0"/>
                    <w:rPr>
                      <w:rFonts w:hint="eastAsia"/>
                      <w:color w:val="auto"/>
                      <w:lang w:val="en-US" w:eastAsia="zh-CN"/>
                    </w:rPr>
                  </w:pPr>
                  <w:r>
                    <w:rPr>
                      <w:rFonts w:hint="eastAsia"/>
                      <w:color w:val="auto"/>
                      <w:lang w:val="en-US" w:eastAsia="zh-CN"/>
                    </w:rPr>
                    <w:t>委托环卫部门清掏处理</w:t>
                  </w:r>
                </w:p>
              </w:tc>
              <w:tc>
                <w:tcPr>
                  <w:tcW w:w="1424" w:type="pct"/>
                  <w:vMerge w:val="continue"/>
                  <w:shd w:val="clear" w:color="auto" w:fill="auto"/>
                  <w:vAlign w:val="center"/>
                </w:tcPr>
                <w:p w14:paraId="6CC6266C">
                  <w:pPr>
                    <w:pStyle w:val="29"/>
                    <w:bidi w:val="0"/>
                    <w:ind w:firstLine="0" w:firstLineChars="0"/>
                    <w:rPr>
                      <w:rFonts w:hint="default"/>
                      <w:color w:val="auto"/>
                    </w:rPr>
                  </w:pPr>
                </w:p>
              </w:tc>
            </w:tr>
            <w:tr w14:paraId="67E6A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1C9D7766">
                  <w:pPr>
                    <w:pStyle w:val="29"/>
                    <w:bidi w:val="0"/>
                    <w:ind w:firstLine="0" w:firstLineChars="0"/>
                    <w:rPr>
                      <w:rFonts w:hint="default"/>
                      <w:color w:val="auto"/>
                    </w:rPr>
                  </w:pPr>
                </w:p>
              </w:tc>
              <w:tc>
                <w:tcPr>
                  <w:tcW w:w="744" w:type="pct"/>
                  <w:vMerge w:val="continue"/>
                  <w:shd w:val="clear" w:color="auto" w:fill="auto"/>
                  <w:vAlign w:val="center"/>
                </w:tcPr>
                <w:p w14:paraId="4E8B536D">
                  <w:pPr>
                    <w:pStyle w:val="29"/>
                    <w:bidi w:val="0"/>
                    <w:ind w:firstLine="0" w:firstLineChars="0"/>
                    <w:rPr>
                      <w:rFonts w:hint="eastAsia"/>
                      <w:color w:val="auto"/>
                      <w:lang w:val="en-US" w:eastAsia="zh-CN"/>
                    </w:rPr>
                  </w:pPr>
                </w:p>
              </w:tc>
              <w:tc>
                <w:tcPr>
                  <w:tcW w:w="720" w:type="pct"/>
                  <w:shd w:val="clear" w:color="auto" w:fill="auto"/>
                  <w:vAlign w:val="center"/>
                </w:tcPr>
                <w:p w14:paraId="460D1B1F">
                  <w:pPr>
                    <w:pStyle w:val="29"/>
                    <w:bidi w:val="0"/>
                    <w:rPr>
                      <w:rFonts w:hint="eastAsia" w:ascii="Times New Roman" w:hAnsi="Times New Roman" w:eastAsia="宋体" w:cs="Times New Roman"/>
                      <w:b w:val="0"/>
                      <w:color w:val="auto"/>
                      <w:kern w:val="2"/>
                      <w:szCs w:val="21"/>
                      <w:lang w:val="en-US" w:eastAsia="zh-CN" w:bidi="ar-SA"/>
                    </w:rPr>
                  </w:pPr>
                  <w:r>
                    <w:rPr>
                      <w:rFonts w:hint="default"/>
                      <w:color w:val="auto"/>
                      <w:lang w:val="en-US" w:eastAsia="zh-CN"/>
                    </w:rPr>
                    <w:t>污水处理站污泥</w:t>
                  </w:r>
                </w:p>
              </w:tc>
              <w:tc>
                <w:tcPr>
                  <w:tcW w:w="1551" w:type="pct"/>
                  <w:vMerge w:val="continue"/>
                  <w:shd w:val="clear" w:color="auto" w:fill="auto"/>
                  <w:vAlign w:val="center"/>
                </w:tcPr>
                <w:p w14:paraId="4BB42C97">
                  <w:pPr>
                    <w:pStyle w:val="29"/>
                    <w:bidi w:val="0"/>
                    <w:ind w:firstLine="0" w:firstLineChars="0"/>
                    <w:rPr>
                      <w:rFonts w:hint="eastAsia"/>
                      <w:color w:val="auto"/>
                      <w:lang w:val="en-US" w:eastAsia="zh-CN"/>
                    </w:rPr>
                  </w:pPr>
                </w:p>
              </w:tc>
              <w:tc>
                <w:tcPr>
                  <w:tcW w:w="1424" w:type="pct"/>
                  <w:vMerge w:val="continue"/>
                  <w:shd w:val="clear" w:color="auto" w:fill="auto"/>
                  <w:vAlign w:val="center"/>
                </w:tcPr>
                <w:p w14:paraId="3ACEADA6">
                  <w:pPr>
                    <w:pStyle w:val="29"/>
                    <w:bidi w:val="0"/>
                    <w:ind w:firstLine="0" w:firstLineChars="0"/>
                    <w:rPr>
                      <w:rFonts w:hint="default"/>
                      <w:color w:val="auto"/>
                    </w:rPr>
                  </w:pPr>
                </w:p>
              </w:tc>
            </w:tr>
            <w:tr w14:paraId="6C00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0" w:type="pct"/>
                  <w:gridSpan w:val="2"/>
                  <w:vMerge w:val="continue"/>
                  <w:shd w:val="clear" w:color="auto" w:fill="auto"/>
                  <w:vAlign w:val="center"/>
                </w:tcPr>
                <w:p w14:paraId="2A7EE4E8">
                  <w:pPr>
                    <w:pStyle w:val="29"/>
                    <w:bidi w:val="0"/>
                    <w:ind w:firstLine="0" w:firstLineChars="0"/>
                    <w:rPr>
                      <w:rFonts w:hint="default"/>
                      <w:color w:val="auto"/>
                    </w:rPr>
                  </w:pPr>
                </w:p>
              </w:tc>
              <w:tc>
                <w:tcPr>
                  <w:tcW w:w="744" w:type="pct"/>
                  <w:vMerge w:val="continue"/>
                  <w:shd w:val="clear" w:color="auto" w:fill="auto"/>
                  <w:vAlign w:val="center"/>
                </w:tcPr>
                <w:p w14:paraId="3FB6BD93">
                  <w:pPr>
                    <w:pStyle w:val="29"/>
                    <w:bidi w:val="0"/>
                    <w:ind w:firstLine="0" w:firstLineChars="0"/>
                    <w:rPr>
                      <w:rFonts w:hint="eastAsia"/>
                      <w:color w:val="auto"/>
                      <w:lang w:val="en-US" w:eastAsia="zh-CN"/>
                    </w:rPr>
                  </w:pPr>
                </w:p>
              </w:tc>
              <w:tc>
                <w:tcPr>
                  <w:tcW w:w="720" w:type="pct"/>
                  <w:shd w:val="clear" w:color="auto" w:fill="auto"/>
                  <w:vAlign w:val="center"/>
                </w:tcPr>
                <w:p w14:paraId="5511D0B4">
                  <w:pPr>
                    <w:pStyle w:val="29"/>
                    <w:bidi w:val="0"/>
                    <w:rPr>
                      <w:rFonts w:hint="default"/>
                      <w:color w:val="auto"/>
                      <w:lang w:val="en-US" w:eastAsia="zh-CN"/>
                    </w:rPr>
                  </w:pPr>
                  <w:r>
                    <w:rPr>
                      <w:rFonts w:hint="eastAsia"/>
                      <w:color w:val="auto"/>
                      <w:lang w:val="en-US" w:eastAsia="zh-CN"/>
                    </w:rPr>
                    <w:t>废布袋</w:t>
                  </w:r>
                </w:p>
              </w:tc>
              <w:tc>
                <w:tcPr>
                  <w:tcW w:w="1551" w:type="pct"/>
                  <w:shd w:val="clear" w:color="auto" w:fill="auto"/>
                  <w:vAlign w:val="center"/>
                </w:tcPr>
                <w:p w14:paraId="331F4263">
                  <w:pPr>
                    <w:pStyle w:val="29"/>
                    <w:bidi w:val="0"/>
                    <w:ind w:firstLine="0" w:firstLineChars="0"/>
                    <w:rPr>
                      <w:rFonts w:hint="eastAsia"/>
                      <w:color w:val="auto"/>
                      <w:lang w:val="en-US" w:eastAsia="zh-CN"/>
                    </w:rPr>
                  </w:pPr>
                  <w:r>
                    <w:rPr>
                      <w:rFonts w:hint="eastAsia"/>
                      <w:color w:val="auto"/>
                      <w:lang w:val="en-US" w:eastAsia="zh-CN"/>
                    </w:rPr>
                    <w:t>收集后由环卫部门统一处置。</w:t>
                  </w:r>
                </w:p>
              </w:tc>
              <w:tc>
                <w:tcPr>
                  <w:tcW w:w="1424" w:type="pct"/>
                  <w:vMerge w:val="continue"/>
                  <w:shd w:val="clear" w:color="auto" w:fill="auto"/>
                  <w:vAlign w:val="center"/>
                </w:tcPr>
                <w:p w14:paraId="11E25167">
                  <w:pPr>
                    <w:pStyle w:val="29"/>
                    <w:bidi w:val="0"/>
                    <w:ind w:firstLine="0" w:firstLineChars="0"/>
                    <w:rPr>
                      <w:rFonts w:hint="default"/>
                      <w:color w:val="auto"/>
                    </w:rPr>
                  </w:pPr>
                </w:p>
              </w:tc>
            </w:tr>
            <w:tr w14:paraId="35F4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58EA2570">
                  <w:pPr>
                    <w:pStyle w:val="29"/>
                    <w:bidi w:val="0"/>
                    <w:ind w:firstLine="0" w:firstLineChars="0"/>
                    <w:rPr>
                      <w:rFonts w:hint="default"/>
                      <w:color w:val="auto"/>
                    </w:rPr>
                  </w:pPr>
                </w:p>
              </w:tc>
              <w:tc>
                <w:tcPr>
                  <w:tcW w:w="744" w:type="pct"/>
                  <w:vMerge w:val="continue"/>
                  <w:shd w:val="clear" w:color="auto" w:fill="auto"/>
                  <w:vAlign w:val="center"/>
                </w:tcPr>
                <w:p w14:paraId="3BFF2DBD">
                  <w:pPr>
                    <w:pStyle w:val="29"/>
                    <w:bidi w:val="0"/>
                    <w:ind w:firstLine="0" w:firstLineChars="0"/>
                    <w:rPr>
                      <w:rFonts w:hint="eastAsia"/>
                      <w:color w:val="auto"/>
                      <w:lang w:val="en-US" w:eastAsia="zh-CN"/>
                    </w:rPr>
                  </w:pPr>
                </w:p>
              </w:tc>
              <w:tc>
                <w:tcPr>
                  <w:tcW w:w="720" w:type="pct"/>
                  <w:shd w:val="clear" w:color="auto" w:fill="auto"/>
                  <w:vAlign w:val="center"/>
                </w:tcPr>
                <w:p w14:paraId="4BB5AB8A">
                  <w:pPr>
                    <w:pStyle w:val="29"/>
                    <w:bidi w:val="0"/>
                    <w:rPr>
                      <w:rFonts w:hint="eastAsia"/>
                      <w:color w:val="auto"/>
                      <w:lang w:val="en-US" w:eastAsia="zh-CN"/>
                    </w:rPr>
                  </w:pPr>
                  <w:r>
                    <w:rPr>
                      <w:rFonts w:hint="default"/>
                      <w:color w:val="auto"/>
                      <w:lang w:val="en-US" w:eastAsia="zh-CN"/>
                    </w:rPr>
                    <w:t>废滤芯</w:t>
                  </w:r>
                </w:p>
              </w:tc>
              <w:tc>
                <w:tcPr>
                  <w:tcW w:w="1551" w:type="pct"/>
                  <w:vMerge w:val="restart"/>
                  <w:shd w:val="clear" w:color="auto" w:fill="auto"/>
                  <w:vAlign w:val="center"/>
                </w:tcPr>
                <w:p w14:paraId="4F4944F0">
                  <w:pPr>
                    <w:pStyle w:val="29"/>
                    <w:bidi w:val="0"/>
                    <w:ind w:firstLine="0" w:firstLineChars="0"/>
                    <w:rPr>
                      <w:rFonts w:hint="eastAsia"/>
                      <w:color w:val="auto"/>
                      <w:lang w:val="en-US" w:eastAsia="zh-CN"/>
                    </w:rPr>
                  </w:pPr>
                  <w:r>
                    <w:rPr>
                      <w:rFonts w:hint="eastAsia"/>
                      <w:color w:val="auto"/>
                      <w:lang w:val="en-US" w:eastAsia="zh-CN"/>
                    </w:rPr>
                    <w:t>设备厂家更换回收处理</w:t>
                  </w:r>
                </w:p>
              </w:tc>
              <w:tc>
                <w:tcPr>
                  <w:tcW w:w="1424" w:type="pct"/>
                  <w:vMerge w:val="continue"/>
                  <w:shd w:val="clear" w:color="auto" w:fill="auto"/>
                  <w:vAlign w:val="center"/>
                </w:tcPr>
                <w:p w14:paraId="5A2D8AAD">
                  <w:pPr>
                    <w:pStyle w:val="29"/>
                    <w:bidi w:val="0"/>
                    <w:ind w:firstLine="0" w:firstLineChars="0"/>
                    <w:rPr>
                      <w:rFonts w:hint="default"/>
                      <w:color w:val="auto"/>
                    </w:rPr>
                  </w:pPr>
                </w:p>
              </w:tc>
            </w:tr>
            <w:tr w14:paraId="43A8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588FCD32">
                  <w:pPr>
                    <w:pStyle w:val="29"/>
                    <w:bidi w:val="0"/>
                    <w:ind w:firstLine="0" w:firstLineChars="0"/>
                    <w:rPr>
                      <w:rFonts w:hint="default"/>
                      <w:color w:val="auto"/>
                    </w:rPr>
                  </w:pPr>
                </w:p>
              </w:tc>
              <w:tc>
                <w:tcPr>
                  <w:tcW w:w="744" w:type="pct"/>
                  <w:vMerge w:val="continue"/>
                  <w:shd w:val="clear" w:color="auto" w:fill="auto"/>
                  <w:vAlign w:val="center"/>
                </w:tcPr>
                <w:p w14:paraId="6143DF10">
                  <w:pPr>
                    <w:pStyle w:val="29"/>
                    <w:bidi w:val="0"/>
                    <w:ind w:firstLine="0" w:firstLineChars="0"/>
                    <w:rPr>
                      <w:rFonts w:hint="eastAsia"/>
                      <w:color w:val="auto"/>
                      <w:lang w:val="en-US" w:eastAsia="zh-CN"/>
                    </w:rPr>
                  </w:pPr>
                </w:p>
              </w:tc>
              <w:tc>
                <w:tcPr>
                  <w:tcW w:w="720" w:type="pct"/>
                  <w:shd w:val="clear" w:color="auto" w:fill="auto"/>
                  <w:vAlign w:val="center"/>
                </w:tcPr>
                <w:p w14:paraId="3C488678">
                  <w:pPr>
                    <w:pStyle w:val="29"/>
                    <w:bidi w:val="0"/>
                    <w:rPr>
                      <w:rFonts w:hint="eastAsia"/>
                      <w:color w:val="auto"/>
                      <w:lang w:val="en-US" w:eastAsia="zh-CN"/>
                    </w:rPr>
                  </w:pPr>
                  <w:r>
                    <w:rPr>
                      <w:rFonts w:hint="default"/>
                      <w:color w:val="auto"/>
                      <w:lang w:val="en-US" w:eastAsia="zh-CN"/>
                    </w:rPr>
                    <w:t>废石英砂</w:t>
                  </w:r>
                </w:p>
              </w:tc>
              <w:tc>
                <w:tcPr>
                  <w:tcW w:w="1551" w:type="pct"/>
                  <w:vMerge w:val="continue"/>
                  <w:shd w:val="clear" w:color="auto" w:fill="auto"/>
                  <w:vAlign w:val="center"/>
                </w:tcPr>
                <w:p w14:paraId="7AA2ABDA">
                  <w:pPr>
                    <w:pStyle w:val="29"/>
                    <w:bidi w:val="0"/>
                    <w:ind w:firstLine="0" w:firstLineChars="0"/>
                    <w:rPr>
                      <w:rFonts w:hint="eastAsia"/>
                      <w:color w:val="auto"/>
                      <w:lang w:val="en-US" w:eastAsia="zh-CN"/>
                    </w:rPr>
                  </w:pPr>
                </w:p>
              </w:tc>
              <w:tc>
                <w:tcPr>
                  <w:tcW w:w="1424" w:type="pct"/>
                  <w:vMerge w:val="continue"/>
                  <w:shd w:val="clear" w:color="auto" w:fill="auto"/>
                  <w:vAlign w:val="center"/>
                </w:tcPr>
                <w:p w14:paraId="0BAA3CE0">
                  <w:pPr>
                    <w:pStyle w:val="29"/>
                    <w:bidi w:val="0"/>
                    <w:ind w:firstLine="0" w:firstLineChars="0"/>
                    <w:rPr>
                      <w:rFonts w:hint="default"/>
                      <w:color w:val="auto"/>
                    </w:rPr>
                  </w:pPr>
                </w:p>
              </w:tc>
            </w:tr>
            <w:tr w14:paraId="0147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47D3C5BC">
                  <w:pPr>
                    <w:pStyle w:val="29"/>
                    <w:bidi w:val="0"/>
                    <w:ind w:firstLine="0" w:firstLineChars="0"/>
                    <w:rPr>
                      <w:rFonts w:hint="default"/>
                      <w:color w:val="auto"/>
                    </w:rPr>
                  </w:pPr>
                </w:p>
              </w:tc>
              <w:tc>
                <w:tcPr>
                  <w:tcW w:w="744" w:type="pct"/>
                  <w:vMerge w:val="continue"/>
                  <w:shd w:val="clear" w:color="auto" w:fill="auto"/>
                  <w:vAlign w:val="center"/>
                </w:tcPr>
                <w:p w14:paraId="31527C35">
                  <w:pPr>
                    <w:pStyle w:val="29"/>
                    <w:bidi w:val="0"/>
                    <w:ind w:firstLine="0" w:firstLineChars="0"/>
                    <w:rPr>
                      <w:rFonts w:hint="eastAsia"/>
                      <w:color w:val="auto"/>
                      <w:lang w:val="en-US" w:eastAsia="zh-CN"/>
                    </w:rPr>
                  </w:pPr>
                </w:p>
              </w:tc>
              <w:tc>
                <w:tcPr>
                  <w:tcW w:w="720" w:type="pct"/>
                  <w:shd w:val="clear" w:color="auto" w:fill="auto"/>
                  <w:vAlign w:val="center"/>
                </w:tcPr>
                <w:p w14:paraId="2030246F">
                  <w:pPr>
                    <w:pStyle w:val="29"/>
                    <w:bidi w:val="0"/>
                    <w:rPr>
                      <w:rFonts w:hint="eastAsia"/>
                      <w:color w:val="auto"/>
                      <w:lang w:val="en-US" w:eastAsia="zh-CN"/>
                    </w:rPr>
                  </w:pPr>
                  <w:r>
                    <w:rPr>
                      <w:rFonts w:hint="default"/>
                      <w:color w:val="auto"/>
                      <w:lang w:val="en-US" w:eastAsia="zh-CN"/>
                    </w:rPr>
                    <w:t>废RO膜</w:t>
                  </w:r>
                </w:p>
              </w:tc>
              <w:tc>
                <w:tcPr>
                  <w:tcW w:w="1551" w:type="pct"/>
                  <w:vMerge w:val="continue"/>
                  <w:shd w:val="clear" w:color="auto" w:fill="auto"/>
                  <w:vAlign w:val="center"/>
                </w:tcPr>
                <w:p w14:paraId="22A8FB25">
                  <w:pPr>
                    <w:pStyle w:val="29"/>
                    <w:bidi w:val="0"/>
                    <w:ind w:firstLine="0" w:firstLineChars="0"/>
                    <w:rPr>
                      <w:rFonts w:hint="eastAsia"/>
                      <w:color w:val="auto"/>
                      <w:lang w:val="en-US" w:eastAsia="zh-CN"/>
                    </w:rPr>
                  </w:pPr>
                </w:p>
              </w:tc>
              <w:tc>
                <w:tcPr>
                  <w:tcW w:w="1424" w:type="pct"/>
                  <w:vMerge w:val="continue"/>
                  <w:shd w:val="clear" w:color="auto" w:fill="auto"/>
                  <w:vAlign w:val="center"/>
                </w:tcPr>
                <w:p w14:paraId="10C4AF59">
                  <w:pPr>
                    <w:pStyle w:val="29"/>
                    <w:bidi w:val="0"/>
                    <w:ind w:firstLine="0" w:firstLineChars="0"/>
                    <w:rPr>
                      <w:rFonts w:hint="default"/>
                      <w:color w:val="auto"/>
                    </w:rPr>
                  </w:pPr>
                </w:p>
              </w:tc>
            </w:tr>
            <w:tr w14:paraId="41E5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11F0A20F">
                  <w:pPr>
                    <w:pStyle w:val="29"/>
                    <w:bidi w:val="0"/>
                    <w:ind w:firstLine="0" w:firstLineChars="0"/>
                    <w:rPr>
                      <w:rFonts w:hint="default"/>
                      <w:color w:val="auto"/>
                    </w:rPr>
                  </w:pPr>
                </w:p>
              </w:tc>
              <w:tc>
                <w:tcPr>
                  <w:tcW w:w="744" w:type="pct"/>
                  <w:shd w:val="clear" w:color="auto" w:fill="auto"/>
                  <w:vAlign w:val="center"/>
                </w:tcPr>
                <w:p w14:paraId="3BA3A3FC">
                  <w:pPr>
                    <w:pStyle w:val="29"/>
                    <w:bidi w:val="0"/>
                    <w:ind w:firstLine="0" w:firstLineChars="0"/>
                    <w:rPr>
                      <w:rFonts w:hint="eastAsia"/>
                      <w:color w:val="auto"/>
                      <w:lang w:val="en-US" w:eastAsia="zh-CN"/>
                    </w:rPr>
                  </w:pPr>
                  <w:r>
                    <w:rPr>
                      <w:rFonts w:hint="eastAsia"/>
                      <w:color w:val="auto"/>
                      <w:lang w:val="en-US" w:eastAsia="zh-CN"/>
                    </w:rPr>
                    <w:t>危险固废</w:t>
                  </w:r>
                </w:p>
              </w:tc>
              <w:tc>
                <w:tcPr>
                  <w:tcW w:w="720" w:type="pct"/>
                  <w:shd w:val="clear" w:color="auto" w:fill="auto"/>
                  <w:vAlign w:val="center"/>
                </w:tcPr>
                <w:p w14:paraId="62A6F869">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废</w:t>
                  </w:r>
                  <w:r>
                    <w:rPr>
                      <w:rFonts w:hint="eastAsia"/>
                      <w:color w:val="auto"/>
                      <w:lang w:eastAsia="zh-CN"/>
                    </w:rPr>
                    <w:t>机</w:t>
                  </w:r>
                  <w:r>
                    <w:rPr>
                      <w:color w:val="auto"/>
                    </w:rPr>
                    <w:t>油</w:t>
                  </w:r>
                  <w:r>
                    <w:rPr>
                      <w:rFonts w:hint="eastAsia"/>
                      <w:color w:val="auto"/>
                      <w:lang w:eastAsia="zh-CN"/>
                    </w:rPr>
                    <w:t>、</w:t>
                  </w:r>
                  <w:r>
                    <w:rPr>
                      <w:color w:val="auto"/>
                    </w:rPr>
                    <w:t>废油桶</w:t>
                  </w:r>
                  <w:r>
                    <w:rPr>
                      <w:rFonts w:hint="eastAsia"/>
                      <w:color w:val="auto"/>
                      <w:lang w:eastAsia="zh-CN"/>
                    </w:rPr>
                    <w:t>、</w:t>
                  </w:r>
                  <w:r>
                    <w:rPr>
                      <w:rFonts w:hint="eastAsia"/>
                      <w:color w:val="auto"/>
                      <w:lang w:val="en-US" w:eastAsia="zh-CN"/>
                    </w:rPr>
                    <w:t>酸碱废液</w:t>
                  </w:r>
                </w:p>
              </w:tc>
              <w:tc>
                <w:tcPr>
                  <w:tcW w:w="1551" w:type="pct"/>
                  <w:shd w:val="clear" w:color="auto" w:fill="auto"/>
                  <w:vAlign w:val="center"/>
                </w:tcPr>
                <w:p w14:paraId="3AD9B2D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1间危废暂存间，</w:t>
                  </w:r>
                  <w:r>
                    <w:rPr>
                      <w:rFonts w:hint="default"/>
                      <w:color w:val="auto"/>
                      <w:lang w:val="en-US" w:eastAsia="zh-CN"/>
                    </w:rPr>
                    <w:t>面积约</w:t>
                  </w:r>
                  <w:r>
                    <w:rPr>
                      <w:rFonts w:hint="eastAsia"/>
                      <w:color w:val="auto"/>
                      <w:lang w:val="en-US" w:eastAsia="zh-CN"/>
                    </w:rPr>
                    <w:t>10</w:t>
                  </w:r>
                  <w:r>
                    <w:rPr>
                      <w:rFonts w:hint="default"/>
                      <w:color w:val="auto"/>
                      <w:lang w:val="en-US" w:eastAsia="zh-CN"/>
                    </w:rPr>
                    <w:t>m</w:t>
                  </w:r>
                  <w:r>
                    <w:rPr>
                      <w:rFonts w:hint="default"/>
                      <w:color w:val="auto"/>
                      <w:vertAlign w:val="superscript"/>
                      <w:lang w:val="en-US" w:eastAsia="zh-CN"/>
                    </w:rPr>
                    <w:t>2</w:t>
                  </w:r>
                  <w:r>
                    <w:rPr>
                      <w:rFonts w:hint="default"/>
                      <w:color w:val="auto"/>
                      <w:lang w:val="en-US" w:eastAsia="zh-CN"/>
                    </w:rPr>
                    <w:t>，地面重点防渗，</w:t>
                  </w:r>
                  <w:r>
                    <w:rPr>
                      <w:rFonts w:hint="eastAsia"/>
                      <w:color w:val="auto"/>
                      <w:lang w:val="en-US" w:eastAsia="zh-CN"/>
                    </w:rPr>
                    <w:t>分类标识、分区存放，定期</w:t>
                  </w:r>
                  <w:r>
                    <w:rPr>
                      <w:rFonts w:hint="default"/>
                      <w:color w:val="auto"/>
                      <w:lang w:val="en-US" w:eastAsia="zh-CN"/>
                    </w:rPr>
                    <w:t>委托</w:t>
                  </w:r>
                  <w:r>
                    <w:rPr>
                      <w:rFonts w:hint="eastAsia"/>
                      <w:color w:val="auto"/>
                      <w:lang w:eastAsia="zh-CN"/>
                    </w:rPr>
                    <w:t>有资质的公司</w:t>
                  </w:r>
                  <w:r>
                    <w:rPr>
                      <w:color w:val="auto"/>
                    </w:rPr>
                    <w:t>处置</w:t>
                  </w:r>
                  <w:r>
                    <w:rPr>
                      <w:rFonts w:hint="default"/>
                      <w:color w:val="auto"/>
                      <w:lang w:val="en-US" w:eastAsia="zh-CN"/>
                    </w:rPr>
                    <w:t>。</w:t>
                  </w:r>
                </w:p>
              </w:tc>
              <w:tc>
                <w:tcPr>
                  <w:tcW w:w="1424" w:type="pct"/>
                  <w:vMerge w:val="continue"/>
                  <w:shd w:val="clear" w:color="auto" w:fill="auto"/>
                  <w:vAlign w:val="center"/>
                </w:tcPr>
                <w:p w14:paraId="3ABB5DFF">
                  <w:pPr>
                    <w:pStyle w:val="29"/>
                    <w:bidi w:val="0"/>
                    <w:ind w:firstLine="0" w:firstLineChars="0"/>
                    <w:rPr>
                      <w:rFonts w:hint="default"/>
                      <w:color w:val="auto"/>
                    </w:rPr>
                  </w:pPr>
                </w:p>
              </w:tc>
            </w:tr>
            <w:tr w14:paraId="17F5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restart"/>
                  <w:shd w:val="clear" w:color="auto" w:fill="auto"/>
                  <w:vAlign w:val="center"/>
                </w:tcPr>
                <w:p w14:paraId="67D67185">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地下水、土壤</w:t>
                  </w:r>
                </w:p>
              </w:tc>
              <w:tc>
                <w:tcPr>
                  <w:tcW w:w="744" w:type="pct"/>
                  <w:shd w:val="clear" w:color="auto" w:fill="auto"/>
                  <w:vAlign w:val="center"/>
                </w:tcPr>
                <w:p w14:paraId="18590E6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eastAsia="zh-CN"/>
                    </w:rPr>
                    <w:t>重点防渗区</w:t>
                  </w:r>
                </w:p>
              </w:tc>
              <w:tc>
                <w:tcPr>
                  <w:tcW w:w="2271" w:type="pct"/>
                  <w:gridSpan w:val="2"/>
                  <w:shd w:val="clear" w:color="auto" w:fill="auto"/>
                  <w:vAlign w:val="center"/>
                </w:tcPr>
                <w:p w14:paraId="58168D4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危废暂存间按照《危险废物贮存污染控制标准》（GB18597-2023）要求基础地面防渗，防渗层为至少1m厚黏土层（渗透系数≤10</w:t>
                  </w:r>
                  <w:r>
                    <w:rPr>
                      <w:rFonts w:hint="eastAsia"/>
                      <w:color w:val="auto"/>
                      <w:vertAlign w:val="superscript"/>
                      <w:lang w:eastAsia="zh-CN"/>
                    </w:rPr>
                    <w:t>-7</w:t>
                  </w:r>
                  <w:r>
                    <w:rPr>
                      <w:rFonts w:hint="eastAsia"/>
                      <w:color w:val="auto"/>
                      <w:lang w:eastAsia="zh-CN"/>
                    </w:rPr>
                    <w:t>cm/s），或2mm厚高密度聚乙烯，或至少2mm厚的其它人工材料，渗透系数≤10</w:t>
                  </w:r>
                  <w:r>
                    <w:rPr>
                      <w:rFonts w:hint="eastAsia"/>
                      <w:color w:val="auto"/>
                      <w:vertAlign w:val="superscript"/>
                      <w:lang w:eastAsia="zh-CN"/>
                    </w:rPr>
                    <w:t>-10</w:t>
                  </w:r>
                  <w:r>
                    <w:rPr>
                      <w:rFonts w:hint="eastAsia"/>
                      <w:color w:val="auto"/>
                      <w:lang w:eastAsia="zh-CN"/>
                    </w:rPr>
                    <w:t>cm/s进行防渗</w:t>
                  </w:r>
                  <w:r>
                    <w:rPr>
                      <w:rFonts w:hint="default"/>
                      <w:color w:val="auto"/>
                    </w:rPr>
                    <w:t>。</w:t>
                  </w:r>
                </w:p>
              </w:tc>
              <w:tc>
                <w:tcPr>
                  <w:tcW w:w="1424" w:type="pct"/>
                  <w:vMerge w:val="restart"/>
                  <w:shd w:val="clear" w:color="auto" w:fill="auto"/>
                  <w:vAlign w:val="center"/>
                </w:tcPr>
                <w:p w14:paraId="5F12F7BF">
                  <w:pPr>
                    <w:pStyle w:val="29"/>
                    <w:bidi w:val="0"/>
                    <w:ind w:firstLine="0" w:firstLineChars="0"/>
                    <w:rPr>
                      <w:rFonts w:hint="default"/>
                      <w:color w:val="auto"/>
                    </w:rPr>
                  </w:pPr>
                  <w:r>
                    <w:rPr>
                      <w:rFonts w:hint="default"/>
                      <w:color w:val="auto"/>
                    </w:rPr>
                    <w:t>措施落实且环境风险可控</w:t>
                  </w:r>
                </w:p>
              </w:tc>
            </w:tr>
            <w:tr w14:paraId="696B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0CB6E4AC">
                  <w:pPr>
                    <w:pStyle w:val="29"/>
                    <w:bidi w:val="0"/>
                    <w:ind w:firstLine="0" w:firstLineChars="0"/>
                    <w:rPr>
                      <w:rFonts w:hint="default"/>
                      <w:color w:val="auto"/>
                    </w:rPr>
                  </w:pPr>
                </w:p>
              </w:tc>
              <w:tc>
                <w:tcPr>
                  <w:tcW w:w="744" w:type="pct"/>
                  <w:shd w:val="clear" w:color="auto" w:fill="auto"/>
                  <w:vAlign w:val="center"/>
                </w:tcPr>
                <w:p w14:paraId="0C34777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eastAsia="zh-CN"/>
                    </w:rPr>
                    <w:t>一般防渗区</w:t>
                  </w:r>
                </w:p>
              </w:tc>
              <w:tc>
                <w:tcPr>
                  <w:tcW w:w="2271" w:type="pct"/>
                  <w:gridSpan w:val="2"/>
                  <w:shd w:val="clear" w:color="auto" w:fill="auto"/>
                  <w:vAlign w:val="center"/>
                </w:tcPr>
                <w:p w14:paraId="51334A7E">
                  <w:pPr>
                    <w:pStyle w:val="29"/>
                    <w:jc w:val="left"/>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沉淀池、化粪池、一体化污水处理设备、事故池，</w:t>
                  </w:r>
                  <w:r>
                    <w:rPr>
                      <w:rFonts w:hint="eastAsia" w:ascii="Times New Roman" w:hAnsi="Times New Roman" w:eastAsia="宋体" w:cs="Times New Roman"/>
                      <w:color w:val="auto"/>
                      <w:lang w:val="en-US" w:eastAsia="zh-CN"/>
                    </w:rPr>
                    <w:t>满足</w:t>
                  </w:r>
                  <w:r>
                    <w:rPr>
                      <w:rFonts w:hint="default" w:ascii="Times New Roman" w:hAnsi="Times New Roman" w:eastAsia="宋体" w:cs="Times New Roman"/>
                      <w:color w:val="auto"/>
                      <w:lang w:val="en-US" w:eastAsia="zh-CN"/>
                    </w:rPr>
                    <w:t>等效黏土防渗层厚度Mb≥1.5m，渗透系数K≤1.0×10</w:t>
                  </w:r>
                  <w:r>
                    <w:rPr>
                      <w:rFonts w:hint="default" w:ascii="Times New Roman" w:hAnsi="Times New Roman" w:eastAsia="宋体" w:cs="Times New Roman"/>
                      <w:color w:val="auto"/>
                      <w:vertAlign w:val="superscript"/>
                      <w:lang w:val="en-US" w:eastAsia="zh-CN"/>
                    </w:rPr>
                    <w:t>-7</w:t>
                  </w:r>
                  <w:r>
                    <w:rPr>
                      <w:rFonts w:hint="default" w:ascii="Times New Roman" w:hAnsi="Times New Roman" w:eastAsia="宋体" w:cs="Times New Roman"/>
                      <w:color w:val="auto"/>
                      <w:lang w:val="en-US" w:eastAsia="zh-CN"/>
                    </w:rPr>
                    <w:t>cm/s</w:t>
                  </w:r>
                  <w:r>
                    <w:rPr>
                      <w:rFonts w:hint="eastAsia" w:ascii="Times New Roman" w:hAnsi="Times New Roman" w:eastAsia="宋体" w:cs="Times New Roman"/>
                      <w:color w:val="auto"/>
                      <w:lang w:val="en-US" w:eastAsia="zh-CN"/>
                    </w:rPr>
                    <w:t>；</w:t>
                  </w:r>
                </w:p>
              </w:tc>
              <w:tc>
                <w:tcPr>
                  <w:tcW w:w="1424" w:type="pct"/>
                  <w:vMerge w:val="continue"/>
                  <w:shd w:val="clear" w:color="auto" w:fill="auto"/>
                  <w:vAlign w:val="center"/>
                </w:tcPr>
                <w:p w14:paraId="5176FA2F">
                  <w:pPr>
                    <w:pStyle w:val="29"/>
                    <w:bidi w:val="0"/>
                    <w:ind w:firstLine="0" w:firstLineChars="0"/>
                    <w:rPr>
                      <w:rFonts w:hint="default"/>
                      <w:color w:val="auto"/>
                    </w:rPr>
                  </w:pPr>
                </w:p>
              </w:tc>
            </w:tr>
            <w:tr w14:paraId="3416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0" w:type="pct"/>
                  <w:gridSpan w:val="2"/>
                  <w:vMerge w:val="continue"/>
                  <w:shd w:val="clear" w:color="auto" w:fill="auto"/>
                  <w:vAlign w:val="center"/>
                </w:tcPr>
                <w:p w14:paraId="3E0DCDFD">
                  <w:pPr>
                    <w:pStyle w:val="29"/>
                    <w:bidi w:val="0"/>
                    <w:ind w:firstLine="0" w:firstLineChars="0"/>
                    <w:rPr>
                      <w:rFonts w:hint="default"/>
                      <w:color w:val="auto"/>
                    </w:rPr>
                  </w:pPr>
                </w:p>
              </w:tc>
              <w:tc>
                <w:tcPr>
                  <w:tcW w:w="744" w:type="pct"/>
                  <w:shd w:val="clear" w:color="auto" w:fill="auto"/>
                  <w:vAlign w:val="center"/>
                </w:tcPr>
                <w:p w14:paraId="2ECBFE6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eastAsia="zh-CN"/>
                    </w:rPr>
                    <w:t>简单防渗区</w:t>
                  </w:r>
                </w:p>
              </w:tc>
              <w:tc>
                <w:tcPr>
                  <w:tcW w:w="2271" w:type="pct"/>
                  <w:gridSpan w:val="2"/>
                  <w:shd w:val="clear" w:color="auto" w:fill="auto"/>
                  <w:vAlign w:val="center"/>
                </w:tcPr>
                <w:p w14:paraId="6C60D4EF">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办公区、生产车间、厂内道路进行简单硬化</w:t>
                  </w:r>
                </w:p>
              </w:tc>
              <w:tc>
                <w:tcPr>
                  <w:tcW w:w="1424" w:type="pct"/>
                  <w:vMerge w:val="continue"/>
                  <w:shd w:val="clear" w:color="auto" w:fill="auto"/>
                  <w:vAlign w:val="center"/>
                </w:tcPr>
                <w:p w14:paraId="10795446">
                  <w:pPr>
                    <w:pStyle w:val="29"/>
                    <w:bidi w:val="0"/>
                    <w:ind w:firstLine="0" w:firstLineChars="0"/>
                    <w:rPr>
                      <w:rFonts w:hint="default"/>
                      <w:color w:val="auto"/>
                    </w:rPr>
                  </w:pPr>
                </w:p>
              </w:tc>
            </w:tr>
            <w:tr w14:paraId="3280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4" w:type="pct"/>
                  <w:gridSpan w:val="3"/>
                  <w:shd w:val="clear" w:color="auto" w:fill="auto"/>
                  <w:vAlign w:val="center"/>
                </w:tcPr>
                <w:p w14:paraId="1AAD3A97">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lang w:val="en-US" w:eastAsia="zh-CN"/>
                    </w:rPr>
                    <w:t>环境管理与监测计划</w:t>
                  </w:r>
                </w:p>
              </w:tc>
              <w:tc>
                <w:tcPr>
                  <w:tcW w:w="3695" w:type="pct"/>
                  <w:gridSpan w:val="3"/>
                  <w:shd w:val="clear" w:color="auto" w:fill="auto"/>
                  <w:vAlign w:val="center"/>
                </w:tcPr>
                <w:p w14:paraId="6BCB48F9">
                  <w:pPr>
                    <w:pStyle w:val="29"/>
                    <w:bidi w:val="0"/>
                    <w:ind w:firstLine="0" w:firstLineChars="0"/>
                    <w:rPr>
                      <w:rFonts w:hint="default"/>
                      <w:color w:val="auto"/>
                    </w:rPr>
                  </w:pPr>
                  <w:r>
                    <w:rPr>
                      <w:rFonts w:hint="default"/>
                      <w:color w:val="auto"/>
                    </w:rPr>
                    <w:t>制</w:t>
                  </w:r>
                  <w:r>
                    <w:rPr>
                      <w:rFonts w:hint="eastAsia"/>
                      <w:color w:val="auto"/>
                      <w:lang w:val="en-US" w:eastAsia="zh-CN"/>
                    </w:rPr>
                    <w:t>定</w:t>
                  </w:r>
                  <w:r>
                    <w:rPr>
                      <w:rFonts w:hint="default"/>
                      <w:color w:val="auto"/>
                    </w:rPr>
                    <w:t>有效、可操作的环境管理方案，按照</w:t>
                  </w:r>
                  <w:r>
                    <w:rPr>
                      <w:rFonts w:hint="eastAsia"/>
                      <w:color w:val="auto"/>
                      <w:lang w:val="en-US" w:eastAsia="zh-CN"/>
                    </w:rPr>
                    <w:t>自行</w:t>
                  </w:r>
                  <w:r>
                    <w:rPr>
                      <w:rFonts w:hint="default"/>
                      <w:color w:val="auto"/>
                    </w:rPr>
                    <w:t>监测计划进行监测</w:t>
                  </w:r>
                </w:p>
              </w:tc>
            </w:tr>
          </w:tbl>
          <w:p w14:paraId="649AFC60">
            <w:pPr>
              <w:bidi w:val="0"/>
              <w:rPr>
                <w:rFonts w:hint="eastAsia"/>
                <w:color w:val="auto"/>
                <w:lang w:val="en-US" w:eastAsia="zh-CN"/>
              </w:rPr>
            </w:pPr>
          </w:p>
        </w:tc>
      </w:tr>
    </w:tbl>
    <w:p w14:paraId="3FA21A25">
      <w:pPr>
        <w:ind w:firstLine="0" w:firstLineChars="0"/>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8065FC6">
      <w:pPr>
        <w:pStyle w:val="2"/>
        <w:numPr>
          <w:ilvl w:val="0"/>
          <w:numId w:val="2"/>
        </w:numPr>
        <w:rPr>
          <w:color w:val="auto"/>
        </w:rPr>
      </w:pPr>
      <w:bookmarkStart w:id="14" w:name="_Toc26836"/>
      <w:r>
        <w:rPr>
          <w:rFonts w:hint="eastAsia"/>
          <w:color w:val="auto"/>
          <w:lang w:val="en-US" w:eastAsia="zh-CN"/>
        </w:rPr>
        <w:t>生态</w:t>
      </w:r>
      <w:r>
        <w:rPr>
          <w:rFonts w:hint="eastAsia"/>
          <w:color w:val="auto"/>
        </w:rPr>
        <w:t>环境保护措施监督清单</w:t>
      </w:r>
      <w:bookmarkEnd w:id="14"/>
    </w:p>
    <w:tbl>
      <w:tblPr>
        <w:tblStyle w:val="23"/>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441"/>
        <w:gridCol w:w="1377"/>
        <w:gridCol w:w="1968"/>
        <w:gridCol w:w="2904"/>
      </w:tblGrid>
      <w:tr w14:paraId="030D29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tcBorders>
              <w:tl2br w:val="single" w:color="auto" w:sz="4" w:space="0"/>
            </w:tcBorders>
            <w:vAlign w:val="center"/>
          </w:tcPr>
          <w:p w14:paraId="54C48B80">
            <w:pPr>
              <w:pStyle w:val="29"/>
              <w:jc w:val="right"/>
              <w:rPr>
                <w:rFonts w:hint="default"/>
                <w:color w:val="auto"/>
              </w:rPr>
            </w:pPr>
            <w:r>
              <w:rPr>
                <w:rFonts w:hint="default"/>
                <w:color w:val="auto"/>
              </w:rPr>
              <w:t>内容</w:t>
            </w:r>
          </w:p>
          <w:p w14:paraId="23EE96B3">
            <w:pPr>
              <w:pStyle w:val="29"/>
              <w:jc w:val="left"/>
              <w:rPr>
                <w:rFonts w:hint="default"/>
                <w:color w:val="auto"/>
              </w:rPr>
            </w:pPr>
            <w:r>
              <w:rPr>
                <w:rFonts w:hint="default"/>
                <w:color w:val="auto"/>
              </w:rPr>
              <w:t>要素</w:t>
            </w:r>
          </w:p>
        </w:tc>
        <w:tc>
          <w:tcPr>
            <w:tcW w:w="1441" w:type="dxa"/>
            <w:vAlign w:val="center"/>
          </w:tcPr>
          <w:p w14:paraId="5ED46911">
            <w:pPr>
              <w:pStyle w:val="29"/>
              <w:rPr>
                <w:rFonts w:hint="default"/>
                <w:color w:val="auto"/>
              </w:rPr>
            </w:pPr>
            <w:r>
              <w:rPr>
                <w:rFonts w:hint="default"/>
                <w:color w:val="auto"/>
              </w:rPr>
              <w:t>排放口</w:t>
            </w:r>
            <w:r>
              <w:rPr>
                <w:color w:val="auto"/>
              </w:rPr>
              <w:t>(</w:t>
            </w:r>
            <w:r>
              <w:rPr>
                <w:rFonts w:hint="default"/>
                <w:color w:val="auto"/>
              </w:rPr>
              <w:t>编号、名称</w:t>
            </w:r>
            <w:r>
              <w:rPr>
                <w:color w:val="auto"/>
              </w:rPr>
              <w:t>)/</w:t>
            </w:r>
            <w:r>
              <w:rPr>
                <w:rFonts w:hint="default"/>
                <w:color w:val="auto"/>
              </w:rPr>
              <w:t>污染源</w:t>
            </w:r>
          </w:p>
        </w:tc>
        <w:tc>
          <w:tcPr>
            <w:tcW w:w="1377" w:type="dxa"/>
            <w:vAlign w:val="center"/>
          </w:tcPr>
          <w:p w14:paraId="1BD04A5D">
            <w:pPr>
              <w:pStyle w:val="29"/>
              <w:rPr>
                <w:rFonts w:hint="default"/>
                <w:color w:val="auto"/>
              </w:rPr>
            </w:pPr>
            <w:r>
              <w:rPr>
                <w:rFonts w:hint="default"/>
                <w:color w:val="auto"/>
              </w:rPr>
              <w:t>污染物项目</w:t>
            </w:r>
          </w:p>
        </w:tc>
        <w:tc>
          <w:tcPr>
            <w:tcW w:w="1968" w:type="dxa"/>
            <w:vAlign w:val="center"/>
          </w:tcPr>
          <w:p w14:paraId="2FAAE4B8">
            <w:pPr>
              <w:pStyle w:val="29"/>
              <w:rPr>
                <w:rFonts w:hint="default"/>
                <w:color w:val="auto"/>
              </w:rPr>
            </w:pPr>
            <w:r>
              <w:rPr>
                <w:rFonts w:hint="default"/>
                <w:color w:val="auto"/>
              </w:rPr>
              <w:t>环境保护措施</w:t>
            </w:r>
          </w:p>
        </w:tc>
        <w:tc>
          <w:tcPr>
            <w:tcW w:w="2904" w:type="dxa"/>
            <w:vAlign w:val="center"/>
          </w:tcPr>
          <w:p w14:paraId="182FD120">
            <w:pPr>
              <w:pStyle w:val="29"/>
              <w:rPr>
                <w:rFonts w:hint="default"/>
                <w:color w:val="auto"/>
              </w:rPr>
            </w:pPr>
            <w:r>
              <w:rPr>
                <w:rFonts w:hint="default"/>
                <w:color w:val="auto"/>
              </w:rPr>
              <w:t>执行标准</w:t>
            </w:r>
          </w:p>
        </w:tc>
      </w:tr>
      <w:tr w14:paraId="453EFB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vAlign w:val="center"/>
          </w:tcPr>
          <w:p w14:paraId="4B238D81">
            <w:pPr>
              <w:pStyle w:val="29"/>
              <w:rPr>
                <w:rFonts w:hint="default"/>
                <w:color w:val="auto"/>
              </w:rPr>
            </w:pPr>
            <w:r>
              <w:rPr>
                <w:rFonts w:hint="default"/>
                <w:color w:val="auto"/>
              </w:rPr>
              <w:t>大气环境</w:t>
            </w:r>
          </w:p>
        </w:tc>
        <w:tc>
          <w:tcPr>
            <w:tcW w:w="1441" w:type="dxa"/>
            <w:shd w:val="clear" w:color="auto" w:fill="auto"/>
            <w:vAlign w:val="center"/>
          </w:tcPr>
          <w:p w14:paraId="37CB4091">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锅炉废气</w:t>
            </w:r>
          </w:p>
        </w:tc>
        <w:tc>
          <w:tcPr>
            <w:tcW w:w="1377" w:type="dxa"/>
            <w:shd w:val="clear" w:color="auto" w:fill="auto"/>
            <w:vAlign w:val="center"/>
          </w:tcPr>
          <w:p w14:paraId="6E5FD562">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r>
              <w:rPr>
                <w:rFonts w:hint="eastAsia" w:cs="Times New Roman"/>
                <w:b w:val="0"/>
                <w:color w:val="auto"/>
                <w:kern w:val="2"/>
                <w:sz w:val="21"/>
                <w:szCs w:val="21"/>
                <w:lang w:val="en-US" w:eastAsia="zh-CN" w:bidi="ar-SA"/>
              </w:rPr>
              <w:t>、SO</w:t>
            </w:r>
            <w:r>
              <w:rPr>
                <w:rFonts w:hint="eastAsia" w:cs="Times New Roman"/>
                <w:b w:val="0"/>
                <w:color w:val="auto"/>
                <w:kern w:val="2"/>
                <w:sz w:val="21"/>
                <w:szCs w:val="21"/>
                <w:vertAlign w:val="subscript"/>
                <w:lang w:val="en-US" w:eastAsia="zh-CN" w:bidi="ar-SA"/>
              </w:rPr>
              <w:t>2</w:t>
            </w:r>
            <w:r>
              <w:rPr>
                <w:rFonts w:hint="eastAsia" w:cs="Times New Roman"/>
                <w:b w:val="0"/>
                <w:color w:val="auto"/>
                <w:kern w:val="2"/>
                <w:sz w:val="21"/>
                <w:szCs w:val="21"/>
                <w:lang w:val="en-US" w:eastAsia="zh-CN" w:bidi="ar-SA"/>
              </w:rPr>
              <w:t>、NO</w:t>
            </w:r>
            <w:r>
              <w:rPr>
                <w:rFonts w:hint="eastAsia" w:cs="Times New Roman"/>
                <w:b w:val="0"/>
                <w:color w:val="auto"/>
                <w:kern w:val="2"/>
                <w:sz w:val="21"/>
                <w:szCs w:val="21"/>
                <w:vertAlign w:val="subscript"/>
                <w:lang w:val="en-US" w:eastAsia="zh-CN" w:bidi="ar-SA"/>
              </w:rPr>
              <w:t>X</w:t>
            </w:r>
          </w:p>
        </w:tc>
        <w:tc>
          <w:tcPr>
            <w:tcW w:w="1968" w:type="dxa"/>
            <w:shd w:val="clear" w:color="auto" w:fill="auto"/>
            <w:vAlign w:val="center"/>
          </w:tcPr>
          <w:p w14:paraId="0F1425F1">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低氮燃烧装置+18m高排气筒排放（DA001）</w:t>
            </w:r>
          </w:p>
        </w:tc>
        <w:tc>
          <w:tcPr>
            <w:tcW w:w="2904" w:type="dxa"/>
            <w:shd w:val="clear" w:color="auto" w:fill="auto"/>
            <w:vAlign w:val="center"/>
          </w:tcPr>
          <w:p w14:paraId="0500AAC5">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default"/>
                <w:color w:val="auto"/>
              </w:rPr>
              <w:t>《锅炉大气污染物排放标准》（GB13271-2014）</w:t>
            </w:r>
            <w:r>
              <w:rPr>
                <w:rFonts w:hint="default"/>
                <w:color w:val="auto"/>
                <w:lang w:val="en-US" w:eastAsia="zh-CN"/>
              </w:rPr>
              <w:t>表2新建锅炉大气污染物排放标准中</w:t>
            </w:r>
            <w:r>
              <w:rPr>
                <w:rFonts w:hint="eastAsia"/>
                <w:color w:val="auto"/>
                <w:lang w:val="en-US" w:eastAsia="zh-CN"/>
              </w:rPr>
              <w:t>燃气锅炉</w:t>
            </w:r>
            <w:r>
              <w:rPr>
                <w:rFonts w:hint="default"/>
                <w:color w:val="auto"/>
                <w:lang w:val="en-US" w:eastAsia="zh-CN"/>
              </w:rPr>
              <w:t>浓度限值</w:t>
            </w:r>
          </w:p>
        </w:tc>
      </w:tr>
      <w:tr w14:paraId="560C12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54E185A7">
            <w:pPr>
              <w:pStyle w:val="29"/>
              <w:rPr>
                <w:rFonts w:hint="default"/>
                <w:color w:val="auto"/>
              </w:rPr>
            </w:pPr>
          </w:p>
        </w:tc>
        <w:tc>
          <w:tcPr>
            <w:tcW w:w="1441" w:type="dxa"/>
            <w:shd w:val="clear" w:color="auto" w:fill="auto"/>
            <w:vAlign w:val="center"/>
          </w:tcPr>
          <w:p w14:paraId="2B6D889F">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破碎粉尘</w:t>
            </w:r>
          </w:p>
        </w:tc>
        <w:tc>
          <w:tcPr>
            <w:tcW w:w="1377" w:type="dxa"/>
            <w:shd w:val="clear" w:color="auto" w:fill="auto"/>
            <w:vAlign w:val="center"/>
          </w:tcPr>
          <w:p w14:paraId="28C8C07D">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968" w:type="dxa"/>
            <w:shd w:val="clear" w:color="auto" w:fill="auto"/>
            <w:vAlign w:val="center"/>
          </w:tcPr>
          <w:p w14:paraId="07A275AB">
            <w:pPr>
              <w:pStyle w:val="29"/>
              <w:bidi w:val="0"/>
              <w:ind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布袋除尘器+20m高排气筒排放（DA002）</w:t>
            </w:r>
          </w:p>
        </w:tc>
        <w:tc>
          <w:tcPr>
            <w:tcW w:w="2904" w:type="dxa"/>
            <w:shd w:val="clear" w:color="auto" w:fill="auto"/>
            <w:vAlign w:val="center"/>
          </w:tcPr>
          <w:p w14:paraId="0863499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lang w:val="en-US" w:eastAsia="zh-CN"/>
              </w:rPr>
              <w:t>《大气污染物综合排放标准》（GB16297-1996）表2中二级标准限值</w:t>
            </w:r>
          </w:p>
        </w:tc>
      </w:tr>
      <w:tr w14:paraId="2D0B9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1923E176">
            <w:pPr>
              <w:pStyle w:val="29"/>
              <w:rPr>
                <w:rFonts w:hint="default"/>
                <w:color w:val="auto"/>
              </w:rPr>
            </w:pPr>
          </w:p>
        </w:tc>
        <w:tc>
          <w:tcPr>
            <w:tcW w:w="1441" w:type="dxa"/>
            <w:shd w:val="clear" w:color="auto" w:fill="auto"/>
            <w:vAlign w:val="center"/>
          </w:tcPr>
          <w:p w14:paraId="5EF86504">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发酵废气</w:t>
            </w:r>
          </w:p>
        </w:tc>
        <w:tc>
          <w:tcPr>
            <w:tcW w:w="1377" w:type="dxa"/>
            <w:shd w:val="clear" w:color="auto" w:fill="auto"/>
            <w:vAlign w:val="center"/>
          </w:tcPr>
          <w:p w14:paraId="7B5CA2BD">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CO</w:t>
            </w:r>
            <w:r>
              <w:rPr>
                <w:rFonts w:hint="eastAsia" w:cs="Times New Roman"/>
                <w:b w:val="0"/>
                <w:color w:val="auto"/>
                <w:kern w:val="2"/>
                <w:sz w:val="21"/>
                <w:szCs w:val="21"/>
                <w:vertAlign w:val="subscript"/>
                <w:lang w:val="en-US" w:eastAsia="zh-CN" w:bidi="ar-SA"/>
              </w:rPr>
              <w:t>2</w:t>
            </w:r>
            <w:r>
              <w:rPr>
                <w:rFonts w:hint="eastAsia" w:cs="Times New Roman"/>
                <w:b w:val="0"/>
                <w:color w:val="auto"/>
                <w:kern w:val="2"/>
                <w:sz w:val="21"/>
                <w:szCs w:val="21"/>
                <w:lang w:val="en-US" w:eastAsia="zh-CN" w:bidi="ar-SA"/>
              </w:rPr>
              <w:t>、非甲烷总烃</w:t>
            </w:r>
          </w:p>
        </w:tc>
        <w:tc>
          <w:tcPr>
            <w:tcW w:w="1968" w:type="dxa"/>
            <w:shd w:val="clear" w:color="auto" w:fill="auto"/>
            <w:vAlign w:val="center"/>
          </w:tcPr>
          <w:p w14:paraId="3F7CFE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车间阻隔，自然扩散</w:t>
            </w:r>
          </w:p>
        </w:tc>
        <w:tc>
          <w:tcPr>
            <w:tcW w:w="2904" w:type="dxa"/>
            <w:vMerge w:val="restart"/>
            <w:shd w:val="clear" w:color="auto" w:fill="auto"/>
            <w:vAlign w:val="center"/>
          </w:tcPr>
          <w:p w14:paraId="6136A25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厂界</w:t>
            </w:r>
            <w:r>
              <w:rPr>
                <w:rFonts w:hint="eastAsia"/>
                <w:color w:val="auto"/>
                <w:lang w:eastAsia="zh-CN"/>
              </w:rPr>
              <w:t>颗粒物、</w:t>
            </w:r>
            <w:r>
              <w:rPr>
                <w:rFonts w:hint="eastAsia"/>
                <w:color w:val="auto"/>
                <w:lang w:val="en-US" w:eastAsia="zh-CN"/>
              </w:rPr>
              <w:t>非甲烷总烃</w:t>
            </w:r>
            <w:r>
              <w:rPr>
                <w:rFonts w:hint="eastAsia"/>
                <w:color w:val="auto"/>
                <w:lang w:eastAsia="zh-CN"/>
              </w:rPr>
              <w:t>执行</w:t>
            </w:r>
            <w:r>
              <w:rPr>
                <w:rFonts w:hint="eastAsia"/>
                <w:color w:val="auto"/>
                <w:lang w:val="en-US" w:eastAsia="zh-CN"/>
              </w:rPr>
              <w:t>《大气污染物综合排放标准》（GB16297-1996）</w:t>
            </w:r>
            <w:r>
              <w:rPr>
                <w:rFonts w:hint="eastAsia"/>
                <w:color w:val="auto"/>
                <w:lang w:eastAsia="zh-CN"/>
              </w:rPr>
              <w:t>表</w:t>
            </w:r>
            <w:r>
              <w:rPr>
                <w:rFonts w:hint="eastAsia"/>
                <w:color w:val="auto"/>
                <w:lang w:val="en-US" w:eastAsia="zh-CN"/>
              </w:rPr>
              <w:t>2无组织排放监控浓度限值要求；厂区内无组织非甲烷总烃排放浓度执行《挥发性有机物无组织排放控制标准》（GB37822-2019）附录A中表A.1厂区内VOC</w:t>
            </w:r>
            <w:r>
              <w:rPr>
                <w:rFonts w:hint="eastAsia"/>
                <w:color w:val="auto"/>
                <w:vertAlign w:val="subscript"/>
                <w:lang w:val="en-US" w:eastAsia="zh-CN"/>
              </w:rPr>
              <w:t>S</w:t>
            </w:r>
            <w:r>
              <w:rPr>
                <w:rFonts w:hint="eastAsia"/>
                <w:color w:val="auto"/>
                <w:lang w:val="en-US" w:eastAsia="zh-CN"/>
              </w:rPr>
              <w:t>无组织排放限值；</w:t>
            </w:r>
            <w:r>
              <w:rPr>
                <w:rFonts w:hint="eastAsia"/>
                <w:color w:val="auto"/>
                <w:lang w:eastAsia="zh-CN"/>
              </w:rPr>
              <w:t>NH</w:t>
            </w:r>
            <w:r>
              <w:rPr>
                <w:rFonts w:hint="eastAsia"/>
                <w:color w:val="auto"/>
                <w:vertAlign w:val="subscript"/>
                <w:lang w:eastAsia="zh-CN"/>
              </w:rPr>
              <w:t>3</w:t>
            </w:r>
            <w:r>
              <w:rPr>
                <w:rFonts w:hint="eastAsia"/>
                <w:color w:val="auto"/>
                <w:lang w:eastAsia="zh-CN"/>
              </w:rPr>
              <w:t>、H</w:t>
            </w:r>
            <w:r>
              <w:rPr>
                <w:rFonts w:hint="eastAsia"/>
                <w:color w:val="auto"/>
                <w:vertAlign w:val="subscript"/>
                <w:lang w:eastAsia="zh-CN"/>
              </w:rPr>
              <w:t>2</w:t>
            </w:r>
            <w:r>
              <w:rPr>
                <w:rFonts w:hint="eastAsia"/>
                <w:color w:val="auto"/>
                <w:lang w:eastAsia="zh-CN"/>
              </w:rPr>
              <w:t>S和臭气浓度执行《恶臭污染物排放标准》（</w:t>
            </w:r>
            <w:r>
              <w:rPr>
                <w:rFonts w:hint="eastAsia"/>
                <w:color w:val="auto"/>
                <w:lang w:val="en-US" w:eastAsia="zh-CN"/>
              </w:rPr>
              <w:t>G</w:t>
            </w:r>
            <w:r>
              <w:rPr>
                <w:rFonts w:hint="eastAsia"/>
                <w:color w:val="auto"/>
                <w:lang w:eastAsia="zh-CN"/>
              </w:rPr>
              <w:t>B</w:t>
            </w:r>
            <w:r>
              <w:rPr>
                <w:rFonts w:hint="eastAsia"/>
                <w:color w:val="auto"/>
                <w:lang w:val="en-US" w:eastAsia="zh-CN"/>
              </w:rPr>
              <w:t>14554</w:t>
            </w:r>
            <w:r>
              <w:rPr>
                <w:rFonts w:hint="eastAsia"/>
                <w:color w:val="auto"/>
                <w:lang w:eastAsia="zh-CN"/>
              </w:rPr>
              <w:t>-</w:t>
            </w:r>
            <w:r>
              <w:rPr>
                <w:rFonts w:hint="eastAsia"/>
                <w:color w:val="auto"/>
                <w:lang w:val="en-US" w:eastAsia="zh-CN"/>
              </w:rPr>
              <w:t>93</w:t>
            </w:r>
            <w:r>
              <w:rPr>
                <w:rFonts w:hint="eastAsia"/>
                <w:color w:val="auto"/>
                <w:lang w:eastAsia="zh-CN"/>
              </w:rPr>
              <w:t>）表1</w:t>
            </w:r>
            <w:r>
              <w:rPr>
                <w:rFonts w:hint="eastAsia"/>
                <w:color w:val="auto"/>
                <w:lang w:val="en-US" w:eastAsia="zh-CN"/>
              </w:rPr>
              <w:t>二级新改扩建厂界</w:t>
            </w:r>
            <w:r>
              <w:rPr>
                <w:rFonts w:hint="eastAsia"/>
                <w:color w:val="auto"/>
                <w:lang w:eastAsia="zh-CN"/>
              </w:rPr>
              <w:t>限值</w:t>
            </w:r>
          </w:p>
        </w:tc>
      </w:tr>
      <w:tr w14:paraId="15258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0C8CBF9D">
            <w:pPr>
              <w:pStyle w:val="29"/>
              <w:rPr>
                <w:rFonts w:hint="default"/>
                <w:color w:val="auto"/>
              </w:rPr>
            </w:pPr>
          </w:p>
        </w:tc>
        <w:tc>
          <w:tcPr>
            <w:tcW w:w="1441" w:type="dxa"/>
            <w:shd w:val="clear" w:color="auto" w:fill="auto"/>
            <w:vAlign w:val="center"/>
          </w:tcPr>
          <w:p w14:paraId="329FFC6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固废暂存废气</w:t>
            </w:r>
          </w:p>
        </w:tc>
        <w:tc>
          <w:tcPr>
            <w:tcW w:w="1377" w:type="dxa"/>
            <w:shd w:val="clear" w:color="auto" w:fill="auto"/>
            <w:vAlign w:val="center"/>
          </w:tcPr>
          <w:p w14:paraId="726A8E56">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恶臭</w:t>
            </w:r>
          </w:p>
        </w:tc>
        <w:tc>
          <w:tcPr>
            <w:tcW w:w="1968" w:type="dxa"/>
            <w:shd w:val="clear" w:color="auto" w:fill="auto"/>
            <w:vAlign w:val="center"/>
          </w:tcPr>
          <w:p w14:paraId="7CEAECD0">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密封桶暂存，定期喷洒除臭剂</w:t>
            </w:r>
          </w:p>
        </w:tc>
        <w:tc>
          <w:tcPr>
            <w:tcW w:w="2904" w:type="dxa"/>
            <w:vMerge w:val="continue"/>
            <w:vAlign w:val="center"/>
          </w:tcPr>
          <w:p w14:paraId="119DA1EF">
            <w:pPr>
              <w:pStyle w:val="29"/>
              <w:rPr>
                <w:rFonts w:hint="eastAsia"/>
                <w:color w:val="auto"/>
              </w:rPr>
            </w:pPr>
          </w:p>
        </w:tc>
      </w:tr>
      <w:tr w14:paraId="195873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6E17CE52">
            <w:pPr>
              <w:pStyle w:val="29"/>
              <w:rPr>
                <w:rFonts w:hint="default"/>
                <w:color w:val="auto"/>
              </w:rPr>
            </w:pPr>
          </w:p>
        </w:tc>
        <w:tc>
          <w:tcPr>
            <w:tcW w:w="1441" w:type="dxa"/>
            <w:shd w:val="clear" w:color="auto" w:fill="auto"/>
            <w:vAlign w:val="center"/>
          </w:tcPr>
          <w:p w14:paraId="01408718">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污水处理恶臭</w:t>
            </w:r>
          </w:p>
        </w:tc>
        <w:tc>
          <w:tcPr>
            <w:tcW w:w="1377" w:type="dxa"/>
            <w:shd w:val="clear" w:color="auto" w:fill="auto"/>
            <w:vAlign w:val="center"/>
          </w:tcPr>
          <w:p w14:paraId="1666B658">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ascii="Times New Roman" w:hAnsi="Times New Roman" w:eastAsia="宋体" w:cs="Times New Roman"/>
                <w:b w:val="0"/>
                <w:color w:val="auto"/>
                <w:kern w:val="2"/>
                <w:sz w:val="21"/>
                <w:szCs w:val="21"/>
                <w:lang w:val="en-US" w:eastAsia="zh-CN" w:bidi="ar-SA"/>
              </w:rPr>
              <w:t>NH</w:t>
            </w:r>
            <w:r>
              <w:rPr>
                <w:rFonts w:hint="default" w:ascii="Times New Roman" w:hAnsi="Times New Roman" w:eastAsia="宋体" w:cs="Times New Roman"/>
                <w:b w:val="0"/>
                <w:color w:val="auto"/>
                <w:kern w:val="2"/>
                <w:sz w:val="21"/>
                <w:szCs w:val="21"/>
                <w:vertAlign w:val="subscript"/>
                <w:lang w:val="en-US" w:eastAsia="zh-CN" w:bidi="ar-SA"/>
              </w:rPr>
              <w:t>3</w:t>
            </w:r>
            <w:r>
              <w:rPr>
                <w:rFonts w:hint="default" w:ascii="Times New Roman" w:hAnsi="Times New Roman" w:eastAsia="宋体" w:cs="Times New Roman"/>
                <w:b w:val="0"/>
                <w:color w:val="auto"/>
                <w:kern w:val="2"/>
                <w:sz w:val="21"/>
                <w:szCs w:val="21"/>
                <w:lang w:val="en-US" w:eastAsia="zh-CN" w:bidi="ar-SA"/>
              </w:rPr>
              <w:t>、H</w:t>
            </w:r>
            <w:r>
              <w:rPr>
                <w:rFonts w:hint="default" w:ascii="Times New Roman" w:hAnsi="Times New Roman" w:eastAsia="宋体" w:cs="Times New Roman"/>
                <w:b w:val="0"/>
                <w:color w:val="auto"/>
                <w:kern w:val="2"/>
                <w:sz w:val="21"/>
                <w:szCs w:val="21"/>
                <w:vertAlign w:val="subscript"/>
                <w:lang w:val="en-US" w:eastAsia="zh-CN" w:bidi="ar-SA"/>
              </w:rPr>
              <w:t>2</w:t>
            </w:r>
            <w:r>
              <w:rPr>
                <w:rFonts w:hint="default" w:ascii="Times New Roman" w:hAnsi="Times New Roman" w:eastAsia="宋体" w:cs="Times New Roman"/>
                <w:b w:val="0"/>
                <w:color w:val="auto"/>
                <w:kern w:val="2"/>
                <w:sz w:val="21"/>
                <w:szCs w:val="21"/>
                <w:lang w:val="en-US" w:eastAsia="zh-CN" w:bidi="ar-SA"/>
              </w:rPr>
              <w:t>S</w:t>
            </w:r>
          </w:p>
        </w:tc>
        <w:tc>
          <w:tcPr>
            <w:tcW w:w="1968" w:type="dxa"/>
            <w:shd w:val="clear" w:color="auto" w:fill="auto"/>
            <w:vAlign w:val="center"/>
          </w:tcPr>
          <w:p w14:paraId="450404F6">
            <w:pPr>
              <w:pStyle w:val="29"/>
              <w:bidi w:val="0"/>
              <w:ind w:firstLine="0" w:firstLineChars="0"/>
              <w:rPr>
                <w:rFonts w:hint="eastAsia"/>
                <w:color w:val="auto"/>
                <w:lang w:val="en-US" w:eastAsia="zh-CN"/>
              </w:rPr>
            </w:pPr>
            <w:r>
              <w:rPr>
                <w:rFonts w:hint="eastAsia"/>
                <w:color w:val="auto"/>
                <w:lang w:val="en-US" w:eastAsia="zh-CN"/>
              </w:rPr>
              <w:t>定期喷洒除臭剂</w:t>
            </w:r>
          </w:p>
        </w:tc>
        <w:tc>
          <w:tcPr>
            <w:tcW w:w="2904" w:type="dxa"/>
            <w:vMerge w:val="continue"/>
            <w:vAlign w:val="center"/>
          </w:tcPr>
          <w:p w14:paraId="356B59A6">
            <w:pPr>
              <w:pStyle w:val="29"/>
              <w:rPr>
                <w:rFonts w:hint="default" w:cs="Times New Roman"/>
                <w:color w:val="auto"/>
                <w:szCs w:val="21"/>
              </w:rPr>
            </w:pPr>
          </w:p>
        </w:tc>
      </w:tr>
      <w:tr w14:paraId="617F02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4E6DF872">
            <w:pPr>
              <w:pStyle w:val="29"/>
              <w:rPr>
                <w:rFonts w:hint="default"/>
                <w:color w:val="auto"/>
              </w:rPr>
            </w:pPr>
          </w:p>
        </w:tc>
        <w:tc>
          <w:tcPr>
            <w:tcW w:w="1441" w:type="dxa"/>
            <w:shd w:val="clear" w:color="auto" w:fill="auto"/>
            <w:vAlign w:val="center"/>
          </w:tcPr>
          <w:p w14:paraId="27C0B16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rPr>
              <w:t>车辆运输扬尘</w:t>
            </w:r>
          </w:p>
        </w:tc>
        <w:tc>
          <w:tcPr>
            <w:tcW w:w="1377" w:type="dxa"/>
            <w:shd w:val="clear" w:color="auto" w:fill="auto"/>
            <w:vAlign w:val="center"/>
          </w:tcPr>
          <w:p w14:paraId="0617CEE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968" w:type="dxa"/>
            <w:shd w:val="clear" w:color="auto" w:fill="auto"/>
            <w:vAlign w:val="center"/>
          </w:tcPr>
          <w:p w14:paraId="0B153FC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厂区道路硬化、路面遗撒及时清扫，运输车辆进行遮盖并采用洒水车进行降尘。</w:t>
            </w:r>
          </w:p>
        </w:tc>
        <w:tc>
          <w:tcPr>
            <w:tcW w:w="2904" w:type="dxa"/>
            <w:vMerge w:val="continue"/>
            <w:vAlign w:val="center"/>
          </w:tcPr>
          <w:p w14:paraId="3B550EC9">
            <w:pPr>
              <w:pStyle w:val="29"/>
              <w:rPr>
                <w:rFonts w:hint="eastAsia"/>
                <w:color w:val="auto"/>
              </w:rPr>
            </w:pPr>
          </w:p>
        </w:tc>
      </w:tr>
      <w:tr w14:paraId="2376E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4D47E252">
            <w:pPr>
              <w:pStyle w:val="29"/>
              <w:rPr>
                <w:rFonts w:hint="default"/>
                <w:color w:val="auto"/>
              </w:rPr>
            </w:pPr>
          </w:p>
        </w:tc>
        <w:tc>
          <w:tcPr>
            <w:tcW w:w="1441" w:type="dxa"/>
            <w:shd w:val="clear" w:color="auto" w:fill="auto"/>
            <w:vAlign w:val="center"/>
          </w:tcPr>
          <w:p w14:paraId="22AC828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未捕集粉尘</w:t>
            </w:r>
          </w:p>
        </w:tc>
        <w:tc>
          <w:tcPr>
            <w:tcW w:w="1377" w:type="dxa"/>
            <w:shd w:val="clear" w:color="auto" w:fill="auto"/>
            <w:vAlign w:val="center"/>
          </w:tcPr>
          <w:p w14:paraId="384E2F8C">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eastAsia="宋体" w:cs="Times New Roman"/>
                <w:b w:val="0"/>
                <w:color w:val="auto"/>
                <w:kern w:val="2"/>
                <w:sz w:val="21"/>
                <w:szCs w:val="21"/>
                <w:lang w:val="en-US" w:eastAsia="zh-CN" w:bidi="ar-SA"/>
              </w:rPr>
              <w:t>颗粒物</w:t>
            </w:r>
          </w:p>
        </w:tc>
        <w:tc>
          <w:tcPr>
            <w:tcW w:w="1968" w:type="dxa"/>
            <w:vMerge w:val="restart"/>
            <w:shd w:val="clear" w:color="auto" w:fill="auto"/>
            <w:vAlign w:val="center"/>
          </w:tcPr>
          <w:p w14:paraId="10F6BF2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ascii="Times New Roman" w:hAnsi="Times New Roman"/>
                <w:color w:val="auto"/>
                <w:sz w:val="21"/>
                <w:szCs w:val="21"/>
                <w:lang w:eastAsia="zh-CN"/>
              </w:rPr>
              <w:t>在厂房内自由扩散，以无组织形式排放</w:t>
            </w:r>
            <w:r>
              <w:rPr>
                <w:rFonts w:hint="eastAsia"/>
                <w:color w:val="auto"/>
                <w:sz w:val="21"/>
                <w:szCs w:val="21"/>
                <w:lang w:eastAsia="zh-CN"/>
              </w:rPr>
              <w:t>。</w:t>
            </w:r>
          </w:p>
        </w:tc>
        <w:tc>
          <w:tcPr>
            <w:tcW w:w="2904" w:type="dxa"/>
            <w:vMerge w:val="continue"/>
            <w:vAlign w:val="center"/>
          </w:tcPr>
          <w:p w14:paraId="70D7979A">
            <w:pPr>
              <w:pStyle w:val="29"/>
              <w:rPr>
                <w:rFonts w:hint="default" w:cs="Times New Roman"/>
                <w:color w:val="auto"/>
                <w:szCs w:val="21"/>
              </w:rPr>
            </w:pPr>
          </w:p>
        </w:tc>
      </w:tr>
      <w:tr w14:paraId="1E733E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0BA78FCA">
            <w:pPr>
              <w:pStyle w:val="29"/>
              <w:rPr>
                <w:rFonts w:hint="default"/>
                <w:color w:val="auto"/>
              </w:rPr>
            </w:pPr>
          </w:p>
        </w:tc>
        <w:tc>
          <w:tcPr>
            <w:tcW w:w="1441" w:type="dxa"/>
            <w:shd w:val="clear" w:color="auto" w:fill="auto"/>
            <w:vAlign w:val="center"/>
          </w:tcPr>
          <w:p w14:paraId="7AD3FB84">
            <w:pPr>
              <w:pStyle w:val="29"/>
              <w:ind w:firstLine="0" w:firstLineChars="0"/>
              <w:rPr>
                <w:rFonts w:hint="default"/>
                <w:color w:val="auto"/>
                <w:lang w:val="en-US" w:eastAsia="zh-CN"/>
              </w:rPr>
            </w:pPr>
            <w:r>
              <w:rPr>
                <w:rFonts w:hint="eastAsia"/>
                <w:color w:val="auto"/>
                <w:lang w:val="en-US" w:eastAsia="zh-CN"/>
              </w:rPr>
              <w:t>制冷废气</w:t>
            </w:r>
          </w:p>
        </w:tc>
        <w:tc>
          <w:tcPr>
            <w:tcW w:w="1377" w:type="dxa"/>
            <w:shd w:val="clear" w:color="auto" w:fill="auto"/>
            <w:vAlign w:val="center"/>
          </w:tcPr>
          <w:p w14:paraId="4D389534">
            <w:pPr>
              <w:pStyle w:val="29"/>
              <w:bidi w:val="0"/>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s="Times New Roman"/>
                <w:b w:val="0"/>
                <w:color w:val="auto"/>
                <w:kern w:val="2"/>
                <w:sz w:val="21"/>
                <w:szCs w:val="21"/>
                <w:lang w:val="en-US" w:eastAsia="zh-CN" w:bidi="ar-SA"/>
              </w:rPr>
              <w:t>氟氯烃</w:t>
            </w:r>
          </w:p>
        </w:tc>
        <w:tc>
          <w:tcPr>
            <w:tcW w:w="1968" w:type="dxa"/>
            <w:vMerge w:val="continue"/>
            <w:shd w:val="clear" w:color="auto" w:fill="auto"/>
            <w:vAlign w:val="center"/>
          </w:tcPr>
          <w:p w14:paraId="54D1C65F">
            <w:pPr>
              <w:pStyle w:val="29"/>
              <w:bidi w:val="0"/>
              <w:ind w:firstLine="0" w:firstLineChars="0"/>
              <w:rPr>
                <w:rFonts w:hint="eastAsia" w:ascii="Times New Roman" w:hAnsi="Times New Roman"/>
                <w:color w:val="auto"/>
                <w:sz w:val="21"/>
                <w:szCs w:val="21"/>
                <w:lang w:eastAsia="zh-CN"/>
              </w:rPr>
            </w:pPr>
          </w:p>
        </w:tc>
        <w:tc>
          <w:tcPr>
            <w:tcW w:w="2904" w:type="dxa"/>
            <w:vAlign w:val="center"/>
          </w:tcPr>
          <w:p w14:paraId="7C9F5293">
            <w:pPr>
              <w:pStyle w:val="29"/>
              <w:rPr>
                <w:rFonts w:hint="eastAsia" w:eastAsia="宋体" w:cs="Times New Roman"/>
                <w:color w:val="auto"/>
                <w:szCs w:val="21"/>
                <w:lang w:val="en-US" w:eastAsia="zh-CN"/>
              </w:rPr>
            </w:pPr>
            <w:r>
              <w:rPr>
                <w:rFonts w:hint="eastAsia" w:cs="Times New Roman"/>
                <w:color w:val="auto"/>
                <w:szCs w:val="21"/>
                <w:lang w:val="en-US" w:eastAsia="zh-CN"/>
              </w:rPr>
              <w:t>/</w:t>
            </w:r>
          </w:p>
        </w:tc>
      </w:tr>
      <w:tr w14:paraId="34CB4D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restart"/>
            <w:vAlign w:val="center"/>
          </w:tcPr>
          <w:p w14:paraId="33F68AC1">
            <w:pPr>
              <w:pStyle w:val="29"/>
              <w:rPr>
                <w:rFonts w:hint="eastAsia" w:eastAsia="宋体"/>
                <w:color w:val="auto"/>
                <w:lang w:eastAsia="zh-CN"/>
              </w:rPr>
            </w:pPr>
            <w:r>
              <w:rPr>
                <w:rFonts w:hint="eastAsia"/>
                <w:color w:val="auto"/>
                <w:lang w:eastAsia="zh-CN"/>
              </w:rPr>
              <w:t>地表水环境</w:t>
            </w:r>
          </w:p>
        </w:tc>
        <w:tc>
          <w:tcPr>
            <w:tcW w:w="1441" w:type="dxa"/>
            <w:shd w:val="clear" w:color="auto" w:fill="auto"/>
            <w:vAlign w:val="center"/>
          </w:tcPr>
          <w:p w14:paraId="41FE9DE1">
            <w:pPr>
              <w:pStyle w:val="29"/>
              <w:ind w:firstLine="0" w:firstLineChars="0"/>
              <w:rPr>
                <w:rFonts w:hint="default" w:ascii="Times New Roman" w:hAnsi="Times New Roman" w:eastAsia="宋体" w:cs="Times New Roman"/>
                <w:b w:val="0"/>
                <w:color w:val="auto"/>
                <w:kern w:val="2"/>
                <w:sz w:val="21"/>
                <w:szCs w:val="21"/>
                <w:lang w:val="en-US" w:eastAsia="zh-CN" w:bidi="ar-SA"/>
              </w:rPr>
            </w:pPr>
            <w:r>
              <w:rPr>
                <w:color w:val="auto"/>
              </w:rPr>
              <w:t>生活污水</w:t>
            </w:r>
          </w:p>
        </w:tc>
        <w:tc>
          <w:tcPr>
            <w:tcW w:w="1377" w:type="dxa"/>
            <w:shd w:val="clear" w:color="auto" w:fill="auto"/>
            <w:vAlign w:val="center"/>
          </w:tcPr>
          <w:p w14:paraId="43CB802A">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default"/>
                <w:color w:val="auto"/>
              </w:rPr>
              <w:t>SS、BOD</w:t>
            </w:r>
            <w:r>
              <w:rPr>
                <w:rFonts w:hint="default"/>
                <w:color w:val="auto"/>
                <w:vertAlign w:val="subscript"/>
              </w:rPr>
              <w:t>5</w:t>
            </w:r>
            <w:r>
              <w:rPr>
                <w:rFonts w:hint="default"/>
                <w:color w:val="auto"/>
              </w:rPr>
              <w:t>、COD</w:t>
            </w:r>
            <w:r>
              <w:rPr>
                <w:rFonts w:hint="default"/>
                <w:color w:val="auto"/>
                <w:vertAlign w:val="subscript"/>
              </w:rPr>
              <w:t>Cr</w:t>
            </w:r>
            <w:r>
              <w:rPr>
                <w:rFonts w:hint="default"/>
                <w:color w:val="auto"/>
              </w:rPr>
              <w:t>、NH</w:t>
            </w:r>
            <w:r>
              <w:rPr>
                <w:rFonts w:hint="default"/>
                <w:color w:val="auto"/>
                <w:vertAlign w:val="subscript"/>
              </w:rPr>
              <w:t>3</w:t>
            </w:r>
            <w:r>
              <w:rPr>
                <w:rFonts w:hint="default"/>
                <w:color w:val="auto"/>
              </w:rPr>
              <w:t>-N、</w:t>
            </w:r>
            <w:r>
              <w:rPr>
                <w:rFonts w:hint="default"/>
                <w:color w:val="auto"/>
                <w:lang w:val="en-US" w:eastAsia="zh-CN"/>
              </w:rPr>
              <w:t>TN、TP</w:t>
            </w:r>
          </w:p>
        </w:tc>
        <w:tc>
          <w:tcPr>
            <w:tcW w:w="1968" w:type="dxa"/>
            <w:shd w:val="clear" w:color="auto" w:fill="auto"/>
            <w:vAlign w:val="center"/>
          </w:tcPr>
          <w:p w14:paraId="5214BD3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生活污水经园区已建化粪池处理后排入园区污水管网经市政污水管网进入玉溪市第一、第三污水处理厂处理。</w:t>
            </w:r>
          </w:p>
        </w:tc>
        <w:tc>
          <w:tcPr>
            <w:tcW w:w="2904" w:type="dxa"/>
            <w:shd w:val="clear" w:color="auto" w:fill="auto"/>
            <w:vAlign w:val="center"/>
          </w:tcPr>
          <w:p w14:paraId="7ACA1015">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eastAsia="宋体"/>
                <w:color w:val="auto"/>
                <w:lang w:eastAsia="zh-CN"/>
              </w:rPr>
              <w:t>《污水综合排放标准》（GB8978-1996）表4三级标准及《污水排入城镇下水道水质标准》（GB/T31962-2015）表1</w:t>
            </w:r>
            <w:r>
              <w:rPr>
                <w:rFonts w:hint="eastAsia"/>
                <w:color w:val="auto"/>
                <w:lang w:val="en-US" w:eastAsia="zh-CN"/>
              </w:rPr>
              <w:t>A</w:t>
            </w:r>
            <w:r>
              <w:rPr>
                <w:rFonts w:hint="eastAsia" w:eastAsia="宋体"/>
                <w:color w:val="auto"/>
                <w:lang w:eastAsia="zh-CN"/>
              </w:rPr>
              <w:t>等级标准从严值</w:t>
            </w:r>
          </w:p>
        </w:tc>
      </w:tr>
      <w:tr w14:paraId="2DD7D2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266836F5">
            <w:pPr>
              <w:pStyle w:val="29"/>
              <w:rPr>
                <w:rFonts w:hint="eastAsia"/>
                <w:color w:val="auto"/>
                <w:lang w:eastAsia="zh-CN"/>
              </w:rPr>
            </w:pPr>
          </w:p>
        </w:tc>
        <w:tc>
          <w:tcPr>
            <w:tcW w:w="1441" w:type="dxa"/>
            <w:shd w:val="clear" w:color="auto" w:fill="auto"/>
            <w:vAlign w:val="center"/>
          </w:tcPr>
          <w:p w14:paraId="4B36256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生产废水</w:t>
            </w:r>
          </w:p>
        </w:tc>
        <w:tc>
          <w:tcPr>
            <w:tcW w:w="1377" w:type="dxa"/>
            <w:shd w:val="clear" w:color="auto" w:fill="auto"/>
            <w:vAlign w:val="center"/>
          </w:tcPr>
          <w:p w14:paraId="33BBB1C5">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COD</w:t>
            </w:r>
            <w:r>
              <w:rPr>
                <w:rFonts w:hint="eastAsia"/>
                <w:color w:val="auto"/>
                <w:vertAlign w:val="subscript"/>
                <w:lang w:val="en-US" w:eastAsia="zh-CN"/>
              </w:rPr>
              <w:t>Cr</w:t>
            </w:r>
            <w:r>
              <w:rPr>
                <w:rFonts w:hint="eastAsia"/>
                <w:color w:val="auto"/>
                <w:lang w:val="en-US" w:eastAsia="zh-CN"/>
              </w:rPr>
              <w:t>、BOD</w:t>
            </w:r>
            <w:r>
              <w:rPr>
                <w:rFonts w:hint="eastAsia"/>
                <w:color w:val="auto"/>
                <w:vertAlign w:val="subscript"/>
                <w:lang w:val="en-US" w:eastAsia="zh-CN"/>
              </w:rPr>
              <w:t>5</w:t>
            </w:r>
            <w:r>
              <w:rPr>
                <w:rFonts w:hint="eastAsia"/>
                <w:color w:val="auto"/>
                <w:lang w:val="en-US" w:eastAsia="zh-CN"/>
              </w:rPr>
              <w:t>、NH</w:t>
            </w:r>
            <w:r>
              <w:rPr>
                <w:rFonts w:hint="eastAsia"/>
                <w:color w:val="auto"/>
                <w:vertAlign w:val="subscript"/>
                <w:lang w:val="en-US" w:eastAsia="zh-CN"/>
              </w:rPr>
              <w:t>3</w:t>
            </w:r>
            <w:r>
              <w:rPr>
                <w:rFonts w:hint="eastAsia"/>
                <w:color w:val="auto"/>
                <w:lang w:val="en-US" w:eastAsia="zh-CN"/>
              </w:rPr>
              <w:t>-N、TN、TP、SS</w:t>
            </w:r>
          </w:p>
        </w:tc>
        <w:tc>
          <w:tcPr>
            <w:tcW w:w="1968" w:type="dxa"/>
            <w:shd w:val="clear" w:color="auto" w:fill="auto"/>
            <w:vAlign w:val="center"/>
          </w:tcPr>
          <w:p w14:paraId="047F1DDC">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color w:val="auto"/>
                <w:lang w:val="en-US" w:eastAsia="zh-CN"/>
              </w:rPr>
              <w:t>生产废水经自建的三级沉淀池沉淀预处理后进入自建的一体化污水处理设施处理后排入园区污水管网经市政污水管网进入玉溪市第一、第三污水处理厂处理。</w:t>
            </w:r>
          </w:p>
        </w:tc>
        <w:tc>
          <w:tcPr>
            <w:tcW w:w="2904" w:type="dxa"/>
            <w:shd w:val="clear" w:color="auto" w:fill="auto"/>
            <w:vAlign w:val="center"/>
          </w:tcPr>
          <w:p w14:paraId="112B558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《酒类制造业水污染物排放标准》（GB 19821—2025）表1规定的间接排放限值标准《酒类制造业水污染物排放标准》（GB 19821—2025）表1规定的间接排放限值标准以及《污水综合排放标准》（GB8978-1996）表4三级标准及《污水排入城镇下水道水质标准》（GB/T31962-2015）表1 A等级标准三级标准从严值</w:t>
            </w:r>
          </w:p>
        </w:tc>
      </w:tr>
      <w:tr w14:paraId="60CD95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Merge w:val="continue"/>
            <w:vAlign w:val="center"/>
          </w:tcPr>
          <w:p w14:paraId="7ECCCB83">
            <w:pPr>
              <w:pStyle w:val="29"/>
              <w:rPr>
                <w:rFonts w:hint="default"/>
                <w:color w:val="auto"/>
              </w:rPr>
            </w:pPr>
          </w:p>
        </w:tc>
        <w:tc>
          <w:tcPr>
            <w:tcW w:w="1441" w:type="dxa"/>
            <w:shd w:val="clear" w:color="auto" w:fill="auto"/>
            <w:vAlign w:val="center"/>
          </w:tcPr>
          <w:p w14:paraId="2437DE0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eastAsia="宋体"/>
                <w:color w:val="auto"/>
                <w:lang w:eastAsia="zh-CN"/>
              </w:rPr>
              <w:t>雨水</w:t>
            </w:r>
          </w:p>
        </w:tc>
        <w:tc>
          <w:tcPr>
            <w:tcW w:w="1377" w:type="dxa"/>
            <w:shd w:val="clear" w:color="auto" w:fill="auto"/>
            <w:vAlign w:val="center"/>
          </w:tcPr>
          <w:p w14:paraId="1ECB4EC6">
            <w:pPr>
              <w:pStyle w:val="29"/>
              <w:ind w:firstLine="0" w:firstLineChars="0"/>
              <w:rPr>
                <w:rFonts w:hint="default" w:ascii="Times New Roman" w:hAnsi="Times New Roman" w:eastAsia="宋体" w:cs="Times New Roman"/>
                <w:b w:val="0"/>
                <w:color w:val="auto"/>
                <w:kern w:val="2"/>
                <w:sz w:val="21"/>
                <w:szCs w:val="21"/>
                <w:lang w:val="en-US" w:eastAsia="zh-CN" w:bidi="ar-SA"/>
              </w:rPr>
            </w:pPr>
            <w:r>
              <w:rPr>
                <w:rFonts w:hint="eastAsia" w:eastAsia="宋体"/>
                <w:color w:val="auto"/>
                <w:lang w:val="en-US" w:eastAsia="zh-CN"/>
              </w:rPr>
              <w:t>SS</w:t>
            </w:r>
          </w:p>
        </w:tc>
        <w:tc>
          <w:tcPr>
            <w:tcW w:w="1968" w:type="dxa"/>
            <w:shd w:val="clear" w:color="auto" w:fill="auto"/>
            <w:vAlign w:val="center"/>
          </w:tcPr>
          <w:p w14:paraId="4B46A3C8">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项目区雨水经厂房周边园区雨水沟流入市政雨水管网。</w:t>
            </w:r>
          </w:p>
        </w:tc>
        <w:tc>
          <w:tcPr>
            <w:tcW w:w="2904" w:type="dxa"/>
            <w:shd w:val="clear" w:color="auto" w:fill="auto"/>
            <w:vAlign w:val="center"/>
          </w:tcPr>
          <w:p w14:paraId="250CF4B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p>
        </w:tc>
      </w:tr>
      <w:tr w14:paraId="5CA2A6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Align w:val="center"/>
          </w:tcPr>
          <w:p w14:paraId="47A31BD7">
            <w:pPr>
              <w:pStyle w:val="29"/>
              <w:rPr>
                <w:rFonts w:hint="default"/>
                <w:color w:val="auto"/>
              </w:rPr>
            </w:pPr>
            <w:r>
              <w:rPr>
                <w:rFonts w:hint="default"/>
                <w:color w:val="auto"/>
              </w:rPr>
              <w:t>声环境</w:t>
            </w:r>
          </w:p>
        </w:tc>
        <w:tc>
          <w:tcPr>
            <w:tcW w:w="1441" w:type="dxa"/>
            <w:vAlign w:val="center"/>
          </w:tcPr>
          <w:p w14:paraId="6D758CC1">
            <w:pPr>
              <w:pStyle w:val="29"/>
              <w:rPr>
                <w:rFonts w:hint="default"/>
                <w:color w:val="auto"/>
              </w:rPr>
            </w:pPr>
            <w:r>
              <w:rPr>
                <w:rFonts w:hint="default"/>
                <w:color w:val="auto"/>
              </w:rPr>
              <w:t>生产设备</w:t>
            </w:r>
          </w:p>
        </w:tc>
        <w:tc>
          <w:tcPr>
            <w:tcW w:w="1377" w:type="dxa"/>
            <w:vAlign w:val="center"/>
          </w:tcPr>
          <w:p w14:paraId="0B48D19D">
            <w:pPr>
              <w:pStyle w:val="29"/>
              <w:rPr>
                <w:rFonts w:hint="default"/>
                <w:color w:val="auto"/>
              </w:rPr>
            </w:pPr>
            <w:r>
              <w:rPr>
                <w:rFonts w:hint="default"/>
                <w:color w:val="auto"/>
              </w:rPr>
              <w:t>噪声</w:t>
            </w:r>
          </w:p>
        </w:tc>
        <w:tc>
          <w:tcPr>
            <w:tcW w:w="1968" w:type="dxa"/>
            <w:vAlign w:val="center"/>
          </w:tcPr>
          <w:p w14:paraId="74BD565A">
            <w:pPr>
              <w:pStyle w:val="29"/>
              <w:rPr>
                <w:rFonts w:hint="default"/>
                <w:color w:val="auto"/>
              </w:rPr>
            </w:pPr>
            <w:r>
              <w:rPr>
                <w:rFonts w:hint="eastAsia"/>
                <w:color w:val="auto"/>
                <w:lang w:val="en-US" w:eastAsia="zh-CN"/>
              </w:rPr>
              <w:t>夜间22时至次日8时禁止生产；对高噪声、高振动设备底部设置减震基础进行降噪</w:t>
            </w:r>
            <w:r>
              <w:rPr>
                <w:rFonts w:hint="default"/>
                <w:color w:val="auto"/>
              </w:rPr>
              <w:t>距离衰减</w:t>
            </w:r>
          </w:p>
        </w:tc>
        <w:tc>
          <w:tcPr>
            <w:tcW w:w="2904" w:type="dxa"/>
            <w:vAlign w:val="center"/>
          </w:tcPr>
          <w:p w14:paraId="7ED819BA">
            <w:pPr>
              <w:pStyle w:val="29"/>
              <w:rPr>
                <w:rFonts w:hint="default"/>
                <w:color w:val="auto"/>
              </w:rPr>
            </w:pPr>
            <w:r>
              <w:rPr>
                <w:rFonts w:hint="default"/>
                <w:color w:val="auto"/>
              </w:rPr>
              <w:t>《工业企业厂界环境噪声排放标准》（GB12348-2008）</w:t>
            </w:r>
            <w:r>
              <w:rPr>
                <w:rFonts w:hint="eastAsia"/>
                <w:color w:val="auto"/>
                <w:lang w:val="en-US" w:eastAsia="zh-CN"/>
              </w:rPr>
              <w:t>3</w:t>
            </w:r>
            <w:r>
              <w:rPr>
                <w:rFonts w:hint="default"/>
                <w:color w:val="auto"/>
              </w:rPr>
              <w:t>类标准</w:t>
            </w:r>
          </w:p>
        </w:tc>
      </w:tr>
      <w:tr w14:paraId="3BFA26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Align w:val="center"/>
          </w:tcPr>
          <w:p w14:paraId="30840DF3">
            <w:pPr>
              <w:pStyle w:val="29"/>
              <w:rPr>
                <w:rFonts w:hint="default"/>
                <w:color w:val="auto"/>
              </w:rPr>
            </w:pPr>
            <w:r>
              <w:rPr>
                <w:rFonts w:hint="default"/>
                <w:color w:val="auto"/>
              </w:rPr>
              <w:t>固体废物</w:t>
            </w:r>
          </w:p>
        </w:tc>
        <w:tc>
          <w:tcPr>
            <w:tcW w:w="7690" w:type="dxa"/>
            <w:gridSpan w:val="4"/>
            <w:vAlign w:val="center"/>
          </w:tcPr>
          <w:p w14:paraId="58868EFB">
            <w:pPr>
              <w:pStyle w:val="29"/>
              <w:jc w:val="left"/>
              <w:rPr>
                <w:rFonts w:hint="eastAsia"/>
                <w:color w:val="auto"/>
                <w:lang w:eastAsia="zh-CN"/>
              </w:rPr>
            </w:pPr>
            <w:r>
              <w:rPr>
                <w:rFonts w:hint="eastAsia"/>
                <w:color w:val="auto"/>
                <w:lang w:eastAsia="zh-CN"/>
              </w:rPr>
              <w:t>（1）生活垃圾：由当地环卫部门统一处置；</w:t>
            </w:r>
          </w:p>
          <w:p w14:paraId="23EF002A">
            <w:pPr>
              <w:pStyle w:val="29"/>
              <w:jc w:val="left"/>
              <w:rPr>
                <w:rFonts w:hint="eastAsia"/>
                <w:color w:val="auto"/>
                <w:lang w:eastAsia="zh-CN"/>
              </w:rPr>
            </w:pPr>
            <w:r>
              <w:rPr>
                <w:rFonts w:hint="eastAsia"/>
                <w:color w:val="auto"/>
                <w:lang w:eastAsia="zh-CN"/>
              </w:rPr>
              <w:t>（2）麦糟、酒花槽、废酵母：进入密闭设计的麦槽罐贮存后定向外售至已取得饲料生产合法资质的饲料加工企业，或具备规模化养殖资质、配套合规饲料加工车间的养殖场，作为饲料生产原料实现全量资源化利用，不交由无资质散户零散收购处置，即产即清。</w:t>
            </w:r>
          </w:p>
          <w:p w14:paraId="5B43A491">
            <w:pPr>
              <w:pStyle w:val="29"/>
              <w:jc w:val="left"/>
              <w:rPr>
                <w:rFonts w:hint="eastAsia"/>
                <w:color w:val="auto"/>
                <w:lang w:eastAsia="zh-CN"/>
              </w:rPr>
            </w:pPr>
            <w:r>
              <w:rPr>
                <w:rFonts w:hint="eastAsia"/>
                <w:color w:val="auto"/>
                <w:lang w:eastAsia="zh-CN"/>
              </w:rPr>
              <w:t>（3）除尘灰：统一收集后外售；</w:t>
            </w:r>
          </w:p>
          <w:p w14:paraId="3127B6FB">
            <w:pPr>
              <w:pStyle w:val="29"/>
              <w:jc w:val="left"/>
              <w:rPr>
                <w:rFonts w:hint="eastAsia"/>
                <w:color w:val="auto"/>
                <w:lang w:eastAsia="zh-CN"/>
              </w:rPr>
            </w:pPr>
            <w:r>
              <w:rPr>
                <w:rFonts w:hint="eastAsia"/>
                <w:color w:val="auto"/>
                <w:lang w:eastAsia="zh-CN"/>
              </w:rPr>
              <w:t>（4）废弃包装物：由当地环卫部门统一处置；</w:t>
            </w:r>
          </w:p>
          <w:p w14:paraId="63055670">
            <w:pPr>
              <w:pStyle w:val="29"/>
              <w:jc w:val="left"/>
              <w:rPr>
                <w:rFonts w:hint="eastAsia"/>
                <w:color w:val="auto"/>
                <w:lang w:eastAsia="zh-CN"/>
              </w:rPr>
            </w:pPr>
            <w:r>
              <w:rPr>
                <w:rFonts w:hint="eastAsia"/>
                <w:color w:val="auto"/>
                <w:lang w:eastAsia="zh-CN"/>
              </w:rPr>
              <w:t>（5）化粪池污泥：委托环卫部门清掏处理；</w:t>
            </w:r>
          </w:p>
          <w:p w14:paraId="040707A2">
            <w:pPr>
              <w:pStyle w:val="29"/>
              <w:jc w:val="left"/>
              <w:rPr>
                <w:rFonts w:hint="eastAsia"/>
                <w:color w:val="auto"/>
                <w:lang w:eastAsia="zh-CN"/>
              </w:rPr>
            </w:pPr>
            <w:r>
              <w:rPr>
                <w:rFonts w:hint="eastAsia"/>
                <w:color w:val="auto"/>
                <w:lang w:eastAsia="zh-CN"/>
              </w:rPr>
              <w:t>（6）污水处理站污泥：委托环卫部门清掏处理；</w:t>
            </w:r>
          </w:p>
          <w:p w14:paraId="1FC3F2C1">
            <w:pPr>
              <w:pStyle w:val="29"/>
              <w:jc w:val="left"/>
              <w:rPr>
                <w:rFonts w:hint="default"/>
                <w:color w:val="auto"/>
                <w:lang w:val="en-US" w:eastAsia="zh-CN"/>
              </w:rPr>
            </w:pPr>
            <w:r>
              <w:rPr>
                <w:rFonts w:hint="eastAsia"/>
                <w:color w:val="auto"/>
                <w:lang w:eastAsia="zh-CN"/>
              </w:rPr>
              <w:t>（</w:t>
            </w:r>
            <w:r>
              <w:rPr>
                <w:rFonts w:hint="eastAsia"/>
                <w:color w:val="auto"/>
                <w:lang w:val="en-US" w:eastAsia="zh-CN"/>
              </w:rPr>
              <w:t>7</w:t>
            </w:r>
            <w:r>
              <w:rPr>
                <w:rFonts w:hint="eastAsia"/>
                <w:color w:val="auto"/>
                <w:lang w:eastAsia="zh-CN"/>
              </w:rPr>
              <w:t>）</w:t>
            </w:r>
            <w:r>
              <w:rPr>
                <w:rFonts w:hint="eastAsia"/>
                <w:color w:val="auto"/>
                <w:lang w:val="en-US" w:eastAsia="zh-CN"/>
              </w:rPr>
              <w:t>废布袋：由当地环卫部门统一处置</w:t>
            </w:r>
          </w:p>
          <w:p w14:paraId="5F3B107B">
            <w:pPr>
              <w:pStyle w:val="29"/>
              <w:jc w:val="left"/>
              <w:rPr>
                <w:rFonts w:hint="eastAsia"/>
                <w:color w:val="auto"/>
                <w:lang w:eastAsia="zh-CN"/>
              </w:rPr>
            </w:pPr>
            <w:r>
              <w:rPr>
                <w:rFonts w:hint="eastAsia"/>
                <w:color w:val="auto"/>
                <w:lang w:eastAsia="zh-CN"/>
              </w:rPr>
              <w:t>（</w:t>
            </w:r>
            <w:r>
              <w:rPr>
                <w:rFonts w:hint="eastAsia"/>
                <w:color w:val="auto"/>
                <w:lang w:val="en-US" w:eastAsia="zh-CN"/>
              </w:rPr>
              <w:t>8</w:t>
            </w:r>
            <w:r>
              <w:rPr>
                <w:rFonts w:hint="eastAsia"/>
                <w:color w:val="auto"/>
                <w:lang w:eastAsia="zh-CN"/>
              </w:rPr>
              <w:t>）废滤芯、废石英砂、废RO膜：设备厂家更换回收处理</w:t>
            </w:r>
          </w:p>
          <w:p w14:paraId="14D61E95">
            <w:pPr>
              <w:pStyle w:val="29"/>
              <w:jc w:val="left"/>
              <w:rPr>
                <w:rFonts w:hint="eastAsia" w:eastAsia="宋体"/>
                <w:color w:val="auto"/>
                <w:lang w:eastAsia="zh-CN"/>
              </w:rPr>
            </w:pPr>
            <w:r>
              <w:rPr>
                <w:rFonts w:hint="eastAsia"/>
                <w:color w:val="auto"/>
                <w:lang w:eastAsia="zh-CN"/>
              </w:rPr>
              <w:t>（</w:t>
            </w:r>
            <w:r>
              <w:rPr>
                <w:rFonts w:hint="eastAsia"/>
                <w:color w:val="auto"/>
                <w:lang w:val="en-US" w:eastAsia="zh-CN"/>
              </w:rPr>
              <w:t>9</w:t>
            </w:r>
            <w:r>
              <w:rPr>
                <w:rFonts w:hint="eastAsia"/>
                <w:color w:val="auto"/>
                <w:lang w:eastAsia="zh-CN"/>
              </w:rPr>
              <w:t>）废机油、废油桶、</w:t>
            </w:r>
            <w:r>
              <w:rPr>
                <w:rFonts w:hint="eastAsia"/>
                <w:color w:val="auto"/>
                <w:lang w:val="en-US" w:eastAsia="zh-CN"/>
              </w:rPr>
              <w:t>酸碱废液</w:t>
            </w:r>
            <w:r>
              <w:rPr>
                <w:rFonts w:hint="eastAsia"/>
                <w:color w:val="auto"/>
                <w:lang w:eastAsia="zh-CN"/>
              </w:rPr>
              <w:t>：由专用收集桶收集后暂存于危废暂存间内，定期交由有资质的单位转移进行处置。</w:t>
            </w:r>
          </w:p>
        </w:tc>
      </w:tr>
      <w:tr w14:paraId="504682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Align w:val="center"/>
          </w:tcPr>
          <w:p w14:paraId="04350E00">
            <w:pPr>
              <w:pStyle w:val="29"/>
              <w:rPr>
                <w:rFonts w:hint="default"/>
                <w:color w:val="auto"/>
              </w:rPr>
            </w:pPr>
            <w:r>
              <w:rPr>
                <w:rFonts w:hint="default"/>
                <w:color w:val="auto"/>
              </w:rPr>
              <w:t>土壤及地下水污染防治措施</w:t>
            </w:r>
          </w:p>
        </w:tc>
        <w:tc>
          <w:tcPr>
            <w:tcW w:w="7690" w:type="dxa"/>
            <w:gridSpan w:val="4"/>
            <w:vAlign w:val="center"/>
          </w:tcPr>
          <w:p w14:paraId="3C8DEB4D">
            <w:pPr>
              <w:pStyle w:val="29"/>
              <w:jc w:val="left"/>
              <w:rPr>
                <w:rFonts w:hint="eastAsia" w:ascii="Times New Roman" w:hAnsi="Times New Roman" w:eastAsia="宋体" w:cs="Times New Roman"/>
                <w:color w:val="auto"/>
                <w:lang w:val="en-US" w:eastAsia="zh-CN"/>
              </w:rPr>
            </w:pPr>
            <w:r>
              <w:rPr>
                <w:rFonts w:hint="eastAsia" w:cs="Times New Roman"/>
                <w:color w:val="auto"/>
                <w:sz w:val="21"/>
                <w:szCs w:val="21"/>
                <w:lang w:eastAsia="zh-CN"/>
              </w:rPr>
              <w:t>（</w:t>
            </w:r>
            <w:r>
              <w:rPr>
                <w:rFonts w:hint="eastAsia" w:ascii="Times New Roman" w:hAnsi="Times New Roman" w:eastAsia="宋体" w:cs="Times New Roman"/>
                <w:color w:val="auto"/>
                <w:lang w:val="en-US" w:eastAsia="zh-CN"/>
              </w:rPr>
              <w:t>1）重点防渗区：危废暂存间按照《</w:t>
            </w:r>
            <w:r>
              <w:rPr>
                <w:rFonts w:hint="eastAsia" w:cs="Times New Roman"/>
                <w:color w:val="auto"/>
                <w:lang w:val="en-US" w:eastAsia="zh-CN"/>
              </w:rPr>
              <w:t>危险废物贮存污染控制标准</w:t>
            </w:r>
            <w:r>
              <w:rPr>
                <w:rFonts w:hint="eastAsia" w:ascii="Times New Roman" w:hAnsi="Times New Roman" w:eastAsia="宋体" w:cs="Times New Roman"/>
                <w:color w:val="auto"/>
                <w:lang w:val="en-US" w:eastAsia="zh-CN"/>
              </w:rPr>
              <w:t>》（GB18597-2023）中基础必须防渗，防渗层为至少1m厚</w:t>
            </w:r>
            <w:r>
              <w:rPr>
                <w:rFonts w:hint="eastAsia" w:cs="Times New Roman"/>
                <w:color w:val="auto"/>
                <w:lang w:val="en-US" w:eastAsia="zh-CN"/>
              </w:rPr>
              <w:t>黏土</w:t>
            </w:r>
            <w:r>
              <w:rPr>
                <w:rFonts w:hint="eastAsia" w:ascii="Times New Roman" w:hAnsi="Times New Roman" w:eastAsia="宋体" w:cs="Times New Roman"/>
                <w:color w:val="auto"/>
                <w:lang w:val="en-US" w:eastAsia="zh-CN"/>
              </w:rPr>
              <w:t>层(渗透系数≤10</w:t>
            </w:r>
            <w:r>
              <w:rPr>
                <w:rFonts w:hint="eastAsia" w:ascii="Times New Roman" w:hAnsi="Times New Roman" w:eastAsia="宋体" w:cs="Times New Roman"/>
                <w:color w:val="auto"/>
                <w:vertAlign w:val="superscript"/>
                <w:lang w:val="en-US" w:eastAsia="zh-CN"/>
              </w:rPr>
              <w:t>-7</w:t>
            </w:r>
            <w:r>
              <w:rPr>
                <w:rFonts w:hint="eastAsia" w:ascii="Times New Roman" w:hAnsi="Times New Roman" w:eastAsia="宋体" w:cs="Times New Roman"/>
                <w:color w:val="auto"/>
                <w:lang w:val="en-US" w:eastAsia="zh-CN"/>
              </w:rPr>
              <w:t>cm/s)，或2mm厚高密度聚乙烯，或至少2mm厚的其它人工材料，渗透系数≤10</w:t>
            </w:r>
            <w:r>
              <w:rPr>
                <w:rFonts w:hint="eastAsia" w:ascii="Times New Roman" w:hAnsi="Times New Roman" w:eastAsia="宋体" w:cs="Times New Roman"/>
                <w:color w:val="auto"/>
                <w:vertAlign w:val="superscript"/>
                <w:lang w:val="en-US" w:eastAsia="zh-CN"/>
              </w:rPr>
              <w:t>-10</w:t>
            </w:r>
            <w:r>
              <w:rPr>
                <w:rFonts w:hint="eastAsia" w:ascii="Times New Roman" w:hAnsi="Times New Roman" w:eastAsia="宋体" w:cs="Times New Roman"/>
                <w:color w:val="auto"/>
                <w:lang w:val="en-US" w:eastAsia="zh-CN"/>
              </w:rPr>
              <w:t>cm/s进行防渗；</w:t>
            </w:r>
          </w:p>
          <w:p w14:paraId="066E8271">
            <w:pPr>
              <w:pStyle w:val="29"/>
              <w:jc w:val="left"/>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（2）一般防渗区：</w:t>
            </w:r>
            <w:r>
              <w:rPr>
                <w:rFonts w:hint="eastAsia" w:cs="Times New Roman"/>
                <w:color w:val="auto"/>
                <w:lang w:val="en-US" w:eastAsia="zh-CN"/>
              </w:rPr>
              <w:t>沉淀池、化粪池、一体化污水处理设备、事故池</w:t>
            </w:r>
            <w:r>
              <w:rPr>
                <w:rFonts w:hint="eastAsia" w:ascii="Times New Roman" w:hAnsi="Times New Roman" w:eastAsia="宋体" w:cs="Times New Roman"/>
                <w:color w:val="auto"/>
                <w:lang w:val="en-US" w:eastAsia="zh-CN"/>
              </w:rPr>
              <w:t>，满足</w:t>
            </w:r>
            <w:r>
              <w:rPr>
                <w:rFonts w:hint="default" w:ascii="Times New Roman" w:hAnsi="Times New Roman" w:eastAsia="宋体" w:cs="Times New Roman"/>
                <w:color w:val="auto"/>
                <w:lang w:val="en-US" w:eastAsia="zh-CN"/>
              </w:rPr>
              <w:t>等效黏土防渗层厚度Mb≥1.5m，渗透系数K≤1.0×10</w:t>
            </w:r>
            <w:r>
              <w:rPr>
                <w:rFonts w:hint="default" w:ascii="Times New Roman" w:hAnsi="Times New Roman" w:eastAsia="宋体" w:cs="Times New Roman"/>
                <w:color w:val="auto"/>
                <w:vertAlign w:val="superscript"/>
                <w:lang w:val="en-US" w:eastAsia="zh-CN"/>
              </w:rPr>
              <w:t>-7</w:t>
            </w:r>
            <w:r>
              <w:rPr>
                <w:rFonts w:hint="default" w:ascii="Times New Roman" w:hAnsi="Times New Roman" w:eastAsia="宋体" w:cs="Times New Roman"/>
                <w:color w:val="auto"/>
                <w:lang w:val="en-US" w:eastAsia="zh-CN"/>
              </w:rPr>
              <w:t>cm/s</w:t>
            </w:r>
            <w:r>
              <w:rPr>
                <w:rFonts w:hint="eastAsia" w:ascii="Times New Roman" w:hAnsi="Times New Roman" w:eastAsia="宋体" w:cs="Times New Roman"/>
                <w:color w:val="auto"/>
                <w:lang w:val="en-US" w:eastAsia="zh-CN"/>
              </w:rPr>
              <w:t>；</w:t>
            </w:r>
          </w:p>
          <w:p w14:paraId="37A59C62">
            <w:pPr>
              <w:pStyle w:val="29"/>
              <w:jc w:val="left"/>
              <w:rPr>
                <w:rFonts w:hint="default"/>
                <w:color w:val="auto"/>
              </w:rPr>
            </w:pPr>
            <w:r>
              <w:rPr>
                <w:rFonts w:hint="eastAsia" w:ascii="Times New Roman" w:hAnsi="Times New Roman" w:eastAsia="宋体" w:cs="Times New Roman"/>
                <w:color w:val="auto"/>
                <w:lang w:val="en-US" w:eastAsia="zh-CN"/>
              </w:rPr>
              <w:t>（3）简单防渗区：</w:t>
            </w:r>
            <w:r>
              <w:rPr>
                <w:rFonts w:hint="eastAsia"/>
                <w:color w:val="auto"/>
                <w:lang w:val="en-US" w:eastAsia="zh-CN"/>
              </w:rPr>
              <w:t>办公区、生产车间、厂内道路</w:t>
            </w:r>
            <w:r>
              <w:rPr>
                <w:rFonts w:hint="eastAsia" w:ascii="Times New Roman" w:hAnsi="Times New Roman" w:eastAsia="宋体" w:cs="Times New Roman"/>
                <w:color w:val="auto"/>
                <w:lang w:val="en-US" w:eastAsia="zh-CN"/>
              </w:rPr>
              <w:t>防渗技术要求为地面硬化。</w:t>
            </w:r>
          </w:p>
        </w:tc>
      </w:tr>
      <w:tr w14:paraId="0A90C3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Align w:val="center"/>
          </w:tcPr>
          <w:p w14:paraId="39F9BD4A">
            <w:pPr>
              <w:pStyle w:val="29"/>
              <w:rPr>
                <w:rFonts w:hint="default"/>
                <w:color w:val="auto"/>
              </w:rPr>
            </w:pPr>
            <w:r>
              <w:rPr>
                <w:rFonts w:hint="default"/>
                <w:color w:val="auto"/>
              </w:rPr>
              <w:t>环境风险</w:t>
            </w:r>
          </w:p>
          <w:p w14:paraId="60E50F2B">
            <w:pPr>
              <w:pStyle w:val="29"/>
              <w:rPr>
                <w:rFonts w:hint="default"/>
                <w:color w:val="auto"/>
              </w:rPr>
            </w:pPr>
            <w:r>
              <w:rPr>
                <w:rFonts w:hint="default"/>
                <w:color w:val="auto"/>
              </w:rPr>
              <w:t>防范措施</w:t>
            </w:r>
          </w:p>
        </w:tc>
        <w:tc>
          <w:tcPr>
            <w:tcW w:w="7690" w:type="dxa"/>
            <w:gridSpan w:val="4"/>
            <w:vAlign w:val="center"/>
          </w:tcPr>
          <w:p w14:paraId="2EBDAEF0">
            <w:pPr>
              <w:pStyle w:val="29"/>
              <w:jc w:val="left"/>
              <w:rPr>
                <w:rFonts w:hint="default"/>
                <w:color w:val="auto"/>
              </w:rPr>
            </w:pPr>
            <w:r>
              <w:rPr>
                <w:rFonts w:hint="eastAsia"/>
                <w:color w:val="auto"/>
              </w:rPr>
              <w:t>定期对废气收集排放系统和废水收集处理系统定期进行检修维护；在相应风险单元配备相应急物资，以提高企业应对突发环境事故的能力。项目在落实相应风险防范和控制措施的情况下，总体环境风险可控。</w:t>
            </w:r>
          </w:p>
        </w:tc>
      </w:tr>
      <w:tr w14:paraId="20915B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10" w:type="dxa"/>
            <w:vAlign w:val="center"/>
          </w:tcPr>
          <w:p w14:paraId="7B4552E7">
            <w:pPr>
              <w:pStyle w:val="29"/>
              <w:rPr>
                <w:rFonts w:hint="default"/>
                <w:color w:val="auto"/>
              </w:rPr>
            </w:pPr>
            <w:r>
              <w:rPr>
                <w:rFonts w:hint="default"/>
                <w:color w:val="auto"/>
              </w:rPr>
              <w:t>其他环境</w:t>
            </w:r>
          </w:p>
          <w:p w14:paraId="2BD6F633">
            <w:pPr>
              <w:pStyle w:val="29"/>
              <w:rPr>
                <w:rFonts w:hint="default"/>
                <w:color w:val="auto"/>
              </w:rPr>
            </w:pPr>
            <w:r>
              <w:rPr>
                <w:rFonts w:hint="default"/>
                <w:color w:val="auto"/>
              </w:rPr>
              <w:t>管理要求</w:t>
            </w:r>
          </w:p>
        </w:tc>
        <w:tc>
          <w:tcPr>
            <w:tcW w:w="7690" w:type="dxa"/>
            <w:gridSpan w:val="4"/>
            <w:vAlign w:val="center"/>
          </w:tcPr>
          <w:p w14:paraId="7DB6C1C3">
            <w:pPr>
              <w:pStyle w:val="29"/>
              <w:jc w:val="left"/>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根据《固定污染源排污许可分类管理名录（2019年版）》执行相关排污管理。</w:t>
            </w:r>
          </w:p>
          <w:p w14:paraId="0EA0F708">
            <w:pPr>
              <w:pStyle w:val="29"/>
              <w:jc w:val="left"/>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2</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根据《建设项目竣工环境保护验收暂行办法》的规定，建设项目竣工后，建设单位应当如实查验、监测、记载建设项目环境保护设施的建设和调试情况，编制验收监测报告。</w:t>
            </w:r>
          </w:p>
          <w:p w14:paraId="6F57D037">
            <w:pPr>
              <w:pStyle w:val="29"/>
              <w:jc w:val="left"/>
              <w:rPr>
                <w:rFonts w:hint="default" w:ascii="Times New Roman" w:hAnsi="Times New Roman" w:eastAsia="宋体" w:cs="Times New Roman"/>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rPr>
              <w:t>按照要求做好开展台帐记录、自行监测等，建立环境保护制度。</w:t>
            </w:r>
          </w:p>
          <w:p w14:paraId="5D36EFB5">
            <w:pPr>
              <w:pStyle w:val="29"/>
              <w:jc w:val="left"/>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rPr>
              <w:t>）加强宣传教育，增强工作人员安全责任意识。</w:t>
            </w:r>
          </w:p>
          <w:p w14:paraId="061E18A2">
            <w:pPr>
              <w:pStyle w:val="29"/>
              <w:jc w:val="left"/>
              <w:rPr>
                <w:rFonts w:hint="default" w:ascii="Times New Roman" w:hAnsi="Times New Roman" w:eastAsia="宋体" w:cs="Times New Roman"/>
                <w:color w:val="auto"/>
              </w:rPr>
            </w:pPr>
            <w:r>
              <w:rPr>
                <w:rFonts w:hint="default" w:ascii="Times New Roman" w:hAnsi="Times New Roman" w:eastAsia="宋体" w:cs="Times New Roman"/>
                <w:color w:val="auto"/>
              </w:rPr>
              <w:t>（</w:t>
            </w:r>
            <w:r>
              <w:rPr>
                <w:rFonts w:hint="eastAsia" w:ascii="Times New Roman" w:hAnsi="Times New Roman" w:eastAsia="宋体" w:cs="Times New Roman"/>
                <w:color w:val="auto"/>
                <w:lang w:val="en-US" w:eastAsia="zh-CN"/>
              </w:rPr>
              <w:t>5</w:t>
            </w:r>
            <w:r>
              <w:rPr>
                <w:rFonts w:hint="default" w:ascii="Times New Roman" w:hAnsi="Times New Roman" w:eastAsia="宋体" w:cs="Times New Roman"/>
                <w:color w:val="auto"/>
              </w:rPr>
              <w:t>）对项目区设备定期进行维修和保养，保证设备的正常运行。</w:t>
            </w:r>
          </w:p>
          <w:p w14:paraId="2E7FC218">
            <w:pPr>
              <w:pStyle w:val="29"/>
              <w:jc w:val="left"/>
              <w:rPr>
                <w:rFonts w:hint="default" w:ascii="Times New Roman" w:hAnsi="Times New Roman" w:eastAsia="宋体" w:cs="Times New Roman"/>
                <w:color w:val="auto"/>
                <w:lang w:eastAsia="zh-CN"/>
              </w:rPr>
            </w:pP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6</w:t>
            </w:r>
            <w:r>
              <w:rPr>
                <w:rFonts w:hint="eastAsia" w:ascii="Times New Roman" w:hAnsi="Times New Roman" w:eastAsia="宋体" w:cs="Times New Roman"/>
                <w:color w:val="auto"/>
              </w:rPr>
              <w:t>）</w:t>
            </w:r>
            <w:r>
              <w:rPr>
                <w:rFonts w:hint="default" w:ascii="Times New Roman" w:hAnsi="Times New Roman" w:eastAsia="宋体" w:cs="Times New Roman"/>
                <w:color w:val="auto"/>
              </w:rPr>
              <w:t>重视厂周边的绿化，以改善区域内生态环境，尽量减少项目对周边环境的不利</w:t>
            </w:r>
            <w:r>
              <w:rPr>
                <w:rFonts w:hint="default" w:ascii="Times New Roman" w:hAnsi="Times New Roman" w:eastAsia="宋体" w:cs="Times New Roman"/>
                <w:color w:val="auto"/>
                <w:lang w:eastAsia="zh-CN"/>
              </w:rPr>
              <w:t>影响。</w:t>
            </w:r>
          </w:p>
          <w:p w14:paraId="73002A90">
            <w:pPr>
              <w:pStyle w:val="29"/>
              <w:jc w:val="left"/>
              <w:rPr>
                <w:rFonts w:hint="default"/>
                <w:color w:val="auto"/>
              </w:rPr>
            </w:pP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7</w:t>
            </w:r>
            <w:r>
              <w:rPr>
                <w:rFonts w:hint="eastAsia" w:ascii="Times New Roman" w:hAnsi="Times New Roman" w:eastAsia="宋体" w:cs="Times New Roman"/>
                <w:color w:val="auto"/>
                <w:lang w:eastAsia="zh-CN"/>
              </w:rPr>
              <w:t>）</w:t>
            </w:r>
            <w:r>
              <w:rPr>
                <w:rFonts w:hint="default" w:ascii="Times New Roman" w:hAnsi="Times New Roman" w:eastAsia="宋体" w:cs="Times New Roman"/>
                <w:color w:val="auto"/>
                <w:lang w:eastAsia="zh-CN"/>
              </w:rPr>
              <w:t>严格落实风险防范措施，强化日常安全检查和风险排查。</w:t>
            </w:r>
          </w:p>
        </w:tc>
      </w:tr>
      <w:tr w14:paraId="027440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00" w:type="dxa"/>
            <w:gridSpan w:val="5"/>
            <w:vAlign w:val="center"/>
          </w:tcPr>
          <w:p w14:paraId="7AB02FB9">
            <w:pPr>
              <w:pStyle w:val="29"/>
              <w:jc w:val="left"/>
              <w:rPr>
                <w:rFonts w:hint="default" w:ascii="Times New Roman" w:hAnsi="Times New Roman" w:eastAsia="宋体" w:cs="Times New Roman"/>
                <w:color w:val="auto"/>
                <w:lang w:val="en-US" w:eastAsia="zh-CN"/>
              </w:rPr>
            </w:pPr>
            <w:r>
              <w:rPr>
                <w:rFonts w:hint="eastAsia" w:cs="Times New Roman"/>
                <w:color w:val="auto"/>
                <w:lang w:val="en-US" w:eastAsia="zh-CN"/>
              </w:rPr>
              <w:t>注：本项目制冷系统制冷剂为全密闭循环使用，运行过程无主动排放，维修报废阶段委托合规单位回收处置，不纳入全厂常规污染物排放量汇总。</w:t>
            </w:r>
          </w:p>
        </w:tc>
      </w:tr>
    </w:tbl>
    <w:p w14:paraId="18310CAC">
      <w:pPr>
        <w:pStyle w:val="2"/>
        <w:numPr>
          <w:ilvl w:val="0"/>
          <w:numId w:val="5"/>
        </w:numPr>
        <w:rPr>
          <w:color w:val="auto"/>
        </w:rPr>
      </w:pPr>
      <w:bookmarkStart w:id="15" w:name="_Toc6146"/>
      <w:r>
        <w:rPr>
          <w:rFonts w:hint="eastAsia"/>
          <w:color w:val="auto"/>
        </w:rPr>
        <w:t>结论</w:t>
      </w:r>
      <w:bookmarkEnd w:id="15"/>
    </w:p>
    <w:tbl>
      <w:tblPr>
        <w:tblStyle w:val="23"/>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7711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0" w:type="dxa"/>
          </w:tcPr>
          <w:p w14:paraId="17373DE2">
            <w:pPr>
              <w:keepNext w:val="0"/>
              <w:keepLines w:val="0"/>
              <w:pageBreakBefore w:val="0"/>
              <w:widowControl w:val="0"/>
              <w:kinsoku/>
              <w:wordWrap/>
              <w:overflowPunct/>
              <w:topLinePunct w:val="0"/>
              <w:autoSpaceDE/>
              <w:autoSpaceDN/>
              <w:bidi w:val="0"/>
              <w:adjustRightInd/>
              <w:snapToGrid/>
              <w:spacing w:line="360" w:lineRule="auto"/>
              <w:ind w:firstLine="472" w:firstLineChars="200"/>
              <w:jc w:val="both"/>
              <w:textAlignment w:val="auto"/>
              <w:rPr>
                <w:color w:val="auto"/>
                <w:sz w:val="24"/>
                <w:szCs w:val="24"/>
              </w:rPr>
            </w:pPr>
            <w:r>
              <w:rPr>
                <w:rFonts w:hint="default" w:ascii="Times New Roman" w:hAnsi="Times New Roman" w:eastAsia="宋体" w:cs="Times New Roman"/>
                <w:color w:val="auto"/>
                <w:spacing w:val="-2"/>
                <w:sz w:val="24"/>
                <w:szCs w:val="24"/>
              </w:rPr>
              <w:t>本项目建设符合</w:t>
            </w:r>
            <w:r>
              <w:rPr>
                <w:rFonts w:hint="eastAsia"/>
                <w:color w:val="auto"/>
                <w:kern w:val="0"/>
                <w:sz w:val="24"/>
              </w:rPr>
              <w:t>国家现行的产业政策</w:t>
            </w:r>
            <w:r>
              <w:rPr>
                <w:rFonts w:hint="eastAsia"/>
                <w:color w:val="auto"/>
                <w:kern w:val="0"/>
                <w:sz w:val="24"/>
                <w:lang w:eastAsia="zh-CN"/>
              </w:rPr>
              <w:t>，</w:t>
            </w:r>
            <w:r>
              <w:rPr>
                <w:rFonts w:hint="eastAsia" w:cs="Times New Roman"/>
                <w:color w:val="auto"/>
                <w:kern w:val="0"/>
                <w:sz w:val="24"/>
                <w:szCs w:val="24"/>
                <w:lang w:val="en-US" w:eastAsia="zh-CN" w:bidi="ar-SA"/>
              </w:rPr>
              <w:t>符合玉溪市生态环境分区管控实施意见的通知的要求，符合玉溪市生态环境分区管控动态更新调整方案中的要求，项目运营期无废水外排，不涉及高原湖泊</w:t>
            </w:r>
            <w:r>
              <w:rPr>
                <w:rFonts w:ascii="宋体" w:hAnsi="宋体" w:cs="宋体"/>
                <w:snapToGrid w:val="0"/>
                <w:color w:val="auto"/>
                <w:kern w:val="0"/>
                <w:sz w:val="24"/>
                <w:szCs w:val="24"/>
              </w:rPr>
              <w:t>水体污染</w:t>
            </w:r>
            <w:r>
              <w:rPr>
                <w:rFonts w:hint="eastAsia" w:cs="Times New Roman"/>
                <w:color w:val="auto"/>
                <w:kern w:val="0"/>
                <w:sz w:val="24"/>
                <w:szCs w:val="24"/>
                <w:lang w:val="en-US" w:eastAsia="zh-CN" w:bidi="ar-SA"/>
              </w:rPr>
              <w:t>问题，</w:t>
            </w:r>
            <w:r>
              <w:rPr>
                <w:rFonts w:hint="eastAsia" w:ascii="Times New Roman" w:hAnsi="Times New Roman" w:eastAsia="宋体" w:cs="Times New Roman"/>
                <w:color w:val="auto"/>
                <w:kern w:val="0"/>
                <w:sz w:val="24"/>
                <w:szCs w:val="24"/>
                <w:lang w:val="en-US" w:eastAsia="zh-CN" w:bidi="ar-SA"/>
              </w:rPr>
              <w:t>与云南省生态功能区划基本符合，</w:t>
            </w:r>
            <w:r>
              <w:rPr>
                <w:rFonts w:hint="eastAsia"/>
                <w:color w:val="auto"/>
                <w:sz w:val="24"/>
                <w:szCs w:val="24"/>
                <w:lang w:val="en-US" w:eastAsia="zh-CN"/>
              </w:rPr>
              <w:t>项目</w:t>
            </w:r>
            <w:r>
              <w:rPr>
                <w:color w:val="auto"/>
                <w:sz w:val="24"/>
                <w:szCs w:val="24"/>
              </w:rPr>
              <w:t>选址不涉及文物保护单位、自然保护区、风景名胜区、森林公园等环境敏感区和特殊功能生态区，</w:t>
            </w:r>
            <w:r>
              <w:rPr>
                <w:rFonts w:hint="eastAsia"/>
                <w:color w:val="auto"/>
                <w:sz w:val="24"/>
              </w:rPr>
              <w:t>项目用地合理，环境不敏感，项目建成后对周边企业造成的环境影响是可以接受的，与周边环境相容。项目内各功能区划分明确，平面布置合理。</w:t>
            </w:r>
          </w:p>
          <w:p w14:paraId="47CF76F7">
            <w:pPr>
              <w:ind w:firstLine="480"/>
              <w:rPr>
                <w:rFonts w:cs="Times New Roman"/>
                <w:color w:val="auto"/>
              </w:rPr>
            </w:pPr>
            <w:r>
              <w:rPr>
                <w:rFonts w:hint="eastAsia"/>
                <w:color w:val="auto"/>
                <w:sz w:val="24"/>
              </w:rPr>
              <w:t>本项目</w:t>
            </w:r>
            <w:r>
              <w:rPr>
                <w:rFonts w:hint="default" w:ascii="Times New Roman" w:hAnsi="Times New Roman" w:eastAsia="宋体" w:cs="Times New Roman"/>
                <w:color w:val="auto"/>
                <w:spacing w:val="-2"/>
                <w:sz w:val="24"/>
                <w:szCs w:val="24"/>
              </w:rPr>
              <w:t>施工期和运营期产生的各类污染物对生态环境、水环境、噪声和大气环境造成的负面影响较小，通过采取相应的防治措施减缓和恢复后，可满足国家环保的相关标准要求，</w:t>
            </w:r>
            <w:r>
              <w:rPr>
                <w:rFonts w:hint="eastAsia"/>
                <w:color w:val="auto"/>
                <w:sz w:val="24"/>
              </w:rPr>
              <w:t>不会改变区域环境空气、地表水体、声环境</w:t>
            </w:r>
            <w:r>
              <w:rPr>
                <w:rFonts w:hint="eastAsia"/>
                <w:color w:val="auto"/>
                <w:sz w:val="24"/>
                <w:lang w:val="en-US" w:eastAsia="zh-CN"/>
              </w:rPr>
              <w:t>的</w:t>
            </w:r>
            <w:r>
              <w:rPr>
                <w:rFonts w:hint="eastAsia"/>
                <w:color w:val="auto"/>
                <w:sz w:val="24"/>
              </w:rPr>
              <w:t>功能要求，环境质量现状不会发生明显变化</w:t>
            </w:r>
            <w:r>
              <w:rPr>
                <w:rFonts w:hint="default" w:ascii="Times New Roman" w:hAnsi="Times New Roman" w:eastAsia="宋体" w:cs="Times New Roman"/>
                <w:color w:val="auto"/>
                <w:spacing w:val="-2"/>
                <w:sz w:val="24"/>
                <w:szCs w:val="24"/>
              </w:rPr>
              <w:t>。本项目严格按照报告表提出的环保防治措施要求，加强环境管理</w:t>
            </w:r>
            <w:r>
              <w:rPr>
                <w:rFonts w:hint="eastAsia" w:cs="Times New Roman"/>
                <w:color w:val="auto"/>
                <w:spacing w:val="-2"/>
                <w:sz w:val="24"/>
                <w:szCs w:val="24"/>
                <w:lang w:eastAsia="zh-CN"/>
              </w:rPr>
              <w:t>后</w:t>
            </w:r>
            <w:r>
              <w:rPr>
                <w:rFonts w:hint="default" w:ascii="Times New Roman" w:hAnsi="Times New Roman" w:eastAsia="宋体" w:cs="Times New Roman"/>
                <w:color w:val="auto"/>
                <w:spacing w:val="-2"/>
                <w:sz w:val="24"/>
                <w:szCs w:val="24"/>
              </w:rPr>
              <w:t>，项目建设从环境保护角度可行</w:t>
            </w:r>
            <w:r>
              <w:rPr>
                <w:rFonts w:hint="default" w:ascii="Times New Roman" w:hAnsi="Times New Roman" w:cs="Times New Roman"/>
                <w:color w:val="auto"/>
                <w:sz w:val="24"/>
                <w:szCs w:val="24"/>
              </w:rPr>
              <w:t>。</w:t>
            </w:r>
          </w:p>
          <w:p w14:paraId="49C200CE">
            <w:pPr>
              <w:ind w:firstLine="480"/>
              <w:rPr>
                <w:rFonts w:cs="Times New Roman"/>
                <w:color w:val="auto"/>
              </w:rPr>
            </w:pPr>
          </w:p>
          <w:p w14:paraId="33FF21B3">
            <w:pPr>
              <w:ind w:firstLine="480"/>
              <w:rPr>
                <w:rFonts w:cs="Times New Roman"/>
                <w:color w:val="auto"/>
              </w:rPr>
            </w:pPr>
          </w:p>
          <w:p w14:paraId="6D9AA0DA">
            <w:pPr>
              <w:ind w:firstLine="480"/>
              <w:rPr>
                <w:rFonts w:cs="Times New Roman"/>
                <w:color w:val="auto"/>
              </w:rPr>
            </w:pPr>
          </w:p>
          <w:p w14:paraId="0BA52A30">
            <w:pPr>
              <w:ind w:firstLine="480"/>
              <w:rPr>
                <w:rFonts w:cs="Times New Roman"/>
                <w:color w:val="auto"/>
              </w:rPr>
            </w:pPr>
          </w:p>
          <w:p w14:paraId="33DDB92F">
            <w:pPr>
              <w:ind w:firstLine="480"/>
              <w:rPr>
                <w:rFonts w:cs="Times New Roman"/>
                <w:color w:val="auto"/>
              </w:rPr>
            </w:pPr>
          </w:p>
          <w:p w14:paraId="0DCC6666">
            <w:pPr>
              <w:ind w:firstLine="480"/>
              <w:rPr>
                <w:rFonts w:cs="Times New Roman"/>
                <w:color w:val="auto"/>
              </w:rPr>
            </w:pPr>
          </w:p>
          <w:p w14:paraId="247EE1B6">
            <w:pPr>
              <w:ind w:firstLine="480"/>
              <w:rPr>
                <w:rFonts w:cs="Times New Roman"/>
                <w:color w:val="auto"/>
              </w:rPr>
            </w:pPr>
          </w:p>
          <w:p w14:paraId="3DA19084">
            <w:pPr>
              <w:ind w:firstLine="480"/>
              <w:rPr>
                <w:rFonts w:cs="Times New Roman"/>
                <w:color w:val="auto"/>
              </w:rPr>
            </w:pPr>
          </w:p>
          <w:p w14:paraId="630F5C9E">
            <w:pPr>
              <w:ind w:firstLine="480"/>
              <w:rPr>
                <w:rFonts w:cs="Times New Roman"/>
                <w:color w:val="auto"/>
              </w:rPr>
            </w:pPr>
          </w:p>
          <w:p w14:paraId="59A13225">
            <w:pPr>
              <w:ind w:firstLine="480"/>
              <w:rPr>
                <w:rFonts w:cs="Times New Roman"/>
                <w:color w:val="auto"/>
              </w:rPr>
            </w:pPr>
          </w:p>
          <w:p w14:paraId="48560650">
            <w:pPr>
              <w:ind w:firstLine="480"/>
              <w:rPr>
                <w:rFonts w:cs="Times New Roman"/>
                <w:color w:val="auto"/>
              </w:rPr>
            </w:pPr>
          </w:p>
          <w:p w14:paraId="37C4340C">
            <w:pPr>
              <w:ind w:firstLine="480"/>
              <w:rPr>
                <w:rFonts w:cs="Times New Roman"/>
                <w:color w:val="auto"/>
              </w:rPr>
            </w:pPr>
          </w:p>
          <w:p w14:paraId="640FD26C">
            <w:pPr>
              <w:ind w:firstLine="480"/>
              <w:rPr>
                <w:rFonts w:cs="Times New Roman"/>
                <w:color w:val="auto"/>
              </w:rPr>
            </w:pPr>
          </w:p>
          <w:p w14:paraId="149B59DA">
            <w:pPr>
              <w:ind w:firstLine="0" w:firstLineChars="0"/>
              <w:rPr>
                <w:rFonts w:cs="Times New Roman"/>
                <w:color w:val="auto"/>
              </w:rPr>
            </w:pPr>
          </w:p>
        </w:tc>
      </w:tr>
    </w:tbl>
    <w:p w14:paraId="3E46FB3E">
      <w:pPr>
        <w:ind w:firstLine="0" w:firstLineChars="0"/>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9D4104C">
      <w:pPr>
        <w:pStyle w:val="2"/>
        <w:jc w:val="left"/>
        <w:rPr>
          <w:rFonts w:hint="eastAsia"/>
          <w:color w:val="auto"/>
        </w:rPr>
      </w:pPr>
      <w:bookmarkStart w:id="16" w:name="_Toc24985"/>
      <w:r>
        <w:rPr>
          <w:rFonts w:hint="eastAsia"/>
          <w:color w:val="auto"/>
        </w:rPr>
        <w:t>附表</w:t>
      </w:r>
      <w:bookmarkEnd w:id="16"/>
    </w:p>
    <w:p w14:paraId="67064738">
      <w:pPr>
        <w:keepNext w:val="0"/>
        <w:keepLines w:val="0"/>
        <w:pageBreakBefore w:val="0"/>
        <w:widowControl w:val="0"/>
        <w:kinsoku/>
        <w:wordWrap/>
        <w:overflowPunct/>
        <w:topLinePunct w:val="0"/>
        <w:autoSpaceDE/>
        <w:autoSpaceDN/>
        <w:bidi w:val="0"/>
        <w:adjustRightInd w:val="0"/>
        <w:snapToGrid w:val="0"/>
        <w:spacing w:line="240" w:lineRule="atLeast"/>
        <w:ind w:firstLine="482"/>
        <w:jc w:val="center"/>
        <w:textAlignment w:val="auto"/>
        <w:outlineLvl w:val="0"/>
        <w:rPr>
          <w:rFonts w:hint="eastAsia"/>
          <w:b/>
          <w:bCs/>
          <w:color w:val="auto"/>
          <w:highlight w:val="none"/>
        </w:rPr>
      </w:pPr>
      <w:bookmarkStart w:id="17" w:name="_Toc8547"/>
      <w:r>
        <w:rPr>
          <w:rFonts w:hint="eastAsia"/>
          <w:b/>
          <w:bCs/>
          <w:color w:val="auto"/>
          <w:highlight w:val="none"/>
        </w:rPr>
        <w:t>建设项目污染物排放量汇总表</w:t>
      </w:r>
      <w:bookmarkEnd w:id="17"/>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4"/>
        <w:gridCol w:w="1822"/>
        <w:gridCol w:w="1657"/>
        <w:gridCol w:w="1121"/>
        <w:gridCol w:w="1901"/>
        <w:gridCol w:w="2094"/>
        <w:gridCol w:w="1314"/>
        <w:gridCol w:w="1890"/>
        <w:gridCol w:w="1581"/>
      </w:tblGrid>
      <w:tr w14:paraId="4BB0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80" w:type="pc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8DF7857">
            <w:pPr>
              <w:pStyle w:val="40"/>
              <w:keepNext w:val="0"/>
              <w:keepLines w:val="0"/>
              <w:pageBreakBefore w:val="0"/>
              <w:widowControl w:val="0"/>
              <w:kinsoku/>
              <w:wordWrap/>
              <w:overflowPunct/>
              <w:topLinePunct w:val="0"/>
              <w:autoSpaceDE/>
              <w:autoSpaceDN/>
              <w:bidi w:val="0"/>
              <w:adjustRightInd w:val="0"/>
              <w:snapToGrid w:val="0"/>
              <w:spacing w:before="31" w:after="31" w:line="240" w:lineRule="auto"/>
              <w:ind w:firstLine="0" w:firstLineChars="0"/>
              <w:jc w:val="left"/>
              <w:textAlignment w:val="auto"/>
              <w:rPr>
                <w:rFonts w:hint="eastAsia" w:ascii="黑体" w:hAnsi="黑体" w:eastAsia="黑体" w:cs="宋体"/>
                <w:snapToGrid w:val="0"/>
                <w:color w:val="auto"/>
                <w:spacing w:val="-6"/>
                <w:kern w:val="21"/>
                <w:sz w:val="20"/>
                <w:szCs w:val="21"/>
              </w:rPr>
            </w:pPr>
          </w:p>
          <w:p w14:paraId="7D3B8E57">
            <w:pPr>
              <w:pStyle w:val="40"/>
              <w:keepNext w:val="0"/>
              <w:keepLines w:val="0"/>
              <w:pageBreakBefore w:val="0"/>
              <w:widowControl w:val="0"/>
              <w:kinsoku/>
              <w:wordWrap/>
              <w:overflowPunct/>
              <w:topLinePunct w:val="0"/>
              <w:autoSpaceDE/>
              <w:autoSpaceDN/>
              <w:bidi w:val="0"/>
              <w:adjustRightInd w:val="0"/>
              <w:snapToGrid w:val="0"/>
              <w:spacing w:before="31" w:after="31" w:line="240" w:lineRule="auto"/>
              <w:ind w:firstLine="0" w:firstLineChars="0"/>
              <w:jc w:val="left"/>
              <w:textAlignment w:val="auto"/>
              <w:rPr>
                <w:rFonts w:hint="eastAsia" w:ascii="黑体" w:hAnsi="黑体" w:eastAsia="黑体" w:cs="宋体"/>
                <w:snapToGrid w:val="0"/>
                <w:color w:val="auto"/>
                <w:spacing w:val="-6"/>
                <w:kern w:val="21"/>
                <w:sz w:val="20"/>
                <w:szCs w:val="21"/>
              </w:rPr>
            </w:pPr>
          </w:p>
          <w:p w14:paraId="75670D80">
            <w:pPr>
              <w:pStyle w:val="40"/>
              <w:keepNext w:val="0"/>
              <w:keepLines w:val="0"/>
              <w:pageBreakBefore w:val="0"/>
              <w:widowControl w:val="0"/>
              <w:kinsoku/>
              <w:wordWrap/>
              <w:overflowPunct/>
              <w:topLinePunct w:val="0"/>
              <w:autoSpaceDE/>
              <w:autoSpaceDN/>
              <w:bidi w:val="0"/>
              <w:adjustRightInd w:val="0"/>
              <w:snapToGrid w:val="0"/>
              <w:spacing w:before="31" w:after="31" w:line="240" w:lineRule="auto"/>
              <w:ind w:firstLine="0" w:firstLineChars="0"/>
              <w:jc w:val="left"/>
              <w:textAlignment w:val="auto"/>
              <w:rPr>
                <w:rFonts w:hint="eastAsia" w:ascii="黑体" w:hAnsi="黑体" w:eastAsia="黑体" w:cs="宋体"/>
                <w:snapToGrid w:val="0"/>
                <w:color w:val="auto"/>
                <w:spacing w:val="-6"/>
                <w:kern w:val="21"/>
                <w:sz w:val="20"/>
                <w:szCs w:val="21"/>
                <w:lang w:eastAsia="zh-CN"/>
              </w:rPr>
            </w:pPr>
            <w:r>
              <w:rPr>
                <w:rFonts w:hint="eastAsia" w:ascii="黑体" w:hAnsi="黑体" w:eastAsia="黑体" w:cs="宋体"/>
                <w:snapToGrid w:val="0"/>
                <w:color w:val="auto"/>
                <w:spacing w:val="-6"/>
                <w:kern w:val="21"/>
                <w:sz w:val="20"/>
                <w:szCs w:val="21"/>
                <w:lang w:eastAsia="zh-CN"/>
              </w:rPr>
              <w:t>分类</w:t>
            </w:r>
          </w:p>
          <w:p w14:paraId="5C1409CB">
            <w:pPr>
              <w:pStyle w:val="40"/>
              <w:keepNext w:val="0"/>
              <w:keepLines w:val="0"/>
              <w:pageBreakBefore w:val="0"/>
              <w:widowControl w:val="0"/>
              <w:kinsoku/>
              <w:wordWrap/>
              <w:overflowPunct/>
              <w:topLinePunct w:val="0"/>
              <w:autoSpaceDE/>
              <w:autoSpaceDN/>
              <w:bidi w:val="0"/>
              <w:adjustRightInd w:val="0"/>
              <w:snapToGrid w:val="0"/>
              <w:spacing w:before="31" w:after="31" w:line="240" w:lineRule="auto"/>
              <w:ind w:firstLine="0" w:firstLineChars="0"/>
              <w:jc w:val="left"/>
              <w:textAlignment w:val="auto"/>
              <mc:AlternateContent>
                <mc:Choice Requires="wpsCustomData">
                  <wpsCustomData:diagonalParaType/>
                </mc:Choice>
              </mc:AlternateContent>
              <w:rPr>
                <w:rFonts w:hint="eastAsia" w:ascii="黑体" w:hAnsi="黑体" w:eastAsia="黑体" w:cs="宋体"/>
                <w:snapToGrid w:val="0"/>
                <w:color w:val="auto"/>
                <w:spacing w:val="-6"/>
                <w:kern w:val="21"/>
                <w:sz w:val="20"/>
                <w:szCs w:val="21"/>
                <w:lang w:val="en-US" w:eastAsia="zh-CN" w:bidi="ar-SA"/>
              </w:rPr>
            </w:pPr>
            <w:r>
              <w:rPr>
                <w:rFonts w:hint="eastAsia" w:ascii="黑体" w:hAnsi="黑体" w:eastAsia="黑体" w:cs="宋体"/>
                <w:snapToGrid w:val="0"/>
                <w:color w:val="auto"/>
                <w:spacing w:val="-6"/>
                <w:kern w:val="21"/>
                <w:sz w:val="20"/>
                <w:szCs w:val="21"/>
              </w:rPr>
              <w:t>分类</w:t>
            </w:r>
          </w:p>
          <w:p w14:paraId="58273533">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jc w:val="both"/>
              <w:textAlignment w:val="auto"/>
              <w:rPr>
                <w:rFonts w:ascii="黑体" w:hAnsi="黑体" w:eastAsia="黑体" w:cs="宋体"/>
                <w:snapToGrid w:val="0"/>
                <w:color w:val="auto"/>
                <w:spacing w:val="-6"/>
                <w:kern w:val="21"/>
                <w:sz w:val="20"/>
                <w:szCs w:val="21"/>
              </w:rPr>
            </w:pPr>
            <w:r>
              <w:rPr>
                <w:rFonts w:hint="eastAsia" w:ascii="黑体" w:hAnsi="黑体" w:eastAsia="黑体" w:cs="宋体"/>
                <w:snapToGrid w:val="0"/>
                <w:color w:val="auto"/>
                <w:spacing w:val="-6"/>
                <w:kern w:val="21"/>
                <w:sz w:val="20"/>
                <w:szCs w:val="21"/>
              </w:rPr>
              <w:t>项目</w:t>
            </w:r>
          </w:p>
          <w:p w14:paraId="067F5856">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jc w:val="left"/>
              <w:textAlignment w:val="auto"/>
              <w:rPr>
                <w:rFonts w:hint="eastAsia" w:ascii="黑体" w:hAnsi="黑体" w:eastAsia="黑体" w:cs="宋体"/>
                <w:snapToGrid w:val="0"/>
                <w:color w:val="auto"/>
                <w:spacing w:val="-6"/>
                <w:kern w:val="21"/>
                <w:sz w:val="20"/>
                <w:szCs w:val="21"/>
                <w:lang w:val="en-US" w:eastAsia="zh-CN" w:bidi="ar-SA"/>
              </w:rPr>
            </w:pPr>
          </w:p>
        </w:tc>
        <w:tc>
          <w:tcPr>
            <w:tcW w:w="642" w:type="pct"/>
            <w:vAlign w:val="center"/>
          </w:tcPr>
          <w:p w14:paraId="462E230A">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宋体"/>
                <w:snapToGrid w:val="0"/>
                <w:color w:val="auto"/>
                <w:spacing w:val="-6"/>
                <w:kern w:val="21"/>
                <w:sz w:val="20"/>
                <w:szCs w:val="21"/>
                <w:lang w:val="en-US" w:eastAsia="zh-CN" w:bidi="ar-SA"/>
              </w:rPr>
            </w:pPr>
            <w:r>
              <w:rPr>
                <w:rFonts w:hint="eastAsia" w:ascii="黑体" w:hAnsi="黑体" w:eastAsia="黑体" w:cs="宋体"/>
                <w:snapToGrid w:val="0"/>
                <w:color w:val="auto"/>
                <w:spacing w:val="-6"/>
                <w:kern w:val="21"/>
                <w:sz w:val="20"/>
                <w:szCs w:val="21"/>
              </w:rPr>
              <w:t>污染物名称</w:t>
            </w:r>
          </w:p>
        </w:tc>
        <w:tc>
          <w:tcPr>
            <w:tcW w:w="584" w:type="pct"/>
            <w:vAlign w:val="center"/>
          </w:tcPr>
          <w:p w14:paraId="36E32C64">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6"/>
                <w:kern w:val="21"/>
                <w:sz w:val="20"/>
                <w:szCs w:val="21"/>
              </w:rPr>
            </w:pPr>
            <w:r>
              <w:rPr>
                <w:rFonts w:ascii="黑体" w:hAnsi="黑体" w:eastAsia="黑体" w:cs="Times New Roman"/>
                <w:snapToGrid w:val="0"/>
                <w:color w:val="auto"/>
                <w:spacing w:val="-6"/>
                <w:kern w:val="21"/>
                <w:sz w:val="20"/>
                <w:szCs w:val="21"/>
              </w:rPr>
              <w:t>现有工程</w:t>
            </w:r>
          </w:p>
          <w:p w14:paraId="5C6B65FD">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6"/>
                <w:kern w:val="21"/>
                <w:sz w:val="20"/>
                <w:szCs w:val="21"/>
                <w:lang w:val="en-US" w:eastAsia="zh-CN" w:bidi="ar-SA"/>
              </w:rPr>
            </w:pPr>
            <w:r>
              <w:rPr>
                <w:rFonts w:ascii="黑体" w:hAnsi="黑体" w:eastAsia="黑体" w:cs="Times New Roman"/>
                <w:snapToGrid w:val="0"/>
                <w:color w:val="auto"/>
                <w:spacing w:val="-6"/>
                <w:kern w:val="21"/>
                <w:sz w:val="20"/>
                <w:szCs w:val="21"/>
              </w:rPr>
              <w:t>排放量（固</w:t>
            </w:r>
            <w:r>
              <w:rPr>
                <w:rFonts w:hint="eastAsia" w:ascii="黑体" w:hAnsi="黑体" w:eastAsia="黑体" w:cs="Times New Roman"/>
                <w:snapToGrid w:val="0"/>
                <w:color w:val="auto"/>
                <w:spacing w:val="-6"/>
                <w:kern w:val="21"/>
                <w:sz w:val="20"/>
                <w:szCs w:val="21"/>
              </w:rPr>
              <w:t>体</w:t>
            </w:r>
            <w:r>
              <w:rPr>
                <w:rFonts w:ascii="黑体" w:hAnsi="黑体" w:eastAsia="黑体" w:cs="Times New Roman"/>
                <w:snapToGrid w:val="0"/>
                <w:color w:val="auto"/>
                <w:spacing w:val="-6"/>
                <w:kern w:val="21"/>
                <w:sz w:val="20"/>
                <w:szCs w:val="21"/>
              </w:rPr>
              <w:t>废</w:t>
            </w:r>
            <w:r>
              <w:rPr>
                <w:rFonts w:hint="eastAsia" w:ascii="黑体" w:hAnsi="黑体" w:eastAsia="黑体" w:cs="Times New Roman"/>
                <w:snapToGrid w:val="0"/>
                <w:color w:val="auto"/>
                <w:spacing w:val="-6"/>
                <w:kern w:val="21"/>
                <w:sz w:val="20"/>
                <w:szCs w:val="21"/>
              </w:rPr>
              <w:t>物</w:t>
            </w:r>
            <w:r>
              <w:rPr>
                <w:rFonts w:ascii="黑体" w:hAnsi="黑体" w:eastAsia="黑体" w:cs="Times New Roman"/>
                <w:snapToGrid w:val="0"/>
                <w:color w:val="auto"/>
                <w:spacing w:val="-6"/>
                <w:kern w:val="21"/>
                <w:sz w:val="20"/>
                <w:szCs w:val="21"/>
              </w:rPr>
              <w:t>产生量）</w:t>
            </w:r>
            <w:r>
              <w:rPr>
                <w:rFonts w:ascii="黑体" w:hAnsi="黑体" w:eastAsia="黑体" w:cs="Times New Roman"/>
                <w:snapToGrid w:val="0"/>
                <w:color w:val="auto"/>
                <w:spacing w:val="-6"/>
                <w:kern w:val="21"/>
                <w:sz w:val="20"/>
                <w:szCs w:val="21"/>
              </w:rPr>
              <w:fldChar w:fldCharType="begin"/>
            </w:r>
            <w:r>
              <w:rPr>
                <w:rFonts w:ascii="黑体" w:hAnsi="黑体" w:eastAsia="黑体" w:cs="Times New Roman"/>
                <w:snapToGrid w:val="0"/>
                <w:color w:val="auto"/>
                <w:spacing w:val="-6"/>
                <w:kern w:val="21"/>
                <w:sz w:val="20"/>
                <w:szCs w:val="21"/>
              </w:rPr>
              <w:instrText xml:space="preserve"> = 1 \* GB3 \* MERGEFORMAT </w:instrText>
            </w:r>
            <w:r>
              <w:rPr>
                <w:rFonts w:ascii="黑体" w:hAnsi="黑体" w:eastAsia="黑体" w:cs="Times New Roman"/>
                <w:snapToGrid w:val="0"/>
                <w:color w:val="auto"/>
                <w:spacing w:val="-6"/>
                <w:kern w:val="21"/>
                <w:sz w:val="20"/>
                <w:szCs w:val="21"/>
              </w:rPr>
              <w:fldChar w:fldCharType="separate"/>
            </w:r>
            <w:r>
              <w:rPr>
                <w:rFonts w:hint="eastAsia" w:ascii="黑体" w:hAnsi="黑体" w:eastAsia="黑体" w:cs="宋体"/>
                <w:color w:val="auto"/>
                <w:kern w:val="2"/>
                <w:sz w:val="20"/>
                <w:szCs w:val="21"/>
              </w:rPr>
              <w:t>①</w:t>
            </w:r>
            <w:r>
              <w:rPr>
                <w:rFonts w:ascii="黑体" w:hAnsi="黑体" w:eastAsia="黑体" w:cs="Times New Roman"/>
                <w:snapToGrid w:val="0"/>
                <w:color w:val="auto"/>
                <w:spacing w:val="-6"/>
                <w:kern w:val="21"/>
                <w:sz w:val="20"/>
                <w:szCs w:val="21"/>
              </w:rPr>
              <w:fldChar w:fldCharType="end"/>
            </w:r>
          </w:p>
        </w:tc>
        <w:tc>
          <w:tcPr>
            <w:tcW w:w="395" w:type="pct"/>
            <w:vAlign w:val="center"/>
          </w:tcPr>
          <w:p w14:paraId="71BB5E98">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6"/>
                <w:kern w:val="21"/>
                <w:sz w:val="20"/>
                <w:szCs w:val="21"/>
              </w:rPr>
            </w:pPr>
            <w:r>
              <w:rPr>
                <w:rFonts w:ascii="黑体" w:hAnsi="黑体" w:eastAsia="黑体" w:cs="Times New Roman"/>
                <w:snapToGrid w:val="0"/>
                <w:color w:val="auto"/>
                <w:spacing w:val="-6"/>
                <w:kern w:val="21"/>
                <w:sz w:val="20"/>
                <w:szCs w:val="21"/>
              </w:rPr>
              <w:t>现有工程</w:t>
            </w:r>
          </w:p>
          <w:p w14:paraId="5485897D">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6"/>
                <w:kern w:val="21"/>
                <w:sz w:val="20"/>
                <w:szCs w:val="21"/>
              </w:rPr>
            </w:pPr>
            <w:r>
              <w:rPr>
                <w:rFonts w:ascii="黑体" w:hAnsi="黑体" w:eastAsia="黑体" w:cs="Times New Roman"/>
                <w:snapToGrid w:val="0"/>
                <w:color w:val="auto"/>
                <w:spacing w:val="-6"/>
                <w:kern w:val="21"/>
                <w:sz w:val="20"/>
                <w:szCs w:val="21"/>
              </w:rPr>
              <w:t>许可排放量</w:t>
            </w:r>
          </w:p>
          <w:p w14:paraId="3429F020">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6"/>
                <w:kern w:val="21"/>
                <w:sz w:val="20"/>
                <w:szCs w:val="21"/>
                <w:lang w:val="en-US" w:eastAsia="zh-CN" w:bidi="ar-SA"/>
              </w:rPr>
            </w:pPr>
            <w:r>
              <w:rPr>
                <w:rFonts w:ascii="黑体" w:hAnsi="黑体" w:eastAsia="黑体" w:cs="Times New Roman"/>
                <w:snapToGrid w:val="0"/>
                <w:color w:val="auto"/>
                <w:spacing w:val="-6"/>
                <w:kern w:val="21"/>
                <w:sz w:val="20"/>
                <w:szCs w:val="21"/>
              </w:rPr>
              <w:fldChar w:fldCharType="begin"/>
            </w:r>
            <w:r>
              <w:rPr>
                <w:rFonts w:ascii="黑体" w:hAnsi="黑体" w:eastAsia="黑体" w:cs="Times New Roman"/>
                <w:snapToGrid w:val="0"/>
                <w:color w:val="auto"/>
                <w:spacing w:val="-6"/>
                <w:kern w:val="21"/>
                <w:sz w:val="20"/>
                <w:szCs w:val="21"/>
              </w:rPr>
              <w:instrText xml:space="preserve"> = 2 \* GB3 \* MERGEFORMAT </w:instrText>
            </w:r>
            <w:r>
              <w:rPr>
                <w:rFonts w:ascii="黑体" w:hAnsi="黑体" w:eastAsia="黑体" w:cs="Times New Roman"/>
                <w:snapToGrid w:val="0"/>
                <w:color w:val="auto"/>
                <w:spacing w:val="-6"/>
                <w:kern w:val="21"/>
                <w:sz w:val="20"/>
                <w:szCs w:val="21"/>
              </w:rPr>
              <w:fldChar w:fldCharType="separate"/>
            </w:r>
            <w:r>
              <w:rPr>
                <w:rFonts w:hint="eastAsia" w:ascii="黑体" w:hAnsi="黑体" w:eastAsia="黑体" w:cs="宋体"/>
                <w:snapToGrid w:val="0"/>
                <w:color w:val="auto"/>
                <w:spacing w:val="-6"/>
                <w:kern w:val="21"/>
                <w:sz w:val="20"/>
                <w:szCs w:val="21"/>
              </w:rPr>
              <w:t>②</w:t>
            </w:r>
            <w:r>
              <w:rPr>
                <w:rFonts w:ascii="黑体" w:hAnsi="黑体" w:eastAsia="黑体" w:cs="Times New Roman"/>
                <w:snapToGrid w:val="0"/>
                <w:color w:val="auto"/>
                <w:spacing w:val="-6"/>
                <w:kern w:val="21"/>
                <w:sz w:val="20"/>
                <w:szCs w:val="21"/>
              </w:rPr>
              <w:fldChar w:fldCharType="end"/>
            </w:r>
          </w:p>
        </w:tc>
        <w:tc>
          <w:tcPr>
            <w:tcW w:w="670" w:type="pct"/>
            <w:vAlign w:val="center"/>
          </w:tcPr>
          <w:p w14:paraId="5F521A69">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6"/>
                <w:kern w:val="21"/>
                <w:sz w:val="20"/>
                <w:szCs w:val="21"/>
              </w:rPr>
            </w:pPr>
            <w:r>
              <w:rPr>
                <w:rFonts w:ascii="黑体" w:hAnsi="黑体" w:eastAsia="黑体" w:cs="Times New Roman"/>
                <w:snapToGrid w:val="0"/>
                <w:color w:val="auto"/>
                <w:spacing w:val="-6"/>
                <w:kern w:val="21"/>
                <w:sz w:val="20"/>
                <w:szCs w:val="21"/>
              </w:rPr>
              <w:t>在建工程</w:t>
            </w:r>
          </w:p>
          <w:p w14:paraId="54ABF3DF">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6"/>
                <w:kern w:val="21"/>
                <w:sz w:val="20"/>
                <w:szCs w:val="21"/>
                <w:lang w:val="en-US" w:eastAsia="zh-CN" w:bidi="ar-SA"/>
              </w:rPr>
            </w:pPr>
            <w:r>
              <w:rPr>
                <w:rFonts w:ascii="黑体" w:hAnsi="黑体" w:eastAsia="黑体" w:cs="Times New Roman"/>
                <w:snapToGrid w:val="0"/>
                <w:color w:val="auto"/>
                <w:spacing w:val="-6"/>
                <w:kern w:val="21"/>
                <w:sz w:val="20"/>
                <w:szCs w:val="21"/>
              </w:rPr>
              <w:t>排放量（固</w:t>
            </w:r>
            <w:r>
              <w:rPr>
                <w:rFonts w:hint="eastAsia" w:ascii="黑体" w:hAnsi="黑体" w:eastAsia="黑体" w:cs="Times New Roman"/>
                <w:snapToGrid w:val="0"/>
                <w:color w:val="auto"/>
                <w:spacing w:val="-6"/>
                <w:kern w:val="21"/>
                <w:sz w:val="20"/>
                <w:szCs w:val="21"/>
              </w:rPr>
              <w:t>体</w:t>
            </w:r>
            <w:r>
              <w:rPr>
                <w:rFonts w:ascii="黑体" w:hAnsi="黑体" w:eastAsia="黑体" w:cs="Times New Roman"/>
                <w:snapToGrid w:val="0"/>
                <w:color w:val="auto"/>
                <w:spacing w:val="-6"/>
                <w:kern w:val="21"/>
                <w:sz w:val="20"/>
                <w:szCs w:val="21"/>
              </w:rPr>
              <w:t>废</w:t>
            </w:r>
            <w:r>
              <w:rPr>
                <w:rFonts w:hint="eastAsia" w:ascii="黑体" w:hAnsi="黑体" w:eastAsia="黑体" w:cs="Times New Roman"/>
                <w:snapToGrid w:val="0"/>
                <w:color w:val="auto"/>
                <w:spacing w:val="-6"/>
                <w:kern w:val="21"/>
                <w:sz w:val="20"/>
                <w:szCs w:val="21"/>
              </w:rPr>
              <w:t>物</w:t>
            </w:r>
            <w:r>
              <w:rPr>
                <w:rFonts w:ascii="黑体" w:hAnsi="黑体" w:eastAsia="黑体" w:cs="Times New Roman"/>
                <w:snapToGrid w:val="0"/>
                <w:color w:val="auto"/>
                <w:spacing w:val="-6"/>
                <w:kern w:val="21"/>
                <w:sz w:val="20"/>
                <w:szCs w:val="21"/>
              </w:rPr>
              <w:t>产生量）</w:t>
            </w:r>
            <w:r>
              <w:rPr>
                <w:rFonts w:ascii="黑体" w:hAnsi="黑体" w:eastAsia="黑体" w:cs="Times New Roman"/>
                <w:snapToGrid w:val="0"/>
                <w:color w:val="auto"/>
                <w:spacing w:val="-6"/>
                <w:kern w:val="21"/>
                <w:sz w:val="20"/>
                <w:szCs w:val="21"/>
              </w:rPr>
              <w:fldChar w:fldCharType="begin"/>
            </w:r>
            <w:r>
              <w:rPr>
                <w:rFonts w:ascii="黑体" w:hAnsi="黑体" w:eastAsia="黑体" w:cs="Times New Roman"/>
                <w:snapToGrid w:val="0"/>
                <w:color w:val="auto"/>
                <w:spacing w:val="-6"/>
                <w:kern w:val="21"/>
                <w:sz w:val="20"/>
                <w:szCs w:val="21"/>
              </w:rPr>
              <w:instrText xml:space="preserve"> = 3 \* GB3 \* MERGEFORMAT </w:instrText>
            </w:r>
            <w:r>
              <w:rPr>
                <w:rFonts w:ascii="黑体" w:hAnsi="黑体" w:eastAsia="黑体" w:cs="Times New Roman"/>
                <w:snapToGrid w:val="0"/>
                <w:color w:val="auto"/>
                <w:spacing w:val="-6"/>
                <w:kern w:val="21"/>
                <w:sz w:val="20"/>
                <w:szCs w:val="21"/>
              </w:rPr>
              <w:fldChar w:fldCharType="separate"/>
            </w:r>
            <w:r>
              <w:rPr>
                <w:rFonts w:hint="eastAsia" w:ascii="黑体" w:hAnsi="黑体" w:eastAsia="黑体" w:cs="宋体"/>
                <w:color w:val="auto"/>
                <w:kern w:val="2"/>
                <w:sz w:val="20"/>
                <w:szCs w:val="21"/>
              </w:rPr>
              <w:t>③</w:t>
            </w:r>
            <w:r>
              <w:rPr>
                <w:rFonts w:ascii="黑体" w:hAnsi="黑体" w:eastAsia="黑体" w:cs="Times New Roman"/>
                <w:snapToGrid w:val="0"/>
                <w:color w:val="auto"/>
                <w:spacing w:val="-6"/>
                <w:kern w:val="21"/>
                <w:sz w:val="20"/>
                <w:szCs w:val="21"/>
              </w:rPr>
              <w:fldChar w:fldCharType="end"/>
            </w:r>
          </w:p>
        </w:tc>
        <w:tc>
          <w:tcPr>
            <w:tcW w:w="738" w:type="pct"/>
            <w:vAlign w:val="center"/>
          </w:tcPr>
          <w:p w14:paraId="27080711">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6"/>
                <w:kern w:val="21"/>
                <w:sz w:val="20"/>
                <w:szCs w:val="21"/>
              </w:rPr>
            </w:pPr>
            <w:r>
              <w:rPr>
                <w:rFonts w:ascii="黑体" w:hAnsi="黑体" w:eastAsia="黑体" w:cs="Times New Roman"/>
                <w:snapToGrid w:val="0"/>
                <w:color w:val="auto"/>
                <w:spacing w:val="-6"/>
                <w:kern w:val="21"/>
                <w:sz w:val="20"/>
                <w:szCs w:val="21"/>
              </w:rPr>
              <w:t>本项目</w:t>
            </w:r>
          </w:p>
          <w:p w14:paraId="3014D574">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6"/>
                <w:kern w:val="21"/>
                <w:sz w:val="20"/>
                <w:szCs w:val="21"/>
                <w:lang w:val="en-US" w:eastAsia="zh-CN" w:bidi="ar-SA"/>
              </w:rPr>
            </w:pPr>
            <w:r>
              <w:rPr>
                <w:rFonts w:ascii="黑体" w:hAnsi="黑体" w:eastAsia="黑体" w:cs="Times New Roman"/>
                <w:snapToGrid w:val="0"/>
                <w:color w:val="auto"/>
                <w:spacing w:val="-6"/>
                <w:kern w:val="21"/>
                <w:sz w:val="20"/>
                <w:szCs w:val="21"/>
              </w:rPr>
              <w:t>排放量（固</w:t>
            </w:r>
            <w:r>
              <w:rPr>
                <w:rFonts w:hint="eastAsia" w:ascii="黑体" w:hAnsi="黑体" w:eastAsia="黑体" w:cs="Times New Roman"/>
                <w:snapToGrid w:val="0"/>
                <w:color w:val="auto"/>
                <w:spacing w:val="-6"/>
                <w:kern w:val="21"/>
                <w:sz w:val="20"/>
                <w:szCs w:val="21"/>
              </w:rPr>
              <w:t>体</w:t>
            </w:r>
            <w:r>
              <w:rPr>
                <w:rFonts w:ascii="黑体" w:hAnsi="黑体" w:eastAsia="黑体" w:cs="Times New Roman"/>
                <w:snapToGrid w:val="0"/>
                <w:color w:val="auto"/>
                <w:spacing w:val="-6"/>
                <w:kern w:val="21"/>
                <w:sz w:val="20"/>
                <w:szCs w:val="21"/>
              </w:rPr>
              <w:t>废</w:t>
            </w:r>
            <w:r>
              <w:rPr>
                <w:rFonts w:hint="eastAsia" w:ascii="黑体" w:hAnsi="黑体" w:eastAsia="黑体" w:cs="Times New Roman"/>
                <w:snapToGrid w:val="0"/>
                <w:color w:val="auto"/>
                <w:spacing w:val="-6"/>
                <w:kern w:val="21"/>
                <w:sz w:val="20"/>
                <w:szCs w:val="21"/>
              </w:rPr>
              <w:t>物</w:t>
            </w:r>
            <w:r>
              <w:rPr>
                <w:rFonts w:ascii="黑体" w:hAnsi="黑体" w:eastAsia="黑体" w:cs="Times New Roman"/>
                <w:snapToGrid w:val="0"/>
                <w:color w:val="auto"/>
                <w:spacing w:val="-6"/>
                <w:kern w:val="21"/>
                <w:sz w:val="20"/>
                <w:szCs w:val="21"/>
              </w:rPr>
              <w:t>产生量）</w:t>
            </w:r>
            <w:r>
              <w:rPr>
                <w:rFonts w:ascii="黑体" w:hAnsi="黑体" w:eastAsia="黑体" w:cs="Times New Roman"/>
                <w:snapToGrid w:val="0"/>
                <w:color w:val="auto"/>
                <w:spacing w:val="-6"/>
                <w:kern w:val="21"/>
                <w:sz w:val="20"/>
                <w:szCs w:val="21"/>
              </w:rPr>
              <w:fldChar w:fldCharType="begin"/>
            </w:r>
            <w:r>
              <w:rPr>
                <w:rFonts w:ascii="黑体" w:hAnsi="黑体" w:eastAsia="黑体" w:cs="Times New Roman"/>
                <w:snapToGrid w:val="0"/>
                <w:color w:val="auto"/>
                <w:spacing w:val="-6"/>
                <w:kern w:val="21"/>
                <w:sz w:val="20"/>
                <w:szCs w:val="21"/>
              </w:rPr>
              <w:instrText xml:space="preserve"> = 4 \* GB3 \* MERGEFORMAT </w:instrText>
            </w:r>
            <w:r>
              <w:rPr>
                <w:rFonts w:ascii="黑体" w:hAnsi="黑体" w:eastAsia="黑体" w:cs="Times New Roman"/>
                <w:snapToGrid w:val="0"/>
                <w:color w:val="auto"/>
                <w:spacing w:val="-6"/>
                <w:kern w:val="21"/>
                <w:sz w:val="20"/>
                <w:szCs w:val="21"/>
              </w:rPr>
              <w:fldChar w:fldCharType="separate"/>
            </w:r>
            <w:r>
              <w:rPr>
                <w:rFonts w:hint="eastAsia" w:ascii="黑体" w:hAnsi="黑体" w:eastAsia="黑体" w:cs="宋体"/>
                <w:color w:val="auto"/>
                <w:kern w:val="2"/>
                <w:sz w:val="20"/>
                <w:szCs w:val="21"/>
              </w:rPr>
              <w:t>④</w:t>
            </w:r>
            <w:r>
              <w:rPr>
                <w:rFonts w:ascii="黑体" w:hAnsi="黑体" w:eastAsia="黑体" w:cs="Times New Roman"/>
                <w:snapToGrid w:val="0"/>
                <w:color w:val="auto"/>
                <w:spacing w:val="-6"/>
                <w:kern w:val="21"/>
                <w:sz w:val="20"/>
                <w:szCs w:val="21"/>
              </w:rPr>
              <w:fldChar w:fldCharType="end"/>
            </w:r>
          </w:p>
        </w:tc>
        <w:tc>
          <w:tcPr>
            <w:tcW w:w="463" w:type="pct"/>
            <w:vAlign w:val="center"/>
          </w:tcPr>
          <w:p w14:paraId="39C009DF">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16"/>
                <w:kern w:val="21"/>
                <w:sz w:val="20"/>
                <w:szCs w:val="21"/>
              </w:rPr>
            </w:pPr>
            <w:r>
              <w:rPr>
                <w:rFonts w:ascii="黑体" w:hAnsi="黑体" w:eastAsia="黑体" w:cs="Times New Roman"/>
                <w:snapToGrid w:val="0"/>
                <w:color w:val="auto"/>
                <w:spacing w:val="-16"/>
                <w:kern w:val="21"/>
                <w:sz w:val="20"/>
                <w:szCs w:val="21"/>
              </w:rPr>
              <w:t>以新带老削减量</w:t>
            </w:r>
          </w:p>
          <w:p w14:paraId="595B84B7">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16"/>
                <w:kern w:val="21"/>
                <w:sz w:val="20"/>
                <w:szCs w:val="21"/>
                <w:lang w:val="en-US" w:eastAsia="zh-CN" w:bidi="ar-SA"/>
              </w:rPr>
            </w:pPr>
            <w:r>
              <w:rPr>
                <w:rFonts w:ascii="黑体" w:hAnsi="黑体" w:eastAsia="黑体" w:cs="Times New Roman"/>
                <w:snapToGrid w:val="0"/>
                <w:color w:val="auto"/>
                <w:spacing w:val="-16"/>
                <w:kern w:val="21"/>
                <w:sz w:val="20"/>
                <w:szCs w:val="21"/>
              </w:rPr>
              <w:t>（新建项目不填）</w:t>
            </w:r>
            <w:r>
              <w:rPr>
                <w:rFonts w:ascii="黑体" w:hAnsi="黑体" w:eastAsia="黑体" w:cs="Times New Roman"/>
                <w:snapToGrid w:val="0"/>
                <w:color w:val="auto"/>
                <w:spacing w:val="-16"/>
                <w:kern w:val="21"/>
                <w:sz w:val="20"/>
                <w:szCs w:val="21"/>
              </w:rPr>
              <w:fldChar w:fldCharType="begin"/>
            </w:r>
            <w:r>
              <w:rPr>
                <w:rFonts w:ascii="黑体" w:hAnsi="黑体" w:eastAsia="黑体" w:cs="Times New Roman"/>
                <w:snapToGrid w:val="0"/>
                <w:color w:val="auto"/>
                <w:spacing w:val="-16"/>
                <w:kern w:val="21"/>
                <w:sz w:val="20"/>
                <w:szCs w:val="21"/>
              </w:rPr>
              <w:instrText xml:space="preserve"> = 5 \* GB3 \* MERGEFORMAT </w:instrText>
            </w:r>
            <w:r>
              <w:rPr>
                <w:rFonts w:ascii="黑体" w:hAnsi="黑体" w:eastAsia="黑体" w:cs="Times New Roman"/>
                <w:snapToGrid w:val="0"/>
                <w:color w:val="auto"/>
                <w:spacing w:val="-16"/>
                <w:kern w:val="21"/>
                <w:sz w:val="20"/>
                <w:szCs w:val="21"/>
              </w:rPr>
              <w:fldChar w:fldCharType="separate"/>
            </w:r>
            <w:r>
              <w:rPr>
                <w:rFonts w:hint="eastAsia" w:ascii="黑体" w:hAnsi="黑体" w:eastAsia="黑体" w:cs="宋体"/>
                <w:color w:val="auto"/>
                <w:kern w:val="2"/>
                <w:sz w:val="20"/>
                <w:szCs w:val="21"/>
              </w:rPr>
              <w:t>⑤</w:t>
            </w:r>
            <w:r>
              <w:rPr>
                <w:rFonts w:ascii="黑体" w:hAnsi="黑体" w:eastAsia="黑体" w:cs="Times New Roman"/>
                <w:snapToGrid w:val="0"/>
                <w:color w:val="auto"/>
                <w:spacing w:val="-16"/>
                <w:kern w:val="21"/>
                <w:sz w:val="20"/>
                <w:szCs w:val="21"/>
              </w:rPr>
              <w:fldChar w:fldCharType="end"/>
            </w:r>
          </w:p>
        </w:tc>
        <w:tc>
          <w:tcPr>
            <w:tcW w:w="666" w:type="pct"/>
            <w:vAlign w:val="center"/>
          </w:tcPr>
          <w:p w14:paraId="62A9710A">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16"/>
                <w:kern w:val="21"/>
                <w:sz w:val="20"/>
                <w:szCs w:val="21"/>
              </w:rPr>
            </w:pPr>
            <w:r>
              <w:rPr>
                <w:rFonts w:ascii="黑体" w:hAnsi="黑体" w:eastAsia="黑体" w:cs="Times New Roman"/>
                <w:snapToGrid w:val="0"/>
                <w:color w:val="auto"/>
                <w:spacing w:val="-16"/>
                <w:kern w:val="21"/>
                <w:sz w:val="20"/>
                <w:szCs w:val="21"/>
              </w:rPr>
              <w:t>本项目建成后</w:t>
            </w:r>
          </w:p>
          <w:p w14:paraId="2750BB9E">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16"/>
                <w:kern w:val="21"/>
                <w:sz w:val="20"/>
                <w:szCs w:val="21"/>
                <w:lang w:val="en-US" w:eastAsia="zh-CN" w:bidi="ar-SA"/>
              </w:rPr>
            </w:pPr>
            <w:r>
              <w:rPr>
                <w:rFonts w:hint="eastAsia" w:ascii="黑体" w:hAnsi="黑体" w:eastAsia="黑体" w:cs="Times New Roman"/>
                <w:snapToGrid w:val="0"/>
                <w:color w:val="auto"/>
                <w:spacing w:val="-16"/>
                <w:kern w:val="21"/>
                <w:sz w:val="20"/>
                <w:szCs w:val="21"/>
                <w:lang w:eastAsia="zh-CN"/>
              </w:rPr>
              <w:t>全场</w:t>
            </w:r>
            <w:r>
              <w:rPr>
                <w:rFonts w:ascii="黑体" w:hAnsi="黑体" w:eastAsia="黑体" w:cs="Times New Roman"/>
                <w:snapToGrid w:val="0"/>
                <w:color w:val="auto"/>
                <w:spacing w:val="-16"/>
                <w:kern w:val="21"/>
                <w:sz w:val="20"/>
                <w:szCs w:val="21"/>
              </w:rPr>
              <w:t>排放量（固</w:t>
            </w:r>
            <w:r>
              <w:rPr>
                <w:rFonts w:hint="eastAsia" w:ascii="黑体" w:hAnsi="黑体" w:eastAsia="黑体" w:cs="Times New Roman"/>
                <w:snapToGrid w:val="0"/>
                <w:color w:val="auto"/>
                <w:spacing w:val="-16"/>
                <w:kern w:val="21"/>
                <w:sz w:val="20"/>
                <w:szCs w:val="21"/>
              </w:rPr>
              <w:t>体</w:t>
            </w:r>
            <w:r>
              <w:rPr>
                <w:rFonts w:ascii="黑体" w:hAnsi="黑体" w:eastAsia="黑体" w:cs="Times New Roman"/>
                <w:snapToGrid w:val="0"/>
                <w:color w:val="auto"/>
                <w:spacing w:val="-16"/>
                <w:kern w:val="21"/>
                <w:sz w:val="20"/>
                <w:szCs w:val="21"/>
              </w:rPr>
              <w:t>废</w:t>
            </w:r>
            <w:r>
              <w:rPr>
                <w:rFonts w:hint="eastAsia" w:ascii="黑体" w:hAnsi="黑体" w:eastAsia="黑体" w:cs="Times New Roman"/>
                <w:snapToGrid w:val="0"/>
                <w:color w:val="auto"/>
                <w:spacing w:val="-16"/>
                <w:kern w:val="21"/>
                <w:sz w:val="20"/>
                <w:szCs w:val="21"/>
              </w:rPr>
              <w:t>物</w:t>
            </w:r>
            <w:r>
              <w:rPr>
                <w:rFonts w:ascii="黑体" w:hAnsi="黑体" w:eastAsia="黑体" w:cs="Times New Roman"/>
                <w:snapToGrid w:val="0"/>
                <w:color w:val="auto"/>
                <w:spacing w:val="-16"/>
                <w:kern w:val="21"/>
                <w:sz w:val="20"/>
                <w:szCs w:val="21"/>
              </w:rPr>
              <w:t>产生量）</w:t>
            </w:r>
            <w:r>
              <w:rPr>
                <w:rFonts w:ascii="黑体" w:hAnsi="黑体" w:eastAsia="黑体" w:cs="Times New Roman"/>
                <w:snapToGrid w:val="0"/>
                <w:color w:val="auto"/>
                <w:spacing w:val="-16"/>
                <w:kern w:val="21"/>
                <w:sz w:val="20"/>
                <w:szCs w:val="21"/>
              </w:rPr>
              <w:fldChar w:fldCharType="begin"/>
            </w:r>
            <w:r>
              <w:rPr>
                <w:rFonts w:ascii="黑体" w:hAnsi="黑体" w:eastAsia="黑体" w:cs="Times New Roman"/>
                <w:snapToGrid w:val="0"/>
                <w:color w:val="auto"/>
                <w:spacing w:val="-16"/>
                <w:kern w:val="21"/>
                <w:sz w:val="20"/>
                <w:szCs w:val="21"/>
              </w:rPr>
              <w:instrText xml:space="preserve"> = 6 \* GB3 \* MERGEFORMAT </w:instrText>
            </w:r>
            <w:r>
              <w:rPr>
                <w:rFonts w:ascii="黑体" w:hAnsi="黑体" w:eastAsia="黑体" w:cs="Times New Roman"/>
                <w:snapToGrid w:val="0"/>
                <w:color w:val="auto"/>
                <w:spacing w:val="-16"/>
                <w:kern w:val="21"/>
                <w:sz w:val="20"/>
                <w:szCs w:val="21"/>
              </w:rPr>
              <w:fldChar w:fldCharType="separate"/>
            </w:r>
            <w:r>
              <w:rPr>
                <w:rFonts w:hint="eastAsia" w:ascii="黑体" w:hAnsi="黑体" w:eastAsia="黑体" w:cs="宋体"/>
                <w:color w:val="auto"/>
                <w:kern w:val="2"/>
                <w:sz w:val="20"/>
                <w:szCs w:val="21"/>
              </w:rPr>
              <w:t>⑥</w:t>
            </w:r>
            <w:r>
              <w:rPr>
                <w:rFonts w:ascii="黑体" w:hAnsi="黑体" w:eastAsia="黑体" w:cs="Times New Roman"/>
                <w:snapToGrid w:val="0"/>
                <w:color w:val="auto"/>
                <w:spacing w:val="-16"/>
                <w:kern w:val="21"/>
                <w:sz w:val="20"/>
                <w:szCs w:val="21"/>
              </w:rPr>
              <w:fldChar w:fldCharType="end"/>
            </w:r>
          </w:p>
        </w:tc>
        <w:tc>
          <w:tcPr>
            <w:tcW w:w="557" w:type="pct"/>
            <w:vAlign w:val="center"/>
          </w:tcPr>
          <w:p w14:paraId="1D25E6EE">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ascii="黑体" w:hAnsi="黑体" w:eastAsia="黑体" w:cs="Times New Roman"/>
                <w:snapToGrid w:val="0"/>
                <w:color w:val="auto"/>
                <w:spacing w:val="-6"/>
                <w:kern w:val="21"/>
                <w:sz w:val="20"/>
                <w:szCs w:val="21"/>
              </w:rPr>
            </w:pPr>
            <w:r>
              <w:rPr>
                <w:rFonts w:ascii="黑体" w:hAnsi="黑体" w:eastAsia="黑体" w:cs="Times New Roman"/>
                <w:snapToGrid w:val="0"/>
                <w:color w:val="auto"/>
                <w:spacing w:val="-6"/>
                <w:kern w:val="21"/>
                <w:sz w:val="20"/>
                <w:szCs w:val="21"/>
              </w:rPr>
              <w:t>变化量</w:t>
            </w:r>
          </w:p>
          <w:p w14:paraId="58544F0B">
            <w:pPr>
              <w:pStyle w:val="40"/>
              <w:keepNext w:val="0"/>
              <w:keepLines w:val="0"/>
              <w:pageBreakBefore w:val="0"/>
              <w:widowControl w:val="0"/>
              <w:kinsoku/>
              <w:wordWrap/>
              <w:overflowPunct/>
              <w:topLinePunct w:val="0"/>
              <w:autoSpaceDE/>
              <w:autoSpaceDN/>
              <w:bidi w:val="0"/>
              <w:adjustRightInd w:val="0"/>
              <w:snapToGrid w:val="0"/>
              <w:spacing w:before="31" w:after="31" w:line="240" w:lineRule="atLeast"/>
              <w:ind w:firstLine="0" w:firstLineChars="0"/>
              <w:textAlignment w:val="auto"/>
              <w:rPr>
                <w:rFonts w:hint="eastAsia" w:ascii="黑体" w:hAnsi="黑体" w:eastAsia="黑体" w:cs="Times New Roman"/>
                <w:snapToGrid w:val="0"/>
                <w:color w:val="auto"/>
                <w:spacing w:val="-6"/>
                <w:kern w:val="21"/>
                <w:sz w:val="20"/>
                <w:szCs w:val="21"/>
                <w:lang w:val="en-US" w:eastAsia="zh-CN" w:bidi="ar-SA"/>
              </w:rPr>
            </w:pPr>
            <w:r>
              <w:rPr>
                <w:rFonts w:ascii="黑体" w:hAnsi="黑体" w:eastAsia="黑体" w:cs="Times New Roman"/>
                <w:snapToGrid w:val="0"/>
                <w:color w:val="auto"/>
                <w:spacing w:val="-6"/>
                <w:kern w:val="21"/>
                <w:sz w:val="20"/>
                <w:szCs w:val="21"/>
              </w:rPr>
              <w:fldChar w:fldCharType="begin"/>
            </w:r>
            <w:r>
              <w:rPr>
                <w:rFonts w:ascii="黑体" w:hAnsi="黑体" w:eastAsia="黑体" w:cs="Times New Roman"/>
                <w:snapToGrid w:val="0"/>
                <w:color w:val="auto"/>
                <w:spacing w:val="-6"/>
                <w:kern w:val="21"/>
                <w:sz w:val="20"/>
                <w:szCs w:val="21"/>
              </w:rPr>
              <w:instrText xml:space="preserve"> = 7 \* GB3 \* MERGEFORMAT </w:instrText>
            </w:r>
            <w:r>
              <w:rPr>
                <w:rFonts w:ascii="黑体" w:hAnsi="黑体" w:eastAsia="黑体" w:cs="Times New Roman"/>
                <w:snapToGrid w:val="0"/>
                <w:color w:val="auto"/>
                <w:spacing w:val="-6"/>
                <w:kern w:val="21"/>
                <w:sz w:val="20"/>
                <w:szCs w:val="21"/>
              </w:rPr>
              <w:fldChar w:fldCharType="separate"/>
            </w:r>
            <w:r>
              <w:rPr>
                <w:rFonts w:hint="eastAsia" w:ascii="黑体" w:hAnsi="黑体" w:eastAsia="黑体" w:cs="宋体"/>
                <w:color w:val="auto"/>
                <w:kern w:val="2"/>
                <w:sz w:val="20"/>
                <w:szCs w:val="21"/>
              </w:rPr>
              <w:t>⑦</w:t>
            </w:r>
            <w:r>
              <w:rPr>
                <w:rFonts w:ascii="黑体" w:hAnsi="黑体" w:eastAsia="黑体" w:cs="Times New Roman"/>
                <w:snapToGrid w:val="0"/>
                <w:color w:val="auto"/>
                <w:spacing w:val="-6"/>
                <w:kern w:val="21"/>
                <w:sz w:val="20"/>
                <w:szCs w:val="21"/>
              </w:rPr>
              <w:fldChar w:fldCharType="end"/>
            </w:r>
          </w:p>
        </w:tc>
      </w:tr>
      <w:tr w14:paraId="5A9F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280" w:type="pct"/>
            <w:vMerge w:val="restart"/>
            <w:vAlign w:val="center"/>
          </w:tcPr>
          <w:p w14:paraId="74CCF6D5">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废气</w:t>
            </w:r>
          </w:p>
        </w:tc>
        <w:tc>
          <w:tcPr>
            <w:tcW w:w="642" w:type="pct"/>
            <w:vAlign w:val="center"/>
          </w:tcPr>
          <w:p w14:paraId="05E1CBB3">
            <w:pPr>
              <w:pStyle w:val="40"/>
              <w:spacing w:before="31" w:after="31" w:line="240" w:lineRule="auto"/>
              <w:ind w:firstLine="0" w:firstLineChars="0"/>
              <w:rPr>
                <w:rFonts w:hint="eastAsia" w:ascii="Times New Roman" w:hAnsi="宋体" w:cs="宋体"/>
                <w:snapToGrid w:val="0"/>
                <w:color w:val="auto"/>
                <w:kern w:val="21"/>
                <w:sz w:val="20"/>
                <w:szCs w:val="21"/>
              </w:rPr>
            </w:pPr>
            <w:r>
              <w:rPr>
                <w:rFonts w:hint="eastAsia" w:ascii="Times New Roman" w:hAnsi="宋体" w:cs="宋体"/>
                <w:snapToGrid w:val="0"/>
                <w:color w:val="auto"/>
                <w:kern w:val="21"/>
                <w:sz w:val="20"/>
                <w:szCs w:val="21"/>
              </w:rPr>
              <w:t>废气量</w:t>
            </w:r>
          </w:p>
          <w:p w14:paraId="48D0BDB6">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eastAsia" w:ascii="Times New Roman" w:hAnsi="宋体" w:cs="宋体"/>
                <w:snapToGrid w:val="0"/>
                <w:color w:val="auto"/>
                <w:kern w:val="21"/>
                <w:sz w:val="20"/>
                <w:szCs w:val="21"/>
              </w:rPr>
              <w:t>（万</w:t>
            </w:r>
            <w:r>
              <w:rPr>
                <w:rFonts w:hint="eastAsia" w:ascii="Times New Roman" w:hAnsi="宋体" w:cs="宋体"/>
                <w:snapToGrid w:val="0"/>
                <w:color w:val="auto"/>
                <w:kern w:val="21"/>
                <w:sz w:val="20"/>
                <w:szCs w:val="21"/>
                <w:lang w:val="en-US" w:eastAsia="zh-CN"/>
              </w:rPr>
              <w:t>m</w:t>
            </w:r>
            <w:r>
              <w:rPr>
                <w:rFonts w:hint="eastAsia" w:ascii="Times New Roman" w:hAnsi="宋体" w:cs="宋体"/>
                <w:snapToGrid w:val="0"/>
                <w:color w:val="auto"/>
                <w:kern w:val="21"/>
                <w:sz w:val="20"/>
                <w:szCs w:val="21"/>
                <w:vertAlign w:val="superscript"/>
                <w:lang w:val="en-US" w:eastAsia="zh-CN"/>
              </w:rPr>
              <w:t>3</w:t>
            </w:r>
            <w:r>
              <w:rPr>
                <w:rFonts w:hint="eastAsia" w:ascii="Times New Roman" w:hAnsi="宋体" w:cs="宋体"/>
                <w:snapToGrid w:val="0"/>
                <w:color w:val="auto"/>
                <w:kern w:val="21"/>
                <w:sz w:val="20"/>
                <w:szCs w:val="21"/>
              </w:rPr>
              <w:t>/</w:t>
            </w:r>
            <w:r>
              <w:rPr>
                <w:rFonts w:hint="eastAsia" w:ascii="Times New Roman" w:hAnsi="宋体" w:cs="宋体"/>
                <w:snapToGrid w:val="0"/>
                <w:color w:val="auto"/>
                <w:kern w:val="21"/>
                <w:sz w:val="20"/>
                <w:szCs w:val="21"/>
                <w:lang w:val="en-US" w:eastAsia="zh-CN"/>
              </w:rPr>
              <w:t>a</w:t>
            </w:r>
            <w:r>
              <w:rPr>
                <w:rFonts w:hint="eastAsia" w:ascii="Times New Roman" w:hAnsi="宋体" w:cs="宋体"/>
                <w:snapToGrid w:val="0"/>
                <w:color w:val="auto"/>
                <w:kern w:val="21"/>
                <w:sz w:val="20"/>
                <w:szCs w:val="21"/>
              </w:rPr>
              <w:t>）</w:t>
            </w:r>
          </w:p>
        </w:tc>
        <w:tc>
          <w:tcPr>
            <w:tcW w:w="584" w:type="pct"/>
            <w:vAlign w:val="center"/>
          </w:tcPr>
          <w:p w14:paraId="16C86D5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72B3013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29120301">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vAlign w:val="center"/>
          </w:tcPr>
          <w:p w14:paraId="377D31D0">
            <w:pPr>
              <w:pStyle w:val="29"/>
              <w:bidi w:val="0"/>
              <w:ind w:firstLine="0" w:firstLineChars="0"/>
              <w:rPr>
                <w:rFonts w:hint="default" w:ascii="Times New Roman" w:hAnsi="Times New Roman" w:eastAsia="宋体" w:cs="黑体"/>
                <w:b w:val="0"/>
                <w:color w:val="auto"/>
                <w:kern w:val="2"/>
                <w:sz w:val="21"/>
                <w:szCs w:val="24"/>
                <w:lang w:val="en-US" w:eastAsia="zh-CN" w:bidi="ar-SA"/>
              </w:rPr>
            </w:pPr>
            <w:r>
              <w:rPr>
                <w:rFonts w:hint="eastAsia"/>
                <w:color w:val="auto"/>
                <w:lang w:val="en-US" w:eastAsia="zh-CN"/>
              </w:rPr>
              <w:t>103.443</w:t>
            </w:r>
          </w:p>
        </w:tc>
        <w:tc>
          <w:tcPr>
            <w:tcW w:w="463" w:type="pct"/>
            <w:shd w:val="clear" w:color="auto" w:fill="auto"/>
            <w:vAlign w:val="center"/>
          </w:tcPr>
          <w:p w14:paraId="54ED936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66" w:type="pct"/>
            <w:shd w:val="clear" w:color="auto" w:fill="auto"/>
            <w:vAlign w:val="center"/>
          </w:tcPr>
          <w:p w14:paraId="0CBE4F64">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lang w:val="en-US" w:eastAsia="zh-CN"/>
              </w:rPr>
              <w:t>103.443</w:t>
            </w:r>
          </w:p>
        </w:tc>
        <w:tc>
          <w:tcPr>
            <w:tcW w:w="557" w:type="pct"/>
            <w:shd w:val="clear" w:color="auto" w:fill="auto"/>
            <w:vAlign w:val="center"/>
          </w:tcPr>
          <w:p w14:paraId="1A8E5C12">
            <w:pPr>
              <w:pStyle w:val="29"/>
              <w:bidi w:val="0"/>
              <w:ind w:firstLine="0" w:firstLineChars="0"/>
              <w:rPr>
                <w:rFonts w:hint="eastAsia" w:ascii="Times New Roman" w:hAnsi="Times New Roman" w:eastAsia="宋体" w:cs="黑体"/>
                <w:b w:val="0"/>
                <w:color w:val="auto"/>
                <w:kern w:val="2"/>
                <w:sz w:val="21"/>
                <w:szCs w:val="24"/>
                <w:lang w:val="en-US" w:eastAsia="zh-CN" w:bidi="ar-SA"/>
              </w:rPr>
            </w:pPr>
            <w:r>
              <w:rPr>
                <w:rFonts w:hint="eastAsia"/>
                <w:color w:val="auto"/>
                <w:lang w:val="en-US" w:eastAsia="zh-CN"/>
              </w:rPr>
              <w:t>+103.443</w:t>
            </w:r>
          </w:p>
        </w:tc>
      </w:tr>
      <w:tr w14:paraId="5E47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557C344F">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5E246019">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default" w:ascii="Times New Roman" w:hAnsi="宋体" w:cs="宋体"/>
                <w:snapToGrid w:val="0"/>
                <w:color w:val="auto"/>
                <w:kern w:val="21"/>
                <w:sz w:val="20"/>
                <w:szCs w:val="21"/>
                <w:lang w:val="en-US" w:eastAsia="zh-CN"/>
              </w:rPr>
              <w:t>颗粒物</w:t>
            </w:r>
          </w:p>
        </w:tc>
        <w:tc>
          <w:tcPr>
            <w:tcW w:w="584" w:type="pct"/>
            <w:vAlign w:val="center"/>
          </w:tcPr>
          <w:p w14:paraId="6646D486">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433F86D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6B28D17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20A5792C">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0.0116</w:t>
            </w:r>
            <w:r>
              <w:rPr>
                <w:rFonts w:hint="default" w:ascii="Times New Roman" w:hAnsi="Times New Roman" w:eastAsia="宋体" w:cs="Times New Roman"/>
                <w:b w:val="0"/>
                <w:color w:val="auto"/>
                <w:kern w:val="2"/>
                <w:sz w:val="21"/>
                <w:szCs w:val="21"/>
                <w:lang w:val="en-US" w:eastAsia="zh-CN" w:bidi="ar-SA"/>
              </w:rPr>
              <w:t>t/a</w:t>
            </w:r>
          </w:p>
        </w:tc>
        <w:tc>
          <w:tcPr>
            <w:tcW w:w="463" w:type="pct"/>
            <w:shd w:val="clear" w:color="auto" w:fill="auto"/>
            <w:vAlign w:val="center"/>
          </w:tcPr>
          <w:p w14:paraId="7539637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6A3E08E5">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0.0116</w:t>
            </w:r>
            <w:r>
              <w:rPr>
                <w:rFonts w:hint="default" w:ascii="Times New Roman" w:hAnsi="Times New Roman" w:eastAsia="宋体" w:cs="Times New Roman"/>
                <w:b w:val="0"/>
                <w:color w:val="auto"/>
                <w:kern w:val="2"/>
                <w:sz w:val="21"/>
                <w:szCs w:val="21"/>
                <w:lang w:val="en-US" w:eastAsia="zh-CN" w:bidi="ar-SA"/>
              </w:rPr>
              <w:t>t/a</w:t>
            </w:r>
          </w:p>
        </w:tc>
        <w:tc>
          <w:tcPr>
            <w:tcW w:w="557" w:type="pct"/>
            <w:shd w:val="clear" w:color="auto" w:fill="auto"/>
            <w:vAlign w:val="center"/>
          </w:tcPr>
          <w:p w14:paraId="45DAC053">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+0.0116</w:t>
            </w:r>
            <w:r>
              <w:rPr>
                <w:rFonts w:hint="default" w:ascii="Times New Roman" w:hAnsi="Times New Roman" w:eastAsia="宋体" w:cs="Times New Roman"/>
                <w:b w:val="0"/>
                <w:color w:val="auto"/>
                <w:kern w:val="2"/>
                <w:sz w:val="21"/>
                <w:szCs w:val="21"/>
                <w:lang w:val="en-US" w:eastAsia="zh-CN" w:bidi="ar-SA"/>
              </w:rPr>
              <w:t>t/a</w:t>
            </w:r>
          </w:p>
        </w:tc>
      </w:tr>
      <w:tr w14:paraId="1759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2777AA84">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6C06C6CE">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default" w:ascii="Times New Roman" w:hAnsi="宋体" w:cs="宋体"/>
                <w:snapToGrid w:val="0"/>
                <w:color w:val="auto"/>
                <w:kern w:val="21"/>
                <w:sz w:val="20"/>
                <w:szCs w:val="21"/>
                <w:lang w:val="en-US" w:eastAsia="zh-CN"/>
              </w:rPr>
              <w:t>SO</w:t>
            </w:r>
            <w:r>
              <w:rPr>
                <w:rFonts w:hint="default" w:ascii="Times New Roman" w:hAnsi="宋体" w:cs="宋体"/>
                <w:snapToGrid w:val="0"/>
                <w:color w:val="auto"/>
                <w:kern w:val="21"/>
                <w:sz w:val="20"/>
                <w:szCs w:val="21"/>
                <w:vertAlign w:val="subscript"/>
                <w:lang w:val="en-US" w:eastAsia="zh-CN"/>
              </w:rPr>
              <w:t>2</w:t>
            </w:r>
          </w:p>
        </w:tc>
        <w:tc>
          <w:tcPr>
            <w:tcW w:w="584" w:type="pct"/>
            <w:vAlign w:val="center"/>
          </w:tcPr>
          <w:p w14:paraId="41F65BC7">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3DD87827">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7349B11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326E8CF9">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0.001t/a</w:t>
            </w:r>
          </w:p>
        </w:tc>
        <w:tc>
          <w:tcPr>
            <w:tcW w:w="463" w:type="pct"/>
            <w:shd w:val="clear" w:color="auto" w:fill="auto"/>
            <w:vAlign w:val="center"/>
          </w:tcPr>
          <w:p w14:paraId="5FBD3DC2">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0D811195">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0.001t/a</w:t>
            </w:r>
          </w:p>
        </w:tc>
        <w:tc>
          <w:tcPr>
            <w:tcW w:w="557" w:type="pct"/>
            <w:shd w:val="clear" w:color="auto" w:fill="auto"/>
            <w:vAlign w:val="center"/>
          </w:tcPr>
          <w:p w14:paraId="1DE52F58">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+0.001t/a</w:t>
            </w:r>
          </w:p>
        </w:tc>
      </w:tr>
      <w:tr w14:paraId="011A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5DDE1D1B">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512EF849">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default" w:ascii="Times New Roman" w:hAnsi="宋体" w:cs="宋体"/>
                <w:snapToGrid w:val="0"/>
                <w:color w:val="auto"/>
                <w:kern w:val="21"/>
                <w:sz w:val="20"/>
                <w:szCs w:val="21"/>
                <w:lang w:val="en-US" w:eastAsia="zh-CN"/>
              </w:rPr>
              <w:t>NO</w:t>
            </w:r>
            <w:r>
              <w:rPr>
                <w:rFonts w:hint="default" w:ascii="Times New Roman" w:hAnsi="宋体" w:cs="宋体"/>
                <w:snapToGrid w:val="0"/>
                <w:color w:val="auto"/>
                <w:kern w:val="21"/>
                <w:sz w:val="20"/>
                <w:szCs w:val="21"/>
                <w:vertAlign w:val="subscript"/>
                <w:lang w:val="en-US" w:eastAsia="zh-CN"/>
              </w:rPr>
              <w:t>X</w:t>
            </w:r>
          </w:p>
        </w:tc>
        <w:tc>
          <w:tcPr>
            <w:tcW w:w="584" w:type="pct"/>
            <w:vAlign w:val="center"/>
          </w:tcPr>
          <w:p w14:paraId="47B462A6">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4854DCC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0C3057E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3E8A855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0.867t/a</w:t>
            </w:r>
          </w:p>
        </w:tc>
        <w:tc>
          <w:tcPr>
            <w:tcW w:w="463" w:type="pct"/>
            <w:shd w:val="clear" w:color="auto" w:fill="auto"/>
            <w:vAlign w:val="center"/>
          </w:tcPr>
          <w:p w14:paraId="710E146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6A85DAB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0.867t/a</w:t>
            </w:r>
          </w:p>
        </w:tc>
        <w:tc>
          <w:tcPr>
            <w:tcW w:w="557" w:type="pct"/>
            <w:shd w:val="clear" w:color="auto" w:fill="auto"/>
            <w:vAlign w:val="center"/>
          </w:tcPr>
          <w:p w14:paraId="2D9F09C1">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+0.867t/a</w:t>
            </w:r>
          </w:p>
        </w:tc>
      </w:tr>
      <w:tr w14:paraId="0373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4BE1A69B">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028E395B">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非甲烷总烃</w:t>
            </w:r>
          </w:p>
        </w:tc>
        <w:tc>
          <w:tcPr>
            <w:tcW w:w="584" w:type="pct"/>
            <w:vAlign w:val="center"/>
          </w:tcPr>
          <w:p w14:paraId="2E2B2CA4">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03C6DEB2">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6973CCB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18CA2280">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0.028t/a</w:t>
            </w:r>
          </w:p>
        </w:tc>
        <w:tc>
          <w:tcPr>
            <w:tcW w:w="463" w:type="pct"/>
            <w:shd w:val="clear" w:color="auto" w:fill="auto"/>
            <w:vAlign w:val="center"/>
          </w:tcPr>
          <w:p w14:paraId="193B7FC0">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6933C32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0.028t/a</w:t>
            </w:r>
          </w:p>
        </w:tc>
        <w:tc>
          <w:tcPr>
            <w:tcW w:w="557" w:type="pct"/>
            <w:shd w:val="clear" w:color="auto" w:fill="auto"/>
            <w:vAlign w:val="center"/>
          </w:tcPr>
          <w:p w14:paraId="50412D8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+0.028t/a</w:t>
            </w:r>
          </w:p>
        </w:tc>
      </w:tr>
      <w:tr w14:paraId="7CAC3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4BFA9179">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7199E2A3">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default" w:ascii="Times New Roman" w:hAnsi="宋体" w:cs="宋体"/>
                <w:snapToGrid w:val="0"/>
                <w:color w:val="auto"/>
                <w:kern w:val="21"/>
                <w:sz w:val="20"/>
                <w:szCs w:val="21"/>
                <w:lang w:val="en-US" w:eastAsia="zh-CN"/>
              </w:rPr>
              <w:t>NH</w:t>
            </w:r>
            <w:r>
              <w:rPr>
                <w:rFonts w:hint="default" w:ascii="Times New Roman" w:hAnsi="宋体" w:cs="宋体"/>
                <w:snapToGrid w:val="0"/>
                <w:color w:val="auto"/>
                <w:kern w:val="21"/>
                <w:sz w:val="20"/>
                <w:szCs w:val="21"/>
                <w:vertAlign w:val="subscript"/>
                <w:lang w:val="en-US" w:eastAsia="zh-CN"/>
              </w:rPr>
              <w:t>3</w:t>
            </w:r>
          </w:p>
        </w:tc>
        <w:tc>
          <w:tcPr>
            <w:tcW w:w="584" w:type="pct"/>
            <w:vAlign w:val="center"/>
          </w:tcPr>
          <w:p w14:paraId="423E4104">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61D47A0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6736CE61">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2C05DB59">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0.016t/a</w:t>
            </w:r>
          </w:p>
        </w:tc>
        <w:tc>
          <w:tcPr>
            <w:tcW w:w="463" w:type="pct"/>
            <w:shd w:val="clear" w:color="auto" w:fill="auto"/>
            <w:vAlign w:val="center"/>
          </w:tcPr>
          <w:p w14:paraId="4B0940F8">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7739DC7E">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0.016t/a</w:t>
            </w:r>
          </w:p>
        </w:tc>
        <w:tc>
          <w:tcPr>
            <w:tcW w:w="557" w:type="pct"/>
            <w:shd w:val="clear" w:color="auto" w:fill="auto"/>
            <w:vAlign w:val="center"/>
          </w:tcPr>
          <w:p w14:paraId="037AD43B">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+0.016t/a</w:t>
            </w:r>
          </w:p>
        </w:tc>
      </w:tr>
      <w:tr w14:paraId="2DD2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560DD29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p>
        </w:tc>
        <w:tc>
          <w:tcPr>
            <w:tcW w:w="642" w:type="pct"/>
            <w:shd w:val="clear" w:color="auto" w:fill="auto"/>
            <w:vAlign w:val="center"/>
          </w:tcPr>
          <w:p w14:paraId="22989187">
            <w:pPr>
              <w:pStyle w:val="40"/>
              <w:spacing w:before="31" w:after="31" w:line="240" w:lineRule="auto"/>
              <w:ind w:firstLine="0" w:firstLineChars="0"/>
              <w:rPr>
                <w:rFonts w:hint="eastAsia" w:ascii="Times New Roman" w:hAnsi="宋体" w:cs="宋体"/>
                <w:snapToGrid w:val="0"/>
                <w:color w:val="auto"/>
                <w:kern w:val="21"/>
                <w:sz w:val="20"/>
                <w:szCs w:val="21"/>
                <w:lang w:val="en-US" w:eastAsia="zh-CN"/>
              </w:rPr>
            </w:pPr>
            <w:r>
              <w:rPr>
                <w:rFonts w:hint="default" w:ascii="Times New Roman" w:hAnsi="宋体" w:cs="宋体"/>
                <w:snapToGrid w:val="0"/>
                <w:color w:val="auto"/>
                <w:kern w:val="21"/>
                <w:sz w:val="20"/>
                <w:szCs w:val="21"/>
                <w:lang w:val="en-US" w:eastAsia="zh-CN"/>
              </w:rPr>
              <w:t>H</w:t>
            </w:r>
            <w:r>
              <w:rPr>
                <w:rFonts w:hint="default" w:ascii="Times New Roman" w:hAnsi="宋体" w:cs="宋体"/>
                <w:snapToGrid w:val="0"/>
                <w:color w:val="auto"/>
                <w:kern w:val="21"/>
                <w:sz w:val="20"/>
                <w:szCs w:val="21"/>
                <w:vertAlign w:val="subscript"/>
                <w:lang w:val="en-US" w:eastAsia="zh-CN"/>
              </w:rPr>
              <w:t>2</w:t>
            </w:r>
            <w:r>
              <w:rPr>
                <w:rFonts w:hint="default" w:ascii="Times New Roman" w:hAnsi="宋体" w:cs="宋体"/>
                <w:snapToGrid w:val="0"/>
                <w:color w:val="auto"/>
                <w:kern w:val="21"/>
                <w:sz w:val="20"/>
                <w:szCs w:val="21"/>
                <w:lang w:val="en-US" w:eastAsia="zh-CN"/>
              </w:rPr>
              <w:t>S</w:t>
            </w:r>
          </w:p>
        </w:tc>
        <w:tc>
          <w:tcPr>
            <w:tcW w:w="584" w:type="pct"/>
            <w:vAlign w:val="center"/>
          </w:tcPr>
          <w:p w14:paraId="734BEB6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395" w:type="pct"/>
            <w:shd w:val="clear" w:color="auto" w:fill="auto"/>
            <w:vAlign w:val="center"/>
          </w:tcPr>
          <w:p w14:paraId="29658E4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670" w:type="pct"/>
            <w:shd w:val="clear" w:color="auto" w:fill="auto"/>
            <w:vAlign w:val="center"/>
          </w:tcPr>
          <w:p w14:paraId="1F056D9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738" w:type="pct"/>
            <w:shd w:val="clear" w:color="auto" w:fill="auto"/>
            <w:vAlign w:val="center"/>
          </w:tcPr>
          <w:p w14:paraId="5D39E9A5">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0.0006t/a</w:t>
            </w:r>
          </w:p>
        </w:tc>
        <w:tc>
          <w:tcPr>
            <w:tcW w:w="463" w:type="pct"/>
            <w:shd w:val="clear" w:color="auto" w:fill="auto"/>
            <w:vAlign w:val="center"/>
          </w:tcPr>
          <w:p w14:paraId="4C878B2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666" w:type="pct"/>
            <w:shd w:val="clear" w:color="auto" w:fill="auto"/>
            <w:vAlign w:val="center"/>
          </w:tcPr>
          <w:p w14:paraId="6208A334">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0.0006t/a</w:t>
            </w:r>
          </w:p>
        </w:tc>
        <w:tc>
          <w:tcPr>
            <w:tcW w:w="557" w:type="pct"/>
            <w:shd w:val="clear" w:color="auto" w:fill="auto"/>
            <w:vAlign w:val="center"/>
          </w:tcPr>
          <w:p w14:paraId="3BD175B8">
            <w:pPr>
              <w:pStyle w:val="29"/>
              <w:bidi w:val="0"/>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+0.0006t/a</w:t>
            </w:r>
          </w:p>
        </w:tc>
      </w:tr>
      <w:tr w14:paraId="1EAC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restart"/>
            <w:vAlign w:val="center"/>
          </w:tcPr>
          <w:p w14:paraId="58A74C17">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废水</w:t>
            </w:r>
          </w:p>
        </w:tc>
        <w:tc>
          <w:tcPr>
            <w:tcW w:w="642" w:type="pct"/>
            <w:shd w:val="clear" w:color="auto" w:fill="auto"/>
            <w:vAlign w:val="center"/>
          </w:tcPr>
          <w:p w14:paraId="00BEFF14">
            <w:pPr>
              <w:ind w:left="0" w:leftChars="0" w:firstLine="0" w:firstLineChars="0"/>
              <w:jc w:val="center"/>
              <w:rPr>
                <w:rFonts w:hint="eastAsia" w:ascii="Times New Roman" w:hAnsi="宋体" w:eastAsia="宋体" w:cs="宋体"/>
                <w:snapToGrid w:val="0"/>
                <w:color w:val="auto"/>
                <w:kern w:val="21"/>
                <w:sz w:val="20"/>
                <w:szCs w:val="21"/>
                <w:lang w:val="en-US" w:eastAsia="zh-CN" w:bidi="ar-SA"/>
              </w:rPr>
            </w:pPr>
            <w:r>
              <w:rPr>
                <w:rFonts w:hint="default" w:ascii="Times New Roman" w:hAnsi="宋体" w:eastAsia="宋体" w:cs="宋体"/>
                <w:snapToGrid w:val="0"/>
                <w:color w:val="auto"/>
                <w:kern w:val="21"/>
                <w:sz w:val="20"/>
                <w:szCs w:val="21"/>
                <w:lang w:val="en-US" w:eastAsia="zh-CN" w:bidi="ar-SA"/>
              </w:rPr>
              <w:t>COD</w:t>
            </w:r>
          </w:p>
        </w:tc>
        <w:tc>
          <w:tcPr>
            <w:tcW w:w="584" w:type="pct"/>
            <w:vAlign w:val="center"/>
          </w:tcPr>
          <w:p w14:paraId="0486621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395" w:type="pct"/>
            <w:shd w:val="clear" w:color="auto" w:fill="auto"/>
            <w:vAlign w:val="center"/>
          </w:tcPr>
          <w:p w14:paraId="3948D505">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670" w:type="pct"/>
            <w:shd w:val="clear" w:color="auto" w:fill="auto"/>
            <w:vAlign w:val="center"/>
          </w:tcPr>
          <w:p w14:paraId="63E31149">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738" w:type="pct"/>
            <w:shd w:val="clear" w:color="auto" w:fill="auto"/>
            <w:vAlign w:val="center"/>
          </w:tcPr>
          <w:p w14:paraId="7C6C078B">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0.660</w:t>
            </w:r>
            <w:r>
              <w:rPr>
                <w:rFonts w:hint="default" w:ascii="Times New Roman" w:hAnsi="Times New Roman" w:eastAsia="宋体" w:cs="Times New Roman"/>
                <w:b w:val="0"/>
                <w:color w:val="auto"/>
                <w:kern w:val="2"/>
                <w:sz w:val="21"/>
                <w:szCs w:val="21"/>
                <w:lang w:val="en-US" w:eastAsia="zh-CN" w:bidi="ar-SA"/>
              </w:rPr>
              <w:t>t/a</w:t>
            </w:r>
          </w:p>
        </w:tc>
        <w:tc>
          <w:tcPr>
            <w:tcW w:w="463" w:type="pct"/>
            <w:shd w:val="clear" w:color="auto" w:fill="auto"/>
            <w:vAlign w:val="center"/>
          </w:tcPr>
          <w:p w14:paraId="68EA4FF0">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666" w:type="pct"/>
            <w:shd w:val="clear" w:color="auto" w:fill="auto"/>
            <w:vAlign w:val="center"/>
          </w:tcPr>
          <w:p w14:paraId="31A73DF0">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0.660</w:t>
            </w:r>
            <w:r>
              <w:rPr>
                <w:rFonts w:hint="default" w:ascii="Times New Roman" w:hAnsi="Times New Roman" w:eastAsia="宋体" w:cs="Times New Roman"/>
                <w:b w:val="0"/>
                <w:color w:val="auto"/>
                <w:kern w:val="2"/>
                <w:sz w:val="21"/>
                <w:szCs w:val="21"/>
                <w:lang w:val="en-US" w:eastAsia="zh-CN" w:bidi="ar-SA"/>
              </w:rPr>
              <w:t>t/a</w:t>
            </w:r>
          </w:p>
        </w:tc>
        <w:tc>
          <w:tcPr>
            <w:tcW w:w="557" w:type="pct"/>
            <w:shd w:val="clear" w:color="auto" w:fill="auto"/>
            <w:vAlign w:val="center"/>
          </w:tcPr>
          <w:p w14:paraId="41675949">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+0.660</w:t>
            </w:r>
            <w:r>
              <w:rPr>
                <w:rFonts w:hint="default" w:ascii="Times New Roman" w:hAnsi="Times New Roman" w:eastAsia="宋体" w:cs="Times New Roman"/>
                <w:b w:val="0"/>
                <w:color w:val="auto"/>
                <w:kern w:val="2"/>
                <w:sz w:val="21"/>
                <w:szCs w:val="21"/>
                <w:lang w:val="en-US" w:eastAsia="zh-CN" w:bidi="ar-SA"/>
              </w:rPr>
              <w:t>t/a</w:t>
            </w:r>
          </w:p>
        </w:tc>
      </w:tr>
      <w:tr w14:paraId="5B25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vMerge w:val="continue"/>
            <w:vAlign w:val="center"/>
          </w:tcPr>
          <w:p w14:paraId="6E690D5A">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7B076CDF">
            <w:pPr>
              <w:ind w:left="0" w:leftChars="0" w:firstLine="0" w:firstLineChars="0"/>
              <w:jc w:val="center"/>
              <w:rPr>
                <w:rFonts w:hint="eastAsia" w:ascii="Times New Roman" w:hAnsi="宋体" w:eastAsia="宋体" w:cs="宋体"/>
                <w:snapToGrid w:val="0"/>
                <w:color w:val="auto"/>
                <w:kern w:val="21"/>
                <w:sz w:val="20"/>
                <w:szCs w:val="21"/>
                <w:lang w:val="en-US" w:eastAsia="zh-CN" w:bidi="ar-SA"/>
              </w:rPr>
            </w:pPr>
            <w:r>
              <w:rPr>
                <w:rFonts w:hint="default" w:ascii="Times New Roman" w:hAnsi="宋体" w:eastAsia="宋体" w:cs="宋体"/>
                <w:snapToGrid w:val="0"/>
                <w:color w:val="auto"/>
                <w:kern w:val="21"/>
                <w:sz w:val="20"/>
                <w:szCs w:val="21"/>
                <w:lang w:val="en-US" w:eastAsia="zh-CN" w:bidi="ar-SA"/>
              </w:rPr>
              <w:t>BOD</w:t>
            </w:r>
            <w:r>
              <w:rPr>
                <w:rFonts w:hint="default" w:ascii="Times New Roman" w:hAnsi="宋体" w:eastAsia="宋体" w:cs="宋体"/>
                <w:snapToGrid w:val="0"/>
                <w:color w:val="auto"/>
                <w:kern w:val="21"/>
                <w:sz w:val="20"/>
                <w:szCs w:val="21"/>
                <w:vertAlign w:val="subscript"/>
                <w:lang w:val="en-US" w:eastAsia="zh-CN" w:bidi="ar-SA"/>
              </w:rPr>
              <w:t>5</w:t>
            </w:r>
          </w:p>
        </w:tc>
        <w:tc>
          <w:tcPr>
            <w:tcW w:w="584" w:type="pct"/>
            <w:vAlign w:val="center"/>
          </w:tcPr>
          <w:p w14:paraId="72F0768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5B6DB19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163796E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03F14CC7">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0.416</w:t>
            </w:r>
            <w:r>
              <w:rPr>
                <w:rFonts w:hint="default" w:ascii="Times New Roman" w:cs="Times New Roman"/>
                <w:b w:val="0"/>
                <w:color w:val="auto"/>
                <w:kern w:val="2"/>
                <w:sz w:val="21"/>
                <w:szCs w:val="21"/>
                <w:lang w:val="en-US" w:eastAsia="zh-CN" w:bidi="ar-SA"/>
              </w:rPr>
              <w:t>t/a</w:t>
            </w:r>
          </w:p>
        </w:tc>
        <w:tc>
          <w:tcPr>
            <w:tcW w:w="463" w:type="pct"/>
            <w:shd w:val="clear" w:color="auto" w:fill="auto"/>
            <w:vAlign w:val="center"/>
          </w:tcPr>
          <w:p w14:paraId="03B36E7E">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33402701">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0.416</w:t>
            </w:r>
            <w:r>
              <w:rPr>
                <w:rFonts w:hint="default" w:ascii="Times New Roman" w:cs="Times New Roman"/>
                <w:b w:val="0"/>
                <w:color w:val="auto"/>
                <w:kern w:val="2"/>
                <w:sz w:val="21"/>
                <w:szCs w:val="21"/>
                <w:lang w:val="en-US" w:eastAsia="zh-CN" w:bidi="ar-SA"/>
              </w:rPr>
              <w:t>t/a</w:t>
            </w:r>
          </w:p>
        </w:tc>
        <w:tc>
          <w:tcPr>
            <w:tcW w:w="557" w:type="pct"/>
            <w:shd w:val="clear" w:color="auto" w:fill="auto"/>
            <w:vAlign w:val="center"/>
          </w:tcPr>
          <w:p w14:paraId="6655FC37">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+0.416</w:t>
            </w:r>
            <w:r>
              <w:rPr>
                <w:rFonts w:hint="default" w:ascii="Times New Roman" w:cs="Times New Roman"/>
                <w:b w:val="0"/>
                <w:color w:val="auto"/>
                <w:kern w:val="2"/>
                <w:sz w:val="21"/>
                <w:szCs w:val="21"/>
                <w:lang w:val="en-US" w:eastAsia="zh-CN" w:bidi="ar-SA"/>
              </w:rPr>
              <w:t>t/a</w:t>
            </w:r>
          </w:p>
        </w:tc>
      </w:tr>
      <w:tr w14:paraId="127D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191B657B">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2331920A">
            <w:pPr>
              <w:ind w:left="0" w:leftChars="0" w:firstLine="0" w:firstLineChars="0"/>
              <w:jc w:val="center"/>
              <w:rPr>
                <w:rFonts w:hint="eastAsia" w:ascii="Times New Roman" w:hAnsi="宋体" w:eastAsia="宋体" w:cs="宋体"/>
                <w:snapToGrid w:val="0"/>
                <w:color w:val="auto"/>
                <w:kern w:val="21"/>
                <w:sz w:val="20"/>
                <w:szCs w:val="21"/>
                <w:lang w:val="en-US" w:eastAsia="zh-CN" w:bidi="ar-SA"/>
              </w:rPr>
            </w:pPr>
            <w:r>
              <w:rPr>
                <w:rFonts w:hint="default" w:ascii="Times New Roman" w:hAnsi="宋体" w:eastAsia="宋体" w:cs="宋体"/>
                <w:snapToGrid w:val="0"/>
                <w:color w:val="auto"/>
                <w:kern w:val="21"/>
                <w:sz w:val="20"/>
                <w:szCs w:val="21"/>
                <w:lang w:val="en-US" w:eastAsia="zh-CN" w:bidi="ar-SA"/>
              </w:rPr>
              <w:t>NH</w:t>
            </w:r>
            <w:r>
              <w:rPr>
                <w:rFonts w:hint="default" w:ascii="Times New Roman" w:hAnsi="宋体" w:eastAsia="宋体" w:cs="宋体"/>
                <w:snapToGrid w:val="0"/>
                <w:color w:val="auto"/>
                <w:kern w:val="21"/>
                <w:sz w:val="20"/>
                <w:szCs w:val="21"/>
                <w:vertAlign w:val="subscript"/>
                <w:lang w:val="en-US" w:eastAsia="zh-CN" w:bidi="ar-SA"/>
              </w:rPr>
              <w:t>3</w:t>
            </w:r>
            <w:r>
              <w:rPr>
                <w:rFonts w:hint="default" w:ascii="Times New Roman" w:hAnsi="宋体" w:eastAsia="宋体" w:cs="宋体"/>
                <w:snapToGrid w:val="0"/>
                <w:color w:val="auto"/>
                <w:kern w:val="21"/>
                <w:sz w:val="20"/>
                <w:szCs w:val="21"/>
                <w:lang w:val="en-US" w:eastAsia="zh-CN" w:bidi="ar-SA"/>
              </w:rPr>
              <w:t>-N</w:t>
            </w:r>
          </w:p>
        </w:tc>
        <w:tc>
          <w:tcPr>
            <w:tcW w:w="584" w:type="pct"/>
            <w:vAlign w:val="center"/>
          </w:tcPr>
          <w:p w14:paraId="330A81B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5F69BFB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6E251AB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4549F16E">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0.131</w:t>
            </w:r>
            <w:r>
              <w:rPr>
                <w:rFonts w:hint="default" w:ascii="Times New Roman" w:cs="Times New Roman"/>
                <w:b w:val="0"/>
                <w:color w:val="auto"/>
                <w:kern w:val="2"/>
                <w:sz w:val="21"/>
                <w:szCs w:val="21"/>
                <w:lang w:val="en-US" w:eastAsia="zh-CN" w:bidi="ar-SA"/>
              </w:rPr>
              <w:t>t/a</w:t>
            </w:r>
          </w:p>
        </w:tc>
        <w:tc>
          <w:tcPr>
            <w:tcW w:w="463" w:type="pct"/>
            <w:shd w:val="clear" w:color="auto" w:fill="auto"/>
            <w:vAlign w:val="center"/>
          </w:tcPr>
          <w:p w14:paraId="665B032B">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3382F396">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0.131</w:t>
            </w:r>
            <w:r>
              <w:rPr>
                <w:rFonts w:hint="default" w:ascii="Times New Roman" w:cs="Times New Roman"/>
                <w:b w:val="0"/>
                <w:color w:val="auto"/>
                <w:kern w:val="2"/>
                <w:sz w:val="21"/>
                <w:szCs w:val="21"/>
                <w:lang w:val="en-US" w:eastAsia="zh-CN" w:bidi="ar-SA"/>
              </w:rPr>
              <w:t>t/a</w:t>
            </w:r>
          </w:p>
        </w:tc>
        <w:tc>
          <w:tcPr>
            <w:tcW w:w="557" w:type="pct"/>
            <w:shd w:val="clear" w:color="auto" w:fill="auto"/>
            <w:vAlign w:val="center"/>
          </w:tcPr>
          <w:p w14:paraId="01519D0E">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+0.131</w:t>
            </w:r>
            <w:r>
              <w:rPr>
                <w:rFonts w:hint="default" w:ascii="Times New Roman" w:cs="Times New Roman"/>
                <w:b w:val="0"/>
                <w:color w:val="auto"/>
                <w:kern w:val="2"/>
                <w:sz w:val="21"/>
                <w:szCs w:val="21"/>
                <w:lang w:val="en-US" w:eastAsia="zh-CN" w:bidi="ar-SA"/>
              </w:rPr>
              <w:t>t/a</w:t>
            </w:r>
          </w:p>
        </w:tc>
      </w:tr>
      <w:tr w14:paraId="4034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279CF93F">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15102A18">
            <w:pPr>
              <w:ind w:left="0" w:leftChars="0" w:firstLine="0" w:firstLineChars="0"/>
              <w:jc w:val="center"/>
              <w:rPr>
                <w:rFonts w:hint="eastAsia" w:ascii="Times New Roman" w:hAnsi="宋体" w:eastAsia="宋体" w:cs="宋体"/>
                <w:snapToGrid w:val="0"/>
                <w:color w:val="auto"/>
                <w:kern w:val="21"/>
                <w:sz w:val="20"/>
                <w:szCs w:val="21"/>
                <w:lang w:val="en-US" w:eastAsia="zh-CN" w:bidi="ar-SA"/>
              </w:rPr>
            </w:pPr>
            <w:r>
              <w:rPr>
                <w:rFonts w:hint="default" w:ascii="Times New Roman" w:hAnsi="宋体" w:eastAsia="宋体" w:cs="宋体"/>
                <w:snapToGrid w:val="0"/>
                <w:color w:val="auto"/>
                <w:kern w:val="21"/>
                <w:sz w:val="20"/>
                <w:szCs w:val="21"/>
                <w:lang w:val="en-US" w:eastAsia="zh-CN" w:bidi="ar-SA"/>
              </w:rPr>
              <w:t>TN</w:t>
            </w:r>
          </w:p>
        </w:tc>
        <w:tc>
          <w:tcPr>
            <w:tcW w:w="584" w:type="pct"/>
            <w:vAlign w:val="center"/>
          </w:tcPr>
          <w:p w14:paraId="457B972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7F427F5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5610318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74DC60CE">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0.250t</w:t>
            </w:r>
            <w:r>
              <w:rPr>
                <w:rFonts w:hint="default" w:ascii="Times New Roman" w:cs="Times New Roman"/>
                <w:b w:val="0"/>
                <w:color w:val="auto"/>
                <w:kern w:val="2"/>
                <w:sz w:val="21"/>
                <w:szCs w:val="21"/>
                <w:lang w:val="en-US" w:eastAsia="zh-CN" w:bidi="ar-SA"/>
              </w:rPr>
              <w:t>/a</w:t>
            </w:r>
          </w:p>
        </w:tc>
        <w:tc>
          <w:tcPr>
            <w:tcW w:w="463" w:type="pct"/>
            <w:shd w:val="clear" w:color="auto" w:fill="auto"/>
            <w:vAlign w:val="center"/>
          </w:tcPr>
          <w:p w14:paraId="7B64D745">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6C41F3D7">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0.250t</w:t>
            </w:r>
            <w:r>
              <w:rPr>
                <w:rFonts w:hint="default" w:ascii="Times New Roman" w:cs="Times New Roman"/>
                <w:b w:val="0"/>
                <w:color w:val="auto"/>
                <w:kern w:val="2"/>
                <w:sz w:val="21"/>
                <w:szCs w:val="21"/>
                <w:lang w:val="en-US" w:eastAsia="zh-CN" w:bidi="ar-SA"/>
              </w:rPr>
              <w:t>/a</w:t>
            </w:r>
          </w:p>
        </w:tc>
        <w:tc>
          <w:tcPr>
            <w:tcW w:w="557" w:type="pct"/>
            <w:shd w:val="clear" w:color="auto" w:fill="auto"/>
            <w:vAlign w:val="center"/>
          </w:tcPr>
          <w:p w14:paraId="6578B9C9">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+0.250t</w:t>
            </w:r>
            <w:r>
              <w:rPr>
                <w:rFonts w:hint="default" w:ascii="Times New Roman" w:cs="Times New Roman"/>
                <w:b w:val="0"/>
                <w:color w:val="auto"/>
                <w:kern w:val="2"/>
                <w:sz w:val="21"/>
                <w:szCs w:val="21"/>
                <w:lang w:val="en-US" w:eastAsia="zh-CN" w:bidi="ar-SA"/>
              </w:rPr>
              <w:t>/a</w:t>
            </w:r>
          </w:p>
        </w:tc>
      </w:tr>
      <w:tr w14:paraId="7628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6264B9FC">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4CCFD31C">
            <w:pPr>
              <w:ind w:left="0" w:leftChars="0" w:firstLine="0" w:firstLineChars="0"/>
              <w:jc w:val="center"/>
              <w:rPr>
                <w:rFonts w:hint="eastAsia" w:ascii="Times New Roman" w:hAnsi="宋体" w:eastAsia="宋体" w:cs="宋体"/>
                <w:snapToGrid w:val="0"/>
                <w:color w:val="auto"/>
                <w:kern w:val="21"/>
                <w:sz w:val="20"/>
                <w:szCs w:val="21"/>
                <w:lang w:val="en-US" w:eastAsia="zh-CN" w:bidi="ar-SA"/>
              </w:rPr>
            </w:pPr>
            <w:r>
              <w:rPr>
                <w:rFonts w:hint="default" w:ascii="Times New Roman" w:hAnsi="宋体" w:eastAsia="宋体" w:cs="宋体"/>
                <w:snapToGrid w:val="0"/>
                <w:color w:val="auto"/>
                <w:kern w:val="21"/>
                <w:sz w:val="20"/>
                <w:szCs w:val="21"/>
                <w:lang w:val="en-US" w:eastAsia="zh-CN" w:bidi="ar-SA"/>
              </w:rPr>
              <w:t>TP</w:t>
            </w:r>
          </w:p>
        </w:tc>
        <w:tc>
          <w:tcPr>
            <w:tcW w:w="584" w:type="pct"/>
            <w:vAlign w:val="center"/>
          </w:tcPr>
          <w:p w14:paraId="7D809CC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36BACCA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68637C09">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4540CB8D">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0.003</w:t>
            </w:r>
            <w:r>
              <w:rPr>
                <w:rFonts w:hint="default" w:ascii="Times New Roman" w:cs="Times New Roman"/>
                <w:b w:val="0"/>
                <w:color w:val="auto"/>
                <w:kern w:val="2"/>
                <w:sz w:val="21"/>
                <w:szCs w:val="21"/>
                <w:lang w:val="en-US" w:eastAsia="zh-CN" w:bidi="ar-SA"/>
              </w:rPr>
              <w:t>t/a</w:t>
            </w:r>
          </w:p>
        </w:tc>
        <w:tc>
          <w:tcPr>
            <w:tcW w:w="463" w:type="pct"/>
            <w:shd w:val="clear" w:color="auto" w:fill="auto"/>
            <w:vAlign w:val="center"/>
          </w:tcPr>
          <w:p w14:paraId="4B3D410C">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6DB0F606">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0.003</w:t>
            </w:r>
            <w:r>
              <w:rPr>
                <w:rFonts w:hint="default" w:ascii="Times New Roman" w:cs="Times New Roman"/>
                <w:b w:val="0"/>
                <w:color w:val="auto"/>
                <w:kern w:val="2"/>
                <w:sz w:val="21"/>
                <w:szCs w:val="21"/>
                <w:lang w:val="en-US" w:eastAsia="zh-CN" w:bidi="ar-SA"/>
              </w:rPr>
              <w:t>t/a</w:t>
            </w:r>
          </w:p>
        </w:tc>
        <w:tc>
          <w:tcPr>
            <w:tcW w:w="557" w:type="pct"/>
            <w:shd w:val="clear" w:color="auto" w:fill="auto"/>
            <w:vAlign w:val="center"/>
          </w:tcPr>
          <w:p w14:paraId="2300A52B">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+0.003</w:t>
            </w:r>
            <w:r>
              <w:rPr>
                <w:rFonts w:hint="default" w:ascii="Times New Roman" w:cs="Times New Roman"/>
                <w:b w:val="0"/>
                <w:color w:val="auto"/>
                <w:kern w:val="2"/>
                <w:sz w:val="21"/>
                <w:szCs w:val="21"/>
                <w:lang w:val="en-US" w:eastAsia="zh-CN" w:bidi="ar-SA"/>
              </w:rPr>
              <w:t>t/a</w:t>
            </w:r>
          </w:p>
        </w:tc>
      </w:tr>
      <w:tr w14:paraId="065D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777B2569">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3CC6ACC9">
            <w:pPr>
              <w:ind w:left="0" w:leftChars="0" w:firstLine="0" w:firstLineChars="0"/>
              <w:jc w:val="center"/>
              <w:rPr>
                <w:rFonts w:hint="eastAsia" w:ascii="Times New Roman" w:hAnsi="宋体" w:eastAsia="宋体" w:cs="宋体"/>
                <w:snapToGrid w:val="0"/>
                <w:color w:val="auto"/>
                <w:kern w:val="21"/>
                <w:sz w:val="20"/>
                <w:szCs w:val="21"/>
                <w:lang w:val="en-US" w:eastAsia="zh-CN" w:bidi="ar-SA"/>
              </w:rPr>
            </w:pPr>
            <w:r>
              <w:rPr>
                <w:rFonts w:hint="default" w:ascii="Times New Roman" w:hAnsi="宋体" w:eastAsia="宋体" w:cs="宋体"/>
                <w:snapToGrid w:val="0"/>
                <w:color w:val="auto"/>
                <w:kern w:val="21"/>
                <w:sz w:val="20"/>
                <w:szCs w:val="21"/>
                <w:lang w:val="en-US" w:eastAsia="zh-CN" w:bidi="ar-SA"/>
              </w:rPr>
              <w:t>SS</w:t>
            </w:r>
          </w:p>
        </w:tc>
        <w:tc>
          <w:tcPr>
            <w:tcW w:w="584" w:type="pct"/>
            <w:vAlign w:val="center"/>
          </w:tcPr>
          <w:p w14:paraId="2C6D0D0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7FDA493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5FB77E7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4E81AC94">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0.218t/a</w:t>
            </w:r>
          </w:p>
        </w:tc>
        <w:tc>
          <w:tcPr>
            <w:tcW w:w="463" w:type="pct"/>
            <w:shd w:val="clear" w:color="auto" w:fill="auto"/>
            <w:vAlign w:val="center"/>
          </w:tcPr>
          <w:p w14:paraId="7D2DCA29">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38D7F3C5">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0.218t/a</w:t>
            </w:r>
          </w:p>
        </w:tc>
        <w:tc>
          <w:tcPr>
            <w:tcW w:w="557" w:type="pct"/>
            <w:shd w:val="clear" w:color="auto" w:fill="auto"/>
            <w:vAlign w:val="center"/>
          </w:tcPr>
          <w:p w14:paraId="5A71730F">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+0.218t/a</w:t>
            </w:r>
          </w:p>
        </w:tc>
      </w:tr>
      <w:tr w14:paraId="136D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pct"/>
            <w:gridSpan w:val="2"/>
            <w:vAlign w:val="center"/>
          </w:tcPr>
          <w:p w14:paraId="1E21CDC3">
            <w:pPr>
              <w:pStyle w:val="29"/>
              <w:ind w:firstLine="0" w:firstLineChars="0"/>
              <w:rPr>
                <w:rFonts w:hint="eastAsia"/>
                <w:color w:val="auto"/>
                <w:lang w:val="en-US" w:eastAsia="zh-CN"/>
              </w:rPr>
            </w:pPr>
            <w:r>
              <w:rPr>
                <w:rFonts w:hint="eastAsia"/>
                <w:color w:val="auto"/>
                <w:lang w:val="en-US" w:eastAsia="zh-CN"/>
              </w:rPr>
              <w:t>生活垃圾</w:t>
            </w:r>
          </w:p>
        </w:tc>
        <w:tc>
          <w:tcPr>
            <w:tcW w:w="584" w:type="pct"/>
            <w:vAlign w:val="center"/>
          </w:tcPr>
          <w:p w14:paraId="4138816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395" w:type="pct"/>
            <w:shd w:val="clear" w:color="auto" w:fill="auto"/>
            <w:vAlign w:val="center"/>
          </w:tcPr>
          <w:p w14:paraId="6B1325E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670" w:type="pct"/>
            <w:shd w:val="clear" w:color="auto" w:fill="auto"/>
            <w:vAlign w:val="center"/>
          </w:tcPr>
          <w:p w14:paraId="254F0DC2">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738" w:type="pct"/>
            <w:shd w:val="clear" w:color="auto" w:fill="auto"/>
            <w:vAlign w:val="center"/>
          </w:tcPr>
          <w:p w14:paraId="463F34EF">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0.3t/a</w:t>
            </w:r>
          </w:p>
        </w:tc>
        <w:tc>
          <w:tcPr>
            <w:tcW w:w="463" w:type="pct"/>
            <w:shd w:val="clear" w:color="auto" w:fill="auto"/>
            <w:vAlign w:val="center"/>
          </w:tcPr>
          <w:p w14:paraId="00BD04F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w:t>
            </w:r>
          </w:p>
        </w:tc>
        <w:tc>
          <w:tcPr>
            <w:tcW w:w="666" w:type="pct"/>
            <w:shd w:val="clear" w:color="auto" w:fill="auto"/>
            <w:vAlign w:val="center"/>
          </w:tcPr>
          <w:p w14:paraId="642F9C57">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0.3t/a</w:t>
            </w:r>
          </w:p>
        </w:tc>
        <w:tc>
          <w:tcPr>
            <w:tcW w:w="557" w:type="pct"/>
            <w:shd w:val="clear" w:color="auto" w:fill="auto"/>
            <w:vAlign w:val="center"/>
          </w:tcPr>
          <w:p w14:paraId="3E7AF88F">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+0.3t/a</w:t>
            </w:r>
          </w:p>
        </w:tc>
      </w:tr>
      <w:tr w14:paraId="0D11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restart"/>
            <w:vAlign w:val="center"/>
          </w:tcPr>
          <w:p w14:paraId="14388F74">
            <w:pPr>
              <w:pStyle w:val="40"/>
              <w:spacing w:before="31" w:after="31" w:line="240" w:lineRule="auto"/>
              <w:ind w:firstLine="0" w:firstLineChars="0"/>
              <w:rPr>
                <w:rFonts w:hint="eastAsia" w:ascii="Times New Roman" w:hAnsi="宋体" w:cs="宋体"/>
                <w:snapToGrid w:val="0"/>
                <w:color w:val="auto"/>
                <w:kern w:val="21"/>
                <w:sz w:val="20"/>
                <w:szCs w:val="21"/>
              </w:rPr>
            </w:pPr>
            <w:r>
              <w:rPr>
                <w:rFonts w:hint="eastAsia" w:ascii="Times New Roman" w:hAnsi="宋体" w:cs="宋体"/>
                <w:snapToGrid w:val="0"/>
                <w:color w:val="auto"/>
                <w:kern w:val="21"/>
                <w:sz w:val="20"/>
                <w:szCs w:val="21"/>
              </w:rPr>
              <w:t>一般工业</w:t>
            </w:r>
          </w:p>
          <w:p w14:paraId="45F86FB4">
            <w:pPr>
              <w:pStyle w:val="40"/>
              <w:spacing w:before="31" w:after="31" w:line="240" w:lineRule="auto"/>
              <w:ind w:firstLine="0" w:firstLineChars="0"/>
              <w:rPr>
                <w:rFonts w:hint="eastAsia" w:ascii="Times New Roman" w:hAnsi="宋体" w:cs="宋体"/>
                <w:snapToGrid w:val="0"/>
                <w:color w:val="auto"/>
                <w:kern w:val="21"/>
                <w:sz w:val="20"/>
                <w:szCs w:val="21"/>
              </w:rPr>
            </w:pPr>
            <w:r>
              <w:rPr>
                <w:rFonts w:hint="eastAsia" w:ascii="Times New Roman" w:hAnsi="宋体" w:cs="宋体"/>
                <w:snapToGrid w:val="0"/>
                <w:color w:val="auto"/>
                <w:kern w:val="21"/>
                <w:sz w:val="20"/>
                <w:szCs w:val="21"/>
              </w:rPr>
              <w:t>固体废物</w:t>
            </w:r>
          </w:p>
        </w:tc>
        <w:tc>
          <w:tcPr>
            <w:tcW w:w="642" w:type="pct"/>
            <w:shd w:val="clear" w:color="auto" w:fill="auto"/>
            <w:vAlign w:val="center"/>
          </w:tcPr>
          <w:p w14:paraId="7667F040">
            <w:pPr>
              <w:pStyle w:val="29"/>
              <w:ind w:firstLine="0" w:firstLineChars="0"/>
              <w:rPr>
                <w:rFonts w:hint="eastAsia"/>
                <w:color w:val="auto"/>
                <w:lang w:val="en-US" w:eastAsia="zh-CN"/>
              </w:rPr>
            </w:pPr>
            <w:r>
              <w:rPr>
                <w:rFonts w:hint="eastAsia"/>
                <w:color w:val="auto"/>
                <w:lang w:val="en-US" w:eastAsia="zh-CN"/>
              </w:rPr>
              <w:t>麦糟</w:t>
            </w:r>
          </w:p>
        </w:tc>
        <w:tc>
          <w:tcPr>
            <w:tcW w:w="584" w:type="pct"/>
            <w:shd w:val="clear" w:color="auto" w:fill="auto"/>
            <w:vAlign w:val="center"/>
          </w:tcPr>
          <w:p w14:paraId="1D45F5F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0241EA98">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6BF761DB">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484699E9">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137.5t/a</w:t>
            </w:r>
          </w:p>
        </w:tc>
        <w:tc>
          <w:tcPr>
            <w:tcW w:w="463" w:type="pct"/>
            <w:shd w:val="clear" w:color="auto" w:fill="auto"/>
            <w:vAlign w:val="center"/>
          </w:tcPr>
          <w:p w14:paraId="47B1D30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5D3F467F">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137.5t/a</w:t>
            </w:r>
          </w:p>
        </w:tc>
        <w:tc>
          <w:tcPr>
            <w:tcW w:w="557" w:type="pct"/>
            <w:shd w:val="clear" w:color="auto" w:fill="auto"/>
            <w:vAlign w:val="center"/>
          </w:tcPr>
          <w:p w14:paraId="344991BF">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+137.5t/a</w:t>
            </w:r>
          </w:p>
        </w:tc>
      </w:tr>
      <w:tr w14:paraId="3AF3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448F56DA">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1F1EE757">
            <w:pPr>
              <w:pStyle w:val="29"/>
              <w:ind w:firstLine="0" w:firstLineChars="0"/>
              <w:rPr>
                <w:rFonts w:hint="eastAsia"/>
                <w:color w:val="auto"/>
                <w:lang w:val="en-US" w:eastAsia="zh-CN"/>
              </w:rPr>
            </w:pPr>
            <w:r>
              <w:rPr>
                <w:rFonts w:hint="eastAsia"/>
                <w:color w:val="auto"/>
                <w:lang w:val="en-US" w:eastAsia="zh-CN"/>
              </w:rPr>
              <w:t>沉淀渣</w:t>
            </w:r>
          </w:p>
        </w:tc>
        <w:tc>
          <w:tcPr>
            <w:tcW w:w="584" w:type="pct"/>
            <w:shd w:val="clear" w:color="auto" w:fill="auto"/>
            <w:vAlign w:val="center"/>
          </w:tcPr>
          <w:p w14:paraId="7DE8DE0E">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0CF8987E">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4F0EBCB2">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shd w:val="clear" w:color="auto" w:fill="auto"/>
            <w:vAlign w:val="center"/>
          </w:tcPr>
          <w:p w14:paraId="649C7ABB">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3.25t/a</w:t>
            </w:r>
          </w:p>
        </w:tc>
        <w:tc>
          <w:tcPr>
            <w:tcW w:w="463" w:type="pct"/>
            <w:shd w:val="clear" w:color="auto" w:fill="auto"/>
            <w:vAlign w:val="center"/>
          </w:tcPr>
          <w:p w14:paraId="32E8746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66" w:type="pct"/>
            <w:shd w:val="clear" w:color="auto" w:fill="auto"/>
            <w:vAlign w:val="center"/>
          </w:tcPr>
          <w:p w14:paraId="1FD2277C">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3.25t/a</w:t>
            </w:r>
          </w:p>
        </w:tc>
        <w:tc>
          <w:tcPr>
            <w:tcW w:w="557" w:type="pct"/>
            <w:shd w:val="clear" w:color="auto" w:fill="auto"/>
            <w:vAlign w:val="center"/>
          </w:tcPr>
          <w:p w14:paraId="057A36F8">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+3.25t/a</w:t>
            </w:r>
          </w:p>
        </w:tc>
      </w:tr>
      <w:tr w14:paraId="5DD74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09119446">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74AE3E08">
            <w:pPr>
              <w:pStyle w:val="29"/>
              <w:ind w:firstLine="0" w:firstLineChars="0"/>
              <w:rPr>
                <w:rFonts w:hint="eastAsia"/>
                <w:color w:val="auto"/>
                <w:lang w:val="en-US" w:eastAsia="zh-CN"/>
              </w:rPr>
            </w:pPr>
            <w:r>
              <w:rPr>
                <w:rFonts w:hint="eastAsia"/>
                <w:color w:val="auto"/>
                <w:lang w:val="en-US" w:eastAsia="zh-CN"/>
              </w:rPr>
              <w:t>酒花槽</w:t>
            </w:r>
          </w:p>
        </w:tc>
        <w:tc>
          <w:tcPr>
            <w:tcW w:w="584" w:type="pct"/>
            <w:shd w:val="clear" w:color="auto" w:fill="auto"/>
            <w:vAlign w:val="top"/>
          </w:tcPr>
          <w:p w14:paraId="10E28CCE">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395" w:type="pct"/>
            <w:shd w:val="clear" w:color="auto" w:fill="auto"/>
            <w:vAlign w:val="top"/>
          </w:tcPr>
          <w:p w14:paraId="0CDD447B">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70" w:type="pct"/>
            <w:shd w:val="clear" w:color="auto" w:fill="auto"/>
            <w:vAlign w:val="top"/>
          </w:tcPr>
          <w:p w14:paraId="432709AB">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738" w:type="pct"/>
            <w:shd w:val="clear" w:color="auto" w:fill="auto"/>
            <w:vAlign w:val="center"/>
          </w:tcPr>
          <w:p w14:paraId="1C1B8DA9">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2.27t/a</w:t>
            </w:r>
          </w:p>
        </w:tc>
        <w:tc>
          <w:tcPr>
            <w:tcW w:w="463" w:type="pct"/>
            <w:shd w:val="clear" w:color="auto" w:fill="auto"/>
            <w:vAlign w:val="top"/>
          </w:tcPr>
          <w:p w14:paraId="2C7CF239">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145862CF">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2.27t/a</w:t>
            </w:r>
          </w:p>
        </w:tc>
        <w:tc>
          <w:tcPr>
            <w:tcW w:w="557" w:type="pct"/>
            <w:shd w:val="clear" w:color="auto" w:fill="auto"/>
            <w:vAlign w:val="center"/>
          </w:tcPr>
          <w:p w14:paraId="6590CA6A">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+2.27t/a</w:t>
            </w:r>
          </w:p>
        </w:tc>
      </w:tr>
      <w:tr w14:paraId="7794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2A47632A">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52304EBA">
            <w:pPr>
              <w:pStyle w:val="29"/>
              <w:ind w:firstLine="0" w:firstLineChars="0"/>
              <w:rPr>
                <w:rFonts w:hint="eastAsia"/>
                <w:color w:val="auto"/>
                <w:lang w:val="en-US" w:eastAsia="zh-CN"/>
              </w:rPr>
            </w:pPr>
            <w:r>
              <w:rPr>
                <w:rFonts w:hint="eastAsia"/>
                <w:color w:val="auto"/>
                <w:lang w:val="en-US" w:eastAsia="zh-CN"/>
              </w:rPr>
              <w:t>废酵母</w:t>
            </w:r>
          </w:p>
        </w:tc>
        <w:tc>
          <w:tcPr>
            <w:tcW w:w="584" w:type="pct"/>
            <w:shd w:val="clear" w:color="auto" w:fill="auto"/>
            <w:vAlign w:val="center"/>
          </w:tcPr>
          <w:p w14:paraId="30FE3E6E">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09A099B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3705B7C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27E6A090">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7.5t/a</w:t>
            </w:r>
          </w:p>
        </w:tc>
        <w:tc>
          <w:tcPr>
            <w:tcW w:w="463" w:type="pct"/>
            <w:shd w:val="clear" w:color="auto" w:fill="auto"/>
            <w:vAlign w:val="center"/>
          </w:tcPr>
          <w:p w14:paraId="159A65E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4B566553">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7.5t/a</w:t>
            </w:r>
          </w:p>
        </w:tc>
        <w:tc>
          <w:tcPr>
            <w:tcW w:w="557" w:type="pct"/>
            <w:shd w:val="clear" w:color="auto" w:fill="auto"/>
            <w:vAlign w:val="center"/>
          </w:tcPr>
          <w:p w14:paraId="52A9072A">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+7.5t/a</w:t>
            </w:r>
          </w:p>
        </w:tc>
      </w:tr>
      <w:tr w14:paraId="3332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56C6F3F7">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70BC1541">
            <w:pPr>
              <w:pStyle w:val="29"/>
              <w:ind w:firstLine="0" w:firstLineChars="0"/>
              <w:rPr>
                <w:rFonts w:hint="eastAsia"/>
                <w:color w:val="auto"/>
                <w:lang w:val="en-US" w:eastAsia="zh-CN"/>
              </w:rPr>
            </w:pPr>
            <w:r>
              <w:rPr>
                <w:rFonts w:hint="eastAsia"/>
                <w:color w:val="auto"/>
                <w:lang w:val="en-US" w:eastAsia="zh-CN"/>
              </w:rPr>
              <w:t>除尘灰</w:t>
            </w:r>
          </w:p>
        </w:tc>
        <w:tc>
          <w:tcPr>
            <w:tcW w:w="584" w:type="pct"/>
            <w:shd w:val="clear" w:color="auto" w:fill="auto"/>
            <w:vAlign w:val="center"/>
          </w:tcPr>
          <w:p w14:paraId="5A76D52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619C59DC">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0A3E94A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shd w:val="clear" w:color="auto" w:fill="auto"/>
            <w:vAlign w:val="center"/>
          </w:tcPr>
          <w:p w14:paraId="4014AF49">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0.0079t/a</w:t>
            </w:r>
          </w:p>
        </w:tc>
        <w:tc>
          <w:tcPr>
            <w:tcW w:w="463" w:type="pct"/>
            <w:shd w:val="clear" w:color="auto" w:fill="auto"/>
            <w:vAlign w:val="center"/>
          </w:tcPr>
          <w:p w14:paraId="00C220FC">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66" w:type="pct"/>
            <w:shd w:val="clear" w:color="auto" w:fill="auto"/>
            <w:vAlign w:val="center"/>
          </w:tcPr>
          <w:p w14:paraId="2A34C62A">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0.0079t/a</w:t>
            </w:r>
          </w:p>
        </w:tc>
        <w:tc>
          <w:tcPr>
            <w:tcW w:w="557" w:type="pct"/>
            <w:shd w:val="clear" w:color="auto" w:fill="auto"/>
            <w:vAlign w:val="center"/>
          </w:tcPr>
          <w:p w14:paraId="64E7DE1D">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+0.0079t/a</w:t>
            </w:r>
          </w:p>
        </w:tc>
      </w:tr>
      <w:tr w14:paraId="03BF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20D8F971">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4B2CB793">
            <w:pPr>
              <w:pStyle w:val="29"/>
              <w:ind w:firstLine="0" w:firstLineChars="0"/>
              <w:rPr>
                <w:rFonts w:hint="eastAsia"/>
                <w:color w:val="auto"/>
                <w:lang w:val="en-US" w:eastAsia="zh-CN"/>
              </w:rPr>
            </w:pPr>
            <w:r>
              <w:rPr>
                <w:rFonts w:hint="eastAsia"/>
                <w:color w:val="auto"/>
                <w:lang w:val="en-US" w:eastAsia="zh-CN"/>
              </w:rPr>
              <w:t>废弃包装物</w:t>
            </w:r>
          </w:p>
        </w:tc>
        <w:tc>
          <w:tcPr>
            <w:tcW w:w="584" w:type="pct"/>
            <w:shd w:val="clear" w:color="auto" w:fill="auto"/>
            <w:vAlign w:val="top"/>
          </w:tcPr>
          <w:p w14:paraId="393F458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395" w:type="pct"/>
            <w:shd w:val="clear" w:color="auto" w:fill="auto"/>
            <w:vAlign w:val="top"/>
          </w:tcPr>
          <w:p w14:paraId="6E74281F">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70" w:type="pct"/>
            <w:shd w:val="clear" w:color="auto" w:fill="auto"/>
            <w:vAlign w:val="top"/>
          </w:tcPr>
          <w:p w14:paraId="3B29642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738" w:type="pct"/>
            <w:shd w:val="clear" w:color="auto" w:fill="auto"/>
            <w:vAlign w:val="center"/>
          </w:tcPr>
          <w:p w14:paraId="2CEC4434">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1t/a</w:t>
            </w:r>
          </w:p>
        </w:tc>
        <w:tc>
          <w:tcPr>
            <w:tcW w:w="463" w:type="pct"/>
            <w:shd w:val="clear" w:color="auto" w:fill="auto"/>
            <w:vAlign w:val="top"/>
          </w:tcPr>
          <w:p w14:paraId="2DA7A888">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1213D8F2">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1t/a</w:t>
            </w:r>
          </w:p>
        </w:tc>
        <w:tc>
          <w:tcPr>
            <w:tcW w:w="557" w:type="pct"/>
            <w:shd w:val="clear" w:color="auto" w:fill="auto"/>
            <w:vAlign w:val="center"/>
          </w:tcPr>
          <w:p w14:paraId="6AED4004">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+1t/a</w:t>
            </w:r>
          </w:p>
        </w:tc>
      </w:tr>
      <w:tr w14:paraId="6104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41DD9627">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7DD0CA64">
            <w:pPr>
              <w:pStyle w:val="29"/>
              <w:ind w:firstLine="0" w:firstLineChars="0"/>
              <w:rPr>
                <w:rFonts w:hint="eastAsia"/>
                <w:color w:val="auto"/>
                <w:lang w:val="en-US" w:eastAsia="zh-CN"/>
              </w:rPr>
            </w:pPr>
            <w:r>
              <w:rPr>
                <w:rFonts w:hint="eastAsia"/>
                <w:color w:val="auto"/>
                <w:lang w:val="en-US" w:eastAsia="zh-CN"/>
              </w:rPr>
              <w:t>化粪池污泥</w:t>
            </w:r>
          </w:p>
        </w:tc>
        <w:tc>
          <w:tcPr>
            <w:tcW w:w="584" w:type="pct"/>
            <w:shd w:val="clear" w:color="auto" w:fill="auto"/>
            <w:vAlign w:val="center"/>
          </w:tcPr>
          <w:p w14:paraId="5267D1AB">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5FD0716B">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32304CB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6D8764EC">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0.03t/a</w:t>
            </w:r>
          </w:p>
        </w:tc>
        <w:tc>
          <w:tcPr>
            <w:tcW w:w="463" w:type="pct"/>
            <w:shd w:val="clear" w:color="auto" w:fill="auto"/>
            <w:vAlign w:val="center"/>
          </w:tcPr>
          <w:p w14:paraId="5FB97F31">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66" w:type="pct"/>
            <w:shd w:val="clear" w:color="auto" w:fill="auto"/>
            <w:vAlign w:val="center"/>
          </w:tcPr>
          <w:p w14:paraId="143B3863">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0.03t/a</w:t>
            </w:r>
          </w:p>
        </w:tc>
        <w:tc>
          <w:tcPr>
            <w:tcW w:w="557" w:type="pct"/>
            <w:shd w:val="clear" w:color="auto" w:fill="auto"/>
            <w:vAlign w:val="center"/>
          </w:tcPr>
          <w:p w14:paraId="5F73AA8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+0.03t/a</w:t>
            </w:r>
          </w:p>
        </w:tc>
      </w:tr>
      <w:tr w14:paraId="5601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053B060C">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76AF67DB">
            <w:pPr>
              <w:pStyle w:val="29"/>
              <w:ind w:firstLine="0" w:firstLineChars="0"/>
              <w:rPr>
                <w:rFonts w:hint="eastAsia"/>
                <w:color w:val="auto"/>
                <w:lang w:val="en-US" w:eastAsia="zh-CN"/>
              </w:rPr>
            </w:pPr>
            <w:r>
              <w:rPr>
                <w:rFonts w:hint="eastAsia"/>
                <w:color w:val="auto"/>
                <w:lang w:val="en-US" w:eastAsia="zh-CN"/>
              </w:rPr>
              <w:t>污水处理站污泥</w:t>
            </w:r>
          </w:p>
        </w:tc>
        <w:tc>
          <w:tcPr>
            <w:tcW w:w="584" w:type="pct"/>
            <w:shd w:val="clear" w:color="auto" w:fill="auto"/>
            <w:vAlign w:val="center"/>
          </w:tcPr>
          <w:p w14:paraId="15474CA5">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54A9813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7EA47A6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shd w:val="clear" w:color="auto" w:fill="auto"/>
            <w:vAlign w:val="center"/>
          </w:tcPr>
          <w:p w14:paraId="0F64AAC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0.38t/a</w:t>
            </w:r>
          </w:p>
        </w:tc>
        <w:tc>
          <w:tcPr>
            <w:tcW w:w="463" w:type="pct"/>
            <w:shd w:val="clear" w:color="auto" w:fill="auto"/>
            <w:vAlign w:val="center"/>
          </w:tcPr>
          <w:p w14:paraId="03084D98">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66" w:type="pct"/>
            <w:shd w:val="clear" w:color="auto" w:fill="auto"/>
            <w:vAlign w:val="center"/>
          </w:tcPr>
          <w:p w14:paraId="3F00F31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0.38t/a</w:t>
            </w:r>
          </w:p>
        </w:tc>
        <w:tc>
          <w:tcPr>
            <w:tcW w:w="557" w:type="pct"/>
            <w:shd w:val="clear" w:color="auto" w:fill="auto"/>
            <w:vAlign w:val="center"/>
          </w:tcPr>
          <w:p w14:paraId="3EE3474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+0.38t/a</w:t>
            </w:r>
          </w:p>
        </w:tc>
      </w:tr>
      <w:tr w14:paraId="7676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61F85FC8">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5AFEFE04">
            <w:pPr>
              <w:pStyle w:val="29"/>
              <w:ind w:firstLine="0" w:firstLineChars="0"/>
              <w:rPr>
                <w:rFonts w:hint="eastAsia"/>
                <w:color w:val="auto"/>
                <w:lang w:val="en-US" w:eastAsia="zh-CN"/>
              </w:rPr>
            </w:pPr>
            <w:r>
              <w:rPr>
                <w:rFonts w:hint="eastAsia"/>
                <w:color w:val="auto"/>
                <w:lang w:val="en-US" w:eastAsia="zh-CN"/>
              </w:rPr>
              <w:t>废布袋</w:t>
            </w:r>
          </w:p>
        </w:tc>
        <w:tc>
          <w:tcPr>
            <w:tcW w:w="584" w:type="pct"/>
            <w:shd w:val="clear" w:color="auto" w:fill="auto"/>
            <w:vAlign w:val="center"/>
          </w:tcPr>
          <w:p w14:paraId="746C14A2">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324AD3E0">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724A5A50">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shd w:val="clear" w:color="auto" w:fill="auto"/>
            <w:vAlign w:val="center"/>
          </w:tcPr>
          <w:p w14:paraId="643FF3FD">
            <w:pPr>
              <w:pStyle w:val="40"/>
              <w:spacing w:beforeLines="0" w:afterLines="0" w:line="240" w:lineRule="auto"/>
              <w:ind w:left="0" w:leftChars="0" w:firstLine="0" w:firstLineChars="0"/>
              <w:jc w:val="center"/>
              <w:rPr>
                <w:rFonts w:hint="eastAsia" w:ascii="Times New Roman"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0.002t/a</w:t>
            </w:r>
          </w:p>
        </w:tc>
        <w:tc>
          <w:tcPr>
            <w:tcW w:w="463" w:type="pct"/>
            <w:shd w:val="clear" w:color="auto" w:fill="auto"/>
            <w:vAlign w:val="top"/>
          </w:tcPr>
          <w:p w14:paraId="45A1926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64B513DF">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0.002t/a</w:t>
            </w:r>
          </w:p>
        </w:tc>
        <w:tc>
          <w:tcPr>
            <w:tcW w:w="557" w:type="pct"/>
            <w:shd w:val="clear" w:color="auto" w:fill="auto"/>
            <w:vAlign w:val="center"/>
          </w:tcPr>
          <w:p w14:paraId="242E25CE">
            <w:pPr>
              <w:pStyle w:val="40"/>
              <w:spacing w:beforeLines="0" w:afterLines="0" w:line="240" w:lineRule="auto"/>
              <w:ind w:left="0" w:leftChars="0" w:firstLine="0" w:firstLineChars="0"/>
              <w:jc w:val="center"/>
              <w:rPr>
                <w:rFonts w:hint="eastAsia" w:ascii="Times New Roman" w:hAnsi="Times New Roman" w:eastAsia="宋体" w:cs="Times New Roman"/>
                <w:b w:val="0"/>
                <w:color w:val="auto"/>
                <w:kern w:val="2"/>
                <w:sz w:val="21"/>
                <w:szCs w:val="21"/>
                <w:lang w:val="en-US" w:eastAsia="zh-CN" w:bidi="ar-SA"/>
              </w:rPr>
            </w:pPr>
            <w:r>
              <w:rPr>
                <w:rFonts w:hint="eastAsia" w:ascii="Times New Roman" w:cs="Times New Roman"/>
                <w:b w:val="0"/>
                <w:color w:val="auto"/>
                <w:kern w:val="2"/>
                <w:sz w:val="21"/>
                <w:szCs w:val="21"/>
                <w:lang w:val="en-US" w:eastAsia="zh-CN" w:bidi="ar-SA"/>
              </w:rPr>
              <w:t>+0.002t/a</w:t>
            </w:r>
          </w:p>
        </w:tc>
      </w:tr>
      <w:tr w14:paraId="4371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52693BA0">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52E05C0E">
            <w:pPr>
              <w:pStyle w:val="29"/>
              <w:ind w:firstLine="0" w:firstLineChars="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废滤芯</w:t>
            </w:r>
          </w:p>
        </w:tc>
        <w:tc>
          <w:tcPr>
            <w:tcW w:w="584" w:type="pct"/>
            <w:shd w:val="clear" w:color="auto" w:fill="auto"/>
            <w:vAlign w:val="top"/>
          </w:tcPr>
          <w:p w14:paraId="16B65AE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395" w:type="pct"/>
            <w:shd w:val="clear" w:color="auto" w:fill="auto"/>
            <w:vAlign w:val="top"/>
          </w:tcPr>
          <w:p w14:paraId="498507E0">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70" w:type="pct"/>
            <w:shd w:val="clear" w:color="auto" w:fill="auto"/>
            <w:vAlign w:val="top"/>
          </w:tcPr>
          <w:p w14:paraId="0E8E6104">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738" w:type="pct"/>
            <w:shd w:val="clear" w:color="auto" w:fill="auto"/>
            <w:vAlign w:val="center"/>
          </w:tcPr>
          <w:p w14:paraId="2B91CCB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0.03t/a</w:t>
            </w:r>
          </w:p>
        </w:tc>
        <w:tc>
          <w:tcPr>
            <w:tcW w:w="463" w:type="pct"/>
            <w:shd w:val="clear" w:color="auto" w:fill="auto"/>
            <w:vAlign w:val="top"/>
          </w:tcPr>
          <w:p w14:paraId="6A54DAC6">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4BE95CC5">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0.03t/a</w:t>
            </w:r>
          </w:p>
        </w:tc>
        <w:tc>
          <w:tcPr>
            <w:tcW w:w="557" w:type="pct"/>
            <w:shd w:val="clear" w:color="auto" w:fill="auto"/>
            <w:vAlign w:val="center"/>
          </w:tcPr>
          <w:p w14:paraId="0C5AAC2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+0.03t/a</w:t>
            </w:r>
          </w:p>
        </w:tc>
      </w:tr>
      <w:tr w14:paraId="2649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5B017ADB">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0CA9B547">
            <w:pPr>
              <w:pStyle w:val="29"/>
              <w:ind w:firstLine="0" w:firstLineChars="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废石英砂</w:t>
            </w:r>
          </w:p>
        </w:tc>
        <w:tc>
          <w:tcPr>
            <w:tcW w:w="584" w:type="pct"/>
            <w:shd w:val="clear" w:color="auto" w:fill="auto"/>
            <w:vAlign w:val="center"/>
          </w:tcPr>
          <w:p w14:paraId="693F4B57">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395" w:type="pct"/>
            <w:shd w:val="clear" w:color="auto" w:fill="auto"/>
            <w:vAlign w:val="center"/>
          </w:tcPr>
          <w:p w14:paraId="5CA5BA71">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670" w:type="pct"/>
            <w:shd w:val="clear" w:color="auto" w:fill="auto"/>
            <w:vAlign w:val="center"/>
          </w:tcPr>
          <w:p w14:paraId="34744E68">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rPr>
              <w:t>/</w:t>
            </w:r>
          </w:p>
        </w:tc>
        <w:tc>
          <w:tcPr>
            <w:tcW w:w="738" w:type="pct"/>
            <w:shd w:val="clear" w:color="auto" w:fill="auto"/>
            <w:vAlign w:val="center"/>
          </w:tcPr>
          <w:p w14:paraId="073972E4">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0.25t/a</w:t>
            </w:r>
          </w:p>
        </w:tc>
        <w:tc>
          <w:tcPr>
            <w:tcW w:w="463" w:type="pct"/>
            <w:shd w:val="clear" w:color="auto" w:fill="auto"/>
            <w:vAlign w:val="top"/>
          </w:tcPr>
          <w:p w14:paraId="0B136B7B">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5C5E8C2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0.25t/a</w:t>
            </w:r>
          </w:p>
        </w:tc>
        <w:tc>
          <w:tcPr>
            <w:tcW w:w="557" w:type="pct"/>
            <w:shd w:val="clear" w:color="auto" w:fill="auto"/>
            <w:vAlign w:val="center"/>
          </w:tcPr>
          <w:p w14:paraId="6DAAE51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+0.25t/a</w:t>
            </w:r>
          </w:p>
        </w:tc>
      </w:tr>
      <w:tr w14:paraId="3C57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vAlign w:val="center"/>
          </w:tcPr>
          <w:p w14:paraId="2DF6BF58">
            <w:pPr>
              <w:pStyle w:val="40"/>
              <w:spacing w:before="31" w:after="31" w:line="240" w:lineRule="auto"/>
              <w:ind w:firstLine="0" w:firstLineChars="0"/>
              <w:rPr>
                <w:rFonts w:hint="eastAsia" w:ascii="Times New Roman" w:hAnsi="宋体" w:cs="宋体"/>
                <w:snapToGrid w:val="0"/>
                <w:color w:val="auto"/>
                <w:kern w:val="21"/>
                <w:sz w:val="20"/>
                <w:szCs w:val="21"/>
              </w:rPr>
            </w:pPr>
          </w:p>
        </w:tc>
        <w:tc>
          <w:tcPr>
            <w:tcW w:w="642" w:type="pct"/>
            <w:shd w:val="clear" w:color="auto" w:fill="auto"/>
            <w:vAlign w:val="center"/>
          </w:tcPr>
          <w:p w14:paraId="413697E7">
            <w:pPr>
              <w:pStyle w:val="29"/>
              <w:ind w:firstLine="0" w:firstLineChars="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废RO膜</w:t>
            </w:r>
          </w:p>
        </w:tc>
        <w:tc>
          <w:tcPr>
            <w:tcW w:w="584" w:type="pct"/>
            <w:shd w:val="clear" w:color="auto" w:fill="auto"/>
            <w:vAlign w:val="center"/>
          </w:tcPr>
          <w:p w14:paraId="0BB3CC5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4EAA536D">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18C6404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shd w:val="clear" w:color="auto" w:fill="auto"/>
            <w:vAlign w:val="center"/>
          </w:tcPr>
          <w:p w14:paraId="3C76BFA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0.008t/a</w:t>
            </w:r>
          </w:p>
        </w:tc>
        <w:tc>
          <w:tcPr>
            <w:tcW w:w="463" w:type="pct"/>
            <w:shd w:val="clear" w:color="auto" w:fill="auto"/>
            <w:vAlign w:val="top"/>
          </w:tcPr>
          <w:p w14:paraId="2995BDC8">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4893EE9D">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0.008t/a</w:t>
            </w:r>
          </w:p>
        </w:tc>
        <w:tc>
          <w:tcPr>
            <w:tcW w:w="557" w:type="pct"/>
            <w:shd w:val="clear" w:color="auto" w:fill="auto"/>
            <w:vAlign w:val="center"/>
          </w:tcPr>
          <w:p w14:paraId="11FC5C8E">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s="Times New Roman"/>
                <w:color w:val="auto"/>
                <w:lang w:val="en-US" w:eastAsia="zh-CN"/>
              </w:rPr>
              <w:t>+0.008t/a</w:t>
            </w:r>
          </w:p>
        </w:tc>
      </w:tr>
      <w:tr w14:paraId="2530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restart"/>
            <w:vAlign w:val="center"/>
          </w:tcPr>
          <w:p w14:paraId="7AA59EA1">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rPr>
              <w:t>危险废物</w:t>
            </w:r>
          </w:p>
        </w:tc>
        <w:tc>
          <w:tcPr>
            <w:tcW w:w="642" w:type="pct"/>
            <w:shd w:val="clear" w:color="auto" w:fill="auto"/>
            <w:vAlign w:val="center"/>
          </w:tcPr>
          <w:p w14:paraId="7B7E2C0A">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废机油</w:t>
            </w:r>
          </w:p>
        </w:tc>
        <w:tc>
          <w:tcPr>
            <w:tcW w:w="584" w:type="pct"/>
            <w:vAlign w:val="center"/>
          </w:tcPr>
          <w:p w14:paraId="6D134E3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395" w:type="pct"/>
            <w:shd w:val="clear" w:color="auto" w:fill="auto"/>
            <w:vAlign w:val="center"/>
          </w:tcPr>
          <w:p w14:paraId="6F73766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70" w:type="pct"/>
            <w:shd w:val="clear" w:color="auto" w:fill="auto"/>
            <w:vAlign w:val="center"/>
          </w:tcPr>
          <w:p w14:paraId="716E14D0">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738" w:type="pct"/>
            <w:shd w:val="clear" w:color="auto" w:fill="auto"/>
            <w:vAlign w:val="center"/>
          </w:tcPr>
          <w:p w14:paraId="2E44AA8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eastAsia="宋体"/>
                <w:color w:val="auto"/>
                <w:lang w:val="en-US" w:eastAsia="zh-CN"/>
              </w:rPr>
              <w:t>0.2</w:t>
            </w:r>
            <w:r>
              <w:rPr>
                <w:rFonts w:hint="eastAsia"/>
                <w:color w:val="auto"/>
                <w:lang w:val="en-US" w:eastAsia="zh-CN"/>
              </w:rPr>
              <w:t>t/a</w:t>
            </w:r>
          </w:p>
        </w:tc>
        <w:tc>
          <w:tcPr>
            <w:tcW w:w="463" w:type="pct"/>
            <w:shd w:val="clear" w:color="auto" w:fill="auto"/>
            <w:vAlign w:val="center"/>
          </w:tcPr>
          <w:p w14:paraId="3C3E7476">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eastAsia="宋体" w:cs="宋体"/>
                <w:snapToGrid w:val="0"/>
                <w:color w:val="auto"/>
                <w:kern w:val="21"/>
                <w:sz w:val="20"/>
                <w:szCs w:val="21"/>
                <w:lang w:val="en-US" w:eastAsia="zh-CN"/>
              </w:rPr>
              <w:t>/</w:t>
            </w:r>
          </w:p>
        </w:tc>
        <w:tc>
          <w:tcPr>
            <w:tcW w:w="666" w:type="pct"/>
            <w:shd w:val="clear" w:color="auto" w:fill="auto"/>
            <w:vAlign w:val="center"/>
          </w:tcPr>
          <w:p w14:paraId="22369C60">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eastAsia="宋体"/>
                <w:color w:val="auto"/>
                <w:lang w:val="en-US" w:eastAsia="zh-CN"/>
              </w:rPr>
              <w:t>0.2</w:t>
            </w:r>
            <w:r>
              <w:rPr>
                <w:rFonts w:hint="eastAsia"/>
                <w:color w:val="auto"/>
                <w:lang w:val="en-US" w:eastAsia="zh-CN"/>
              </w:rPr>
              <w:t>t/a</w:t>
            </w:r>
          </w:p>
        </w:tc>
        <w:tc>
          <w:tcPr>
            <w:tcW w:w="557" w:type="pct"/>
            <w:shd w:val="clear" w:color="auto" w:fill="auto"/>
            <w:vAlign w:val="center"/>
          </w:tcPr>
          <w:p w14:paraId="3FE428E2">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w:t>
            </w:r>
            <w:r>
              <w:rPr>
                <w:rFonts w:hint="eastAsia" w:eastAsia="宋体"/>
                <w:color w:val="auto"/>
                <w:lang w:val="en-US" w:eastAsia="zh-CN"/>
              </w:rPr>
              <w:t>0.2</w:t>
            </w:r>
            <w:r>
              <w:rPr>
                <w:rFonts w:hint="eastAsia"/>
                <w:color w:val="auto"/>
                <w:lang w:val="en-US" w:eastAsia="zh-CN"/>
              </w:rPr>
              <w:t>t/a</w:t>
            </w:r>
          </w:p>
        </w:tc>
      </w:tr>
      <w:tr w14:paraId="3362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tcPr>
          <w:p w14:paraId="46DAC13A">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p>
        </w:tc>
        <w:tc>
          <w:tcPr>
            <w:tcW w:w="642" w:type="pct"/>
            <w:shd w:val="clear" w:color="auto" w:fill="auto"/>
            <w:vAlign w:val="center"/>
          </w:tcPr>
          <w:p w14:paraId="1CA49DF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eastAsia="zh-CN"/>
              </w:rPr>
              <w:t>废油桶</w:t>
            </w:r>
          </w:p>
        </w:tc>
        <w:tc>
          <w:tcPr>
            <w:tcW w:w="584" w:type="pct"/>
          </w:tcPr>
          <w:p w14:paraId="3232AFBB">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395" w:type="pct"/>
            <w:shd w:val="clear" w:color="auto" w:fill="auto"/>
            <w:vAlign w:val="top"/>
          </w:tcPr>
          <w:p w14:paraId="06D4EF07">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70" w:type="pct"/>
            <w:shd w:val="clear" w:color="auto" w:fill="auto"/>
            <w:vAlign w:val="top"/>
          </w:tcPr>
          <w:p w14:paraId="7A914BE2">
            <w:pPr>
              <w:pStyle w:val="40"/>
              <w:spacing w:before="31" w:after="31" w:line="240" w:lineRule="auto"/>
              <w:ind w:firstLine="0" w:firstLineChars="0"/>
              <w:rPr>
                <w:rFonts w:hint="default"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738" w:type="pct"/>
            <w:shd w:val="clear" w:color="auto" w:fill="auto"/>
            <w:vAlign w:val="center"/>
          </w:tcPr>
          <w:p w14:paraId="6F6371A6">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0.1t/a</w:t>
            </w:r>
          </w:p>
        </w:tc>
        <w:tc>
          <w:tcPr>
            <w:tcW w:w="463" w:type="pct"/>
            <w:shd w:val="clear" w:color="auto" w:fill="auto"/>
            <w:vAlign w:val="top"/>
          </w:tcPr>
          <w:p w14:paraId="1D423DB1">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2A34B2A9">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0.1t/a</w:t>
            </w:r>
          </w:p>
        </w:tc>
        <w:tc>
          <w:tcPr>
            <w:tcW w:w="557" w:type="pct"/>
            <w:shd w:val="clear" w:color="auto" w:fill="auto"/>
            <w:vAlign w:val="center"/>
          </w:tcPr>
          <w:p w14:paraId="24C3F8AB">
            <w:pPr>
              <w:pStyle w:val="29"/>
              <w:ind w:firstLine="0" w:firstLineChars="0"/>
              <w:rPr>
                <w:rFonts w:hint="eastAsia" w:ascii="Times New Roman" w:hAnsi="Times New Roman" w:eastAsia="宋体" w:cs="Times New Roman"/>
                <w:b w:val="0"/>
                <w:color w:val="auto"/>
                <w:kern w:val="2"/>
                <w:sz w:val="21"/>
                <w:szCs w:val="21"/>
                <w:lang w:val="en-US" w:eastAsia="zh-CN" w:bidi="ar-SA"/>
              </w:rPr>
            </w:pPr>
            <w:r>
              <w:rPr>
                <w:rFonts w:hint="eastAsia"/>
                <w:color w:val="auto"/>
                <w:lang w:val="en-US" w:eastAsia="zh-CN"/>
              </w:rPr>
              <w:t>+0.1t/a</w:t>
            </w:r>
          </w:p>
        </w:tc>
      </w:tr>
      <w:tr w14:paraId="79DF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vMerge w:val="continue"/>
          </w:tcPr>
          <w:p w14:paraId="42DB51A3">
            <w:pPr>
              <w:pStyle w:val="40"/>
              <w:spacing w:before="31" w:after="31" w:line="240" w:lineRule="auto"/>
              <w:ind w:firstLine="0" w:firstLineChars="0"/>
              <w:rPr>
                <w:rFonts w:hint="eastAsia" w:ascii="Times New Roman" w:hAnsi="宋体" w:eastAsia="宋体" w:cs="宋体"/>
                <w:snapToGrid w:val="0"/>
                <w:color w:val="auto"/>
                <w:kern w:val="21"/>
                <w:sz w:val="20"/>
                <w:szCs w:val="21"/>
                <w:lang w:val="en-US" w:eastAsia="zh-CN" w:bidi="ar-SA"/>
              </w:rPr>
            </w:pPr>
          </w:p>
        </w:tc>
        <w:tc>
          <w:tcPr>
            <w:tcW w:w="642" w:type="pct"/>
            <w:shd w:val="clear" w:color="auto" w:fill="auto"/>
            <w:vAlign w:val="center"/>
          </w:tcPr>
          <w:p w14:paraId="4220A4D4">
            <w:pPr>
              <w:pStyle w:val="29"/>
              <w:ind w:firstLine="0" w:firstLineChars="0"/>
              <w:rPr>
                <w:rFonts w:hint="default"/>
                <w:color w:val="auto"/>
                <w:lang w:val="en-US" w:eastAsia="zh-CN"/>
              </w:rPr>
            </w:pPr>
            <w:r>
              <w:rPr>
                <w:rFonts w:hint="eastAsia"/>
                <w:color w:val="auto"/>
                <w:lang w:val="en-US" w:eastAsia="zh-CN"/>
              </w:rPr>
              <w:t>酸碱废液</w:t>
            </w:r>
          </w:p>
        </w:tc>
        <w:tc>
          <w:tcPr>
            <w:tcW w:w="584" w:type="pct"/>
          </w:tcPr>
          <w:p w14:paraId="63FD91F7">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395" w:type="pct"/>
            <w:shd w:val="clear" w:color="auto" w:fill="auto"/>
            <w:vAlign w:val="top"/>
          </w:tcPr>
          <w:p w14:paraId="18A54DC4">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70" w:type="pct"/>
            <w:shd w:val="clear" w:color="auto" w:fill="auto"/>
            <w:vAlign w:val="top"/>
          </w:tcPr>
          <w:p w14:paraId="4ABC6C43">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738" w:type="pct"/>
            <w:shd w:val="clear" w:color="auto" w:fill="auto"/>
            <w:vAlign w:val="center"/>
          </w:tcPr>
          <w:p w14:paraId="7DB7E80A">
            <w:pPr>
              <w:pStyle w:val="29"/>
              <w:ind w:firstLine="0" w:firstLineChars="0"/>
              <w:rPr>
                <w:rFonts w:hint="default"/>
                <w:color w:val="auto"/>
                <w:lang w:val="en-US" w:eastAsia="zh-CN"/>
              </w:rPr>
            </w:pPr>
            <w:r>
              <w:rPr>
                <w:rFonts w:hint="eastAsia"/>
                <w:color w:val="auto"/>
                <w:lang w:val="en-US" w:eastAsia="zh-CN"/>
              </w:rPr>
              <w:t>0.4t/a</w:t>
            </w:r>
          </w:p>
        </w:tc>
        <w:tc>
          <w:tcPr>
            <w:tcW w:w="463" w:type="pct"/>
            <w:shd w:val="clear" w:color="auto" w:fill="auto"/>
            <w:vAlign w:val="top"/>
          </w:tcPr>
          <w:p w14:paraId="0D5E8552">
            <w:pPr>
              <w:pStyle w:val="40"/>
              <w:spacing w:before="31" w:after="31" w:line="240" w:lineRule="auto"/>
              <w:ind w:firstLine="0" w:firstLineChars="0"/>
              <w:rPr>
                <w:rFonts w:hint="default" w:ascii="Times New Roman" w:hAnsi="宋体" w:cs="宋体"/>
                <w:snapToGrid w:val="0"/>
                <w:color w:val="auto"/>
                <w:kern w:val="21"/>
                <w:sz w:val="20"/>
                <w:szCs w:val="21"/>
                <w:lang w:val="en-US" w:eastAsia="zh-CN" w:bidi="ar-SA"/>
              </w:rPr>
            </w:pPr>
            <w:r>
              <w:rPr>
                <w:rFonts w:hint="eastAsia" w:ascii="Times New Roman" w:hAnsi="宋体" w:cs="宋体"/>
                <w:snapToGrid w:val="0"/>
                <w:color w:val="auto"/>
                <w:kern w:val="21"/>
                <w:sz w:val="20"/>
                <w:szCs w:val="21"/>
                <w:lang w:val="en-US" w:eastAsia="zh-CN" w:bidi="ar-SA"/>
              </w:rPr>
              <w:t>/</w:t>
            </w:r>
          </w:p>
        </w:tc>
        <w:tc>
          <w:tcPr>
            <w:tcW w:w="666" w:type="pct"/>
            <w:shd w:val="clear" w:color="auto" w:fill="auto"/>
            <w:vAlign w:val="center"/>
          </w:tcPr>
          <w:p w14:paraId="21CEC782">
            <w:pPr>
              <w:pStyle w:val="29"/>
              <w:ind w:firstLine="0" w:firstLineChars="0"/>
              <w:rPr>
                <w:rFonts w:hint="eastAsia"/>
                <w:color w:val="auto"/>
                <w:lang w:val="en-US" w:eastAsia="zh-CN"/>
              </w:rPr>
            </w:pPr>
            <w:r>
              <w:rPr>
                <w:rFonts w:hint="eastAsia"/>
                <w:color w:val="auto"/>
                <w:lang w:val="en-US" w:eastAsia="zh-CN"/>
              </w:rPr>
              <w:t>0.4t/a</w:t>
            </w:r>
          </w:p>
        </w:tc>
        <w:tc>
          <w:tcPr>
            <w:tcW w:w="557" w:type="pct"/>
            <w:shd w:val="clear" w:color="auto" w:fill="auto"/>
            <w:vAlign w:val="center"/>
          </w:tcPr>
          <w:p w14:paraId="5DB3DA5C">
            <w:pPr>
              <w:pStyle w:val="29"/>
              <w:ind w:firstLine="0" w:firstLineChars="0"/>
              <w:rPr>
                <w:rFonts w:hint="eastAsia"/>
                <w:color w:val="auto"/>
                <w:lang w:val="en-US" w:eastAsia="zh-CN"/>
              </w:rPr>
            </w:pPr>
            <w:r>
              <w:rPr>
                <w:rFonts w:hint="eastAsia"/>
                <w:color w:val="auto"/>
                <w:lang w:val="en-US" w:eastAsia="zh-CN"/>
              </w:rPr>
              <w:t>+0.4t/a</w:t>
            </w:r>
          </w:p>
        </w:tc>
      </w:tr>
    </w:tbl>
    <w:p w14:paraId="20CCD5AF">
      <w:pPr>
        <w:ind w:firstLine="0" w:firstLineChars="0"/>
        <w:jc w:val="left"/>
        <w:rPr>
          <w:color w:val="auto"/>
        </w:rPr>
      </w:pPr>
      <w:r>
        <w:rPr>
          <w:rFonts w:hint="eastAsia"/>
          <w:color w:val="auto"/>
        </w:rPr>
        <w:t>注：⑥=①+③+④-⑤；⑦=⑥-①</w:t>
      </w:r>
    </w:p>
    <w:p w14:paraId="14BF6BDA">
      <w:pPr>
        <w:ind w:firstLine="480"/>
        <w:rPr>
          <w:color w:val="auto"/>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D5FE5">
    <w:pPr>
      <w:pStyle w:val="15"/>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4"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D3085C1">
                          <w:pPr>
                            <w:pStyle w:val="15"/>
                            <w:ind w:firstLine="360"/>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l1uVLQAAAABQEAAA8AAAAAAAAAAQAgAAAAIgAAAGRycy9kb3ducmV2LnhtbFBL&#10;AQIUABQAAAAIAIdO4kDJbMcWxQEAAJEDAAAOAAAAAAAAAAEAIAAAAB8BAABkcnMvZTJvRG9jLnht&#10;bFBLBQYAAAAABgAGAFkBAABWBQAAAAA=&#10;">
              <v:fill on="f" focussize="0,0"/>
              <v:stroke on="f"/>
              <v:imagedata o:title=""/>
              <o:lock v:ext="edit" aspectratio="f"/>
              <v:textbox inset="0mm,0mm,0mm,0mm" style="mso-fit-shape-to-text:t;">
                <w:txbxContent>
                  <w:p w14:paraId="0D3085C1">
                    <w:pPr>
                      <w:pStyle w:val="15"/>
                      <w:ind w:firstLine="360"/>
                    </w:pPr>
                    <w:r>
                      <w:fldChar w:fldCharType="begin"/>
                    </w:r>
                    <w:r>
                      <w:instrText xml:space="preserve"> PAGE  \* MERGEFORMAT </w:instrText>
                    </w:r>
                    <w:r>
                      <w:fldChar w:fldCharType="separate"/>
                    </w:r>
                    <w:r>
                      <w:t>5</w:t>
                    </w:r>
                    <w: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80FF3">
    <w:pPr>
      <w:pStyle w:val="1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97E44D"/>
    <w:multiLevelType w:val="singleLevel"/>
    <w:tmpl w:val="BD97E44D"/>
    <w:lvl w:ilvl="0" w:tentative="0">
      <w:start w:val="1"/>
      <w:numFmt w:val="chineseCounting"/>
      <w:suff w:val="nothing"/>
      <w:lvlText w:val="%1、"/>
      <w:lvlJc w:val="left"/>
      <w:rPr>
        <w:rFonts w:hint="eastAsia"/>
      </w:rPr>
    </w:lvl>
  </w:abstractNum>
  <w:abstractNum w:abstractNumId="1">
    <w:nsid w:val="03D737B8"/>
    <w:multiLevelType w:val="singleLevel"/>
    <w:tmpl w:val="03D737B8"/>
    <w:lvl w:ilvl="0" w:tentative="0">
      <w:start w:val="1"/>
      <w:numFmt w:val="decimal"/>
      <w:suff w:val="nothing"/>
      <w:lvlText w:val="（%1）"/>
      <w:lvlJc w:val="left"/>
    </w:lvl>
  </w:abstractNum>
  <w:abstractNum w:abstractNumId="2">
    <w:nsid w:val="30E73CD8"/>
    <w:multiLevelType w:val="singleLevel"/>
    <w:tmpl w:val="30E73CD8"/>
    <w:lvl w:ilvl="0" w:tentative="0">
      <w:start w:val="10"/>
      <w:numFmt w:val="decimal"/>
      <w:suff w:val="nothing"/>
      <w:lvlText w:val="%1、"/>
      <w:lvlJc w:val="left"/>
    </w:lvl>
  </w:abstractNum>
  <w:abstractNum w:abstractNumId="3">
    <w:nsid w:val="60E3D089"/>
    <w:multiLevelType w:val="singleLevel"/>
    <w:tmpl w:val="60E3D089"/>
    <w:lvl w:ilvl="0" w:tentative="0">
      <w:start w:val="6"/>
      <w:numFmt w:val="chineseCounting"/>
      <w:suff w:val="nothing"/>
      <w:lvlText w:val="%1、"/>
      <w:lvlJc w:val="left"/>
    </w:lvl>
  </w:abstractNum>
  <w:abstractNum w:abstractNumId="4">
    <w:nsid w:val="7F7B2CBF"/>
    <w:multiLevelType w:val="singleLevel"/>
    <w:tmpl w:val="7F7B2CBF"/>
    <w:lvl w:ilvl="0" w:tentative="0">
      <w:start w:val="1"/>
      <w:numFmt w:val="decimal"/>
      <w:pStyle w:val="41"/>
      <w:suff w:val="nothing"/>
      <w:lvlText w:val="（%1）"/>
      <w:lvlJc w:val="left"/>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NhYzY2MDU1MmE1ZThjN2Q0MzYyZjM3NGYwMjViMGIifQ=="/>
    <w:docVar w:name="KSO_WPS_MARK_KEY" w:val="48228e90-ae9b-467b-9343-83fc6f3d2927"/>
  </w:docVars>
  <w:rsids>
    <w:rsidRoot w:val="00172A27"/>
    <w:rsid w:val="00004260"/>
    <w:rsid w:val="00004EFD"/>
    <w:rsid w:val="00005AEA"/>
    <w:rsid w:val="000068CB"/>
    <w:rsid w:val="000114EB"/>
    <w:rsid w:val="00012C2F"/>
    <w:rsid w:val="00016EDC"/>
    <w:rsid w:val="00020881"/>
    <w:rsid w:val="00023A74"/>
    <w:rsid w:val="00025909"/>
    <w:rsid w:val="00031C24"/>
    <w:rsid w:val="000374FA"/>
    <w:rsid w:val="0003762E"/>
    <w:rsid w:val="00043583"/>
    <w:rsid w:val="00045009"/>
    <w:rsid w:val="00055DB6"/>
    <w:rsid w:val="00055E15"/>
    <w:rsid w:val="00062379"/>
    <w:rsid w:val="0006453B"/>
    <w:rsid w:val="00064E04"/>
    <w:rsid w:val="00072A1C"/>
    <w:rsid w:val="00076791"/>
    <w:rsid w:val="00076E87"/>
    <w:rsid w:val="00094096"/>
    <w:rsid w:val="00096A73"/>
    <w:rsid w:val="0009757D"/>
    <w:rsid w:val="000A61BE"/>
    <w:rsid w:val="000A6671"/>
    <w:rsid w:val="000B377E"/>
    <w:rsid w:val="000B781E"/>
    <w:rsid w:val="000C07C5"/>
    <w:rsid w:val="000C2620"/>
    <w:rsid w:val="000C4704"/>
    <w:rsid w:val="000C4EE1"/>
    <w:rsid w:val="000C549F"/>
    <w:rsid w:val="000D3BAC"/>
    <w:rsid w:val="000D69C1"/>
    <w:rsid w:val="000D7ADA"/>
    <w:rsid w:val="000E1C1A"/>
    <w:rsid w:val="000E446D"/>
    <w:rsid w:val="00105502"/>
    <w:rsid w:val="0011760F"/>
    <w:rsid w:val="00117C2B"/>
    <w:rsid w:val="0012380D"/>
    <w:rsid w:val="00125185"/>
    <w:rsid w:val="001261C0"/>
    <w:rsid w:val="00146008"/>
    <w:rsid w:val="0015166D"/>
    <w:rsid w:val="0015258A"/>
    <w:rsid w:val="00152E78"/>
    <w:rsid w:val="00153A0F"/>
    <w:rsid w:val="0015410C"/>
    <w:rsid w:val="00160341"/>
    <w:rsid w:val="00165437"/>
    <w:rsid w:val="001663DE"/>
    <w:rsid w:val="00170189"/>
    <w:rsid w:val="00172A27"/>
    <w:rsid w:val="00184398"/>
    <w:rsid w:val="00186A54"/>
    <w:rsid w:val="00195476"/>
    <w:rsid w:val="00196091"/>
    <w:rsid w:val="001A1DF6"/>
    <w:rsid w:val="001A4E1B"/>
    <w:rsid w:val="001D28F7"/>
    <w:rsid w:val="001E3045"/>
    <w:rsid w:val="001F1474"/>
    <w:rsid w:val="001F205A"/>
    <w:rsid w:val="002071A2"/>
    <w:rsid w:val="00212AD0"/>
    <w:rsid w:val="002209B0"/>
    <w:rsid w:val="00220BBD"/>
    <w:rsid w:val="0022255D"/>
    <w:rsid w:val="00224653"/>
    <w:rsid w:val="002273A9"/>
    <w:rsid w:val="002303A1"/>
    <w:rsid w:val="00235B14"/>
    <w:rsid w:val="00236506"/>
    <w:rsid w:val="002367A3"/>
    <w:rsid w:val="002468FB"/>
    <w:rsid w:val="002514D3"/>
    <w:rsid w:val="002608B9"/>
    <w:rsid w:val="00261F12"/>
    <w:rsid w:val="00267219"/>
    <w:rsid w:val="0027297D"/>
    <w:rsid w:val="00275498"/>
    <w:rsid w:val="00293584"/>
    <w:rsid w:val="002A021C"/>
    <w:rsid w:val="002A1A7C"/>
    <w:rsid w:val="002A387A"/>
    <w:rsid w:val="002A69D8"/>
    <w:rsid w:val="002A6B61"/>
    <w:rsid w:val="002B3309"/>
    <w:rsid w:val="002B4227"/>
    <w:rsid w:val="002B5A91"/>
    <w:rsid w:val="002B625B"/>
    <w:rsid w:val="002C003E"/>
    <w:rsid w:val="002C27EF"/>
    <w:rsid w:val="002C28BC"/>
    <w:rsid w:val="002C69CB"/>
    <w:rsid w:val="002D3B8F"/>
    <w:rsid w:val="002D4864"/>
    <w:rsid w:val="002D4EC0"/>
    <w:rsid w:val="002E6B74"/>
    <w:rsid w:val="002E70AE"/>
    <w:rsid w:val="002F28A6"/>
    <w:rsid w:val="0030310B"/>
    <w:rsid w:val="0030466C"/>
    <w:rsid w:val="0030546C"/>
    <w:rsid w:val="00310748"/>
    <w:rsid w:val="00315A08"/>
    <w:rsid w:val="003161EE"/>
    <w:rsid w:val="00317C70"/>
    <w:rsid w:val="00321D57"/>
    <w:rsid w:val="00323B63"/>
    <w:rsid w:val="00325D86"/>
    <w:rsid w:val="00327774"/>
    <w:rsid w:val="00333947"/>
    <w:rsid w:val="00334833"/>
    <w:rsid w:val="0034293A"/>
    <w:rsid w:val="0035353F"/>
    <w:rsid w:val="003536EF"/>
    <w:rsid w:val="003607D3"/>
    <w:rsid w:val="003673CE"/>
    <w:rsid w:val="0037387D"/>
    <w:rsid w:val="00385853"/>
    <w:rsid w:val="00386DBB"/>
    <w:rsid w:val="003904D3"/>
    <w:rsid w:val="00391CBD"/>
    <w:rsid w:val="00392189"/>
    <w:rsid w:val="003A23FD"/>
    <w:rsid w:val="003A3507"/>
    <w:rsid w:val="003A6943"/>
    <w:rsid w:val="003B1C31"/>
    <w:rsid w:val="003B7ECF"/>
    <w:rsid w:val="003C1521"/>
    <w:rsid w:val="003C468C"/>
    <w:rsid w:val="003C5900"/>
    <w:rsid w:val="003C7498"/>
    <w:rsid w:val="003E5618"/>
    <w:rsid w:val="003F018C"/>
    <w:rsid w:val="003F18F0"/>
    <w:rsid w:val="003F7A16"/>
    <w:rsid w:val="004051AA"/>
    <w:rsid w:val="0040631E"/>
    <w:rsid w:val="00407790"/>
    <w:rsid w:val="00411CC0"/>
    <w:rsid w:val="00412AEE"/>
    <w:rsid w:val="0041455F"/>
    <w:rsid w:val="00414729"/>
    <w:rsid w:val="0042190F"/>
    <w:rsid w:val="004325F0"/>
    <w:rsid w:val="004348C9"/>
    <w:rsid w:val="00434CF0"/>
    <w:rsid w:val="0043535C"/>
    <w:rsid w:val="0044229D"/>
    <w:rsid w:val="0044263C"/>
    <w:rsid w:val="00445A96"/>
    <w:rsid w:val="00447CA3"/>
    <w:rsid w:val="0045557B"/>
    <w:rsid w:val="00460F55"/>
    <w:rsid w:val="00465601"/>
    <w:rsid w:val="004743D6"/>
    <w:rsid w:val="004766B1"/>
    <w:rsid w:val="0048707F"/>
    <w:rsid w:val="004874FC"/>
    <w:rsid w:val="00487880"/>
    <w:rsid w:val="004970E9"/>
    <w:rsid w:val="004B0302"/>
    <w:rsid w:val="004B7D60"/>
    <w:rsid w:val="004C279E"/>
    <w:rsid w:val="004D3CCA"/>
    <w:rsid w:val="004E0863"/>
    <w:rsid w:val="004E0A29"/>
    <w:rsid w:val="004E4F08"/>
    <w:rsid w:val="004F4270"/>
    <w:rsid w:val="00504691"/>
    <w:rsid w:val="0050686F"/>
    <w:rsid w:val="00513988"/>
    <w:rsid w:val="00515609"/>
    <w:rsid w:val="00515C5E"/>
    <w:rsid w:val="00526F72"/>
    <w:rsid w:val="00530A2F"/>
    <w:rsid w:val="00536E2E"/>
    <w:rsid w:val="00550ABB"/>
    <w:rsid w:val="005528F7"/>
    <w:rsid w:val="00561D81"/>
    <w:rsid w:val="00563063"/>
    <w:rsid w:val="00563652"/>
    <w:rsid w:val="0056731C"/>
    <w:rsid w:val="005679F7"/>
    <w:rsid w:val="005720BA"/>
    <w:rsid w:val="00575423"/>
    <w:rsid w:val="00575F35"/>
    <w:rsid w:val="0057701D"/>
    <w:rsid w:val="005835EC"/>
    <w:rsid w:val="00584FA6"/>
    <w:rsid w:val="00586FEC"/>
    <w:rsid w:val="005902BF"/>
    <w:rsid w:val="005966F0"/>
    <w:rsid w:val="0059775B"/>
    <w:rsid w:val="005A1ED9"/>
    <w:rsid w:val="005A4ECD"/>
    <w:rsid w:val="005A6B4B"/>
    <w:rsid w:val="005A7188"/>
    <w:rsid w:val="005C08C5"/>
    <w:rsid w:val="005C1271"/>
    <w:rsid w:val="005C79CD"/>
    <w:rsid w:val="005D33AB"/>
    <w:rsid w:val="005D4BBB"/>
    <w:rsid w:val="005F0A09"/>
    <w:rsid w:val="005F11F7"/>
    <w:rsid w:val="005F2EB2"/>
    <w:rsid w:val="005F4B3D"/>
    <w:rsid w:val="005F4BC5"/>
    <w:rsid w:val="005F6AAE"/>
    <w:rsid w:val="00610E3F"/>
    <w:rsid w:val="00612A61"/>
    <w:rsid w:val="006176E6"/>
    <w:rsid w:val="00617C1C"/>
    <w:rsid w:val="00620376"/>
    <w:rsid w:val="00622F2D"/>
    <w:rsid w:val="0063534C"/>
    <w:rsid w:val="00645EA5"/>
    <w:rsid w:val="00654F9A"/>
    <w:rsid w:val="00655D17"/>
    <w:rsid w:val="0065619B"/>
    <w:rsid w:val="00656426"/>
    <w:rsid w:val="0066635B"/>
    <w:rsid w:val="00670AB1"/>
    <w:rsid w:val="006768E2"/>
    <w:rsid w:val="00681274"/>
    <w:rsid w:val="00683A8F"/>
    <w:rsid w:val="006876D3"/>
    <w:rsid w:val="0069161B"/>
    <w:rsid w:val="006936C9"/>
    <w:rsid w:val="00693F70"/>
    <w:rsid w:val="006946C5"/>
    <w:rsid w:val="006975CA"/>
    <w:rsid w:val="006A0045"/>
    <w:rsid w:val="006A4D05"/>
    <w:rsid w:val="006A4F17"/>
    <w:rsid w:val="006A5442"/>
    <w:rsid w:val="006A7DA3"/>
    <w:rsid w:val="006B0D38"/>
    <w:rsid w:val="006B6CC3"/>
    <w:rsid w:val="006C04CD"/>
    <w:rsid w:val="006C171D"/>
    <w:rsid w:val="006C1C11"/>
    <w:rsid w:val="006D0179"/>
    <w:rsid w:val="006D141F"/>
    <w:rsid w:val="006D2A36"/>
    <w:rsid w:val="006D3AE3"/>
    <w:rsid w:val="006E4D58"/>
    <w:rsid w:val="006E535E"/>
    <w:rsid w:val="006E54FF"/>
    <w:rsid w:val="006F7F99"/>
    <w:rsid w:val="0070131F"/>
    <w:rsid w:val="0070194E"/>
    <w:rsid w:val="007023D7"/>
    <w:rsid w:val="00706802"/>
    <w:rsid w:val="00706FFA"/>
    <w:rsid w:val="00720A63"/>
    <w:rsid w:val="00727B4A"/>
    <w:rsid w:val="0073001F"/>
    <w:rsid w:val="00730EBD"/>
    <w:rsid w:val="0076053A"/>
    <w:rsid w:val="007664EA"/>
    <w:rsid w:val="007708C4"/>
    <w:rsid w:val="00771C4F"/>
    <w:rsid w:val="007725F4"/>
    <w:rsid w:val="00773316"/>
    <w:rsid w:val="0078391F"/>
    <w:rsid w:val="00783A8B"/>
    <w:rsid w:val="00786673"/>
    <w:rsid w:val="00793052"/>
    <w:rsid w:val="00793A9A"/>
    <w:rsid w:val="00793F91"/>
    <w:rsid w:val="007947FD"/>
    <w:rsid w:val="007A27F5"/>
    <w:rsid w:val="007A4F56"/>
    <w:rsid w:val="007B4C18"/>
    <w:rsid w:val="007B4D0D"/>
    <w:rsid w:val="007C287A"/>
    <w:rsid w:val="007C4077"/>
    <w:rsid w:val="007D737B"/>
    <w:rsid w:val="007E2D70"/>
    <w:rsid w:val="007E511A"/>
    <w:rsid w:val="007E6C4E"/>
    <w:rsid w:val="007F0240"/>
    <w:rsid w:val="007F5657"/>
    <w:rsid w:val="007F7875"/>
    <w:rsid w:val="008111A6"/>
    <w:rsid w:val="0082194A"/>
    <w:rsid w:val="00821DCF"/>
    <w:rsid w:val="00827811"/>
    <w:rsid w:val="008329A9"/>
    <w:rsid w:val="0084005F"/>
    <w:rsid w:val="00844FC9"/>
    <w:rsid w:val="00865A76"/>
    <w:rsid w:val="0087362D"/>
    <w:rsid w:val="00873725"/>
    <w:rsid w:val="0089102A"/>
    <w:rsid w:val="00893A67"/>
    <w:rsid w:val="008A41E9"/>
    <w:rsid w:val="008B2DE5"/>
    <w:rsid w:val="008B3385"/>
    <w:rsid w:val="008B3F71"/>
    <w:rsid w:val="008B5A07"/>
    <w:rsid w:val="008C046D"/>
    <w:rsid w:val="008C2503"/>
    <w:rsid w:val="008C5C78"/>
    <w:rsid w:val="008C5F4C"/>
    <w:rsid w:val="008D330C"/>
    <w:rsid w:val="008D669D"/>
    <w:rsid w:val="008E1608"/>
    <w:rsid w:val="008F1EF0"/>
    <w:rsid w:val="008F24CD"/>
    <w:rsid w:val="008F494D"/>
    <w:rsid w:val="00901AF0"/>
    <w:rsid w:val="00902DB1"/>
    <w:rsid w:val="00912A0E"/>
    <w:rsid w:val="009143AB"/>
    <w:rsid w:val="0092258F"/>
    <w:rsid w:val="00923789"/>
    <w:rsid w:val="00945914"/>
    <w:rsid w:val="00945B08"/>
    <w:rsid w:val="00952B96"/>
    <w:rsid w:val="009601A6"/>
    <w:rsid w:val="009623BB"/>
    <w:rsid w:val="0097016F"/>
    <w:rsid w:val="00975C7E"/>
    <w:rsid w:val="00976855"/>
    <w:rsid w:val="0098188B"/>
    <w:rsid w:val="009850B1"/>
    <w:rsid w:val="009942CE"/>
    <w:rsid w:val="009A2912"/>
    <w:rsid w:val="009A3784"/>
    <w:rsid w:val="009B0213"/>
    <w:rsid w:val="009B1F95"/>
    <w:rsid w:val="009B3F8F"/>
    <w:rsid w:val="009B57FB"/>
    <w:rsid w:val="009C1DF6"/>
    <w:rsid w:val="009C2B38"/>
    <w:rsid w:val="009C3EF2"/>
    <w:rsid w:val="009C580F"/>
    <w:rsid w:val="009C6734"/>
    <w:rsid w:val="009D0EA3"/>
    <w:rsid w:val="009D3BCF"/>
    <w:rsid w:val="009D56ED"/>
    <w:rsid w:val="009E1410"/>
    <w:rsid w:val="009E151B"/>
    <w:rsid w:val="009E5635"/>
    <w:rsid w:val="009E70F5"/>
    <w:rsid w:val="009F53B9"/>
    <w:rsid w:val="009F6553"/>
    <w:rsid w:val="009F71DA"/>
    <w:rsid w:val="00A01707"/>
    <w:rsid w:val="00A03529"/>
    <w:rsid w:val="00A04A5C"/>
    <w:rsid w:val="00A06764"/>
    <w:rsid w:val="00A15042"/>
    <w:rsid w:val="00A160A4"/>
    <w:rsid w:val="00A20597"/>
    <w:rsid w:val="00A2405F"/>
    <w:rsid w:val="00A2606C"/>
    <w:rsid w:val="00A364B9"/>
    <w:rsid w:val="00A444C0"/>
    <w:rsid w:val="00A52A2D"/>
    <w:rsid w:val="00A53A2D"/>
    <w:rsid w:val="00A55434"/>
    <w:rsid w:val="00A659AF"/>
    <w:rsid w:val="00A74006"/>
    <w:rsid w:val="00A753E8"/>
    <w:rsid w:val="00A75E41"/>
    <w:rsid w:val="00A801B3"/>
    <w:rsid w:val="00A81F70"/>
    <w:rsid w:val="00A820E0"/>
    <w:rsid w:val="00A836AD"/>
    <w:rsid w:val="00A920DC"/>
    <w:rsid w:val="00AA26D0"/>
    <w:rsid w:val="00AA293A"/>
    <w:rsid w:val="00AB287D"/>
    <w:rsid w:val="00AB6123"/>
    <w:rsid w:val="00AC0198"/>
    <w:rsid w:val="00AC0969"/>
    <w:rsid w:val="00AC0B89"/>
    <w:rsid w:val="00AC1AD4"/>
    <w:rsid w:val="00AD2072"/>
    <w:rsid w:val="00AD3E78"/>
    <w:rsid w:val="00AE0F37"/>
    <w:rsid w:val="00AF04D2"/>
    <w:rsid w:val="00AF0726"/>
    <w:rsid w:val="00AF1779"/>
    <w:rsid w:val="00AF2086"/>
    <w:rsid w:val="00AF326A"/>
    <w:rsid w:val="00AF64B2"/>
    <w:rsid w:val="00B01B7C"/>
    <w:rsid w:val="00B07581"/>
    <w:rsid w:val="00B16F2D"/>
    <w:rsid w:val="00B20DF2"/>
    <w:rsid w:val="00B223C3"/>
    <w:rsid w:val="00B22BF3"/>
    <w:rsid w:val="00B2638F"/>
    <w:rsid w:val="00B34626"/>
    <w:rsid w:val="00B34E4F"/>
    <w:rsid w:val="00B37FA3"/>
    <w:rsid w:val="00B52150"/>
    <w:rsid w:val="00B55B64"/>
    <w:rsid w:val="00B61098"/>
    <w:rsid w:val="00B616FD"/>
    <w:rsid w:val="00B618C8"/>
    <w:rsid w:val="00B63C64"/>
    <w:rsid w:val="00B713C3"/>
    <w:rsid w:val="00B713C6"/>
    <w:rsid w:val="00B7191D"/>
    <w:rsid w:val="00B72804"/>
    <w:rsid w:val="00B76DBB"/>
    <w:rsid w:val="00B76E83"/>
    <w:rsid w:val="00B84979"/>
    <w:rsid w:val="00B85AEE"/>
    <w:rsid w:val="00B91682"/>
    <w:rsid w:val="00B9596B"/>
    <w:rsid w:val="00BB1029"/>
    <w:rsid w:val="00BB1EF4"/>
    <w:rsid w:val="00BD2907"/>
    <w:rsid w:val="00BD294E"/>
    <w:rsid w:val="00BD7B11"/>
    <w:rsid w:val="00BE0030"/>
    <w:rsid w:val="00BE1E43"/>
    <w:rsid w:val="00BE5A81"/>
    <w:rsid w:val="00BE5D39"/>
    <w:rsid w:val="00BF1A42"/>
    <w:rsid w:val="00BF2379"/>
    <w:rsid w:val="00BF6FD4"/>
    <w:rsid w:val="00C012F3"/>
    <w:rsid w:val="00C056FB"/>
    <w:rsid w:val="00C05A5F"/>
    <w:rsid w:val="00C12707"/>
    <w:rsid w:val="00C15D32"/>
    <w:rsid w:val="00C164DA"/>
    <w:rsid w:val="00C3227C"/>
    <w:rsid w:val="00C323FC"/>
    <w:rsid w:val="00C350D6"/>
    <w:rsid w:val="00C358D5"/>
    <w:rsid w:val="00C420E0"/>
    <w:rsid w:val="00C44F71"/>
    <w:rsid w:val="00C471BF"/>
    <w:rsid w:val="00C57CB4"/>
    <w:rsid w:val="00C673C5"/>
    <w:rsid w:val="00C70582"/>
    <w:rsid w:val="00C728F3"/>
    <w:rsid w:val="00C741AC"/>
    <w:rsid w:val="00C75E56"/>
    <w:rsid w:val="00C80C87"/>
    <w:rsid w:val="00C81F25"/>
    <w:rsid w:val="00C87285"/>
    <w:rsid w:val="00C87689"/>
    <w:rsid w:val="00C91C98"/>
    <w:rsid w:val="00C96201"/>
    <w:rsid w:val="00CA0AE2"/>
    <w:rsid w:val="00CA21BE"/>
    <w:rsid w:val="00CA586E"/>
    <w:rsid w:val="00CA7EEA"/>
    <w:rsid w:val="00CB0AB0"/>
    <w:rsid w:val="00CB2428"/>
    <w:rsid w:val="00CC0DE5"/>
    <w:rsid w:val="00CC24D8"/>
    <w:rsid w:val="00CC2745"/>
    <w:rsid w:val="00CC4939"/>
    <w:rsid w:val="00CC5295"/>
    <w:rsid w:val="00CC55BA"/>
    <w:rsid w:val="00CD4CB1"/>
    <w:rsid w:val="00CE34B7"/>
    <w:rsid w:val="00CE6B02"/>
    <w:rsid w:val="00CE6F8C"/>
    <w:rsid w:val="00CF0B56"/>
    <w:rsid w:val="00D05CB4"/>
    <w:rsid w:val="00D07B59"/>
    <w:rsid w:val="00D12C59"/>
    <w:rsid w:val="00D13F33"/>
    <w:rsid w:val="00D17197"/>
    <w:rsid w:val="00D24F2E"/>
    <w:rsid w:val="00D279BE"/>
    <w:rsid w:val="00D27D2A"/>
    <w:rsid w:val="00D31D6C"/>
    <w:rsid w:val="00D34AC3"/>
    <w:rsid w:val="00D36367"/>
    <w:rsid w:val="00D50359"/>
    <w:rsid w:val="00D504BC"/>
    <w:rsid w:val="00D52964"/>
    <w:rsid w:val="00D531E1"/>
    <w:rsid w:val="00D53898"/>
    <w:rsid w:val="00D60192"/>
    <w:rsid w:val="00D62BC2"/>
    <w:rsid w:val="00D66347"/>
    <w:rsid w:val="00D823AD"/>
    <w:rsid w:val="00D8620F"/>
    <w:rsid w:val="00D862F4"/>
    <w:rsid w:val="00D91CD4"/>
    <w:rsid w:val="00D93AF0"/>
    <w:rsid w:val="00D97EA8"/>
    <w:rsid w:val="00DA4E08"/>
    <w:rsid w:val="00DA56B8"/>
    <w:rsid w:val="00DB108B"/>
    <w:rsid w:val="00DB2A0A"/>
    <w:rsid w:val="00DB717A"/>
    <w:rsid w:val="00DB76BD"/>
    <w:rsid w:val="00DC36BA"/>
    <w:rsid w:val="00DC5172"/>
    <w:rsid w:val="00DD5648"/>
    <w:rsid w:val="00DD5DA4"/>
    <w:rsid w:val="00DD7560"/>
    <w:rsid w:val="00DE44B9"/>
    <w:rsid w:val="00DF4BE6"/>
    <w:rsid w:val="00DF57AC"/>
    <w:rsid w:val="00E01805"/>
    <w:rsid w:val="00E1510D"/>
    <w:rsid w:val="00E22C7E"/>
    <w:rsid w:val="00E334C8"/>
    <w:rsid w:val="00E371FE"/>
    <w:rsid w:val="00E37B01"/>
    <w:rsid w:val="00E408D6"/>
    <w:rsid w:val="00E522B4"/>
    <w:rsid w:val="00E53F87"/>
    <w:rsid w:val="00E541F0"/>
    <w:rsid w:val="00E55BF5"/>
    <w:rsid w:val="00E572C6"/>
    <w:rsid w:val="00E618C1"/>
    <w:rsid w:val="00E71031"/>
    <w:rsid w:val="00E73843"/>
    <w:rsid w:val="00E76D50"/>
    <w:rsid w:val="00E801BB"/>
    <w:rsid w:val="00E822C5"/>
    <w:rsid w:val="00E862E7"/>
    <w:rsid w:val="00E86655"/>
    <w:rsid w:val="00E95E1F"/>
    <w:rsid w:val="00E970D5"/>
    <w:rsid w:val="00EA0D58"/>
    <w:rsid w:val="00EA2949"/>
    <w:rsid w:val="00EB2643"/>
    <w:rsid w:val="00EB4047"/>
    <w:rsid w:val="00EB7A8C"/>
    <w:rsid w:val="00EC1631"/>
    <w:rsid w:val="00EC2101"/>
    <w:rsid w:val="00EC23A8"/>
    <w:rsid w:val="00EC528F"/>
    <w:rsid w:val="00EC73F1"/>
    <w:rsid w:val="00ED12E6"/>
    <w:rsid w:val="00ED2251"/>
    <w:rsid w:val="00EE2BD5"/>
    <w:rsid w:val="00EE384B"/>
    <w:rsid w:val="00F02059"/>
    <w:rsid w:val="00F026DC"/>
    <w:rsid w:val="00F02A3E"/>
    <w:rsid w:val="00F04EDF"/>
    <w:rsid w:val="00F0635A"/>
    <w:rsid w:val="00F17AC9"/>
    <w:rsid w:val="00F32647"/>
    <w:rsid w:val="00F35F64"/>
    <w:rsid w:val="00F375F3"/>
    <w:rsid w:val="00F446BA"/>
    <w:rsid w:val="00F44C4F"/>
    <w:rsid w:val="00F45E66"/>
    <w:rsid w:val="00F50643"/>
    <w:rsid w:val="00F60D59"/>
    <w:rsid w:val="00F72175"/>
    <w:rsid w:val="00F752E8"/>
    <w:rsid w:val="00F85A6B"/>
    <w:rsid w:val="00FA70BE"/>
    <w:rsid w:val="00FB155F"/>
    <w:rsid w:val="00FB27E1"/>
    <w:rsid w:val="00FC0E55"/>
    <w:rsid w:val="00FC2CCE"/>
    <w:rsid w:val="00FC6F2E"/>
    <w:rsid w:val="00FD2838"/>
    <w:rsid w:val="00FD3D2F"/>
    <w:rsid w:val="00FD3F8C"/>
    <w:rsid w:val="00FD7E6A"/>
    <w:rsid w:val="00FE196D"/>
    <w:rsid w:val="00FE2400"/>
    <w:rsid w:val="00FE6311"/>
    <w:rsid w:val="00FE7ABE"/>
    <w:rsid w:val="00FF00CC"/>
    <w:rsid w:val="00FF08A4"/>
    <w:rsid w:val="00FF0D56"/>
    <w:rsid w:val="00FF3ECE"/>
    <w:rsid w:val="010158D6"/>
    <w:rsid w:val="01034FCD"/>
    <w:rsid w:val="011266DB"/>
    <w:rsid w:val="01161381"/>
    <w:rsid w:val="01292E27"/>
    <w:rsid w:val="012F7EBB"/>
    <w:rsid w:val="01325A8F"/>
    <w:rsid w:val="013435B5"/>
    <w:rsid w:val="01527EDF"/>
    <w:rsid w:val="01574DE0"/>
    <w:rsid w:val="015B6D94"/>
    <w:rsid w:val="01664D61"/>
    <w:rsid w:val="017007C4"/>
    <w:rsid w:val="01713BB8"/>
    <w:rsid w:val="017842B9"/>
    <w:rsid w:val="017B61A8"/>
    <w:rsid w:val="01995371"/>
    <w:rsid w:val="01A4073C"/>
    <w:rsid w:val="01A51BFA"/>
    <w:rsid w:val="01B00656"/>
    <w:rsid w:val="01C7267B"/>
    <w:rsid w:val="01CB289E"/>
    <w:rsid w:val="01CC5EE4"/>
    <w:rsid w:val="01D03B74"/>
    <w:rsid w:val="01D33433"/>
    <w:rsid w:val="01E4004B"/>
    <w:rsid w:val="01F43F54"/>
    <w:rsid w:val="02074DA9"/>
    <w:rsid w:val="021A2E04"/>
    <w:rsid w:val="02274EC8"/>
    <w:rsid w:val="023042EC"/>
    <w:rsid w:val="02355837"/>
    <w:rsid w:val="024261A6"/>
    <w:rsid w:val="02451495"/>
    <w:rsid w:val="024B744F"/>
    <w:rsid w:val="024C2B81"/>
    <w:rsid w:val="024F55E9"/>
    <w:rsid w:val="02555ED9"/>
    <w:rsid w:val="02557C87"/>
    <w:rsid w:val="02594F01"/>
    <w:rsid w:val="025B135B"/>
    <w:rsid w:val="025B1541"/>
    <w:rsid w:val="027E2301"/>
    <w:rsid w:val="02840270"/>
    <w:rsid w:val="028B3ADB"/>
    <w:rsid w:val="02A46519"/>
    <w:rsid w:val="02A67CC1"/>
    <w:rsid w:val="02B10161"/>
    <w:rsid w:val="02B2215B"/>
    <w:rsid w:val="02B27948"/>
    <w:rsid w:val="02B80C49"/>
    <w:rsid w:val="02BE1E79"/>
    <w:rsid w:val="02BF77F6"/>
    <w:rsid w:val="02CF2F6B"/>
    <w:rsid w:val="02D15B28"/>
    <w:rsid w:val="02DA08A0"/>
    <w:rsid w:val="02DA63DE"/>
    <w:rsid w:val="02F04089"/>
    <w:rsid w:val="02F15F64"/>
    <w:rsid w:val="02F23728"/>
    <w:rsid w:val="02F6117F"/>
    <w:rsid w:val="02F70D3E"/>
    <w:rsid w:val="0302317F"/>
    <w:rsid w:val="03074F92"/>
    <w:rsid w:val="03082F4B"/>
    <w:rsid w:val="031C4710"/>
    <w:rsid w:val="03230A73"/>
    <w:rsid w:val="03253AFD"/>
    <w:rsid w:val="032B35F3"/>
    <w:rsid w:val="03343D40"/>
    <w:rsid w:val="03391E1F"/>
    <w:rsid w:val="033D4698"/>
    <w:rsid w:val="03436121"/>
    <w:rsid w:val="034420A6"/>
    <w:rsid w:val="034675D0"/>
    <w:rsid w:val="03490C11"/>
    <w:rsid w:val="034F0B59"/>
    <w:rsid w:val="03506E72"/>
    <w:rsid w:val="03575C81"/>
    <w:rsid w:val="03667C72"/>
    <w:rsid w:val="03675EC4"/>
    <w:rsid w:val="036D3D71"/>
    <w:rsid w:val="0377316D"/>
    <w:rsid w:val="037D0547"/>
    <w:rsid w:val="03957070"/>
    <w:rsid w:val="03A74512"/>
    <w:rsid w:val="03A876D0"/>
    <w:rsid w:val="03B423AD"/>
    <w:rsid w:val="03B46C2F"/>
    <w:rsid w:val="03B67BF3"/>
    <w:rsid w:val="03BD0823"/>
    <w:rsid w:val="03BE15EF"/>
    <w:rsid w:val="03BE504C"/>
    <w:rsid w:val="03C34149"/>
    <w:rsid w:val="03C9798E"/>
    <w:rsid w:val="03CD5C56"/>
    <w:rsid w:val="03D20366"/>
    <w:rsid w:val="03D7095C"/>
    <w:rsid w:val="03E2059E"/>
    <w:rsid w:val="03E2379C"/>
    <w:rsid w:val="03E3355C"/>
    <w:rsid w:val="03E47515"/>
    <w:rsid w:val="03EC63C9"/>
    <w:rsid w:val="03F50C28"/>
    <w:rsid w:val="03FD29A1"/>
    <w:rsid w:val="04131B03"/>
    <w:rsid w:val="04294F27"/>
    <w:rsid w:val="043428D7"/>
    <w:rsid w:val="04425680"/>
    <w:rsid w:val="0445358D"/>
    <w:rsid w:val="044C0C16"/>
    <w:rsid w:val="045673BB"/>
    <w:rsid w:val="0464329A"/>
    <w:rsid w:val="046C1BCE"/>
    <w:rsid w:val="047670F9"/>
    <w:rsid w:val="047D7ABB"/>
    <w:rsid w:val="04853529"/>
    <w:rsid w:val="04893C18"/>
    <w:rsid w:val="049063E8"/>
    <w:rsid w:val="04974587"/>
    <w:rsid w:val="04A96068"/>
    <w:rsid w:val="04CA4C2A"/>
    <w:rsid w:val="04D52749"/>
    <w:rsid w:val="04D93B67"/>
    <w:rsid w:val="04DA6B4D"/>
    <w:rsid w:val="04E13A54"/>
    <w:rsid w:val="04E22489"/>
    <w:rsid w:val="04F4494A"/>
    <w:rsid w:val="04F80D9E"/>
    <w:rsid w:val="05015898"/>
    <w:rsid w:val="050167EC"/>
    <w:rsid w:val="050F05C1"/>
    <w:rsid w:val="051416A2"/>
    <w:rsid w:val="051712F5"/>
    <w:rsid w:val="051F58E7"/>
    <w:rsid w:val="052E74EF"/>
    <w:rsid w:val="053729A2"/>
    <w:rsid w:val="053C035F"/>
    <w:rsid w:val="053F69CD"/>
    <w:rsid w:val="054733FB"/>
    <w:rsid w:val="054B711F"/>
    <w:rsid w:val="054D194C"/>
    <w:rsid w:val="05557036"/>
    <w:rsid w:val="055E62CD"/>
    <w:rsid w:val="0571317D"/>
    <w:rsid w:val="057A140F"/>
    <w:rsid w:val="057D3B69"/>
    <w:rsid w:val="058427E8"/>
    <w:rsid w:val="058644B7"/>
    <w:rsid w:val="058F0D44"/>
    <w:rsid w:val="059630EB"/>
    <w:rsid w:val="05A47FEE"/>
    <w:rsid w:val="05B253F0"/>
    <w:rsid w:val="05B44CC5"/>
    <w:rsid w:val="05B67395"/>
    <w:rsid w:val="05CE3604"/>
    <w:rsid w:val="05D32B59"/>
    <w:rsid w:val="05DE7F94"/>
    <w:rsid w:val="05E92DBF"/>
    <w:rsid w:val="05F131A3"/>
    <w:rsid w:val="05F257ED"/>
    <w:rsid w:val="05FB7017"/>
    <w:rsid w:val="05FD78CA"/>
    <w:rsid w:val="06036345"/>
    <w:rsid w:val="06112832"/>
    <w:rsid w:val="06127C3D"/>
    <w:rsid w:val="06224324"/>
    <w:rsid w:val="063302DF"/>
    <w:rsid w:val="064E336B"/>
    <w:rsid w:val="064F24AE"/>
    <w:rsid w:val="065C4AA6"/>
    <w:rsid w:val="06652CD7"/>
    <w:rsid w:val="06665B60"/>
    <w:rsid w:val="066E7382"/>
    <w:rsid w:val="06715BBD"/>
    <w:rsid w:val="06740F0F"/>
    <w:rsid w:val="067B4508"/>
    <w:rsid w:val="067F363A"/>
    <w:rsid w:val="068058FC"/>
    <w:rsid w:val="06837F3C"/>
    <w:rsid w:val="06872D56"/>
    <w:rsid w:val="068E19BA"/>
    <w:rsid w:val="069074E0"/>
    <w:rsid w:val="0695400D"/>
    <w:rsid w:val="069F1EE1"/>
    <w:rsid w:val="06B807E5"/>
    <w:rsid w:val="06B84D15"/>
    <w:rsid w:val="06BD62E2"/>
    <w:rsid w:val="06C278B5"/>
    <w:rsid w:val="06C7621D"/>
    <w:rsid w:val="06D22537"/>
    <w:rsid w:val="06DF03D1"/>
    <w:rsid w:val="06E23642"/>
    <w:rsid w:val="06E47855"/>
    <w:rsid w:val="06E60815"/>
    <w:rsid w:val="06F4757A"/>
    <w:rsid w:val="07047ECE"/>
    <w:rsid w:val="07097B2E"/>
    <w:rsid w:val="070A4FEC"/>
    <w:rsid w:val="07177C01"/>
    <w:rsid w:val="071F6AB6"/>
    <w:rsid w:val="072308DB"/>
    <w:rsid w:val="072916E2"/>
    <w:rsid w:val="072D6C12"/>
    <w:rsid w:val="074309F6"/>
    <w:rsid w:val="0751512B"/>
    <w:rsid w:val="07531FBD"/>
    <w:rsid w:val="07534B15"/>
    <w:rsid w:val="076E757C"/>
    <w:rsid w:val="0774295E"/>
    <w:rsid w:val="07764AD3"/>
    <w:rsid w:val="077C5CB6"/>
    <w:rsid w:val="077D1BD7"/>
    <w:rsid w:val="077F0520"/>
    <w:rsid w:val="077F1E57"/>
    <w:rsid w:val="07846593"/>
    <w:rsid w:val="079269DC"/>
    <w:rsid w:val="07970B30"/>
    <w:rsid w:val="07A35EAD"/>
    <w:rsid w:val="07A668D6"/>
    <w:rsid w:val="07A82F09"/>
    <w:rsid w:val="07A95AF2"/>
    <w:rsid w:val="07AF7AB9"/>
    <w:rsid w:val="07BA4828"/>
    <w:rsid w:val="07BA4972"/>
    <w:rsid w:val="07D47F26"/>
    <w:rsid w:val="07D653C6"/>
    <w:rsid w:val="07D80009"/>
    <w:rsid w:val="07E32714"/>
    <w:rsid w:val="07EA70C4"/>
    <w:rsid w:val="07F341DF"/>
    <w:rsid w:val="07F51064"/>
    <w:rsid w:val="07F85AE1"/>
    <w:rsid w:val="080621EE"/>
    <w:rsid w:val="080D19B4"/>
    <w:rsid w:val="08145973"/>
    <w:rsid w:val="08151E81"/>
    <w:rsid w:val="081A2700"/>
    <w:rsid w:val="081B610C"/>
    <w:rsid w:val="083D00D7"/>
    <w:rsid w:val="08413D4F"/>
    <w:rsid w:val="08434105"/>
    <w:rsid w:val="0846182C"/>
    <w:rsid w:val="08470072"/>
    <w:rsid w:val="08541602"/>
    <w:rsid w:val="08670714"/>
    <w:rsid w:val="08702DDF"/>
    <w:rsid w:val="087038AC"/>
    <w:rsid w:val="087D1F9E"/>
    <w:rsid w:val="08814094"/>
    <w:rsid w:val="088976F5"/>
    <w:rsid w:val="089B03BE"/>
    <w:rsid w:val="089F7EAE"/>
    <w:rsid w:val="08A4148F"/>
    <w:rsid w:val="08AD5A2D"/>
    <w:rsid w:val="08B125BC"/>
    <w:rsid w:val="08B62B42"/>
    <w:rsid w:val="08B701E4"/>
    <w:rsid w:val="08BD6586"/>
    <w:rsid w:val="08C336C9"/>
    <w:rsid w:val="08C3436E"/>
    <w:rsid w:val="08C37556"/>
    <w:rsid w:val="08C53D8B"/>
    <w:rsid w:val="08C6543B"/>
    <w:rsid w:val="08C96E73"/>
    <w:rsid w:val="08D5219F"/>
    <w:rsid w:val="08E01908"/>
    <w:rsid w:val="08E020AA"/>
    <w:rsid w:val="08E04D27"/>
    <w:rsid w:val="08E40EDE"/>
    <w:rsid w:val="08E41D65"/>
    <w:rsid w:val="08E55728"/>
    <w:rsid w:val="08E63B46"/>
    <w:rsid w:val="08E65ADD"/>
    <w:rsid w:val="08FD410C"/>
    <w:rsid w:val="08FD4BD5"/>
    <w:rsid w:val="09015BB4"/>
    <w:rsid w:val="0903349D"/>
    <w:rsid w:val="09047D27"/>
    <w:rsid w:val="090D42B8"/>
    <w:rsid w:val="09151F1E"/>
    <w:rsid w:val="091A7535"/>
    <w:rsid w:val="09245F3B"/>
    <w:rsid w:val="09246605"/>
    <w:rsid w:val="092468CE"/>
    <w:rsid w:val="09254DB5"/>
    <w:rsid w:val="092E4D8E"/>
    <w:rsid w:val="0935436E"/>
    <w:rsid w:val="093B7E06"/>
    <w:rsid w:val="09434CDD"/>
    <w:rsid w:val="094822F4"/>
    <w:rsid w:val="09497E1A"/>
    <w:rsid w:val="09517B54"/>
    <w:rsid w:val="09554CD5"/>
    <w:rsid w:val="095962AF"/>
    <w:rsid w:val="095C261A"/>
    <w:rsid w:val="095C334C"/>
    <w:rsid w:val="09633BCC"/>
    <w:rsid w:val="096B2FA0"/>
    <w:rsid w:val="09864BCA"/>
    <w:rsid w:val="098F1880"/>
    <w:rsid w:val="09942A25"/>
    <w:rsid w:val="099C092E"/>
    <w:rsid w:val="099F5C8C"/>
    <w:rsid w:val="09A60DC8"/>
    <w:rsid w:val="09AA4D5C"/>
    <w:rsid w:val="09B63701"/>
    <w:rsid w:val="09B94F9F"/>
    <w:rsid w:val="09C33728"/>
    <w:rsid w:val="09CA2D09"/>
    <w:rsid w:val="09CD7424"/>
    <w:rsid w:val="09D00BBA"/>
    <w:rsid w:val="09F003F7"/>
    <w:rsid w:val="09F842AD"/>
    <w:rsid w:val="09F935EE"/>
    <w:rsid w:val="0A0F1E70"/>
    <w:rsid w:val="0A0F4281"/>
    <w:rsid w:val="0A122902"/>
    <w:rsid w:val="0A26621D"/>
    <w:rsid w:val="0A285C81"/>
    <w:rsid w:val="0A2D217F"/>
    <w:rsid w:val="0A3877FD"/>
    <w:rsid w:val="0A450A31"/>
    <w:rsid w:val="0A492F5D"/>
    <w:rsid w:val="0A4E7788"/>
    <w:rsid w:val="0A5B05A8"/>
    <w:rsid w:val="0A7031F7"/>
    <w:rsid w:val="0A816856"/>
    <w:rsid w:val="0A825391"/>
    <w:rsid w:val="0A876C58"/>
    <w:rsid w:val="0A8A384D"/>
    <w:rsid w:val="0A8D0CF1"/>
    <w:rsid w:val="0A8E475E"/>
    <w:rsid w:val="0A9805B5"/>
    <w:rsid w:val="0A9B28F7"/>
    <w:rsid w:val="0A9E08DE"/>
    <w:rsid w:val="0AA0712B"/>
    <w:rsid w:val="0AA62718"/>
    <w:rsid w:val="0AAD01E0"/>
    <w:rsid w:val="0AB3379D"/>
    <w:rsid w:val="0AC37758"/>
    <w:rsid w:val="0ACC6B48"/>
    <w:rsid w:val="0AD61B81"/>
    <w:rsid w:val="0ADF3E8E"/>
    <w:rsid w:val="0ADF55FC"/>
    <w:rsid w:val="0AE526F6"/>
    <w:rsid w:val="0AE872BF"/>
    <w:rsid w:val="0AFF69E2"/>
    <w:rsid w:val="0B0E30C9"/>
    <w:rsid w:val="0B244317"/>
    <w:rsid w:val="0B2D77F0"/>
    <w:rsid w:val="0B30303F"/>
    <w:rsid w:val="0B3F58CE"/>
    <w:rsid w:val="0B446AEB"/>
    <w:rsid w:val="0B535ECE"/>
    <w:rsid w:val="0B536FB3"/>
    <w:rsid w:val="0B791481"/>
    <w:rsid w:val="0B79156C"/>
    <w:rsid w:val="0B7C44D7"/>
    <w:rsid w:val="0B8C64B6"/>
    <w:rsid w:val="0B923CFA"/>
    <w:rsid w:val="0B927856"/>
    <w:rsid w:val="0B9A435D"/>
    <w:rsid w:val="0BAB2AA6"/>
    <w:rsid w:val="0BAD643E"/>
    <w:rsid w:val="0BB51797"/>
    <w:rsid w:val="0BC87F6C"/>
    <w:rsid w:val="0BCB720C"/>
    <w:rsid w:val="0BD460C1"/>
    <w:rsid w:val="0BD72358"/>
    <w:rsid w:val="0BDA34AE"/>
    <w:rsid w:val="0BEA5A57"/>
    <w:rsid w:val="0BF13228"/>
    <w:rsid w:val="0C006AFD"/>
    <w:rsid w:val="0C0C6878"/>
    <w:rsid w:val="0C34085D"/>
    <w:rsid w:val="0C3C0FDC"/>
    <w:rsid w:val="0C3D4BC9"/>
    <w:rsid w:val="0C503B60"/>
    <w:rsid w:val="0C5734B3"/>
    <w:rsid w:val="0C5B74EB"/>
    <w:rsid w:val="0C603B85"/>
    <w:rsid w:val="0C6130A4"/>
    <w:rsid w:val="0C673C16"/>
    <w:rsid w:val="0C7E602C"/>
    <w:rsid w:val="0C844D7D"/>
    <w:rsid w:val="0C85560D"/>
    <w:rsid w:val="0C8714AC"/>
    <w:rsid w:val="0C874EE1"/>
    <w:rsid w:val="0C8D626F"/>
    <w:rsid w:val="0C9B273A"/>
    <w:rsid w:val="0C9E222B"/>
    <w:rsid w:val="0CA25B35"/>
    <w:rsid w:val="0CB97065"/>
    <w:rsid w:val="0CC865FD"/>
    <w:rsid w:val="0CDD11A6"/>
    <w:rsid w:val="0CDF2F6F"/>
    <w:rsid w:val="0CE02843"/>
    <w:rsid w:val="0CE03EA1"/>
    <w:rsid w:val="0CE80BA6"/>
    <w:rsid w:val="0CF24B34"/>
    <w:rsid w:val="0CF42A49"/>
    <w:rsid w:val="0D0522AA"/>
    <w:rsid w:val="0D077DD0"/>
    <w:rsid w:val="0D0928B3"/>
    <w:rsid w:val="0D17452C"/>
    <w:rsid w:val="0D1E6850"/>
    <w:rsid w:val="0D3328B3"/>
    <w:rsid w:val="0D3A01A5"/>
    <w:rsid w:val="0D3A1751"/>
    <w:rsid w:val="0D3B653D"/>
    <w:rsid w:val="0D3F22F5"/>
    <w:rsid w:val="0D5376B2"/>
    <w:rsid w:val="0D570D57"/>
    <w:rsid w:val="0D5D504F"/>
    <w:rsid w:val="0D646FD0"/>
    <w:rsid w:val="0D6F519E"/>
    <w:rsid w:val="0D8458C4"/>
    <w:rsid w:val="0D845966"/>
    <w:rsid w:val="0D8A5342"/>
    <w:rsid w:val="0D946F28"/>
    <w:rsid w:val="0D977DB4"/>
    <w:rsid w:val="0D984ECC"/>
    <w:rsid w:val="0DA16476"/>
    <w:rsid w:val="0DA33F9D"/>
    <w:rsid w:val="0DA970D9"/>
    <w:rsid w:val="0DAE298D"/>
    <w:rsid w:val="0DB27F8C"/>
    <w:rsid w:val="0DC16BB9"/>
    <w:rsid w:val="0DC5681D"/>
    <w:rsid w:val="0DCC63D1"/>
    <w:rsid w:val="0DD24882"/>
    <w:rsid w:val="0DD66049"/>
    <w:rsid w:val="0DE25F13"/>
    <w:rsid w:val="0DF714CF"/>
    <w:rsid w:val="0E001B35"/>
    <w:rsid w:val="0E0367E9"/>
    <w:rsid w:val="0E083E00"/>
    <w:rsid w:val="0E0B05B0"/>
    <w:rsid w:val="0E0D58BA"/>
    <w:rsid w:val="0E1A76BA"/>
    <w:rsid w:val="0E596DA0"/>
    <w:rsid w:val="0E5E5C47"/>
    <w:rsid w:val="0E63197E"/>
    <w:rsid w:val="0E663987"/>
    <w:rsid w:val="0E71771C"/>
    <w:rsid w:val="0E82269E"/>
    <w:rsid w:val="0E8F516F"/>
    <w:rsid w:val="0E957808"/>
    <w:rsid w:val="0E9D61D1"/>
    <w:rsid w:val="0EA32964"/>
    <w:rsid w:val="0EA36C04"/>
    <w:rsid w:val="0EAA3109"/>
    <w:rsid w:val="0EAB7BC6"/>
    <w:rsid w:val="0EB9334C"/>
    <w:rsid w:val="0EBB3568"/>
    <w:rsid w:val="0EC600B9"/>
    <w:rsid w:val="0ECA53D4"/>
    <w:rsid w:val="0ED463D8"/>
    <w:rsid w:val="0EDF3D8D"/>
    <w:rsid w:val="0EE479B2"/>
    <w:rsid w:val="0EE77EB9"/>
    <w:rsid w:val="0EED1247"/>
    <w:rsid w:val="0EF83E74"/>
    <w:rsid w:val="0F011BDE"/>
    <w:rsid w:val="0F0C77CF"/>
    <w:rsid w:val="0F121141"/>
    <w:rsid w:val="0F125B5E"/>
    <w:rsid w:val="0F213035"/>
    <w:rsid w:val="0F284331"/>
    <w:rsid w:val="0F3670BA"/>
    <w:rsid w:val="0F3945F0"/>
    <w:rsid w:val="0F3D21CF"/>
    <w:rsid w:val="0F3E035A"/>
    <w:rsid w:val="0F44530B"/>
    <w:rsid w:val="0F474DFC"/>
    <w:rsid w:val="0F494D6F"/>
    <w:rsid w:val="0F56370D"/>
    <w:rsid w:val="0F56503F"/>
    <w:rsid w:val="0F581507"/>
    <w:rsid w:val="0F5D7565"/>
    <w:rsid w:val="0F607C6B"/>
    <w:rsid w:val="0F6459AD"/>
    <w:rsid w:val="0F67724C"/>
    <w:rsid w:val="0F695C11"/>
    <w:rsid w:val="0F6B6695"/>
    <w:rsid w:val="0F6C0D47"/>
    <w:rsid w:val="0F7D0B61"/>
    <w:rsid w:val="0F7F00F1"/>
    <w:rsid w:val="0F8129E8"/>
    <w:rsid w:val="0F872F52"/>
    <w:rsid w:val="0F8B42CB"/>
    <w:rsid w:val="0F953DB9"/>
    <w:rsid w:val="0F9A49D3"/>
    <w:rsid w:val="0F9B4988"/>
    <w:rsid w:val="0F9F2542"/>
    <w:rsid w:val="0F9F482E"/>
    <w:rsid w:val="0FA93E73"/>
    <w:rsid w:val="0FC7151E"/>
    <w:rsid w:val="0FCC54CD"/>
    <w:rsid w:val="0FD44A92"/>
    <w:rsid w:val="0FD8646C"/>
    <w:rsid w:val="0FE20680"/>
    <w:rsid w:val="0FE34B24"/>
    <w:rsid w:val="0FF02D9D"/>
    <w:rsid w:val="0FF30ADF"/>
    <w:rsid w:val="0FF3288D"/>
    <w:rsid w:val="0FF860F6"/>
    <w:rsid w:val="0FFA420A"/>
    <w:rsid w:val="0FFD2D29"/>
    <w:rsid w:val="10013605"/>
    <w:rsid w:val="10036374"/>
    <w:rsid w:val="10041FA8"/>
    <w:rsid w:val="100658EF"/>
    <w:rsid w:val="10141182"/>
    <w:rsid w:val="10230022"/>
    <w:rsid w:val="1029003A"/>
    <w:rsid w:val="1032785A"/>
    <w:rsid w:val="104650B3"/>
    <w:rsid w:val="10582B3B"/>
    <w:rsid w:val="10596222"/>
    <w:rsid w:val="10611EED"/>
    <w:rsid w:val="10625D57"/>
    <w:rsid w:val="10671326"/>
    <w:rsid w:val="10685029"/>
    <w:rsid w:val="10711B5E"/>
    <w:rsid w:val="10725EA8"/>
    <w:rsid w:val="10872F90"/>
    <w:rsid w:val="1091064D"/>
    <w:rsid w:val="109C2610"/>
    <w:rsid w:val="109C7803"/>
    <w:rsid w:val="109D3C19"/>
    <w:rsid w:val="10B62375"/>
    <w:rsid w:val="10B73AAA"/>
    <w:rsid w:val="10B93AD7"/>
    <w:rsid w:val="10C1193B"/>
    <w:rsid w:val="10C94BDB"/>
    <w:rsid w:val="10E81980"/>
    <w:rsid w:val="10E9304A"/>
    <w:rsid w:val="10E93FAE"/>
    <w:rsid w:val="10EC7D58"/>
    <w:rsid w:val="10FA0124"/>
    <w:rsid w:val="10FD1C16"/>
    <w:rsid w:val="10FE598E"/>
    <w:rsid w:val="110535D8"/>
    <w:rsid w:val="110612BC"/>
    <w:rsid w:val="110B4EE5"/>
    <w:rsid w:val="11166833"/>
    <w:rsid w:val="1117660C"/>
    <w:rsid w:val="112278CE"/>
    <w:rsid w:val="112B0C0D"/>
    <w:rsid w:val="11333889"/>
    <w:rsid w:val="1134315E"/>
    <w:rsid w:val="113B1F9E"/>
    <w:rsid w:val="114057A7"/>
    <w:rsid w:val="11463750"/>
    <w:rsid w:val="11487BD7"/>
    <w:rsid w:val="114E06C3"/>
    <w:rsid w:val="115A0E16"/>
    <w:rsid w:val="115E70F6"/>
    <w:rsid w:val="116021A5"/>
    <w:rsid w:val="11625F71"/>
    <w:rsid w:val="116E06EB"/>
    <w:rsid w:val="11703D6F"/>
    <w:rsid w:val="117B4E87"/>
    <w:rsid w:val="11835012"/>
    <w:rsid w:val="118B6164"/>
    <w:rsid w:val="119C142F"/>
    <w:rsid w:val="119E0BB1"/>
    <w:rsid w:val="11A0255B"/>
    <w:rsid w:val="11A46535"/>
    <w:rsid w:val="11A92D01"/>
    <w:rsid w:val="11AF15DB"/>
    <w:rsid w:val="11B01737"/>
    <w:rsid w:val="11BA2E11"/>
    <w:rsid w:val="11C112A5"/>
    <w:rsid w:val="11D009E8"/>
    <w:rsid w:val="11DF30C9"/>
    <w:rsid w:val="11E06E41"/>
    <w:rsid w:val="11E133FB"/>
    <w:rsid w:val="11E20E0C"/>
    <w:rsid w:val="11E30B4A"/>
    <w:rsid w:val="11EB5F12"/>
    <w:rsid w:val="11EE1802"/>
    <w:rsid w:val="11F47E29"/>
    <w:rsid w:val="11F96B83"/>
    <w:rsid w:val="12017E37"/>
    <w:rsid w:val="121B2A72"/>
    <w:rsid w:val="12224AD3"/>
    <w:rsid w:val="122704B0"/>
    <w:rsid w:val="123F0959"/>
    <w:rsid w:val="12415B32"/>
    <w:rsid w:val="124318AA"/>
    <w:rsid w:val="12437AFC"/>
    <w:rsid w:val="12461AD4"/>
    <w:rsid w:val="12474E77"/>
    <w:rsid w:val="124E6D7F"/>
    <w:rsid w:val="124F46F3"/>
    <w:rsid w:val="12530955"/>
    <w:rsid w:val="1254288C"/>
    <w:rsid w:val="12574893"/>
    <w:rsid w:val="12584AF5"/>
    <w:rsid w:val="1261162D"/>
    <w:rsid w:val="12661A3D"/>
    <w:rsid w:val="12855B67"/>
    <w:rsid w:val="129F0AAB"/>
    <w:rsid w:val="12B71611"/>
    <w:rsid w:val="12C02EFB"/>
    <w:rsid w:val="12C54E79"/>
    <w:rsid w:val="12C75FB1"/>
    <w:rsid w:val="12DC585B"/>
    <w:rsid w:val="12E45A87"/>
    <w:rsid w:val="12E7492B"/>
    <w:rsid w:val="12E77BDA"/>
    <w:rsid w:val="12EA54D9"/>
    <w:rsid w:val="12FA1332"/>
    <w:rsid w:val="12FB3F33"/>
    <w:rsid w:val="13130C89"/>
    <w:rsid w:val="13136C22"/>
    <w:rsid w:val="13174AE5"/>
    <w:rsid w:val="13203999"/>
    <w:rsid w:val="132C3FFC"/>
    <w:rsid w:val="132C67E2"/>
    <w:rsid w:val="13315BA7"/>
    <w:rsid w:val="133815F1"/>
    <w:rsid w:val="133C47E0"/>
    <w:rsid w:val="133D7026"/>
    <w:rsid w:val="13452E04"/>
    <w:rsid w:val="134C0C4B"/>
    <w:rsid w:val="13507878"/>
    <w:rsid w:val="135277E2"/>
    <w:rsid w:val="135934FE"/>
    <w:rsid w:val="135D4BEE"/>
    <w:rsid w:val="136572CF"/>
    <w:rsid w:val="13695A69"/>
    <w:rsid w:val="136B6BBF"/>
    <w:rsid w:val="136E6DFB"/>
    <w:rsid w:val="136E7B97"/>
    <w:rsid w:val="137A5111"/>
    <w:rsid w:val="137D7320"/>
    <w:rsid w:val="137E6912"/>
    <w:rsid w:val="137F010F"/>
    <w:rsid w:val="137F2DB6"/>
    <w:rsid w:val="13825653"/>
    <w:rsid w:val="13831E4D"/>
    <w:rsid w:val="1384599E"/>
    <w:rsid w:val="13926AE1"/>
    <w:rsid w:val="13990E68"/>
    <w:rsid w:val="139A7BF0"/>
    <w:rsid w:val="139F6E8B"/>
    <w:rsid w:val="13A24CF6"/>
    <w:rsid w:val="13A7230D"/>
    <w:rsid w:val="13AA3E8F"/>
    <w:rsid w:val="13AA62DD"/>
    <w:rsid w:val="13AA6D73"/>
    <w:rsid w:val="13AF7C71"/>
    <w:rsid w:val="13B21DB7"/>
    <w:rsid w:val="13CA2A19"/>
    <w:rsid w:val="13D85AAA"/>
    <w:rsid w:val="13E16B52"/>
    <w:rsid w:val="13EB044B"/>
    <w:rsid w:val="13FD3CDB"/>
    <w:rsid w:val="13FD6DAC"/>
    <w:rsid w:val="140908D1"/>
    <w:rsid w:val="140B176E"/>
    <w:rsid w:val="14133BE3"/>
    <w:rsid w:val="141F437D"/>
    <w:rsid w:val="14215C1B"/>
    <w:rsid w:val="14243519"/>
    <w:rsid w:val="144028DB"/>
    <w:rsid w:val="14427B6B"/>
    <w:rsid w:val="144B2C98"/>
    <w:rsid w:val="144B713C"/>
    <w:rsid w:val="1452547A"/>
    <w:rsid w:val="14537925"/>
    <w:rsid w:val="14537D6D"/>
    <w:rsid w:val="145923FA"/>
    <w:rsid w:val="145A43FB"/>
    <w:rsid w:val="14640256"/>
    <w:rsid w:val="147274E3"/>
    <w:rsid w:val="14733F9D"/>
    <w:rsid w:val="14836D54"/>
    <w:rsid w:val="148461AA"/>
    <w:rsid w:val="1489323A"/>
    <w:rsid w:val="148B578A"/>
    <w:rsid w:val="149A3C1F"/>
    <w:rsid w:val="149E3239"/>
    <w:rsid w:val="14A021FA"/>
    <w:rsid w:val="14A5684C"/>
    <w:rsid w:val="14A82ECE"/>
    <w:rsid w:val="14C01F6E"/>
    <w:rsid w:val="14C05929"/>
    <w:rsid w:val="14C448A3"/>
    <w:rsid w:val="14CF1B1B"/>
    <w:rsid w:val="14F07E96"/>
    <w:rsid w:val="14F450DE"/>
    <w:rsid w:val="14F670A8"/>
    <w:rsid w:val="14FD5FD9"/>
    <w:rsid w:val="15022068"/>
    <w:rsid w:val="150A1A72"/>
    <w:rsid w:val="150C68CB"/>
    <w:rsid w:val="150D2643"/>
    <w:rsid w:val="15205ED3"/>
    <w:rsid w:val="152440E5"/>
    <w:rsid w:val="152810BF"/>
    <w:rsid w:val="152A6D51"/>
    <w:rsid w:val="152B34AC"/>
    <w:rsid w:val="15457AC2"/>
    <w:rsid w:val="154663D9"/>
    <w:rsid w:val="154D47EE"/>
    <w:rsid w:val="15520C24"/>
    <w:rsid w:val="15595889"/>
    <w:rsid w:val="155C2B33"/>
    <w:rsid w:val="155E69FB"/>
    <w:rsid w:val="156125D2"/>
    <w:rsid w:val="1562473D"/>
    <w:rsid w:val="156D29B7"/>
    <w:rsid w:val="1571672E"/>
    <w:rsid w:val="15720143"/>
    <w:rsid w:val="1575151F"/>
    <w:rsid w:val="157D3325"/>
    <w:rsid w:val="158F0BB8"/>
    <w:rsid w:val="15901788"/>
    <w:rsid w:val="15A85A2E"/>
    <w:rsid w:val="15AA0A99"/>
    <w:rsid w:val="15BA53FF"/>
    <w:rsid w:val="15C26F8A"/>
    <w:rsid w:val="15CF6FE6"/>
    <w:rsid w:val="15D41839"/>
    <w:rsid w:val="15D64B56"/>
    <w:rsid w:val="15D849FF"/>
    <w:rsid w:val="15DE18EA"/>
    <w:rsid w:val="15DE5438"/>
    <w:rsid w:val="15DF4CCA"/>
    <w:rsid w:val="15ED77C2"/>
    <w:rsid w:val="15F364F0"/>
    <w:rsid w:val="15F45EBE"/>
    <w:rsid w:val="16016255"/>
    <w:rsid w:val="1615355E"/>
    <w:rsid w:val="16197002"/>
    <w:rsid w:val="16217CF4"/>
    <w:rsid w:val="16247228"/>
    <w:rsid w:val="1629525B"/>
    <w:rsid w:val="162C08A7"/>
    <w:rsid w:val="1631335C"/>
    <w:rsid w:val="163526D5"/>
    <w:rsid w:val="163D6F7D"/>
    <w:rsid w:val="163F05DA"/>
    <w:rsid w:val="1651030E"/>
    <w:rsid w:val="16551BAC"/>
    <w:rsid w:val="16663DB9"/>
    <w:rsid w:val="166767E2"/>
    <w:rsid w:val="16730284"/>
    <w:rsid w:val="167A09B1"/>
    <w:rsid w:val="16842491"/>
    <w:rsid w:val="168947F4"/>
    <w:rsid w:val="168A69BF"/>
    <w:rsid w:val="168E1562"/>
    <w:rsid w:val="16957FC1"/>
    <w:rsid w:val="16976E4E"/>
    <w:rsid w:val="16A633BA"/>
    <w:rsid w:val="16A64802"/>
    <w:rsid w:val="16A82D9A"/>
    <w:rsid w:val="16C441FC"/>
    <w:rsid w:val="16C74280"/>
    <w:rsid w:val="16D262DF"/>
    <w:rsid w:val="16DE6045"/>
    <w:rsid w:val="16EA2C3C"/>
    <w:rsid w:val="16EA3857"/>
    <w:rsid w:val="16EB0762"/>
    <w:rsid w:val="16EF4581"/>
    <w:rsid w:val="16F500DD"/>
    <w:rsid w:val="17095016"/>
    <w:rsid w:val="170D692B"/>
    <w:rsid w:val="171C091C"/>
    <w:rsid w:val="17282A80"/>
    <w:rsid w:val="172872C1"/>
    <w:rsid w:val="172B3ABE"/>
    <w:rsid w:val="1732013F"/>
    <w:rsid w:val="173B40E5"/>
    <w:rsid w:val="17461F54"/>
    <w:rsid w:val="17514A69"/>
    <w:rsid w:val="17631747"/>
    <w:rsid w:val="17692CC1"/>
    <w:rsid w:val="176A78D9"/>
    <w:rsid w:val="177D585E"/>
    <w:rsid w:val="177E15D6"/>
    <w:rsid w:val="178C5AA1"/>
    <w:rsid w:val="17914E66"/>
    <w:rsid w:val="179E3A27"/>
    <w:rsid w:val="17A0154D"/>
    <w:rsid w:val="17A56B63"/>
    <w:rsid w:val="17A70813"/>
    <w:rsid w:val="17AC1CA0"/>
    <w:rsid w:val="17AD43A0"/>
    <w:rsid w:val="17B30C01"/>
    <w:rsid w:val="17B659FA"/>
    <w:rsid w:val="17C0574B"/>
    <w:rsid w:val="17C16450"/>
    <w:rsid w:val="17C7145D"/>
    <w:rsid w:val="17CB1EFA"/>
    <w:rsid w:val="17CE0E41"/>
    <w:rsid w:val="17D34DF7"/>
    <w:rsid w:val="17E51C4D"/>
    <w:rsid w:val="180171AE"/>
    <w:rsid w:val="181539A6"/>
    <w:rsid w:val="181B2FD1"/>
    <w:rsid w:val="183028D1"/>
    <w:rsid w:val="183270B9"/>
    <w:rsid w:val="18354F4C"/>
    <w:rsid w:val="183F08CC"/>
    <w:rsid w:val="185150D7"/>
    <w:rsid w:val="1853036D"/>
    <w:rsid w:val="18532FFB"/>
    <w:rsid w:val="185331C0"/>
    <w:rsid w:val="18554321"/>
    <w:rsid w:val="18594392"/>
    <w:rsid w:val="18595F36"/>
    <w:rsid w:val="185C1289"/>
    <w:rsid w:val="185C633E"/>
    <w:rsid w:val="18697B91"/>
    <w:rsid w:val="18707171"/>
    <w:rsid w:val="1870760C"/>
    <w:rsid w:val="1880277F"/>
    <w:rsid w:val="1893160E"/>
    <w:rsid w:val="189E3CDE"/>
    <w:rsid w:val="18AB1F57"/>
    <w:rsid w:val="18B60A0F"/>
    <w:rsid w:val="18BB1FE4"/>
    <w:rsid w:val="18E72983"/>
    <w:rsid w:val="18E84F59"/>
    <w:rsid w:val="18ED1CCF"/>
    <w:rsid w:val="19053D5D"/>
    <w:rsid w:val="190F0738"/>
    <w:rsid w:val="190F2B7A"/>
    <w:rsid w:val="19153F14"/>
    <w:rsid w:val="192123F6"/>
    <w:rsid w:val="192D122F"/>
    <w:rsid w:val="193B5E44"/>
    <w:rsid w:val="19415434"/>
    <w:rsid w:val="19540E77"/>
    <w:rsid w:val="19687ABC"/>
    <w:rsid w:val="198033E4"/>
    <w:rsid w:val="198669B3"/>
    <w:rsid w:val="19874772"/>
    <w:rsid w:val="19927D75"/>
    <w:rsid w:val="199C5D44"/>
    <w:rsid w:val="19AD1CFF"/>
    <w:rsid w:val="19B07EBB"/>
    <w:rsid w:val="19BB1758"/>
    <w:rsid w:val="19C72DC1"/>
    <w:rsid w:val="19CA5FC0"/>
    <w:rsid w:val="19CE23A1"/>
    <w:rsid w:val="19D67DF8"/>
    <w:rsid w:val="19D76D7C"/>
    <w:rsid w:val="19DC1878"/>
    <w:rsid w:val="19E5593D"/>
    <w:rsid w:val="19E6388F"/>
    <w:rsid w:val="19E9361C"/>
    <w:rsid w:val="19E971DB"/>
    <w:rsid w:val="19FB2A6A"/>
    <w:rsid w:val="19FE033C"/>
    <w:rsid w:val="1A1242FC"/>
    <w:rsid w:val="1A200A7A"/>
    <w:rsid w:val="1A383CBF"/>
    <w:rsid w:val="1A475A65"/>
    <w:rsid w:val="1A583B37"/>
    <w:rsid w:val="1A604FC3"/>
    <w:rsid w:val="1A613215"/>
    <w:rsid w:val="1A6830C5"/>
    <w:rsid w:val="1A6920CA"/>
    <w:rsid w:val="1A6D2E24"/>
    <w:rsid w:val="1A7717A5"/>
    <w:rsid w:val="1A7840BB"/>
    <w:rsid w:val="1A7F5449"/>
    <w:rsid w:val="1A835312"/>
    <w:rsid w:val="1A8E501A"/>
    <w:rsid w:val="1A8F5291"/>
    <w:rsid w:val="1A91181B"/>
    <w:rsid w:val="1A9C7D98"/>
    <w:rsid w:val="1AA11864"/>
    <w:rsid w:val="1AA413C1"/>
    <w:rsid w:val="1AA76B44"/>
    <w:rsid w:val="1AA90718"/>
    <w:rsid w:val="1AA94BBC"/>
    <w:rsid w:val="1ABA1D3B"/>
    <w:rsid w:val="1AC5256D"/>
    <w:rsid w:val="1ACF04FA"/>
    <w:rsid w:val="1ADA56CE"/>
    <w:rsid w:val="1ADB4CBD"/>
    <w:rsid w:val="1ADD23F0"/>
    <w:rsid w:val="1AE16104"/>
    <w:rsid w:val="1B0D2F7B"/>
    <w:rsid w:val="1B0F62A2"/>
    <w:rsid w:val="1B10687A"/>
    <w:rsid w:val="1B150E39"/>
    <w:rsid w:val="1B173FCA"/>
    <w:rsid w:val="1B1D0E97"/>
    <w:rsid w:val="1B1D7A8F"/>
    <w:rsid w:val="1B2D6A00"/>
    <w:rsid w:val="1B444659"/>
    <w:rsid w:val="1B486183"/>
    <w:rsid w:val="1B604660"/>
    <w:rsid w:val="1B6310DF"/>
    <w:rsid w:val="1B642331"/>
    <w:rsid w:val="1B6C5C15"/>
    <w:rsid w:val="1B7168FB"/>
    <w:rsid w:val="1B751B6D"/>
    <w:rsid w:val="1B7A20B5"/>
    <w:rsid w:val="1B7A326B"/>
    <w:rsid w:val="1B7B48BD"/>
    <w:rsid w:val="1B7D7150"/>
    <w:rsid w:val="1B803B6F"/>
    <w:rsid w:val="1B813443"/>
    <w:rsid w:val="1B8B6826"/>
    <w:rsid w:val="1B922B95"/>
    <w:rsid w:val="1B9242C5"/>
    <w:rsid w:val="1B9B51B5"/>
    <w:rsid w:val="1B9F5E03"/>
    <w:rsid w:val="1BB455C7"/>
    <w:rsid w:val="1BBE1FA1"/>
    <w:rsid w:val="1BCC16EF"/>
    <w:rsid w:val="1BD72CAD"/>
    <w:rsid w:val="1BE44920"/>
    <w:rsid w:val="1BE9117B"/>
    <w:rsid w:val="1BE92CBC"/>
    <w:rsid w:val="1BF714E6"/>
    <w:rsid w:val="1BFB1448"/>
    <w:rsid w:val="1C040ED9"/>
    <w:rsid w:val="1C0D4B0B"/>
    <w:rsid w:val="1C0F0A4F"/>
    <w:rsid w:val="1C1341D7"/>
    <w:rsid w:val="1C163F7C"/>
    <w:rsid w:val="1C1C6B6D"/>
    <w:rsid w:val="1C2655E9"/>
    <w:rsid w:val="1C2C5342"/>
    <w:rsid w:val="1C2C7853"/>
    <w:rsid w:val="1C38488B"/>
    <w:rsid w:val="1C4032FE"/>
    <w:rsid w:val="1C424981"/>
    <w:rsid w:val="1C460D42"/>
    <w:rsid w:val="1C513BF3"/>
    <w:rsid w:val="1C572846"/>
    <w:rsid w:val="1C5E5533"/>
    <w:rsid w:val="1C662842"/>
    <w:rsid w:val="1C782A98"/>
    <w:rsid w:val="1C7A4EB6"/>
    <w:rsid w:val="1C7B4336"/>
    <w:rsid w:val="1C93342E"/>
    <w:rsid w:val="1CA92C52"/>
    <w:rsid w:val="1CAE2DBB"/>
    <w:rsid w:val="1CBF069B"/>
    <w:rsid w:val="1CC250BC"/>
    <w:rsid w:val="1CC655B2"/>
    <w:rsid w:val="1CD47871"/>
    <w:rsid w:val="1CD51C99"/>
    <w:rsid w:val="1CD57D07"/>
    <w:rsid w:val="1CDF3AB9"/>
    <w:rsid w:val="1CE15FD3"/>
    <w:rsid w:val="1CF73578"/>
    <w:rsid w:val="1CFD2F9D"/>
    <w:rsid w:val="1D082596"/>
    <w:rsid w:val="1D167BBB"/>
    <w:rsid w:val="1D1C3424"/>
    <w:rsid w:val="1D2408CC"/>
    <w:rsid w:val="1D24677C"/>
    <w:rsid w:val="1D341C4A"/>
    <w:rsid w:val="1D3777B9"/>
    <w:rsid w:val="1D390540"/>
    <w:rsid w:val="1D3961DE"/>
    <w:rsid w:val="1D3A5FA0"/>
    <w:rsid w:val="1D3D69B0"/>
    <w:rsid w:val="1D4219C8"/>
    <w:rsid w:val="1D426885"/>
    <w:rsid w:val="1D4E7EE8"/>
    <w:rsid w:val="1D576A95"/>
    <w:rsid w:val="1D5E391D"/>
    <w:rsid w:val="1D6A7826"/>
    <w:rsid w:val="1D6E2588"/>
    <w:rsid w:val="1D771E57"/>
    <w:rsid w:val="1D7E2B06"/>
    <w:rsid w:val="1D7F004F"/>
    <w:rsid w:val="1D807E56"/>
    <w:rsid w:val="1D81683F"/>
    <w:rsid w:val="1D98325B"/>
    <w:rsid w:val="1DA11B7B"/>
    <w:rsid w:val="1DAA05B9"/>
    <w:rsid w:val="1DAD6772"/>
    <w:rsid w:val="1DB00010"/>
    <w:rsid w:val="1DCE052D"/>
    <w:rsid w:val="1DD4509E"/>
    <w:rsid w:val="1DE303E5"/>
    <w:rsid w:val="1DE8074D"/>
    <w:rsid w:val="1DF42A6E"/>
    <w:rsid w:val="1DF50A1A"/>
    <w:rsid w:val="1DFE099E"/>
    <w:rsid w:val="1E043F4D"/>
    <w:rsid w:val="1E0D7210"/>
    <w:rsid w:val="1E1719F1"/>
    <w:rsid w:val="1E2A5B38"/>
    <w:rsid w:val="1E2C7696"/>
    <w:rsid w:val="1E2F362A"/>
    <w:rsid w:val="1E360515"/>
    <w:rsid w:val="1E3A7883"/>
    <w:rsid w:val="1E4079F4"/>
    <w:rsid w:val="1E5135A1"/>
    <w:rsid w:val="1E730BEB"/>
    <w:rsid w:val="1E7F1517"/>
    <w:rsid w:val="1E82235E"/>
    <w:rsid w:val="1E82375A"/>
    <w:rsid w:val="1E847BF2"/>
    <w:rsid w:val="1E902F77"/>
    <w:rsid w:val="1E984D2C"/>
    <w:rsid w:val="1E9D2342"/>
    <w:rsid w:val="1EB11208"/>
    <w:rsid w:val="1EB64EA7"/>
    <w:rsid w:val="1ED65854"/>
    <w:rsid w:val="1ED82230"/>
    <w:rsid w:val="1EE05BFB"/>
    <w:rsid w:val="1EE523BD"/>
    <w:rsid w:val="1EE7180F"/>
    <w:rsid w:val="1EF327B8"/>
    <w:rsid w:val="1F086E69"/>
    <w:rsid w:val="1F127166"/>
    <w:rsid w:val="1F1A16D6"/>
    <w:rsid w:val="1F284AD0"/>
    <w:rsid w:val="1F38650F"/>
    <w:rsid w:val="1F386AC5"/>
    <w:rsid w:val="1F3B4CBD"/>
    <w:rsid w:val="1F4530E0"/>
    <w:rsid w:val="1F574BE7"/>
    <w:rsid w:val="1F5E41C7"/>
    <w:rsid w:val="1F8452B0"/>
    <w:rsid w:val="1F890B18"/>
    <w:rsid w:val="1F903C55"/>
    <w:rsid w:val="1FA059B1"/>
    <w:rsid w:val="1FA6497D"/>
    <w:rsid w:val="1FC14756"/>
    <w:rsid w:val="1FC41FA0"/>
    <w:rsid w:val="1FCA5217"/>
    <w:rsid w:val="1FCA72BF"/>
    <w:rsid w:val="20020305"/>
    <w:rsid w:val="20042B04"/>
    <w:rsid w:val="200C054C"/>
    <w:rsid w:val="200D4267"/>
    <w:rsid w:val="201931F7"/>
    <w:rsid w:val="202076CF"/>
    <w:rsid w:val="20286583"/>
    <w:rsid w:val="202C3D0E"/>
    <w:rsid w:val="20363D57"/>
    <w:rsid w:val="20407429"/>
    <w:rsid w:val="204A6BAA"/>
    <w:rsid w:val="204B1861"/>
    <w:rsid w:val="205417B2"/>
    <w:rsid w:val="20592386"/>
    <w:rsid w:val="20650EEF"/>
    <w:rsid w:val="206655AB"/>
    <w:rsid w:val="20813E20"/>
    <w:rsid w:val="208732AA"/>
    <w:rsid w:val="209E1737"/>
    <w:rsid w:val="20A93A90"/>
    <w:rsid w:val="20AE273E"/>
    <w:rsid w:val="20B06E41"/>
    <w:rsid w:val="20B51673"/>
    <w:rsid w:val="20C04A0E"/>
    <w:rsid w:val="20C2240A"/>
    <w:rsid w:val="20D12777"/>
    <w:rsid w:val="20D63882"/>
    <w:rsid w:val="20D86364"/>
    <w:rsid w:val="20DA0A53"/>
    <w:rsid w:val="20DB1848"/>
    <w:rsid w:val="20EC75B1"/>
    <w:rsid w:val="20ED2C7B"/>
    <w:rsid w:val="20F47FE6"/>
    <w:rsid w:val="20FC3C98"/>
    <w:rsid w:val="20FD17BE"/>
    <w:rsid w:val="210B3EDB"/>
    <w:rsid w:val="210B5C89"/>
    <w:rsid w:val="210D19EC"/>
    <w:rsid w:val="210F27D2"/>
    <w:rsid w:val="210F504D"/>
    <w:rsid w:val="211112DA"/>
    <w:rsid w:val="211B13AC"/>
    <w:rsid w:val="211F02CF"/>
    <w:rsid w:val="212A5BF7"/>
    <w:rsid w:val="212D20A3"/>
    <w:rsid w:val="21363972"/>
    <w:rsid w:val="213A4823"/>
    <w:rsid w:val="213A656E"/>
    <w:rsid w:val="213D7C54"/>
    <w:rsid w:val="214747E7"/>
    <w:rsid w:val="214D2FC1"/>
    <w:rsid w:val="215516E3"/>
    <w:rsid w:val="215A09BE"/>
    <w:rsid w:val="215D7928"/>
    <w:rsid w:val="216231F4"/>
    <w:rsid w:val="21691565"/>
    <w:rsid w:val="21704269"/>
    <w:rsid w:val="21791110"/>
    <w:rsid w:val="218D5374"/>
    <w:rsid w:val="219B3920"/>
    <w:rsid w:val="21A1780A"/>
    <w:rsid w:val="21A35EF5"/>
    <w:rsid w:val="21B005DE"/>
    <w:rsid w:val="21B52B49"/>
    <w:rsid w:val="21BC3427"/>
    <w:rsid w:val="21CD554D"/>
    <w:rsid w:val="21CE1695"/>
    <w:rsid w:val="21D14F1F"/>
    <w:rsid w:val="21D23791"/>
    <w:rsid w:val="21E405A3"/>
    <w:rsid w:val="21E8421C"/>
    <w:rsid w:val="21F05FFE"/>
    <w:rsid w:val="21F7445F"/>
    <w:rsid w:val="21FD48CC"/>
    <w:rsid w:val="21FF50C2"/>
    <w:rsid w:val="220A4192"/>
    <w:rsid w:val="220D77DF"/>
    <w:rsid w:val="2215332E"/>
    <w:rsid w:val="222D7E81"/>
    <w:rsid w:val="223231A4"/>
    <w:rsid w:val="22330330"/>
    <w:rsid w:val="22351829"/>
    <w:rsid w:val="22486A69"/>
    <w:rsid w:val="224F7DF7"/>
    <w:rsid w:val="2254540E"/>
    <w:rsid w:val="2255060C"/>
    <w:rsid w:val="22576149"/>
    <w:rsid w:val="225A5B4A"/>
    <w:rsid w:val="22600256"/>
    <w:rsid w:val="226002D5"/>
    <w:rsid w:val="22682C67"/>
    <w:rsid w:val="22745AB0"/>
    <w:rsid w:val="22780862"/>
    <w:rsid w:val="227D45F3"/>
    <w:rsid w:val="2289537B"/>
    <w:rsid w:val="229323DA"/>
    <w:rsid w:val="2297109E"/>
    <w:rsid w:val="22A22E15"/>
    <w:rsid w:val="22B46BAD"/>
    <w:rsid w:val="22C103A0"/>
    <w:rsid w:val="22CE1263"/>
    <w:rsid w:val="22D136E2"/>
    <w:rsid w:val="22D73397"/>
    <w:rsid w:val="22D8603F"/>
    <w:rsid w:val="22DD18A7"/>
    <w:rsid w:val="22E744D4"/>
    <w:rsid w:val="22F15352"/>
    <w:rsid w:val="22F46AFA"/>
    <w:rsid w:val="22F70F96"/>
    <w:rsid w:val="22FC1016"/>
    <w:rsid w:val="230D526C"/>
    <w:rsid w:val="23157A2F"/>
    <w:rsid w:val="231828DF"/>
    <w:rsid w:val="23230790"/>
    <w:rsid w:val="23256DAA"/>
    <w:rsid w:val="232E7D9F"/>
    <w:rsid w:val="233429F8"/>
    <w:rsid w:val="233D2D8A"/>
    <w:rsid w:val="23431E95"/>
    <w:rsid w:val="23476D20"/>
    <w:rsid w:val="235245B0"/>
    <w:rsid w:val="23571659"/>
    <w:rsid w:val="2358132C"/>
    <w:rsid w:val="236123D4"/>
    <w:rsid w:val="236F2694"/>
    <w:rsid w:val="23711FEF"/>
    <w:rsid w:val="23760A05"/>
    <w:rsid w:val="237956A4"/>
    <w:rsid w:val="237A06AA"/>
    <w:rsid w:val="237F295E"/>
    <w:rsid w:val="23813D08"/>
    <w:rsid w:val="23976E11"/>
    <w:rsid w:val="23A32805"/>
    <w:rsid w:val="23B006BF"/>
    <w:rsid w:val="23B70323"/>
    <w:rsid w:val="23B80062"/>
    <w:rsid w:val="23C44815"/>
    <w:rsid w:val="23C937DC"/>
    <w:rsid w:val="23DD258E"/>
    <w:rsid w:val="23E07FBD"/>
    <w:rsid w:val="23EB7FF4"/>
    <w:rsid w:val="23ED4E60"/>
    <w:rsid w:val="23F5677C"/>
    <w:rsid w:val="23F66872"/>
    <w:rsid w:val="240B5FC9"/>
    <w:rsid w:val="24150FE7"/>
    <w:rsid w:val="241D7C73"/>
    <w:rsid w:val="242B0BFB"/>
    <w:rsid w:val="2446347C"/>
    <w:rsid w:val="24473AA3"/>
    <w:rsid w:val="244D357F"/>
    <w:rsid w:val="2456115F"/>
    <w:rsid w:val="245715E6"/>
    <w:rsid w:val="24594F5D"/>
    <w:rsid w:val="245A2A83"/>
    <w:rsid w:val="245B167E"/>
    <w:rsid w:val="245C4768"/>
    <w:rsid w:val="247934AE"/>
    <w:rsid w:val="2480698E"/>
    <w:rsid w:val="248544AB"/>
    <w:rsid w:val="248B0E8F"/>
    <w:rsid w:val="248F3BA6"/>
    <w:rsid w:val="249935AC"/>
    <w:rsid w:val="249B40ED"/>
    <w:rsid w:val="249C309C"/>
    <w:rsid w:val="24A65CC9"/>
    <w:rsid w:val="24A748CE"/>
    <w:rsid w:val="24AC155B"/>
    <w:rsid w:val="24AD0470"/>
    <w:rsid w:val="24AF7273"/>
    <w:rsid w:val="24B007D4"/>
    <w:rsid w:val="24B277C5"/>
    <w:rsid w:val="24B669F4"/>
    <w:rsid w:val="24C30629"/>
    <w:rsid w:val="24CC0FC3"/>
    <w:rsid w:val="24D34421"/>
    <w:rsid w:val="24D6035C"/>
    <w:rsid w:val="24DB0068"/>
    <w:rsid w:val="24E31D05"/>
    <w:rsid w:val="24E46F1D"/>
    <w:rsid w:val="24E84DAB"/>
    <w:rsid w:val="24EC74C8"/>
    <w:rsid w:val="24EC7B7F"/>
    <w:rsid w:val="25076767"/>
    <w:rsid w:val="25087BBC"/>
    <w:rsid w:val="2512523E"/>
    <w:rsid w:val="25145D5F"/>
    <w:rsid w:val="25205A7B"/>
    <w:rsid w:val="25275510"/>
    <w:rsid w:val="25283964"/>
    <w:rsid w:val="253C2BAC"/>
    <w:rsid w:val="25421E95"/>
    <w:rsid w:val="25550894"/>
    <w:rsid w:val="2560231B"/>
    <w:rsid w:val="256325C9"/>
    <w:rsid w:val="25643BBA"/>
    <w:rsid w:val="25646689"/>
    <w:rsid w:val="256615C1"/>
    <w:rsid w:val="25734592"/>
    <w:rsid w:val="25761B3F"/>
    <w:rsid w:val="2581126F"/>
    <w:rsid w:val="25883CC1"/>
    <w:rsid w:val="258A71B9"/>
    <w:rsid w:val="25911A7F"/>
    <w:rsid w:val="25950217"/>
    <w:rsid w:val="25B32407"/>
    <w:rsid w:val="25B45B06"/>
    <w:rsid w:val="25C12DBA"/>
    <w:rsid w:val="25CC50FC"/>
    <w:rsid w:val="25D6156E"/>
    <w:rsid w:val="25D77514"/>
    <w:rsid w:val="25DA20CE"/>
    <w:rsid w:val="25DB3A7F"/>
    <w:rsid w:val="25E168BA"/>
    <w:rsid w:val="25EF35C3"/>
    <w:rsid w:val="26020D78"/>
    <w:rsid w:val="26024AC3"/>
    <w:rsid w:val="26150C45"/>
    <w:rsid w:val="26190E48"/>
    <w:rsid w:val="26263565"/>
    <w:rsid w:val="262A5E92"/>
    <w:rsid w:val="262D044F"/>
    <w:rsid w:val="262D1606"/>
    <w:rsid w:val="265E2CFF"/>
    <w:rsid w:val="266A1336"/>
    <w:rsid w:val="266B0F78"/>
    <w:rsid w:val="266E719B"/>
    <w:rsid w:val="267047E0"/>
    <w:rsid w:val="26773DC1"/>
    <w:rsid w:val="2677540F"/>
    <w:rsid w:val="26793655"/>
    <w:rsid w:val="267D3132"/>
    <w:rsid w:val="267E2E2B"/>
    <w:rsid w:val="26891294"/>
    <w:rsid w:val="268D1E5D"/>
    <w:rsid w:val="26932FAA"/>
    <w:rsid w:val="26997893"/>
    <w:rsid w:val="269B3DD9"/>
    <w:rsid w:val="26A24F4F"/>
    <w:rsid w:val="26AA4C19"/>
    <w:rsid w:val="26D703BB"/>
    <w:rsid w:val="26F97D29"/>
    <w:rsid w:val="270741B3"/>
    <w:rsid w:val="27075144"/>
    <w:rsid w:val="270F5DA7"/>
    <w:rsid w:val="27111B1F"/>
    <w:rsid w:val="271635D9"/>
    <w:rsid w:val="271820AF"/>
    <w:rsid w:val="2719146B"/>
    <w:rsid w:val="271C7063"/>
    <w:rsid w:val="273677D8"/>
    <w:rsid w:val="27391076"/>
    <w:rsid w:val="276B27F4"/>
    <w:rsid w:val="27734588"/>
    <w:rsid w:val="27874BA2"/>
    <w:rsid w:val="2788313A"/>
    <w:rsid w:val="2791755F"/>
    <w:rsid w:val="27936A2D"/>
    <w:rsid w:val="279A7D67"/>
    <w:rsid w:val="27AB1F74"/>
    <w:rsid w:val="27CB6172"/>
    <w:rsid w:val="27D25752"/>
    <w:rsid w:val="27D86739"/>
    <w:rsid w:val="27DB629D"/>
    <w:rsid w:val="27DD2B2D"/>
    <w:rsid w:val="27E43B0C"/>
    <w:rsid w:val="27EB3D36"/>
    <w:rsid w:val="27F340F2"/>
    <w:rsid w:val="27FE6547"/>
    <w:rsid w:val="281933EB"/>
    <w:rsid w:val="281F201A"/>
    <w:rsid w:val="2826398B"/>
    <w:rsid w:val="282737C4"/>
    <w:rsid w:val="282B3D23"/>
    <w:rsid w:val="283261F1"/>
    <w:rsid w:val="283F090E"/>
    <w:rsid w:val="28434A13"/>
    <w:rsid w:val="28465285"/>
    <w:rsid w:val="2849450D"/>
    <w:rsid w:val="284D302B"/>
    <w:rsid w:val="28541FFF"/>
    <w:rsid w:val="28560763"/>
    <w:rsid w:val="285717B4"/>
    <w:rsid w:val="2859377E"/>
    <w:rsid w:val="285F2D5E"/>
    <w:rsid w:val="28627A63"/>
    <w:rsid w:val="28660B49"/>
    <w:rsid w:val="28694794"/>
    <w:rsid w:val="286B34B1"/>
    <w:rsid w:val="28896DF3"/>
    <w:rsid w:val="28A64FDA"/>
    <w:rsid w:val="28AA6A66"/>
    <w:rsid w:val="28AB1AFF"/>
    <w:rsid w:val="28AF15F0"/>
    <w:rsid w:val="28B3043B"/>
    <w:rsid w:val="28C332ED"/>
    <w:rsid w:val="28C72DDD"/>
    <w:rsid w:val="28CB4154"/>
    <w:rsid w:val="28CF4911"/>
    <w:rsid w:val="28E40693"/>
    <w:rsid w:val="28E54DC1"/>
    <w:rsid w:val="28F03135"/>
    <w:rsid w:val="28F039B6"/>
    <w:rsid w:val="28F3407F"/>
    <w:rsid w:val="28FA297B"/>
    <w:rsid w:val="28FD67FF"/>
    <w:rsid w:val="29015BC3"/>
    <w:rsid w:val="29016E1D"/>
    <w:rsid w:val="290336EA"/>
    <w:rsid w:val="29182064"/>
    <w:rsid w:val="291853E7"/>
    <w:rsid w:val="29194CBB"/>
    <w:rsid w:val="291B0A33"/>
    <w:rsid w:val="29211DC2"/>
    <w:rsid w:val="29233D8C"/>
    <w:rsid w:val="292A2E5F"/>
    <w:rsid w:val="293B3F64"/>
    <w:rsid w:val="2940220D"/>
    <w:rsid w:val="2947268A"/>
    <w:rsid w:val="29493DF8"/>
    <w:rsid w:val="29505346"/>
    <w:rsid w:val="29514087"/>
    <w:rsid w:val="29514455"/>
    <w:rsid w:val="295555D6"/>
    <w:rsid w:val="2971081A"/>
    <w:rsid w:val="29721BF2"/>
    <w:rsid w:val="297E0FC2"/>
    <w:rsid w:val="29824F56"/>
    <w:rsid w:val="29843F44"/>
    <w:rsid w:val="29915199"/>
    <w:rsid w:val="29982084"/>
    <w:rsid w:val="29995DFC"/>
    <w:rsid w:val="299D24D0"/>
    <w:rsid w:val="29A2235A"/>
    <w:rsid w:val="29A30A29"/>
    <w:rsid w:val="29A70519"/>
    <w:rsid w:val="29B01EB4"/>
    <w:rsid w:val="29BA36E1"/>
    <w:rsid w:val="29BC6A98"/>
    <w:rsid w:val="29C17ABA"/>
    <w:rsid w:val="29CC4423"/>
    <w:rsid w:val="29D049D8"/>
    <w:rsid w:val="29DE3ED0"/>
    <w:rsid w:val="29DE4D3F"/>
    <w:rsid w:val="29E51041"/>
    <w:rsid w:val="29E72BF1"/>
    <w:rsid w:val="29EC5F30"/>
    <w:rsid w:val="29F55728"/>
    <w:rsid w:val="29F979CD"/>
    <w:rsid w:val="2A0446CF"/>
    <w:rsid w:val="2A066AF3"/>
    <w:rsid w:val="2A1A19DE"/>
    <w:rsid w:val="2A1D4C7F"/>
    <w:rsid w:val="2A213F61"/>
    <w:rsid w:val="2A273408"/>
    <w:rsid w:val="2A2B41AE"/>
    <w:rsid w:val="2A2E5B61"/>
    <w:rsid w:val="2A331DAD"/>
    <w:rsid w:val="2A3B6C66"/>
    <w:rsid w:val="2A4702DB"/>
    <w:rsid w:val="2A5E2741"/>
    <w:rsid w:val="2A677CA8"/>
    <w:rsid w:val="2A6A7EA4"/>
    <w:rsid w:val="2A6B7E7B"/>
    <w:rsid w:val="2A710990"/>
    <w:rsid w:val="2A720E15"/>
    <w:rsid w:val="2A721C36"/>
    <w:rsid w:val="2A7511A4"/>
    <w:rsid w:val="2A7E78FE"/>
    <w:rsid w:val="2A814E7D"/>
    <w:rsid w:val="2A821A7A"/>
    <w:rsid w:val="2A877B3A"/>
    <w:rsid w:val="2A9462CC"/>
    <w:rsid w:val="2A9D1E28"/>
    <w:rsid w:val="2AA57F55"/>
    <w:rsid w:val="2AAA3BF6"/>
    <w:rsid w:val="2AB4488A"/>
    <w:rsid w:val="2ABD3B87"/>
    <w:rsid w:val="2ABD7E2E"/>
    <w:rsid w:val="2ABE229F"/>
    <w:rsid w:val="2AC944BF"/>
    <w:rsid w:val="2AD43590"/>
    <w:rsid w:val="2AD52E64"/>
    <w:rsid w:val="2AE03DFF"/>
    <w:rsid w:val="2AE83DA6"/>
    <w:rsid w:val="2AEF0D40"/>
    <w:rsid w:val="2AF27EBA"/>
    <w:rsid w:val="2AF42E4D"/>
    <w:rsid w:val="2AFC2AE6"/>
    <w:rsid w:val="2B0A6FB1"/>
    <w:rsid w:val="2B157704"/>
    <w:rsid w:val="2B193698"/>
    <w:rsid w:val="2B2161DA"/>
    <w:rsid w:val="2B2F4C6A"/>
    <w:rsid w:val="2B345DDC"/>
    <w:rsid w:val="2B3758CC"/>
    <w:rsid w:val="2B421C83"/>
    <w:rsid w:val="2B485D2C"/>
    <w:rsid w:val="2B4E574D"/>
    <w:rsid w:val="2B5058E7"/>
    <w:rsid w:val="2B580E36"/>
    <w:rsid w:val="2B69017C"/>
    <w:rsid w:val="2BA26D3B"/>
    <w:rsid w:val="2BAA2542"/>
    <w:rsid w:val="2BB1203C"/>
    <w:rsid w:val="2BB24CE7"/>
    <w:rsid w:val="2BB36227"/>
    <w:rsid w:val="2BC34CDB"/>
    <w:rsid w:val="2BC55DD8"/>
    <w:rsid w:val="2BC76C50"/>
    <w:rsid w:val="2BD355F5"/>
    <w:rsid w:val="2BE21CDC"/>
    <w:rsid w:val="2BEE4512"/>
    <w:rsid w:val="2BEF61A7"/>
    <w:rsid w:val="2BFF68EB"/>
    <w:rsid w:val="2C064E10"/>
    <w:rsid w:val="2C0B29D4"/>
    <w:rsid w:val="2C154F49"/>
    <w:rsid w:val="2C1B7D01"/>
    <w:rsid w:val="2C1C0C66"/>
    <w:rsid w:val="2C204F7B"/>
    <w:rsid w:val="2C387B4E"/>
    <w:rsid w:val="2C5F3E3E"/>
    <w:rsid w:val="2C624BCB"/>
    <w:rsid w:val="2C631FBB"/>
    <w:rsid w:val="2C7E10B2"/>
    <w:rsid w:val="2C812FBA"/>
    <w:rsid w:val="2C8613F3"/>
    <w:rsid w:val="2C8903AA"/>
    <w:rsid w:val="2C9C2A8D"/>
    <w:rsid w:val="2CAA36B0"/>
    <w:rsid w:val="2CBB6390"/>
    <w:rsid w:val="2CC94C4A"/>
    <w:rsid w:val="2CCE7751"/>
    <w:rsid w:val="2CD21D51"/>
    <w:rsid w:val="2CDE4C68"/>
    <w:rsid w:val="2CE817F3"/>
    <w:rsid w:val="2CED56EB"/>
    <w:rsid w:val="2CF73565"/>
    <w:rsid w:val="2D17601C"/>
    <w:rsid w:val="2D1944D2"/>
    <w:rsid w:val="2D1B668B"/>
    <w:rsid w:val="2D2D33C5"/>
    <w:rsid w:val="2D341494"/>
    <w:rsid w:val="2D377E06"/>
    <w:rsid w:val="2D39592C"/>
    <w:rsid w:val="2D4B556B"/>
    <w:rsid w:val="2D4E7379"/>
    <w:rsid w:val="2D5B50F8"/>
    <w:rsid w:val="2D6A6FCC"/>
    <w:rsid w:val="2D731DD4"/>
    <w:rsid w:val="2D893CCC"/>
    <w:rsid w:val="2D8F19F0"/>
    <w:rsid w:val="2D931277"/>
    <w:rsid w:val="2D9979E1"/>
    <w:rsid w:val="2DB256DE"/>
    <w:rsid w:val="2DB72CF5"/>
    <w:rsid w:val="2DCB370E"/>
    <w:rsid w:val="2DDA5825"/>
    <w:rsid w:val="2DDD275B"/>
    <w:rsid w:val="2DDE613F"/>
    <w:rsid w:val="2DDF2BB2"/>
    <w:rsid w:val="2DEA6F06"/>
    <w:rsid w:val="2DEC299E"/>
    <w:rsid w:val="2DEC5380"/>
    <w:rsid w:val="2E1001F4"/>
    <w:rsid w:val="2E1E2BDB"/>
    <w:rsid w:val="2E2419B8"/>
    <w:rsid w:val="2E254102"/>
    <w:rsid w:val="2E312239"/>
    <w:rsid w:val="2E38378C"/>
    <w:rsid w:val="2E415BED"/>
    <w:rsid w:val="2E496043"/>
    <w:rsid w:val="2E4E3711"/>
    <w:rsid w:val="2E543333"/>
    <w:rsid w:val="2E550996"/>
    <w:rsid w:val="2E5C7A18"/>
    <w:rsid w:val="2E600977"/>
    <w:rsid w:val="2E61338C"/>
    <w:rsid w:val="2E675CA9"/>
    <w:rsid w:val="2E6A6E6E"/>
    <w:rsid w:val="2E70537D"/>
    <w:rsid w:val="2E7117CD"/>
    <w:rsid w:val="2E71553B"/>
    <w:rsid w:val="2E723F81"/>
    <w:rsid w:val="2E79583C"/>
    <w:rsid w:val="2EB3170E"/>
    <w:rsid w:val="2ED036D5"/>
    <w:rsid w:val="2EDC64EE"/>
    <w:rsid w:val="2EE91DEC"/>
    <w:rsid w:val="2EE93382"/>
    <w:rsid w:val="2EF2255A"/>
    <w:rsid w:val="2F0748E1"/>
    <w:rsid w:val="2F086D29"/>
    <w:rsid w:val="2F215D35"/>
    <w:rsid w:val="2F261EE0"/>
    <w:rsid w:val="2F3517DE"/>
    <w:rsid w:val="2F387ADE"/>
    <w:rsid w:val="2F3D1373"/>
    <w:rsid w:val="2F4275E7"/>
    <w:rsid w:val="2F4F7689"/>
    <w:rsid w:val="2F544C9F"/>
    <w:rsid w:val="2F546A4D"/>
    <w:rsid w:val="2F6B463E"/>
    <w:rsid w:val="2F6B6927"/>
    <w:rsid w:val="2F6D0F9D"/>
    <w:rsid w:val="2F7C41F6"/>
    <w:rsid w:val="2F7F338A"/>
    <w:rsid w:val="2F807ADA"/>
    <w:rsid w:val="2F837332"/>
    <w:rsid w:val="2F8512FC"/>
    <w:rsid w:val="2F880DEC"/>
    <w:rsid w:val="2F8C2B2C"/>
    <w:rsid w:val="2F9C184A"/>
    <w:rsid w:val="2F9C71E6"/>
    <w:rsid w:val="2FA15A0A"/>
    <w:rsid w:val="2FAF3F92"/>
    <w:rsid w:val="2FAF45CB"/>
    <w:rsid w:val="2FAF6A9C"/>
    <w:rsid w:val="2FB13E9F"/>
    <w:rsid w:val="2FC55B9D"/>
    <w:rsid w:val="2FD11297"/>
    <w:rsid w:val="2FDB53C0"/>
    <w:rsid w:val="2FE51D9B"/>
    <w:rsid w:val="2FE824C4"/>
    <w:rsid w:val="2FEC1B11"/>
    <w:rsid w:val="2FED05D5"/>
    <w:rsid w:val="2FF63FA8"/>
    <w:rsid w:val="2FF816B6"/>
    <w:rsid w:val="3002294D"/>
    <w:rsid w:val="302234FB"/>
    <w:rsid w:val="30332B06"/>
    <w:rsid w:val="303E3BA1"/>
    <w:rsid w:val="304F4953"/>
    <w:rsid w:val="305109F2"/>
    <w:rsid w:val="305457A4"/>
    <w:rsid w:val="30690982"/>
    <w:rsid w:val="30736BD1"/>
    <w:rsid w:val="30736DD2"/>
    <w:rsid w:val="30981B62"/>
    <w:rsid w:val="30B874AF"/>
    <w:rsid w:val="30BC0D4E"/>
    <w:rsid w:val="30C50DE9"/>
    <w:rsid w:val="30CC6B4E"/>
    <w:rsid w:val="30D047F9"/>
    <w:rsid w:val="30E20FB6"/>
    <w:rsid w:val="30E3216D"/>
    <w:rsid w:val="30E3277E"/>
    <w:rsid w:val="30E67B79"/>
    <w:rsid w:val="30EA5537"/>
    <w:rsid w:val="30EF319B"/>
    <w:rsid w:val="30F203F8"/>
    <w:rsid w:val="30F462BC"/>
    <w:rsid w:val="3106021B"/>
    <w:rsid w:val="310D3357"/>
    <w:rsid w:val="310F3573"/>
    <w:rsid w:val="31200204"/>
    <w:rsid w:val="3129447C"/>
    <w:rsid w:val="312B7C81"/>
    <w:rsid w:val="312D1C4B"/>
    <w:rsid w:val="31370D9F"/>
    <w:rsid w:val="31465C10"/>
    <w:rsid w:val="315D426A"/>
    <w:rsid w:val="315E3BB3"/>
    <w:rsid w:val="315F3990"/>
    <w:rsid w:val="316A2A61"/>
    <w:rsid w:val="316C78D7"/>
    <w:rsid w:val="31727625"/>
    <w:rsid w:val="31730F96"/>
    <w:rsid w:val="317D1952"/>
    <w:rsid w:val="318E36BF"/>
    <w:rsid w:val="31902D07"/>
    <w:rsid w:val="31942D25"/>
    <w:rsid w:val="31945827"/>
    <w:rsid w:val="319C4394"/>
    <w:rsid w:val="31A425DC"/>
    <w:rsid w:val="31D420C7"/>
    <w:rsid w:val="31E3055C"/>
    <w:rsid w:val="31E87920"/>
    <w:rsid w:val="31F104FE"/>
    <w:rsid w:val="31F938DC"/>
    <w:rsid w:val="3208344C"/>
    <w:rsid w:val="32095C1F"/>
    <w:rsid w:val="320E1D12"/>
    <w:rsid w:val="321150C9"/>
    <w:rsid w:val="32137D4D"/>
    <w:rsid w:val="32187DD5"/>
    <w:rsid w:val="322D17D7"/>
    <w:rsid w:val="3240775C"/>
    <w:rsid w:val="32427DEC"/>
    <w:rsid w:val="3250122B"/>
    <w:rsid w:val="325C190F"/>
    <w:rsid w:val="3264169D"/>
    <w:rsid w:val="32755658"/>
    <w:rsid w:val="32773AFB"/>
    <w:rsid w:val="328E04C8"/>
    <w:rsid w:val="32A64B1D"/>
    <w:rsid w:val="32AB72CC"/>
    <w:rsid w:val="32AF0C16"/>
    <w:rsid w:val="32B466A9"/>
    <w:rsid w:val="32BA306B"/>
    <w:rsid w:val="32BC1665"/>
    <w:rsid w:val="32C4038E"/>
    <w:rsid w:val="32C55C77"/>
    <w:rsid w:val="32C9102E"/>
    <w:rsid w:val="32CD4736"/>
    <w:rsid w:val="32DF6F75"/>
    <w:rsid w:val="32E062DC"/>
    <w:rsid w:val="32E303AC"/>
    <w:rsid w:val="33016091"/>
    <w:rsid w:val="330C763F"/>
    <w:rsid w:val="33176C7E"/>
    <w:rsid w:val="331D35FA"/>
    <w:rsid w:val="331E2919"/>
    <w:rsid w:val="33226AA6"/>
    <w:rsid w:val="335E2AFD"/>
    <w:rsid w:val="33652980"/>
    <w:rsid w:val="337377E2"/>
    <w:rsid w:val="33792F26"/>
    <w:rsid w:val="337A5FAB"/>
    <w:rsid w:val="337D7E69"/>
    <w:rsid w:val="3385661C"/>
    <w:rsid w:val="338B2C59"/>
    <w:rsid w:val="33B51A84"/>
    <w:rsid w:val="33B73A4E"/>
    <w:rsid w:val="33BE6B8B"/>
    <w:rsid w:val="33D644EA"/>
    <w:rsid w:val="33E505BB"/>
    <w:rsid w:val="33EB3F56"/>
    <w:rsid w:val="33F03BF2"/>
    <w:rsid w:val="33F17962"/>
    <w:rsid w:val="34071441"/>
    <w:rsid w:val="340730CD"/>
    <w:rsid w:val="340D366E"/>
    <w:rsid w:val="34105FF9"/>
    <w:rsid w:val="34126ABF"/>
    <w:rsid w:val="3415709A"/>
    <w:rsid w:val="3426139A"/>
    <w:rsid w:val="34393BBE"/>
    <w:rsid w:val="34397759"/>
    <w:rsid w:val="343B4069"/>
    <w:rsid w:val="343B642D"/>
    <w:rsid w:val="34433534"/>
    <w:rsid w:val="34627E5E"/>
    <w:rsid w:val="34694A8B"/>
    <w:rsid w:val="346D62F8"/>
    <w:rsid w:val="347217C8"/>
    <w:rsid w:val="347D35A8"/>
    <w:rsid w:val="348002E4"/>
    <w:rsid w:val="3483652F"/>
    <w:rsid w:val="34962E80"/>
    <w:rsid w:val="34990D49"/>
    <w:rsid w:val="349A36DB"/>
    <w:rsid w:val="34A2025B"/>
    <w:rsid w:val="34A35D81"/>
    <w:rsid w:val="34A76325"/>
    <w:rsid w:val="34AC29B7"/>
    <w:rsid w:val="34CC6CA9"/>
    <w:rsid w:val="34D16D92"/>
    <w:rsid w:val="34D67F04"/>
    <w:rsid w:val="34E341E3"/>
    <w:rsid w:val="34E53BDA"/>
    <w:rsid w:val="34E66EFB"/>
    <w:rsid w:val="34E94521"/>
    <w:rsid w:val="34F11FEC"/>
    <w:rsid w:val="34F76B81"/>
    <w:rsid w:val="35011425"/>
    <w:rsid w:val="35026F4B"/>
    <w:rsid w:val="350D3174"/>
    <w:rsid w:val="35243C37"/>
    <w:rsid w:val="352A7DE7"/>
    <w:rsid w:val="352B0250"/>
    <w:rsid w:val="352C39D7"/>
    <w:rsid w:val="35441418"/>
    <w:rsid w:val="354B1C12"/>
    <w:rsid w:val="3550415A"/>
    <w:rsid w:val="35531555"/>
    <w:rsid w:val="355A399F"/>
    <w:rsid w:val="355C48AD"/>
    <w:rsid w:val="35711B78"/>
    <w:rsid w:val="3572367B"/>
    <w:rsid w:val="357240D1"/>
    <w:rsid w:val="3579545F"/>
    <w:rsid w:val="357D3DAC"/>
    <w:rsid w:val="35831E3A"/>
    <w:rsid w:val="359679D1"/>
    <w:rsid w:val="3599165E"/>
    <w:rsid w:val="359B7B00"/>
    <w:rsid w:val="35A3072E"/>
    <w:rsid w:val="35B33B91"/>
    <w:rsid w:val="35B35FB8"/>
    <w:rsid w:val="35B455CA"/>
    <w:rsid w:val="35B46497"/>
    <w:rsid w:val="35B53D18"/>
    <w:rsid w:val="35BE10C4"/>
    <w:rsid w:val="35C12620"/>
    <w:rsid w:val="35C6441D"/>
    <w:rsid w:val="35D72186"/>
    <w:rsid w:val="35ED3757"/>
    <w:rsid w:val="35F2684B"/>
    <w:rsid w:val="35F5706B"/>
    <w:rsid w:val="35F727E8"/>
    <w:rsid w:val="36013C37"/>
    <w:rsid w:val="36032843"/>
    <w:rsid w:val="36054C47"/>
    <w:rsid w:val="360D3DFA"/>
    <w:rsid w:val="362A49AB"/>
    <w:rsid w:val="36382F15"/>
    <w:rsid w:val="363B44C3"/>
    <w:rsid w:val="363C398E"/>
    <w:rsid w:val="36566F19"/>
    <w:rsid w:val="365F446B"/>
    <w:rsid w:val="36657792"/>
    <w:rsid w:val="3669708C"/>
    <w:rsid w:val="36710CAB"/>
    <w:rsid w:val="367B6FB5"/>
    <w:rsid w:val="367C4ADB"/>
    <w:rsid w:val="368C5733"/>
    <w:rsid w:val="36933614"/>
    <w:rsid w:val="36987B67"/>
    <w:rsid w:val="369B2B78"/>
    <w:rsid w:val="369F706C"/>
    <w:rsid w:val="36A07989"/>
    <w:rsid w:val="36A22794"/>
    <w:rsid w:val="36A4475E"/>
    <w:rsid w:val="36A5235A"/>
    <w:rsid w:val="36A8416E"/>
    <w:rsid w:val="36AB58ED"/>
    <w:rsid w:val="36AC7CA8"/>
    <w:rsid w:val="36BA09A9"/>
    <w:rsid w:val="36D13079"/>
    <w:rsid w:val="36D55BA7"/>
    <w:rsid w:val="36D55D6B"/>
    <w:rsid w:val="36E51058"/>
    <w:rsid w:val="36E60AB7"/>
    <w:rsid w:val="36E70025"/>
    <w:rsid w:val="36E72716"/>
    <w:rsid w:val="36EA7C97"/>
    <w:rsid w:val="36F151C8"/>
    <w:rsid w:val="370945C1"/>
    <w:rsid w:val="370A6E2E"/>
    <w:rsid w:val="370B1A55"/>
    <w:rsid w:val="370B658B"/>
    <w:rsid w:val="370E4427"/>
    <w:rsid w:val="371019D7"/>
    <w:rsid w:val="37120797"/>
    <w:rsid w:val="37147F13"/>
    <w:rsid w:val="371951AA"/>
    <w:rsid w:val="372310A8"/>
    <w:rsid w:val="372B3318"/>
    <w:rsid w:val="373A6E70"/>
    <w:rsid w:val="373F1452"/>
    <w:rsid w:val="37500665"/>
    <w:rsid w:val="37553B72"/>
    <w:rsid w:val="375F172C"/>
    <w:rsid w:val="37653AA5"/>
    <w:rsid w:val="37696A38"/>
    <w:rsid w:val="376D2E29"/>
    <w:rsid w:val="37837952"/>
    <w:rsid w:val="37904CE2"/>
    <w:rsid w:val="37906C1F"/>
    <w:rsid w:val="37964A33"/>
    <w:rsid w:val="379F116E"/>
    <w:rsid w:val="37B54749"/>
    <w:rsid w:val="37B62CF3"/>
    <w:rsid w:val="37BB1C92"/>
    <w:rsid w:val="37C04809"/>
    <w:rsid w:val="37CD44D8"/>
    <w:rsid w:val="37CE4F4C"/>
    <w:rsid w:val="37D37A51"/>
    <w:rsid w:val="37E56DDC"/>
    <w:rsid w:val="37E65FC8"/>
    <w:rsid w:val="37EB38AF"/>
    <w:rsid w:val="37ED4D98"/>
    <w:rsid w:val="37EE37B7"/>
    <w:rsid w:val="37EF1A09"/>
    <w:rsid w:val="37FE6209"/>
    <w:rsid w:val="38002096"/>
    <w:rsid w:val="380134EA"/>
    <w:rsid w:val="38084878"/>
    <w:rsid w:val="380B3CEF"/>
    <w:rsid w:val="38143A1D"/>
    <w:rsid w:val="381564BF"/>
    <w:rsid w:val="38163439"/>
    <w:rsid w:val="382409DC"/>
    <w:rsid w:val="382713AA"/>
    <w:rsid w:val="383E029A"/>
    <w:rsid w:val="38433B03"/>
    <w:rsid w:val="384B5836"/>
    <w:rsid w:val="385109EB"/>
    <w:rsid w:val="385901E4"/>
    <w:rsid w:val="385F4DAA"/>
    <w:rsid w:val="3866226C"/>
    <w:rsid w:val="38682391"/>
    <w:rsid w:val="386A5E12"/>
    <w:rsid w:val="386B2D45"/>
    <w:rsid w:val="386F21F2"/>
    <w:rsid w:val="387069EC"/>
    <w:rsid w:val="38710670"/>
    <w:rsid w:val="38773E1D"/>
    <w:rsid w:val="387E3AA8"/>
    <w:rsid w:val="38824AD6"/>
    <w:rsid w:val="388B6BC4"/>
    <w:rsid w:val="38935F1E"/>
    <w:rsid w:val="389F7439"/>
    <w:rsid w:val="38A34C62"/>
    <w:rsid w:val="38AA625B"/>
    <w:rsid w:val="38AC16A8"/>
    <w:rsid w:val="38B3351B"/>
    <w:rsid w:val="38B73406"/>
    <w:rsid w:val="38B957A0"/>
    <w:rsid w:val="38BB18EB"/>
    <w:rsid w:val="38BE13DB"/>
    <w:rsid w:val="38C01CD9"/>
    <w:rsid w:val="38D1425F"/>
    <w:rsid w:val="38D864E5"/>
    <w:rsid w:val="38E00A60"/>
    <w:rsid w:val="38EA21D0"/>
    <w:rsid w:val="38FC1B67"/>
    <w:rsid w:val="390037A2"/>
    <w:rsid w:val="39006662"/>
    <w:rsid w:val="391E3A5D"/>
    <w:rsid w:val="39241B86"/>
    <w:rsid w:val="392B5C44"/>
    <w:rsid w:val="392B71B5"/>
    <w:rsid w:val="39307D6D"/>
    <w:rsid w:val="39327900"/>
    <w:rsid w:val="3934023E"/>
    <w:rsid w:val="393F42CA"/>
    <w:rsid w:val="39406294"/>
    <w:rsid w:val="39455658"/>
    <w:rsid w:val="39554250"/>
    <w:rsid w:val="39644594"/>
    <w:rsid w:val="396A50BF"/>
    <w:rsid w:val="396E1053"/>
    <w:rsid w:val="39724FDB"/>
    <w:rsid w:val="397877DC"/>
    <w:rsid w:val="397B2592"/>
    <w:rsid w:val="397B7676"/>
    <w:rsid w:val="39882115"/>
    <w:rsid w:val="398977F1"/>
    <w:rsid w:val="398B5761"/>
    <w:rsid w:val="398C3C89"/>
    <w:rsid w:val="39914846"/>
    <w:rsid w:val="39952E09"/>
    <w:rsid w:val="399927A7"/>
    <w:rsid w:val="399D7242"/>
    <w:rsid w:val="39A41727"/>
    <w:rsid w:val="39A508FD"/>
    <w:rsid w:val="39A61222"/>
    <w:rsid w:val="39A8206F"/>
    <w:rsid w:val="39B42349"/>
    <w:rsid w:val="39BF18AF"/>
    <w:rsid w:val="39C72511"/>
    <w:rsid w:val="39CA0222"/>
    <w:rsid w:val="39D013C6"/>
    <w:rsid w:val="39D368C7"/>
    <w:rsid w:val="39E359A4"/>
    <w:rsid w:val="39E50B03"/>
    <w:rsid w:val="39F80DD6"/>
    <w:rsid w:val="3A115478"/>
    <w:rsid w:val="3A1738AB"/>
    <w:rsid w:val="3A1A4F46"/>
    <w:rsid w:val="3A271FDD"/>
    <w:rsid w:val="3A2873EA"/>
    <w:rsid w:val="3A3A2CE3"/>
    <w:rsid w:val="3A43603C"/>
    <w:rsid w:val="3A492888"/>
    <w:rsid w:val="3A551B66"/>
    <w:rsid w:val="3A59472B"/>
    <w:rsid w:val="3A5B15D7"/>
    <w:rsid w:val="3A6534A4"/>
    <w:rsid w:val="3A655FB2"/>
    <w:rsid w:val="3A6D278B"/>
    <w:rsid w:val="3A7257F0"/>
    <w:rsid w:val="3A734169"/>
    <w:rsid w:val="3A7B7DBF"/>
    <w:rsid w:val="3A7D33B5"/>
    <w:rsid w:val="3A803AD0"/>
    <w:rsid w:val="3A815AC6"/>
    <w:rsid w:val="3A896F27"/>
    <w:rsid w:val="3AA202A8"/>
    <w:rsid w:val="3AA53B47"/>
    <w:rsid w:val="3AAF0127"/>
    <w:rsid w:val="3AAF2F0D"/>
    <w:rsid w:val="3AB21ABD"/>
    <w:rsid w:val="3AC115D4"/>
    <w:rsid w:val="3AC214F7"/>
    <w:rsid w:val="3AC34E10"/>
    <w:rsid w:val="3AD13648"/>
    <w:rsid w:val="3AD4138A"/>
    <w:rsid w:val="3AD66EB0"/>
    <w:rsid w:val="3AE12680"/>
    <w:rsid w:val="3AE52F47"/>
    <w:rsid w:val="3AE822A2"/>
    <w:rsid w:val="3AFA0DF0"/>
    <w:rsid w:val="3B0A5ABA"/>
    <w:rsid w:val="3B1D117C"/>
    <w:rsid w:val="3B206765"/>
    <w:rsid w:val="3B3D0CDD"/>
    <w:rsid w:val="3B401562"/>
    <w:rsid w:val="3B4B1968"/>
    <w:rsid w:val="3B4F39D4"/>
    <w:rsid w:val="3B5838C6"/>
    <w:rsid w:val="3B583D69"/>
    <w:rsid w:val="3B6224F2"/>
    <w:rsid w:val="3B6A75F8"/>
    <w:rsid w:val="3B6C15C2"/>
    <w:rsid w:val="3B716921"/>
    <w:rsid w:val="3B726BE1"/>
    <w:rsid w:val="3B7B50D6"/>
    <w:rsid w:val="3B7D557D"/>
    <w:rsid w:val="3B8D494B"/>
    <w:rsid w:val="3B8E3FC3"/>
    <w:rsid w:val="3BA010F2"/>
    <w:rsid w:val="3BA15C6B"/>
    <w:rsid w:val="3BA70B96"/>
    <w:rsid w:val="3BAE7806"/>
    <w:rsid w:val="3BB015E4"/>
    <w:rsid w:val="3BB14054"/>
    <w:rsid w:val="3BB30F9F"/>
    <w:rsid w:val="3BBD1209"/>
    <w:rsid w:val="3BC52C1E"/>
    <w:rsid w:val="3BC9431F"/>
    <w:rsid w:val="3BCE5DD9"/>
    <w:rsid w:val="3BD01B51"/>
    <w:rsid w:val="3BD17677"/>
    <w:rsid w:val="3BD66A3C"/>
    <w:rsid w:val="3BE850ED"/>
    <w:rsid w:val="3BF61A5A"/>
    <w:rsid w:val="3BF667A0"/>
    <w:rsid w:val="3C023E0C"/>
    <w:rsid w:val="3C131A3E"/>
    <w:rsid w:val="3C171748"/>
    <w:rsid w:val="3C196A44"/>
    <w:rsid w:val="3C1F03E3"/>
    <w:rsid w:val="3C3D0B1C"/>
    <w:rsid w:val="3C430A40"/>
    <w:rsid w:val="3C4B215E"/>
    <w:rsid w:val="3C5207B8"/>
    <w:rsid w:val="3C561473"/>
    <w:rsid w:val="3C666012"/>
    <w:rsid w:val="3C70445E"/>
    <w:rsid w:val="3C710171"/>
    <w:rsid w:val="3C797AF3"/>
    <w:rsid w:val="3C7B276A"/>
    <w:rsid w:val="3CA54836"/>
    <w:rsid w:val="3CB35EBD"/>
    <w:rsid w:val="3CC40E6B"/>
    <w:rsid w:val="3CE04016"/>
    <w:rsid w:val="3CE95450"/>
    <w:rsid w:val="3CFA153E"/>
    <w:rsid w:val="3D0B33B3"/>
    <w:rsid w:val="3D181F32"/>
    <w:rsid w:val="3D1F86D1"/>
    <w:rsid w:val="3D25536C"/>
    <w:rsid w:val="3D43302F"/>
    <w:rsid w:val="3D453E79"/>
    <w:rsid w:val="3D475E43"/>
    <w:rsid w:val="3D543F4B"/>
    <w:rsid w:val="3D5E4004"/>
    <w:rsid w:val="3D5F6C95"/>
    <w:rsid w:val="3D6C7658"/>
    <w:rsid w:val="3D7529B0"/>
    <w:rsid w:val="3D7A6218"/>
    <w:rsid w:val="3D7E738B"/>
    <w:rsid w:val="3D844B54"/>
    <w:rsid w:val="3D922BCE"/>
    <w:rsid w:val="3D9D1F07"/>
    <w:rsid w:val="3D9F225C"/>
    <w:rsid w:val="3D9F7A2D"/>
    <w:rsid w:val="3DA72AD0"/>
    <w:rsid w:val="3DA93FA0"/>
    <w:rsid w:val="3DB73753"/>
    <w:rsid w:val="3DC079A3"/>
    <w:rsid w:val="3DCB7B4F"/>
    <w:rsid w:val="3DD15478"/>
    <w:rsid w:val="3DDF42CD"/>
    <w:rsid w:val="3DE15D8D"/>
    <w:rsid w:val="3DE5682A"/>
    <w:rsid w:val="3DE928B4"/>
    <w:rsid w:val="3DED2861"/>
    <w:rsid w:val="3DF338D5"/>
    <w:rsid w:val="3DF77869"/>
    <w:rsid w:val="3DFA2EB5"/>
    <w:rsid w:val="3DFE0FD2"/>
    <w:rsid w:val="3DFF2953"/>
    <w:rsid w:val="3E09759C"/>
    <w:rsid w:val="3E0F766A"/>
    <w:rsid w:val="3E157CEF"/>
    <w:rsid w:val="3E265A58"/>
    <w:rsid w:val="3E3118A9"/>
    <w:rsid w:val="3E444130"/>
    <w:rsid w:val="3E456322"/>
    <w:rsid w:val="3E491747"/>
    <w:rsid w:val="3E4B3711"/>
    <w:rsid w:val="3E526339"/>
    <w:rsid w:val="3E6002E3"/>
    <w:rsid w:val="3E64681E"/>
    <w:rsid w:val="3E693D35"/>
    <w:rsid w:val="3E735558"/>
    <w:rsid w:val="3E80785E"/>
    <w:rsid w:val="3E817364"/>
    <w:rsid w:val="3E886713"/>
    <w:rsid w:val="3E8C18E6"/>
    <w:rsid w:val="3E8C77D4"/>
    <w:rsid w:val="3E910A08"/>
    <w:rsid w:val="3E916BCC"/>
    <w:rsid w:val="3E921DC6"/>
    <w:rsid w:val="3E9723B9"/>
    <w:rsid w:val="3E9A6446"/>
    <w:rsid w:val="3EA51073"/>
    <w:rsid w:val="3EBA7D6A"/>
    <w:rsid w:val="3EBC5B0F"/>
    <w:rsid w:val="3EBD7A0F"/>
    <w:rsid w:val="3EBE3EE3"/>
    <w:rsid w:val="3EC26394"/>
    <w:rsid w:val="3EC55271"/>
    <w:rsid w:val="3EC80AD0"/>
    <w:rsid w:val="3EC86B10"/>
    <w:rsid w:val="3ED21928"/>
    <w:rsid w:val="3EDD7AB4"/>
    <w:rsid w:val="3EE34FE4"/>
    <w:rsid w:val="3EE37325"/>
    <w:rsid w:val="3EE95734"/>
    <w:rsid w:val="3EF67B21"/>
    <w:rsid w:val="3EFC71C0"/>
    <w:rsid w:val="3F0A6427"/>
    <w:rsid w:val="3F0E0939"/>
    <w:rsid w:val="3F125FDD"/>
    <w:rsid w:val="3F241476"/>
    <w:rsid w:val="3F310105"/>
    <w:rsid w:val="3F393AE7"/>
    <w:rsid w:val="3F4261F6"/>
    <w:rsid w:val="3F487C50"/>
    <w:rsid w:val="3F4A39C9"/>
    <w:rsid w:val="3F595D02"/>
    <w:rsid w:val="3F5A2EDA"/>
    <w:rsid w:val="3F5C2CD5"/>
    <w:rsid w:val="3F633AC0"/>
    <w:rsid w:val="3F836EDA"/>
    <w:rsid w:val="3F847920"/>
    <w:rsid w:val="3FA45D9D"/>
    <w:rsid w:val="3FB33829"/>
    <w:rsid w:val="3FB51302"/>
    <w:rsid w:val="3FBB6674"/>
    <w:rsid w:val="3FC3381A"/>
    <w:rsid w:val="3FCC0881"/>
    <w:rsid w:val="3FDF1FBC"/>
    <w:rsid w:val="3FE14530"/>
    <w:rsid w:val="3FEA4714"/>
    <w:rsid w:val="3FF312E5"/>
    <w:rsid w:val="3FF73B50"/>
    <w:rsid w:val="3FF763D4"/>
    <w:rsid w:val="400258CF"/>
    <w:rsid w:val="4005033F"/>
    <w:rsid w:val="400B3158"/>
    <w:rsid w:val="400C0C7E"/>
    <w:rsid w:val="40123FB5"/>
    <w:rsid w:val="401759C2"/>
    <w:rsid w:val="40187357"/>
    <w:rsid w:val="401D2E8B"/>
    <w:rsid w:val="401D47AE"/>
    <w:rsid w:val="402834E0"/>
    <w:rsid w:val="403008AB"/>
    <w:rsid w:val="403C777F"/>
    <w:rsid w:val="403D52DB"/>
    <w:rsid w:val="403E2C1B"/>
    <w:rsid w:val="40460634"/>
    <w:rsid w:val="40461F8D"/>
    <w:rsid w:val="40626FEA"/>
    <w:rsid w:val="40692574"/>
    <w:rsid w:val="407F6989"/>
    <w:rsid w:val="408B0B16"/>
    <w:rsid w:val="408E5B37"/>
    <w:rsid w:val="409A272E"/>
    <w:rsid w:val="40AB0497"/>
    <w:rsid w:val="40AB33C5"/>
    <w:rsid w:val="40B2013E"/>
    <w:rsid w:val="40BC5157"/>
    <w:rsid w:val="40C15F0C"/>
    <w:rsid w:val="40C31C84"/>
    <w:rsid w:val="40C43FE0"/>
    <w:rsid w:val="40C72178"/>
    <w:rsid w:val="40CF23B5"/>
    <w:rsid w:val="40D21EC7"/>
    <w:rsid w:val="40F07A17"/>
    <w:rsid w:val="40F736DC"/>
    <w:rsid w:val="4103111D"/>
    <w:rsid w:val="410B7187"/>
    <w:rsid w:val="410E4FFA"/>
    <w:rsid w:val="41166803"/>
    <w:rsid w:val="411D11B9"/>
    <w:rsid w:val="411D453C"/>
    <w:rsid w:val="412065EA"/>
    <w:rsid w:val="4123002E"/>
    <w:rsid w:val="41232723"/>
    <w:rsid w:val="41265909"/>
    <w:rsid w:val="41272213"/>
    <w:rsid w:val="41306BEE"/>
    <w:rsid w:val="41352074"/>
    <w:rsid w:val="41395437"/>
    <w:rsid w:val="414C5735"/>
    <w:rsid w:val="4150069E"/>
    <w:rsid w:val="415154E2"/>
    <w:rsid w:val="41540B2E"/>
    <w:rsid w:val="41594397"/>
    <w:rsid w:val="41666FD7"/>
    <w:rsid w:val="41775E7D"/>
    <w:rsid w:val="417B255F"/>
    <w:rsid w:val="4192528F"/>
    <w:rsid w:val="419B2786"/>
    <w:rsid w:val="41A40BCC"/>
    <w:rsid w:val="41A53138"/>
    <w:rsid w:val="41CF165F"/>
    <w:rsid w:val="41D04098"/>
    <w:rsid w:val="41E06866"/>
    <w:rsid w:val="41EC6FB9"/>
    <w:rsid w:val="41F06AA9"/>
    <w:rsid w:val="41F16EBE"/>
    <w:rsid w:val="41F7332E"/>
    <w:rsid w:val="41F83BB0"/>
    <w:rsid w:val="42073DF3"/>
    <w:rsid w:val="42091919"/>
    <w:rsid w:val="420E5181"/>
    <w:rsid w:val="42106C6C"/>
    <w:rsid w:val="421233DB"/>
    <w:rsid w:val="42332E3A"/>
    <w:rsid w:val="423C3578"/>
    <w:rsid w:val="423F533B"/>
    <w:rsid w:val="424C6005"/>
    <w:rsid w:val="425132C0"/>
    <w:rsid w:val="426B25D4"/>
    <w:rsid w:val="427A45C5"/>
    <w:rsid w:val="42872742"/>
    <w:rsid w:val="428C3A09"/>
    <w:rsid w:val="429531AD"/>
    <w:rsid w:val="429D6505"/>
    <w:rsid w:val="42A930FC"/>
    <w:rsid w:val="42A96C58"/>
    <w:rsid w:val="42BF46CD"/>
    <w:rsid w:val="42C910A8"/>
    <w:rsid w:val="42CC3CF1"/>
    <w:rsid w:val="42CD74D7"/>
    <w:rsid w:val="42D00689"/>
    <w:rsid w:val="42D51BA7"/>
    <w:rsid w:val="42D9578F"/>
    <w:rsid w:val="42F57F39"/>
    <w:rsid w:val="42FA7C62"/>
    <w:rsid w:val="42FE0E2D"/>
    <w:rsid w:val="42FF0B1F"/>
    <w:rsid w:val="43016A94"/>
    <w:rsid w:val="43135037"/>
    <w:rsid w:val="43244531"/>
    <w:rsid w:val="43260371"/>
    <w:rsid w:val="43432C09"/>
    <w:rsid w:val="4346094B"/>
    <w:rsid w:val="435059F8"/>
    <w:rsid w:val="43525542"/>
    <w:rsid w:val="435624D6"/>
    <w:rsid w:val="435F365C"/>
    <w:rsid w:val="43747266"/>
    <w:rsid w:val="43837F5E"/>
    <w:rsid w:val="43860D47"/>
    <w:rsid w:val="43937B6D"/>
    <w:rsid w:val="43956A3D"/>
    <w:rsid w:val="439671DC"/>
    <w:rsid w:val="43994F1E"/>
    <w:rsid w:val="439E5A90"/>
    <w:rsid w:val="439E6E16"/>
    <w:rsid w:val="43B32AFC"/>
    <w:rsid w:val="43B925A5"/>
    <w:rsid w:val="43BE79C2"/>
    <w:rsid w:val="43D127BF"/>
    <w:rsid w:val="43D26241"/>
    <w:rsid w:val="43F65ECD"/>
    <w:rsid w:val="440513CD"/>
    <w:rsid w:val="44061D33"/>
    <w:rsid w:val="44071890"/>
    <w:rsid w:val="441805AF"/>
    <w:rsid w:val="441806A8"/>
    <w:rsid w:val="4419601C"/>
    <w:rsid w:val="442C5139"/>
    <w:rsid w:val="442E5DE9"/>
    <w:rsid w:val="443E2F7E"/>
    <w:rsid w:val="44422B22"/>
    <w:rsid w:val="44507CD3"/>
    <w:rsid w:val="44537832"/>
    <w:rsid w:val="445A74FD"/>
    <w:rsid w:val="44726FDA"/>
    <w:rsid w:val="447332F0"/>
    <w:rsid w:val="44755B02"/>
    <w:rsid w:val="44790F79"/>
    <w:rsid w:val="447B6822"/>
    <w:rsid w:val="447F498C"/>
    <w:rsid w:val="44823115"/>
    <w:rsid w:val="44880EFC"/>
    <w:rsid w:val="44954DB2"/>
    <w:rsid w:val="44A23DC4"/>
    <w:rsid w:val="44A34641"/>
    <w:rsid w:val="44AD6ED3"/>
    <w:rsid w:val="44B4326E"/>
    <w:rsid w:val="44B6565C"/>
    <w:rsid w:val="44B7553B"/>
    <w:rsid w:val="44B85878"/>
    <w:rsid w:val="44BC0EC5"/>
    <w:rsid w:val="44C16029"/>
    <w:rsid w:val="44C361AF"/>
    <w:rsid w:val="44D34460"/>
    <w:rsid w:val="44D426B2"/>
    <w:rsid w:val="44DC0ADE"/>
    <w:rsid w:val="44E126D9"/>
    <w:rsid w:val="44E919BB"/>
    <w:rsid w:val="44EC733E"/>
    <w:rsid w:val="44F6362B"/>
    <w:rsid w:val="44FC7513"/>
    <w:rsid w:val="450C3A8A"/>
    <w:rsid w:val="451C7BB5"/>
    <w:rsid w:val="451D7120"/>
    <w:rsid w:val="45251780"/>
    <w:rsid w:val="45266680"/>
    <w:rsid w:val="45294080"/>
    <w:rsid w:val="453A0884"/>
    <w:rsid w:val="453F5652"/>
    <w:rsid w:val="45596D80"/>
    <w:rsid w:val="455E3D2A"/>
    <w:rsid w:val="45661CDA"/>
    <w:rsid w:val="456652D4"/>
    <w:rsid w:val="456B78E9"/>
    <w:rsid w:val="456F5F37"/>
    <w:rsid w:val="457572C5"/>
    <w:rsid w:val="45777164"/>
    <w:rsid w:val="45796DB6"/>
    <w:rsid w:val="458047F2"/>
    <w:rsid w:val="458103E8"/>
    <w:rsid w:val="45836F40"/>
    <w:rsid w:val="45994D33"/>
    <w:rsid w:val="459E681C"/>
    <w:rsid w:val="45A2455E"/>
    <w:rsid w:val="45AB70B7"/>
    <w:rsid w:val="45AF4585"/>
    <w:rsid w:val="45B278AF"/>
    <w:rsid w:val="45B610CE"/>
    <w:rsid w:val="45BE5EAB"/>
    <w:rsid w:val="45C73FC5"/>
    <w:rsid w:val="45C83899"/>
    <w:rsid w:val="45D60579"/>
    <w:rsid w:val="45DD0BC4"/>
    <w:rsid w:val="45F63624"/>
    <w:rsid w:val="45FD1795"/>
    <w:rsid w:val="46054AED"/>
    <w:rsid w:val="460958BD"/>
    <w:rsid w:val="4616453C"/>
    <w:rsid w:val="46167D0E"/>
    <w:rsid w:val="46170E39"/>
    <w:rsid w:val="461913B7"/>
    <w:rsid w:val="461E170B"/>
    <w:rsid w:val="462C02CC"/>
    <w:rsid w:val="463827CD"/>
    <w:rsid w:val="464657DF"/>
    <w:rsid w:val="465515D1"/>
    <w:rsid w:val="466A1E1D"/>
    <w:rsid w:val="46715CDF"/>
    <w:rsid w:val="46733805"/>
    <w:rsid w:val="46753A21"/>
    <w:rsid w:val="46770F87"/>
    <w:rsid w:val="46787EE8"/>
    <w:rsid w:val="46841EB6"/>
    <w:rsid w:val="46870619"/>
    <w:rsid w:val="468B7340"/>
    <w:rsid w:val="468D44FA"/>
    <w:rsid w:val="469320F9"/>
    <w:rsid w:val="46937059"/>
    <w:rsid w:val="469562C7"/>
    <w:rsid w:val="469F3711"/>
    <w:rsid w:val="46A04AA9"/>
    <w:rsid w:val="46A72415"/>
    <w:rsid w:val="46AD3BF5"/>
    <w:rsid w:val="46B035D2"/>
    <w:rsid w:val="46BB4695"/>
    <w:rsid w:val="46C42B98"/>
    <w:rsid w:val="46DA0084"/>
    <w:rsid w:val="46E05632"/>
    <w:rsid w:val="46E5680B"/>
    <w:rsid w:val="46F00EC4"/>
    <w:rsid w:val="46F10BCE"/>
    <w:rsid w:val="46F10C9D"/>
    <w:rsid w:val="46F27D65"/>
    <w:rsid w:val="47013AF4"/>
    <w:rsid w:val="470A6686"/>
    <w:rsid w:val="470C42DA"/>
    <w:rsid w:val="470D1EAB"/>
    <w:rsid w:val="470D5A07"/>
    <w:rsid w:val="47116B02"/>
    <w:rsid w:val="47144B52"/>
    <w:rsid w:val="47290367"/>
    <w:rsid w:val="47297525"/>
    <w:rsid w:val="472E1B49"/>
    <w:rsid w:val="4734067A"/>
    <w:rsid w:val="47394A4E"/>
    <w:rsid w:val="473C453F"/>
    <w:rsid w:val="474E4BB1"/>
    <w:rsid w:val="476718F5"/>
    <w:rsid w:val="476D2780"/>
    <w:rsid w:val="477832BE"/>
    <w:rsid w:val="477912EF"/>
    <w:rsid w:val="47811F51"/>
    <w:rsid w:val="479608FA"/>
    <w:rsid w:val="479E40E1"/>
    <w:rsid w:val="47AD4E1D"/>
    <w:rsid w:val="47B61A12"/>
    <w:rsid w:val="47C702AC"/>
    <w:rsid w:val="47CA3A21"/>
    <w:rsid w:val="47CE46CA"/>
    <w:rsid w:val="47D604EF"/>
    <w:rsid w:val="47E446D4"/>
    <w:rsid w:val="47E84017"/>
    <w:rsid w:val="47EA0389"/>
    <w:rsid w:val="47F62CBD"/>
    <w:rsid w:val="480272BB"/>
    <w:rsid w:val="4812529F"/>
    <w:rsid w:val="481A355C"/>
    <w:rsid w:val="481B7A5B"/>
    <w:rsid w:val="481D3D5C"/>
    <w:rsid w:val="48374F5B"/>
    <w:rsid w:val="484D4750"/>
    <w:rsid w:val="485127AE"/>
    <w:rsid w:val="485A72D3"/>
    <w:rsid w:val="48670250"/>
    <w:rsid w:val="486A6281"/>
    <w:rsid w:val="48742673"/>
    <w:rsid w:val="487877F8"/>
    <w:rsid w:val="48842DBA"/>
    <w:rsid w:val="4892550D"/>
    <w:rsid w:val="48970568"/>
    <w:rsid w:val="489844B4"/>
    <w:rsid w:val="489B7043"/>
    <w:rsid w:val="489D725F"/>
    <w:rsid w:val="48A71E8C"/>
    <w:rsid w:val="48BB02CE"/>
    <w:rsid w:val="48C43598"/>
    <w:rsid w:val="48D0218E"/>
    <w:rsid w:val="48D451B8"/>
    <w:rsid w:val="48D670E0"/>
    <w:rsid w:val="48DC0EA7"/>
    <w:rsid w:val="48F06C8F"/>
    <w:rsid w:val="48F603F1"/>
    <w:rsid w:val="49092B40"/>
    <w:rsid w:val="490D6193"/>
    <w:rsid w:val="4913585A"/>
    <w:rsid w:val="491A2282"/>
    <w:rsid w:val="491A265E"/>
    <w:rsid w:val="491E50D5"/>
    <w:rsid w:val="49246C51"/>
    <w:rsid w:val="4926300D"/>
    <w:rsid w:val="4929464F"/>
    <w:rsid w:val="492B486B"/>
    <w:rsid w:val="492B56A2"/>
    <w:rsid w:val="492C37FE"/>
    <w:rsid w:val="492F1A7F"/>
    <w:rsid w:val="493C25D4"/>
    <w:rsid w:val="493E25FB"/>
    <w:rsid w:val="495042D1"/>
    <w:rsid w:val="4968678F"/>
    <w:rsid w:val="496E4757"/>
    <w:rsid w:val="496F0BFB"/>
    <w:rsid w:val="49732988"/>
    <w:rsid w:val="498D303B"/>
    <w:rsid w:val="49944971"/>
    <w:rsid w:val="49975A5C"/>
    <w:rsid w:val="49977B50"/>
    <w:rsid w:val="499A7EEC"/>
    <w:rsid w:val="49A846D8"/>
    <w:rsid w:val="49B96912"/>
    <w:rsid w:val="49BC70FA"/>
    <w:rsid w:val="49C90BBB"/>
    <w:rsid w:val="49CD147E"/>
    <w:rsid w:val="49D65B2C"/>
    <w:rsid w:val="49D82FAF"/>
    <w:rsid w:val="49F512CD"/>
    <w:rsid w:val="49FD624C"/>
    <w:rsid w:val="4A04096F"/>
    <w:rsid w:val="4A080708"/>
    <w:rsid w:val="4A11580F"/>
    <w:rsid w:val="4A183041"/>
    <w:rsid w:val="4A2F3EE7"/>
    <w:rsid w:val="4A2F53F3"/>
    <w:rsid w:val="4A312CDA"/>
    <w:rsid w:val="4A38310D"/>
    <w:rsid w:val="4A50688B"/>
    <w:rsid w:val="4A527BD5"/>
    <w:rsid w:val="4A5B4CDC"/>
    <w:rsid w:val="4A6A70A5"/>
    <w:rsid w:val="4A7933B4"/>
    <w:rsid w:val="4A793678"/>
    <w:rsid w:val="4A7E749E"/>
    <w:rsid w:val="4A8521DC"/>
    <w:rsid w:val="4A874DDF"/>
    <w:rsid w:val="4A8A1BAC"/>
    <w:rsid w:val="4A8E0D8A"/>
    <w:rsid w:val="4A8E54D9"/>
    <w:rsid w:val="4A9271D5"/>
    <w:rsid w:val="4A9603D2"/>
    <w:rsid w:val="4AB72F48"/>
    <w:rsid w:val="4AC5484B"/>
    <w:rsid w:val="4AC7411F"/>
    <w:rsid w:val="4ACA0915"/>
    <w:rsid w:val="4AD4683C"/>
    <w:rsid w:val="4ADC34C2"/>
    <w:rsid w:val="4AE10317"/>
    <w:rsid w:val="4AEB42B2"/>
    <w:rsid w:val="4AF018C8"/>
    <w:rsid w:val="4AF711F0"/>
    <w:rsid w:val="4B05663F"/>
    <w:rsid w:val="4B0D06CC"/>
    <w:rsid w:val="4B1939E4"/>
    <w:rsid w:val="4B1A6945"/>
    <w:rsid w:val="4B1D4687"/>
    <w:rsid w:val="4B245A16"/>
    <w:rsid w:val="4B320132"/>
    <w:rsid w:val="4B351274"/>
    <w:rsid w:val="4B3D4CA9"/>
    <w:rsid w:val="4B3E4598"/>
    <w:rsid w:val="4B400FA2"/>
    <w:rsid w:val="4B4E2A92"/>
    <w:rsid w:val="4B5733D7"/>
    <w:rsid w:val="4B58490C"/>
    <w:rsid w:val="4B615AE2"/>
    <w:rsid w:val="4B652B55"/>
    <w:rsid w:val="4B6E137D"/>
    <w:rsid w:val="4B72052F"/>
    <w:rsid w:val="4B756967"/>
    <w:rsid w:val="4B7A49E2"/>
    <w:rsid w:val="4B7C2435"/>
    <w:rsid w:val="4B92472D"/>
    <w:rsid w:val="4B95246F"/>
    <w:rsid w:val="4BA01C18"/>
    <w:rsid w:val="4BA139C3"/>
    <w:rsid w:val="4BAD5A0B"/>
    <w:rsid w:val="4BAF09E4"/>
    <w:rsid w:val="4BB548C0"/>
    <w:rsid w:val="4BBE1953"/>
    <w:rsid w:val="4BC96405"/>
    <w:rsid w:val="4BCC07E0"/>
    <w:rsid w:val="4BCF5C16"/>
    <w:rsid w:val="4BD12B2B"/>
    <w:rsid w:val="4BD660E3"/>
    <w:rsid w:val="4BEB6533"/>
    <w:rsid w:val="4BEE0C7F"/>
    <w:rsid w:val="4BF426FD"/>
    <w:rsid w:val="4BFB0BB5"/>
    <w:rsid w:val="4C0231EF"/>
    <w:rsid w:val="4C09267B"/>
    <w:rsid w:val="4C1A682D"/>
    <w:rsid w:val="4C1C79FF"/>
    <w:rsid w:val="4C2B4307"/>
    <w:rsid w:val="4C2C2DD4"/>
    <w:rsid w:val="4C2F475A"/>
    <w:rsid w:val="4C310C10"/>
    <w:rsid w:val="4C4C5224"/>
    <w:rsid w:val="4C53468A"/>
    <w:rsid w:val="4C5A4D62"/>
    <w:rsid w:val="4C5E415E"/>
    <w:rsid w:val="4C622D3B"/>
    <w:rsid w:val="4C667968"/>
    <w:rsid w:val="4C692BD0"/>
    <w:rsid w:val="4C6A7458"/>
    <w:rsid w:val="4C6B0A5D"/>
    <w:rsid w:val="4C7807C4"/>
    <w:rsid w:val="4C7823AF"/>
    <w:rsid w:val="4C7C5E5E"/>
    <w:rsid w:val="4C8222EF"/>
    <w:rsid w:val="4C871C75"/>
    <w:rsid w:val="4C8D3147"/>
    <w:rsid w:val="4C8F17AC"/>
    <w:rsid w:val="4C983483"/>
    <w:rsid w:val="4CB16E35"/>
    <w:rsid w:val="4CB84667"/>
    <w:rsid w:val="4CC4259C"/>
    <w:rsid w:val="4CC81064"/>
    <w:rsid w:val="4CCA6149"/>
    <w:rsid w:val="4CD823BF"/>
    <w:rsid w:val="4CD8420D"/>
    <w:rsid w:val="4CDD5E7C"/>
    <w:rsid w:val="4CE23492"/>
    <w:rsid w:val="4CE26160"/>
    <w:rsid w:val="4CE7184F"/>
    <w:rsid w:val="4CFB27A6"/>
    <w:rsid w:val="4CFF2296"/>
    <w:rsid w:val="4D010093"/>
    <w:rsid w:val="4D051F7F"/>
    <w:rsid w:val="4D053E6C"/>
    <w:rsid w:val="4D091D33"/>
    <w:rsid w:val="4D0B0C3B"/>
    <w:rsid w:val="4D0C49B3"/>
    <w:rsid w:val="4D192613"/>
    <w:rsid w:val="4D296DFB"/>
    <w:rsid w:val="4D35620C"/>
    <w:rsid w:val="4D387556"/>
    <w:rsid w:val="4D3C7C16"/>
    <w:rsid w:val="4D415F9D"/>
    <w:rsid w:val="4D460BDA"/>
    <w:rsid w:val="4D473669"/>
    <w:rsid w:val="4D580072"/>
    <w:rsid w:val="4D587BF8"/>
    <w:rsid w:val="4D5D520F"/>
    <w:rsid w:val="4D5F3072"/>
    <w:rsid w:val="4D642196"/>
    <w:rsid w:val="4D663DA9"/>
    <w:rsid w:val="4D6719F6"/>
    <w:rsid w:val="4D704F42"/>
    <w:rsid w:val="4D8B412F"/>
    <w:rsid w:val="4D8E05A5"/>
    <w:rsid w:val="4D9572B8"/>
    <w:rsid w:val="4D9C428B"/>
    <w:rsid w:val="4DA370C6"/>
    <w:rsid w:val="4DA90454"/>
    <w:rsid w:val="4DA93FB0"/>
    <w:rsid w:val="4DAE02DF"/>
    <w:rsid w:val="4DAE15C6"/>
    <w:rsid w:val="4DAE25BF"/>
    <w:rsid w:val="4DC1062B"/>
    <w:rsid w:val="4DC10CD3"/>
    <w:rsid w:val="4DC1754C"/>
    <w:rsid w:val="4DC25072"/>
    <w:rsid w:val="4DC62DB4"/>
    <w:rsid w:val="4DC813F1"/>
    <w:rsid w:val="4DCA247B"/>
    <w:rsid w:val="4DD2475A"/>
    <w:rsid w:val="4DD51F9B"/>
    <w:rsid w:val="4DD86643"/>
    <w:rsid w:val="4DDC6134"/>
    <w:rsid w:val="4DE1049D"/>
    <w:rsid w:val="4DF30EDE"/>
    <w:rsid w:val="4DFA3C9F"/>
    <w:rsid w:val="4E065E6C"/>
    <w:rsid w:val="4E175102"/>
    <w:rsid w:val="4E1A5BCE"/>
    <w:rsid w:val="4E1C29D4"/>
    <w:rsid w:val="4E1E3B39"/>
    <w:rsid w:val="4E2875CB"/>
    <w:rsid w:val="4E2D698F"/>
    <w:rsid w:val="4E3B39BD"/>
    <w:rsid w:val="4E3C05B9"/>
    <w:rsid w:val="4E473EF5"/>
    <w:rsid w:val="4E5B5EB2"/>
    <w:rsid w:val="4E5C529F"/>
    <w:rsid w:val="4E667778"/>
    <w:rsid w:val="4E720846"/>
    <w:rsid w:val="4E7403BB"/>
    <w:rsid w:val="4E790B8C"/>
    <w:rsid w:val="4E790FA8"/>
    <w:rsid w:val="4E796078"/>
    <w:rsid w:val="4E851180"/>
    <w:rsid w:val="4E9E675A"/>
    <w:rsid w:val="4EB16A91"/>
    <w:rsid w:val="4EB330D2"/>
    <w:rsid w:val="4ED97B86"/>
    <w:rsid w:val="4EE20642"/>
    <w:rsid w:val="4EE8095E"/>
    <w:rsid w:val="4EEA0D24"/>
    <w:rsid w:val="4EF430B4"/>
    <w:rsid w:val="4F043B94"/>
    <w:rsid w:val="4F07089C"/>
    <w:rsid w:val="4F0C242F"/>
    <w:rsid w:val="4F0F2043"/>
    <w:rsid w:val="4F2935FA"/>
    <w:rsid w:val="4F2C5BB0"/>
    <w:rsid w:val="4F337FD5"/>
    <w:rsid w:val="4F382666"/>
    <w:rsid w:val="4F3B49E9"/>
    <w:rsid w:val="4F3C5A35"/>
    <w:rsid w:val="4F3D1630"/>
    <w:rsid w:val="4F3F4344"/>
    <w:rsid w:val="4F4246BC"/>
    <w:rsid w:val="4F451A12"/>
    <w:rsid w:val="4F473CA0"/>
    <w:rsid w:val="4F5A029F"/>
    <w:rsid w:val="4F5D3EE2"/>
    <w:rsid w:val="4F6238A5"/>
    <w:rsid w:val="4F677ED2"/>
    <w:rsid w:val="4F6D2CEA"/>
    <w:rsid w:val="4F736E72"/>
    <w:rsid w:val="4F7F2F83"/>
    <w:rsid w:val="4F895E47"/>
    <w:rsid w:val="4F896270"/>
    <w:rsid w:val="4F8B6063"/>
    <w:rsid w:val="4F910A51"/>
    <w:rsid w:val="4FA60DE8"/>
    <w:rsid w:val="4FB447E3"/>
    <w:rsid w:val="4FBA7C48"/>
    <w:rsid w:val="4FBC7E3A"/>
    <w:rsid w:val="4FD02DF6"/>
    <w:rsid w:val="4FD56DB2"/>
    <w:rsid w:val="4FD72171"/>
    <w:rsid w:val="4FF51861"/>
    <w:rsid w:val="4FF97471"/>
    <w:rsid w:val="50011CD0"/>
    <w:rsid w:val="500663F0"/>
    <w:rsid w:val="500C7627"/>
    <w:rsid w:val="50115BCE"/>
    <w:rsid w:val="50245B70"/>
    <w:rsid w:val="502F376B"/>
    <w:rsid w:val="50371D47"/>
    <w:rsid w:val="5038161B"/>
    <w:rsid w:val="503C14CC"/>
    <w:rsid w:val="50435874"/>
    <w:rsid w:val="504B75A0"/>
    <w:rsid w:val="50535FCD"/>
    <w:rsid w:val="50577CF3"/>
    <w:rsid w:val="50591CBD"/>
    <w:rsid w:val="50616DC4"/>
    <w:rsid w:val="506F7733"/>
    <w:rsid w:val="50706B0F"/>
    <w:rsid w:val="50775257"/>
    <w:rsid w:val="50785BF8"/>
    <w:rsid w:val="508D293C"/>
    <w:rsid w:val="509251CF"/>
    <w:rsid w:val="50987D5E"/>
    <w:rsid w:val="50991FF0"/>
    <w:rsid w:val="509947B0"/>
    <w:rsid w:val="509C1BAA"/>
    <w:rsid w:val="50B041A2"/>
    <w:rsid w:val="50B21480"/>
    <w:rsid w:val="50B74372"/>
    <w:rsid w:val="50CA4969"/>
    <w:rsid w:val="50CC06E1"/>
    <w:rsid w:val="50CE0731"/>
    <w:rsid w:val="50CE15A5"/>
    <w:rsid w:val="50E257A4"/>
    <w:rsid w:val="50E67ADD"/>
    <w:rsid w:val="50F34FE8"/>
    <w:rsid w:val="50FC717D"/>
    <w:rsid w:val="510B40A6"/>
    <w:rsid w:val="510C3B9A"/>
    <w:rsid w:val="510F6820"/>
    <w:rsid w:val="5114027D"/>
    <w:rsid w:val="51145BE4"/>
    <w:rsid w:val="51281353"/>
    <w:rsid w:val="51287D01"/>
    <w:rsid w:val="513F5914"/>
    <w:rsid w:val="51512DE2"/>
    <w:rsid w:val="515136BB"/>
    <w:rsid w:val="515D758B"/>
    <w:rsid w:val="516B0C43"/>
    <w:rsid w:val="51711289"/>
    <w:rsid w:val="517438A6"/>
    <w:rsid w:val="51777A1C"/>
    <w:rsid w:val="517D19DC"/>
    <w:rsid w:val="51885E41"/>
    <w:rsid w:val="518F170F"/>
    <w:rsid w:val="519041BD"/>
    <w:rsid w:val="51905BB3"/>
    <w:rsid w:val="5197780F"/>
    <w:rsid w:val="519E1BC9"/>
    <w:rsid w:val="51A258E6"/>
    <w:rsid w:val="51B11685"/>
    <w:rsid w:val="51B271B0"/>
    <w:rsid w:val="51BC69A8"/>
    <w:rsid w:val="51BF4ED1"/>
    <w:rsid w:val="51C4760A"/>
    <w:rsid w:val="51C73EBE"/>
    <w:rsid w:val="51D75590"/>
    <w:rsid w:val="51E41A5B"/>
    <w:rsid w:val="51EA4AFF"/>
    <w:rsid w:val="51F37EF0"/>
    <w:rsid w:val="52072262"/>
    <w:rsid w:val="520B5239"/>
    <w:rsid w:val="521A1920"/>
    <w:rsid w:val="5221680B"/>
    <w:rsid w:val="52242534"/>
    <w:rsid w:val="522A4FEC"/>
    <w:rsid w:val="523302EC"/>
    <w:rsid w:val="523D116B"/>
    <w:rsid w:val="52426781"/>
    <w:rsid w:val="524B6ED9"/>
    <w:rsid w:val="52500F7E"/>
    <w:rsid w:val="52511876"/>
    <w:rsid w:val="525231F8"/>
    <w:rsid w:val="52554706"/>
    <w:rsid w:val="525A0E83"/>
    <w:rsid w:val="525B1F91"/>
    <w:rsid w:val="526E5D52"/>
    <w:rsid w:val="526E610F"/>
    <w:rsid w:val="528573CD"/>
    <w:rsid w:val="529E64C5"/>
    <w:rsid w:val="52A66D10"/>
    <w:rsid w:val="52B01055"/>
    <w:rsid w:val="52BA2813"/>
    <w:rsid w:val="52BB7065"/>
    <w:rsid w:val="52C5786F"/>
    <w:rsid w:val="52C75604"/>
    <w:rsid w:val="52CE5D63"/>
    <w:rsid w:val="52F1442F"/>
    <w:rsid w:val="52F168A5"/>
    <w:rsid w:val="52FF50DA"/>
    <w:rsid w:val="53093C38"/>
    <w:rsid w:val="5311687F"/>
    <w:rsid w:val="53125230"/>
    <w:rsid w:val="5313335E"/>
    <w:rsid w:val="53177BF8"/>
    <w:rsid w:val="53206AC2"/>
    <w:rsid w:val="5322283B"/>
    <w:rsid w:val="53276500"/>
    <w:rsid w:val="533024F5"/>
    <w:rsid w:val="533407C0"/>
    <w:rsid w:val="53395758"/>
    <w:rsid w:val="533C1422"/>
    <w:rsid w:val="533C37F8"/>
    <w:rsid w:val="533E37CE"/>
    <w:rsid w:val="534239E1"/>
    <w:rsid w:val="534378E6"/>
    <w:rsid w:val="534A7DE3"/>
    <w:rsid w:val="534C78B7"/>
    <w:rsid w:val="535844AE"/>
    <w:rsid w:val="53591FD4"/>
    <w:rsid w:val="537868FE"/>
    <w:rsid w:val="537B7DBC"/>
    <w:rsid w:val="537F63E7"/>
    <w:rsid w:val="53896B1D"/>
    <w:rsid w:val="53953895"/>
    <w:rsid w:val="53AC35C3"/>
    <w:rsid w:val="53B2032E"/>
    <w:rsid w:val="53B37937"/>
    <w:rsid w:val="53B67427"/>
    <w:rsid w:val="53B92A73"/>
    <w:rsid w:val="53B94C91"/>
    <w:rsid w:val="53D61877"/>
    <w:rsid w:val="53DA7A10"/>
    <w:rsid w:val="53E021AF"/>
    <w:rsid w:val="53E0500A"/>
    <w:rsid w:val="53E126F6"/>
    <w:rsid w:val="53E144A4"/>
    <w:rsid w:val="53E756C6"/>
    <w:rsid w:val="53E76FC8"/>
    <w:rsid w:val="53E915AA"/>
    <w:rsid w:val="53ED0AB4"/>
    <w:rsid w:val="53F73CC7"/>
    <w:rsid w:val="54102FDB"/>
    <w:rsid w:val="54106B37"/>
    <w:rsid w:val="5411167A"/>
    <w:rsid w:val="541505F1"/>
    <w:rsid w:val="541E10BE"/>
    <w:rsid w:val="54202270"/>
    <w:rsid w:val="543A1962"/>
    <w:rsid w:val="54414F42"/>
    <w:rsid w:val="544F7C55"/>
    <w:rsid w:val="54556C40"/>
    <w:rsid w:val="546812C0"/>
    <w:rsid w:val="54687A13"/>
    <w:rsid w:val="547277F2"/>
    <w:rsid w:val="548E7397"/>
    <w:rsid w:val="54A85DCD"/>
    <w:rsid w:val="54A963C3"/>
    <w:rsid w:val="54AA304A"/>
    <w:rsid w:val="54AB23F0"/>
    <w:rsid w:val="54BB2F47"/>
    <w:rsid w:val="54BE2A37"/>
    <w:rsid w:val="54BE6819"/>
    <w:rsid w:val="54C9793B"/>
    <w:rsid w:val="54CC5154"/>
    <w:rsid w:val="54CF4EE9"/>
    <w:rsid w:val="54CF76D9"/>
    <w:rsid w:val="54D23DEC"/>
    <w:rsid w:val="54D264E2"/>
    <w:rsid w:val="54D45E01"/>
    <w:rsid w:val="54D73AF9"/>
    <w:rsid w:val="54DF6509"/>
    <w:rsid w:val="54EA7388"/>
    <w:rsid w:val="550146D2"/>
    <w:rsid w:val="55032FC6"/>
    <w:rsid w:val="55081F04"/>
    <w:rsid w:val="550A4C1F"/>
    <w:rsid w:val="55161DEE"/>
    <w:rsid w:val="552A2E58"/>
    <w:rsid w:val="552A4BC1"/>
    <w:rsid w:val="552D3719"/>
    <w:rsid w:val="553700F3"/>
    <w:rsid w:val="553E2636"/>
    <w:rsid w:val="55461AA2"/>
    <w:rsid w:val="554E3DBB"/>
    <w:rsid w:val="554E41DC"/>
    <w:rsid w:val="55535546"/>
    <w:rsid w:val="555A19D8"/>
    <w:rsid w:val="557D528F"/>
    <w:rsid w:val="55813AF3"/>
    <w:rsid w:val="55914E7B"/>
    <w:rsid w:val="559266D3"/>
    <w:rsid w:val="55931A27"/>
    <w:rsid w:val="55A645C3"/>
    <w:rsid w:val="55CC4D68"/>
    <w:rsid w:val="55D0745A"/>
    <w:rsid w:val="55D34FBF"/>
    <w:rsid w:val="55E27D4E"/>
    <w:rsid w:val="55EA1914"/>
    <w:rsid w:val="55F85AD5"/>
    <w:rsid w:val="55F87235"/>
    <w:rsid w:val="56094A0A"/>
    <w:rsid w:val="560B1CAC"/>
    <w:rsid w:val="561F1296"/>
    <w:rsid w:val="56226FF5"/>
    <w:rsid w:val="56244B1C"/>
    <w:rsid w:val="562465E2"/>
    <w:rsid w:val="56290384"/>
    <w:rsid w:val="563034C0"/>
    <w:rsid w:val="56417941"/>
    <w:rsid w:val="56431446"/>
    <w:rsid w:val="564B654C"/>
    <w:rsid w:val="566273F2"/>
    <w:rsid w:val="56786C15"/>
    <w:rsid w:val="568327DB"/>
    <w:rsid w:val="56930A1A"/>
    <w:rsid w:val="56941FB1"/>
    <w:rsid w:val="569A32AE"/>
    <w:rsid w:val="56A26FA3"/>
    <w:rsid w:val="56A452B4"/>
    <w:rsid w:val="56AD4B11"/>
    <w:rsid w:val="56AF45EF"/>
    <w:rsid w:val="56BA5480"/>
    <w:rsid w:val="56BC4F1A"/>
    <w:rsid w:val="56BE0ACC"/>
    <w:rsid w:val="56CA4C43"/>
    <w:rsid w:val="56CA62F3"/>
    <w:rsid w:val="56DC0F52"/>
    <w:rsid w:val="56EB4D1F"/>
    <w:rsid w:val="56EB73E7"/>
    <w:rsid w:val="570F1328"/>
    <w:rsid w:val="571D247A"/>
    <w:rsid w:val="572A6162"/>
    <w:rsid w:val="572F1107"/>
    <w:rsid w:val="57325016"/>
    <w:rsid w:val="573945F7"/>
    <w:rsid w:val="573E39BB"/>
    <w:rsid w:val="57406F8E"/>
    <w:rsid w:val="5755167A"/>
    <w:rsid w:val="57563055"/>
    <w:rsid w:val="57574A7D"/>
    <w:rsid w:val="575F7B28"/>
    <w:rsid w:val="576855EC"/>
    <w:rsid w:val="576C3A52"/>
    <w:rsid w:val="5771095A"/>
    <w:rsid w:val="57713D91"/>
    <w:rsid w:val="577218B7"/>
    <w:rsid w:val="578130E3"/>
    <w:rsid w:val="5782564F"/>
    <w:rsid w:val="57874BC1"/>
    <w:rsid w:val="57943FE9"/>
    <w:rsid w:val="57976C05"/>
    <w:rsid w:val="57AC03CE"/>
    <w:rsid w:val="57AC39CF"/>
    <w:rsid w:val="57AC7CDF"/>
    <w:rsid w:val="57B8466C"/>
    <w:rsid w:val="57BE41EF"/>
    <w:rsid w:val="57CC4A0D"/>
    <w:rsid w:val="57D76E23"/>
    <w:rsid w:val="57DE4C14"/>
    <w:rsid w:val="57E74053"/>
    <w:rsid w:val="57F10A2D"/>
    <w:rsid w:val="57F14D08"/>
    <w:rsid w:val="57FA41A2"/>
    <w:rsid w:val="580F4FF1"/>
    <w:rsid w:val="581D20BA"/>
    <w:rsid w:val="58251DF4"/>
    <w:rsid w:val="582B019D"/>
    <w:rsid w:val="582E3656"/>
    <w:rsid w:val="584979A7"/>
    <w:rsid w:val="584C63C9"/>
    <w:rsid w:val="58516844"/>
    <w:rsid w:val="5854750B"/>
    <w:rsid w:val="585B234B"/>
    <w:rsid w:val="5866141B"/>
    <w:rsid w:val="586B3150"/>
    <w:rsid w:val="586E6522"/>
    <w:rsid w:val="58711B6E"/>
    <w:rsid w:val="587A0B16"/>
    <w:rsid w:val="587D49B7"/>
    <w:rsid w:val="587F5D5C"/>
    <w:rsid w:val="58830A70"/>
    <w:rsid w:val="588D39C0"/>
    <w:rsid w:val="588D7146"/>
    <w:rsid w:val="588F7C9B"/>
    <w:rsid w:val="589221F7"/>
    <w:rsid w:val="58947820"/>
    <w:rsid w:val="589A10C5"/>
    <w:rsid w:val="589A40F8"/>
    <w:rsid w:val="58A0120D"/>
    <w:rsid w:val="58AC624E"/>
    <w:rsid w:val="58BF28DA"/>
    <w:rsid w:val="58C27C1C"/>
    <w:rsid w:val="58C3002E"/>
    <w:rsid w:val="58C6010C"/>
    <w:rsid w:val="58C817A8"/>
    <w:rsid w:val="58CC70C7"/>
    <w:rsid w:val="58CE6FC1"/>
    <w:rsid w:val="58D1489B"/>
    <w:rsid w:val="58D95C71"/>
    <w:rsid w:val="58E14F46"/>
    <w:rsid w:val="58E86AC5"/>
    <w:rsid w:val="58F5454D"/>
    <w:rsid w:val="58F64B97"/>
    <w:rsid w:val="58F668FF"/>
    <w:rsid w:val="590C314D"/>
    <w:rsid w:val="590D5D3B"/>
    <w:rsid w:val="591C5F7E"/>
    <w:rsid w:val="59272998"/>
    <w:rsid w:val="592A069B"/>
    <w:rsid w:val="59305585"/>
    <w:rsid w:val="59317111"/>
    <w:rsid w:val="5934268F"/>
    <w:rsid w:val="593C217C"/>
    <w:rsid w:val="59442CEF"/>
    <w:rsid w:val="594469F5"/>
    <w:rsid w:val="59487400"/>
    <w:rsid w:val="59594148"/>
    <w:rsid w:val="595B4CF8"/>
    <w:rsid w:val="596040BD"/>
    <w:rsid w:val="59607C71"/>
    <w:rsid w:val="59695B70"/>
    <w:rsid w:val="59766560"/>
    <w:rsid w:val="5979517E"/>
    <w:rsid w:val="597E33D8"/>
    <w:rsid w:val="5980650D"/>
    <w:rsid w:val="59816C99"/>
    <w:rsid w:val="59861649"/>
    <w:rsid w:val="5988785F"/>
    <w:rsid w:val="5989655E"/>
    <w:rsid w:val="59900230"/>
    <w:rsid w:val="599E4D2F"/>
    <w:rsid w:val="599F7684"/>
    <w:rsid w:val="59A55F73"/>
    <w:rsid w:val="59A815C0"/>
    <w:rsid w:val="59AE3D80"/>
    <w:rsid w:val="59B9557B"/>
    <w:rsid w:val="59C83A10"/>
    <w:rsid w:val="59CC5DF4"/>
    <w:rsid w:val="59CF1242"/>
    <w:rsid w:val="59D32AE1"/>
    <w:rsid w:val="59D625D1"/>
    <w:rsid w:val="59DA38E2"/>
    <w:rsid w:val="59DF7CF9"/>
    <w:rsid w:val="59E44CEE"/>
    <w:rsid w:val="59EC5A68"/>
    <w:rsid w:val="59FB2037"/>
    <w:rsid w:val="5A034070"/>
    <w:rsid w:val="5A1724DD"/>
    <w:rsid w:val="5A216F18"/>
    <w:rsid w:val="5A390069"/>
    <w:rsid w:val="5A3E6613"/>
    <w:rsid w:val="5A4C2893"/>
    <w:rsid w:val="5A534AB2"/>
    <w:rsid w:val="5A554E5B"/>
    <w:rsid w:val="5A5C7BDF"/>
    <w:rsid w:val="5A5D00FC"/>
    <w:rsid w:val="5A6D7F9A"/>
    <w:rsid w:val="5A7F4A16"/>
    <w:rsid w:val="5A802968"/>
    <w:rsid w:val="5A845986"/>
    <w:rsid w:val="5A846C42"/>
    <w:rsid w:val="5A855F30"/>
    <w:rsid w:val="5A8B33BB"/>
    <w:rsid w:val="5A8B7F24"/>
    <w:rsid w:val="5A8E25CC"/>
    <w:rsid w:val="5A932270"/>
    <w:rsid w:val="5A9C1433"/>
    <w:rsid w:val="5AAB5AA6"/>
    <w:rsid w:val="5AAC7BF6"/>
    <w:rsid w:val="5AB741B0"/>
    <w:rsid w:val="5ABC7EDA"/>
    <w:rsid w:val="5AC44FC1"/>
    <w:rsid w:val="5AC5295D"/>
    <w:rsid w:val="5AC661A1"/>
    <w:rsid w:val="5ACA126E"/>
    <w:rsid w:val="5ACF3016"/>
    <w:rsid w:val="5AD13226"/>
    <w:rsid w:val="5ADB610F"/>
    <w:rsid w:val="5AE232DD"/>
    <w:rsid w:val="5AE44879"/>
    <w:rsid w:val="5AEF3FBA"/>
    <w:rsid w:val="5AF34F75"/>
    <w:rsid w:val="5AFB6602"/>
    <w:rsid w:val="5B010362"/>
    <w:rsid w:val="5B0311A3"/>
    <w:rsid w:val="5B050FC7"/>
    <w:rsid w:val="5B0D6E27"/>
    <w:rsid w:val="5B1E4C31"/>
    <w:rsid w:val="5B255308"/>
    <w:rsid w:val="5B2914F9"/>
    <w:rsid w:val="5B2D7FCE"/>
    <w:rsid w:val="5B2E01AC"/>
    <w:rsid w:val="5B3F4F3A"/>
    <w:rsid w:val="5B4669C9"/>
    <w:rsid w:val="5B47457A"/>
    <w:rsid w:val="5B4A1675"/>
    <w:rsid w:val="5B5C4D58"/>
    <w:rsid w:val="5B5F1012"/>
    <w:rsid w:val="5B755A94"/>
    <w:rsid w:val="5B7714C8"/>
    <w:rsid w:val="5B7B39D5"/>
    <w:rsid w:val="5B8030CE"/>
    <w:rsid w:val="5B8617F2"/>
    <w:rsid w:val="5B9A150C"/>
    <w:rsid w:val="5BB2759F"/>
    <w:rsid w:val="5BB56D16"/>
    <w:rsid w:val="5BBB382C"/>
    <w:rsid w:val="5BBD50FD"/>
    <w:rsid w:val="5BCC5B33"/>
    <w:rsid w:val="5BCF552A"/>
    <w:rsid w:val="5BDB2749"/>
    <w:rsid w:val="5BDC3065"/>
    <w:rsid w:val="5BE508A9"/>
    <w:rsid w:val="5BE54D4D"/>
    <w:rsid w:val="5C027250"/>
    <w:rsid w:val="5C0D6740"/>
    <w:rsid w:val="5C182A2D"/>
    <w:rsid w:val="5C2869E8"/>
    <w:rsid w:val="5C3C4F00"/>
    <w:rsid w:val="5C4427D0"/>
    <w:rsid w:val="5C4719F2"/>
    <w:rsid w:val="5C4F21C6"/>
    <w:rsid w:val="5C514AFD"/>
    <w:rsid w:val="5C657C3C"/>
    <w:rsid w:val="5C6E0033"/>
    <w:rsid w:val="5C6F173B"/>
    <w:rsid w:val="5C701527"/>
    <w:rsid w:val="5C72036B"/>
    <w:rsid w:val="5C76341A"/>
    <w:rsid w:val="5C7957BD"/>
    <w:rsid w:val="5C8E2938"/>
    <w:rsid w:val="5C974299"/>
    <w:rsid w:val="5C9A5E2F"/>
    <w:rsid w:val="5CA00DFD"/>
    <w:rsid w:val="5CA568A6"/>
    <w:rsid w:val="5CA8736C"/>
    <w:rsid w:val="5CAB1AF3"/>
    <w:rsid w:val="5CB4771E"/>
    <w:rsid w:val="5CCB7A9F"/>
    <w:rsid w:val="5CCC2CFB"/>
    <w:rsid w:val="5CCE3D05"/>
    <w:rsid w:val="5CD9094D"/>
    <w:rsid w:val="5CDB7E67"/>
    <w:rsid w:val="5CDD499C"/>
    <w:rsid w:val="5CE21551"/>
    <w:rsid w:val="5CE62A10"/>
    <w:rsid w:val="5CEB6B09"/>
    <w:rsid w:val="5CF21B22"/>
    <w:rsid w:val="5CF74D38"/>
    <w:rsid w:val="5D045593"/>
    <w:rsid w:val="5D055799"/>
    <w:rsid w:val="5D061443"/>
    <w:rsid w:val="5D086F45"/>
    <w:rsid w:val="5D121B72"/>
    <w:rsid w:val="5D1F7DEB"/>
    <w:rsid w:val="5D3178F8"/>
    <w:rsid w:val="5D472132"/>
    <w:rsid w:val="5D485594"/>
    <w:rsid w:val="5D4F7BCF"/>
    <w:rsid w:val="5D5932FD"/>
    <w:rsid w:val="5D5B1C65"/>
    <w:rsid w:val="5D5B2436"/>
    <w:rsid w:val="5D5D1C7F"/>
    <w:rsid w:val="5D681394"/>
    <w:rsid w:val="5D700646"/>
    <w:rsid w:val="5D722610"/>
    <w:rsid w:val="5D9D6BE7"/>
    <w:rsid w:val="5D9E0B5D"/>
    <w:rsid w:val="5D9E6F62"/>
    <w:rsid w:val="5DB4309A"/>
    <w:rsid w:val="5DBA7B13"/>
    <w:rsid w:val="5DBC7D30"/>
    <w:rsid w:val="5DD700A8"/>
    <w:rsid w:val="5DE439B7"/>
    <w:rsid w:val="5DED7F4E"/>
    <w:rsid w:val="5DF55EA5"/>
    <w:rsid w:val="5DFA3A6F"/>
    <w:rsid w:val="5DFB4712"/>
    <w:rsid w:val="5E077684"/>
    <w:rsid w:val="5E0A2849"/>
    <w:rsid w:val="5E0F7E5F"/>
    <w:rsid w:val="5E1320A2"/>
    <w:rsid w:val="5E245062"/>
    <w:rsid w:val="5E24561C"/>
    <w:rsid w:val="5E3C45EE"/>
    <w:rsid w:val="5E413D91"/>
    <w:rsid w:val="5E4E1D23"/>
    <w:rsid w:val="5E4E4E2C"/>
    <w:rsid w:val="5E5F0DE7"/>
    <w:rsid w:val="5E6E159B"/>
    <w:rsid w:val="5E79177D"/>
    <w:rsid w:val="5E8D5D61"/>
    <w:rsid w:val="5E9020F1"/>
    <w:rsid w:val="5E9723DF"/>
    <w:rsid w:val="5E985C8B"/>
    <w:rsid w:val="5E9D1817"/>
    <w:rsid w:val="5E9E5E84"/>
    <w:rsid w:val="5E9F11E3"/>
    <w:rsid w:val="5EA81E4B"/>
    <w:rsid w:val="5EAC4355"/>
    <w:rsid w:val="5EBB3B43"/>
    <w:rsid w:val="5EBC5DA7"/>
    <w:rsid w:val="5EC239AE"/>
    <w:rsid w:val="5EC618FB"/>
    <w:rsid w:val="5ED66BCF"/>
    <w:rsid w:val="5EDC24BE"/>
    <w:rsid w:val="5EE71FB0"/>
    <w:rsid w:val="5EEC01A1"/>
    <w:rsid w:val="5EED38B6"/>
    <w:rsid w:val="5EF01A3F"/>
    <w:rsid w:val="5EF70887"/>
    <w:rsid w:val="5EF84D97"/>
    <w:rsid w:val="5EFA28BD"/>
    <w:rsid w:val="5EFD3359"/>
    <w:rsid w:val="5F0064D7"/>
    <w:rsid w:val="5F020FC9"/>
    <w:rsid w:val="5F024F5E"/>
    <w:rsid w:val="5F0414D7"/>
    <w:rsid w:val="5F0874EF"/>
    <w:rsid w:val="5F2636B2"/>
    <w:rsid w:val="5F406BAD"/>
    <w:rsid w:val="5F4B136B"/>
    <w:rsid w:val="5F4C4BEC"/>
    <w:rsid w:val="5F4E6972"/>
    <w:rsid w:val="5F526256"/>
    <w:rsid w:val="5F5D0F2E"/>
    <w:rsid w:val="5F5E109E"/>
    <w:rsid w:val="5F6A335E"/>
    <w:rsid w:val="5F735599"/>
    <w:rsid w:val="5F746FF7"/>
    <w:rsid w:val="5F770941"/>
    <w:rsid w:val="5F791FA5"/>
    <w:rsid w:val="5F7C1524"/>
    <w:rsid w:val="5FAF21C4"/>
    <w:rsid w:val="5FBD1AA0"/>
    <w:rsid w:val="5FBE1B3D"/>
    <w:rsid w:val="5FCA04E2"/>
    <w:rsid w:val="5FCD7088"/>
    <w:rsid w:val="5FD01870"/>
    <w:rsid w:val="5FD17AC2"/>
    <w:rsid w:val="5FD72BFF"/>
    <w:rsid w:val="5FDD63BF"/>
    <w:rsid w:val="5FE14488"/>
    <w:rsid w:val="5FE628A6"/>
    <w:rsid w:val="5FE80851"/>
    <w:rsid w:val="5FE83FAA"/>
    <w:rsid w:val="5FEA1AFC"/>
    <w:rsid w:val="5FF02A57"/>
    <w:rsid w:val="5FF4266D"/>
    <w:rsid w:val="60111A9B"/>
    <w:rsid w:val="601C57A4"/>
    <w:rsid w:val="6020045A"/>
    <w:rsid w:val="60285208"/>
    <w:rsid w:val="60400119"/>
    <w:rsid w:val="60432042"/>
    <w:rsid w:val="60487659"/>
    <w:rsid w:val="60564BC1"/>
    <w:rsid w:val="60591866"/>
    <w:rsid w:val="605E0C2A"/>
    <w:rsid w:val="60607191"/>
    <w:rsid w:val="6065645C"/>
    <w:rsid w:val="60673F83"/>
    <w:rsid w:val="607448F1"/>
    <w:rsid w:val="607E307A"/>
    <w:rsid w:val="6083635C"/>
    <w:rsid w:val="6085265B"/>
    <w:rsid w:val="608753C7"/>
    <w:rsid w:val="6092331B"/>
    <w:rsid w:val="60986FB9"/>
    <w:rsid w:val="60A24FBB"/>
    <w:rsid w:val="60A70823"/>
    <w:rsid w:val="60A93344"/>
    <w:rsid w:val="60B259E3"/>
    <w:rsid w:val="60B3541A"/>
    <w:rsid w:val="60C211B9"/>
    <w:rsid w:val="60C5514D"/>
    <w:rsid w:val="60C96172"/>
    <w:rsid w:val="60CC1EFF"/>
    <w:rsid w:val="60D05972"/>
    <w:rsid w:val="60D06CBB"/>
    <w:rsid w:val="60E32FFC"/>
    <w:rsid w:val="60EB2496"/>
    <w:rsid w:val="61047A23"/>
    <w:rsid w:val="6106010F"/>
    <w:rsid w:val="61106BB7"/>
    <w:rsid w:val="611B344F"/>
    <w:rsid w:val="61230BEF"/>
    <w:rsid w:val="61297F88"/>
    <w:rsid w:val="612A47A4"/>
    <w:rsid w:val="612A5B6E"/>
    <w:rsid w:val="615F7A55"/>
    <w:rsid w:val="61695AD8"/>
    <w:rsid w:val="61707418"/>
    <w:rsid w:val="61824D3D"/>
    <w:rsid w:val="61903E92"/>
    <w:rsid w:val="61970898"/>
    <w:rsid w:val="619D0329"/>
    <w:rsid w:val="61A52FC6"/>
    <w:rsid w:val="61A95F88"/>
    <w:rsid w:val="61AD14D0"/>
    <w:rsid w:val="61BB45D8"/>
    <w:rsid w:val="61BB6FB5"/>
    <w:rsid w:val="61C03F5A"/>
    <w:rsid w:val="61CE7843"/>
    <w:rsid w:val="61D52863"/>
    <w:rsid w:val="61E202A7"/>
    <w:rsid w:val="61EB580E"/>
    <w:rsid w:val="61F05680"/>
    <w:rsid w:val="61F335F4"/>
    <w:rsid w:val="62012F5B"/>
    <w:rsid w:val="6203438B"/>
    <w:rsid w:val="62121939"/>
    <w:rsid w:val="621A6250"/>
    <w:rsid w:val="62206ADF"/>
    <w:rsid w:val="62210E2A"/>
    <w:rsid w:val="622163B3"/>
    <w:rsid w:val="62221507"/>
    <w:rsid w:val="6232236E"/>
    <w:rsid w:val="623D24E4"/>
    <w:rsid w:val="623E6F65"/>
    <w:rsid w:val="624058E7"/>
    <w:rsid w:val="62466C83"/>
    <w:rsid w:val="624E397C"/>
    <w:rsid w:val="625B6C39"/>
    <w:rsid w:val="625E3163"/>
    <w:rsid w:val="625F5A3A"/>
    <w:rsid w:val="62606359"/>
    <w:rsid w:val="62647CEB"/>
    <w:rsid w:val="62682234"/>
    <w:rsid w:val="62683695"/>
    <w:rsid w:val="626C3AD2"/>
    <w:rsid w:val="626D15F8"/>
    <w:rsid w:val="6271733B"/>
    <w:rsid w:val="62903F09"/>
    <w:rsid w:val="62990C9C"/>
    <w:rsid w:val="629C3A1E"/>
    <w:rsid w:val="62A61B9D"/>
    <w:rsid w:val="62C82EE3"/>
    <w:rsid w:val="62CC27C3"/>
    <w:rsid w:val="62CF7BBD"/>
    <w:rsid w:val="62D63E97"/>
    <w:rsid w:val="62EA49F7"/>
    <w:rsid w:val="62F23158"/>
    <w:rsid w:val="63071A4D"/>
    <w:rsid w:val="6313285D"/>
    <w:rsid w:val="6317281B"/>
    <w:rsid w:val="631F3800"/>
    <w:rsid w:val="63202AD3"/>
    <w:rsid w:val="63265996"/>
    <w:rsid w:val="633204C3"/>
    <w:rsid w:val="63464323"/>
    <w:rsid w:val="63473BF7"/>
    <w:rsid w:val="63512265"/>
    <w:rsid w:val="635F7193"/>
    <w:rsid w:val="6364451B"/>
    <w:rsid w:val="63697D8C"/>
    <w:rsid w:val="636B3D8A"/>
    <w:rsid w:val="6376469E"/>
    <w:rsid w:val="6384309D"/>
    <w:rsid w:val="63864720"/>
    <w:rsid w:val="639A7AE8"/>
    <w:rsid w:val="639D6070"/>
    <w:rsid w:val="639E7CB7"/>
    <w:rsid w:val="63A2520E"/>
    <w:rsid w:val="63A43260"/>
    <w:rsid w:val="63A6011E"/>
    <w:rsid w:val="63AB284B"/>
    <w:rsid w:val="63C11BFC"/>
    <w:rsid w:val="63C20364"/>
    <w:rsid w:val="63CA503C"/>
    <w:rsid w:val="63D55E82"/>
    <w:rsid w:val="63DA0F0F"/>
    <w:rsid w:val="63ED479F"/>
    <w:rsid w:val="63FB2B73"/>
    <w:rsid w:val="63FC5833"/>
    <w:rsid w:val="63FF38E0"/>
    <w:rsid w:val="6400187F"/>
    <w:rsid w:val="640A35A3"/>
    <w:rsid w:val="640F5A4A"/>
    <w:rsid w:val="64124205"/>
    <w:rsid w:val="64162907"/>
    <w:rsid w:val="641F5E76"/>
    <w:rsid w:val="6421480E"/>
    <w:rsid w:val="6425238E"/>
    <w:rsid w:val="642B4BAB"/>
    <w:rsid w:val="64326656"/>
    <w:rsid w:val="64356AB1"/>
    <w:rsid w:val="64535FE7"/>
    <w:rsid w:val="646B0853"/>
    <w:rsid w:val="646F3D2B"/>
    <w:rsid w:val="64790728"/>
    <w:rsid w:val="64974C0F"/>
    <w:rsid w:val="64AA29D0"/>
    <w:rsid w:val="64AA5E82"/>
    <w:rsid w:val="64AA6B34"/>
    <w:rsid w:val="64B234DE"/>
    <w:rsid w:val="64CC6AAA"/>
    <w:rsid w:val="64E92371"/>
    <w:rsid w:val="64EE25E7"/>
    <w:rsid w:val="64F105D3"/>
    <w:rsid w:val="64F2617E"/>
    <w:rsid w:val="64F45853"/>
    <w:rsid w:val="64F96375"/>
    <w:rsid w:val="651902BD"/>
    <w:rsid w:val="651C670D"/>
    <w:rsid w:val="651F3BEF"/>
    <w:rsid w:val="65220C08"/>
    <w:rsid w:val="652524CF"/>
    <w:rsid w:val="652675C7"/>
    <w:rsid w:val="652A0A68"/>
    <w:rsid w:val="652C1511"/>
    <w:rsid w:val="652D54BF"/>
    <w:rsid w:val="652F2B95"/>
    <w:rsid w:val="653140AA"/>
    <w:rsid w:val="653E2DAD"/>
    <w:rsid w:val="654725D5"/>
    <w:rsid w:val="65534AD5"/>
    <w:rsid w:val="65662D2C"/>
    <w:rsid w:val="657038D9"/>
    <w:rsid w:val="65744A4C"/>
    <w:rsid w:val="65753C10"/>
    <w:rsid w:val="65982856"/>
    <w:rsid w:val="65A92934"/>
    <w:rsid w:val="65A92947"/>
    <w:rsid w:val="65AF3589"/>
    <w:rsid w:val="65B21414"/>
    <w:rsid w:val="65B5753E"/>
    <w:rsid w:val="65BA6903"/>
    <w:rsid w:val="65BB6C19"/>
    <w:rsid w:val="65C260CB"/>
    <w:rsid w:val="65CB0B10"/>
    <w:rsid w:val="65DC2D1D"/>
    <w:rsid w:val="65DD08C4"/>
    <w:rsid w:val="65DD332E"/>
    <w:rsid w:val="65E63B9C"/>
    <w:rsid w:val="65EA6112"/>
    <w:rsid w:val="65EC6D74"/>
    <w:rsid w:val="660404C6"/>
    <w:rsid w:val="660A4BCE"/>
    <w:rsid w:val="660F24F7"/>
    <w:rsid w:val="660F381F"/>
    <w:rsid w:val="66100C18"/>
    <w:rsid w:val="66134265"/>
    <w:rsid w:val="6618187B"/>
    <w:rsid w:val="661B2B1D"/>
    <w:rsid w:val="66201ED4"/>
    <w:rsid w:val="66265EA4"/>
    <w:rsid w:val="662E2CC0"/>
    <w:rsid w:val="662E492E"/>
    <w:rsid w:val="66424DD4"/>
    <w:rsid w:val="665A4663"/>
    <w:rsid w:val="665D0B44"/>
    <w:rsid w:val="66710629"/>
    <w:rsid w:val="6677666F"/>
    <w:rsid w:val="667B2536"/>
    <w:rsid w:val="667E1EF1"/>
    <w:rsid w:val="668138C4"/>
    <w:rsid w:val="668A4527"/>
    <w:rsid w:val="66903B07"/>
    <w:rsid w:val="66932CAD"/>
    <w:rsid w:val="66990C0E"/>
    <w:rsid w:val="669B6D87"/>
    <w:rsid w:val="66A035D7"/>
    <w:rsid w:val="66A42547"/>
    <w:rsid w:val="66B372E3"/>
    <w:rsid w:val="66B93329"/>
    <w:rsid w:val="66BB4974"/>
    <w:rsid w:val="66BF0AAF"/>
    <w:rsid w:val="66D01156"/>
    <w:rsid w:val="66D12DBC"/>
    <w:rsid w:val="66D37E75"/>
    <w:rsid w:val="66D839AB"/>
    <w:rsid w:val="66DA61C5"/>
    <w:rsid w:val="66DC143B"/>
    <w:rsid w:val="66DC433D"/>
    <w:rsid w:val="66E44F0B"/>
    <w:rsid w:val="66E70059"/>
    <w:rsid w:val="66F9345B"/>
    <w:rsid w:val="66FC2F4B"/>
    <w:rsid w:val="670C7632"/>
    <w:rsid w:val="6717596D"/>
    <w:rsid w:val="671C62D3"/>
    <w:rsid w:val="672636AE"/>
    <w:rsid w:val="67281559"/>
    <w:rsid w:val="672901E4"/>
    <w:rsid w:val="672E4C37"/>
    <w:rsid w:val="6734529F"/>
    <w:rsid w:val="67416815"/>
    <w:rsid w:val="674648F8"/>
    <w:rsid w:val="674E307B"/>
    <w:rsid w:val="675863D3"/>
    <w:rsid w:val="67587896"/>
    <w:rsid w:val="67646731"/>
    <w:rsid w:val="67720125"/>
    <w:rsid w:val="67745A50"/>
    <w:rsid w:val="677B0314"/>
    <w:rsid w:val="67862379"/>
    <w:rsid w:val="67890C82"/>
    <w:rsid w:val="678D1707"/>
    <w:rsid w:val="679F6C4F"/>
    <w:rsid w:val="67A7735B"/>
    <w:rsid w:val="67AF7B34"/>
    <w:rsid w:val="67B2228E"/>
    <w:rsid w:val="67B66297"/>
    <w:rsid w:val="67C22E2B"/>
    <w:rsid w:val="67E062C9"/>
    <w:rsid w:val="67EE4F89"/>
    <w:rsid w:val="67FC12C5"/>
    <w:rsid w:val="68030A35"/>
    <w:rsid w:val="681216A1"/>
    <w:rsid w:val="681349F0"/>
    <w:rsid w:val="681A5D7E"/>
    <w:rsid w:val="683055A2"/>
    <w:rsid w:val="68332DC4"/>
    <w:rsid w:val="68381B62"/>
    <w:rsid w:val="683926A8"/>
    <w:rsid w:val="683A5723"/>
    <w:rsid w:val="68455790"/>
    <w:rsid w:val="68484EAF"/>
    <w:rsid w:val="68556DB7"/>
    <w:rsid w:val="686359E3"/>
    <w:rsid w:val="68763AF6"/>
    <w:rsid w:val="687C40B0"/>
    <w:rsid w:val="687F1385"/>
    <w:rsid w:val="687F3E33"/>
    <w:rsid w:val="68891D50"/>
    <w:rsid w:val="688A57A9"/>
    <w:rsid w:val="68925869"/>
    <w:rsid w:val="689A0C6D"/>
    <w:rsid w:val="68B57855"/>
    <w:rsid w:val="68B7537B"/>
    <w:rsid w:val="68B75A5D"/>
    <w:rsid w:val="68BC0BE4"/>
    <w:rsid w:val="68C161FA"/>
    <w:rsid w:val="68CF0917"/>
    <w:rsid w:val="68CF6668"/>
    <w:rsid w:val="68D45F2D"/>
    <w:rsid w:val="68D81335"/>
    <w:rsid w:val="68E220C5"/>
    <w:rsid w:val="68EF2D67"/>
    <w:rsid w:val="69036813"/>
    <w:rsid w:val="690404C5"/>
    <w:rsid w:val="690600B1"/>
    <w:rsid w:val="69067BD2"/>
    <w:rsid w:val="690B56C7"/>
    <w:rsid w:val="69110F2F"/>
    <w:rsid w:val="69146C72"/>
    <w:rsid w:val="691E189E"/>
    <w:rsid w:val="69296B69"/>
    <w:rsid w:val="69327FF3"/>
    <w:rsid w:val="69366BE8"/>
    <w:rsid w:val="69473DA1"/>
    <w:rsid w:val="69601EB7"/>
    <w:rsid w:val="697B45FB"/>
    <w:rsid w:val="697B4C69"/>
    <w:rsid w:val="697F058F"/>
    <w:rsid w:val="69851F0A"/>
    <w:rsid w:val="69916240"/>
    <w:rsid w:val="699548CF"/>
    <w:rsid w:val="69A71894"/>
    <w:rsid w:val="69A75DFA"/>
    <w:rsid w:val="69AB6231"/>
    <w:rsid w:val="69BB0E9B"/>
    <w:rsid w:val="69C75A92"/>
    <w:rsid w:val="69D20350"/>
    <w:rsid w:val="69E96244"/>
    <w:rsid w:val="69F755DF"/>
    <w:rsid w:val="69F847D3"/>
    <w:rsid w:val="6A02023E"/>
    <w:rsid w:val="6A177732"/>
    <w:rsid w:val="6A1F3F21"/>
    <w:rsid w:val="6A1F6BB3"/>
    <w:rsid w:val="6A22716C"/>
    <w:rsid w:val="6A286D8C"/>
    <w:rsid w:val="6A2D7B3A"/>
    <w:rsid w:val="6A2F79A8"/>
    <w:rsid w:val="6A3A2708"/>
    <w:rsid w:val="6A3C1FDC"/>
    <w:rsid w:val="6A3D7B02"/>
    <w:rsid w:val="6A462E5B"/>
    <w:rsid w:val="6A4C5F97"/>
    <w:rsid w:val="6A591A93"/>
    <w:rsid w:val="6A5F5437"/>
    <w:rsid w:val="6A6B78F9"/>
    <w:rsid w:val="6A6E2B94"/>
    <w:rsid w:val="6A6E6107"/>
    <w:rsid w:val="6A8D0A8A"/>
    <w:rsid w:val="6A8E035E"/>
    <w:rsid w:val="6A9442CF"/>
    <w:rsid w:val="6A997BEA"/>
    <w:rsid w:val="6A9C2A7B"/>
    <w:rsid w:val="6A9C7D94"/>
    <w:rsid w:val="6AA47B81"/>
    <w:rsid w:val="6AAB2036"/>
    <w:rsid w:val="6AB853DB"/>
    <w:rsid w:val="6AB9187F"/>
    <w:rsid w:val="6AC37DBF"/>
    <w:rsid w:val="6AC823CA"/>
    <w:rsid w:val="6AD0702E"/>
    <w:rsid w:val="6AD8004E"/>
    <w:rsid w:val="6AED7ED4"/>
    <w:rsid w:val="6AF860A1"/>
    <w:rsid w:val="6B012C59"/>
    <w:rsid w:val="6B014FD4"/>
    <w:rsid w:val="6B0A3E88"/>
    <w:rsid w:val="6B0F76F1"/>
    <w:rsid w:val="6B171191"/>
    <w:rsid w:val="6B20072E"/>
    <w:rsid w:val="6B282560"/>
    <w:rsid w:val="6B2C008B"/>
    <w:rsid w:val="6B301415"/>
    <w:rsid w:val="6B39299B"/>
    <w:rsid w:val="6B3C600C"/>
    <w:rsid w:val="6B5275DD"/>
    <w:rsid w:val="6B5E740A"/>
    <w:rsid w:val="6B775017"/>
    <w:rsid w:val="6B7B2FD8"/>
    <w:rsid w:val="6B7D4F86"/>
    <w:rsid w:val="6B7E2F58"/>
    <w:rsid w:val="6B826114"/>
    <w:rsid w:val="6B83149A"/>
    <w:rsid w:val="6B87372B"/>
    <w:rsid w:val="6B927B9D"/>
    <w:rsid w:val="6B9A0C58"/>
    <w:rsid w:val="6B9C1070"/>
    <w:rsid w:val="6BA34FB1"/>
    <w:rsid w:val="6BA669C8"/>
    <w:rsid w:val="6BAA605B"/>
    <w:rsid w:val="6BB9765C"/>
    <w:rsid w:val="6BBA58AE"/>
    <w:rsid w:val="6BC95CB9"/>
    <w:rsid w:val="6BCF6FAD"/>
    <w:rsid w:val="6BE96832"/>
    <w:rsid w:val="6BEF30AE"/>
    <w:rsid w:val="6BF1329A"/>
    <w:rsid w:val="6BF75B1B"/>
    <w:rsid w:val="6BFB7C75"/>
    <w:rsid w:val="6BFF0B19"/>
    <w:rsid w:val="6C06178D"/>
    <w:rsid w:val="6C0F0621"/>
    <w:rsid w:val="6C126848"/>
    <w:rsid w:val="6C180827"/>
    <w:rsid w:val="6C184383"/>
    <w:rsid w:val="6C270A6A"/>
    <w:rsid w:val="6C300DB3"/>
    <w:rsid w:val="6C384A25"/>
    <w:rsid w:val="6C423AF6"/>
    <w:rsid w:val="6C4460E5"/>
    <w:rsid w:val="6C51730F"/>
    <w:rsid w:val="6C517895"/>
    <w:rsid w:val="6C6949D4"/>
    <w:rsid w:val="6C6E3013"/>
    <w:rsid w:val="6C7517D5"/>
    <w:rsid w:val="6C7A3290"/>
    <w:rsid w:val="6C7F4DAE"/>
    <w:rsid w:val="6C86738E"/>
    <w:rsid w:val="6C8D7EE0"/>
    <w:rsid w:val="6CA0431B"/>
    <w:rsid w:val="6CA13DFE"/>
    <w:rsid w:val="6CA638B6"/>
    <w:rsid w:val="6CAE6A95"/>
    <w:rsid w:val="6CAF37FB"/>
    <w:rsid w:val="6CB762B8"/>
    <w:rsid w:val="6CB95894"/>
    <w:rsid w:val="6CD34AAD"/>
    <w:rsid w:val="6CE30E35"/>
    <w:rsid w:val="6CEA20A3"/>
    <w:rsid w:val="6CFF5543"/>
    <w:rsid w:val="6D0212F1"/>
    <w:rsid w:val="6D0A37EF"/>
    <w:rsid w:val="6D0B2DF5"/>
    <w:rsid w:val="6D0F39D8"/>
    <w:rsid w:val="6D183E08"/>
    <w:rsid w:val="6D1E00BF"/>
    <w:rsid w:val="6D1E1370"/>
    <w:rsid w:val="6D235F35"/>
    <w:rsid w:val="6D3A6457"/>
    <w:rsid w:val="6D631F76"/>
    <w:rsid w:val="6D68758C"/>
    <w:rsid w:val="6D6E4881"/>
    <w:rsid w:val="6D6F3EA8"/>
    <w:rsid w:val="6D711D6D"/>
    <w:rsid w:val="6D853E10"/>
    <w:rsid w:val="6D915B25"/>
    <w:rsid w:val="6D9221C7"/>
    <w:rsid w:val="6D9B526C"/>
    <w:rsid w:val="6D9E6B1D"/>
    <w:rsid w:val="6DA1700C"/>
    <w:rsid w:val="6DA714D3"/>
    <w:rsid w:val="6DA73C10"/>
    <w:rsid w:val="6DAE5815"/>
    <w:rsid w:val="6DB30807"/>
    <w:rsid w:val="6DC36570"/>
    <w:rsid w:val="6DC600D4"/>
    <w:rsid w:val="6DC825F2"/>
    <w:rsid w:val="6DCE473B"/>
    <w:rsid w:val="6DD15131"/>
    <w:rsid w:val="6DDC3E22"/>
    <w:rsid w:val="6DEF2372"/>
    <w:rsid w:val="6DF07E76"/>
    <w:rsid w:val="6DF11689"/>
    <w:rsid w:val="6DF64B98"/>
    <w:rsid w:val="6DF7266F"/>
    <w:rsid w:val="6E0077C5"/>
    <w:rsid w:val="6E0D7496"/>
    <w:rsid w:val="6E1F6683"/>
    <w:rsid w:val="6E22686A"/>
    <w:rsid w:val="6E231CDE"/>
    <w:rsid w:val="6E2402A1"/>
    <w:rsid w:val="6E250FD9"/>
    <w:rsid w:val="6E2E7E8E"/>
    <w:rsid w:val="6E3C2BCA"/>
    <w:rsid w:val="6E3F209B"/>
    <w:rsid w:val="6E47748C"/>
    <w:rsid w:val="6E502EDA"/>
    <w:rsid w:val="6E573888"/>
    <w:rsid w:val="6E585071"/>
    <w:rsid w:val="6E861715"/>
    <w:rsid w:val="6E895B0F"/>
    <w:rsid w:val="6E8E4DD0"/>
    <w:rsid w:val="6E9E67DF"/>
    <w:rsid w:val="6EA42CFF"/>
    <w:rsid w:val="6EAB3BD4"/>
    <w:rsid w:val="6EAC1886"/>
    <w:rsid w:val="6EB34170"/>
    <w:rsid w:val="6EBE7697"/>
    <w:rsid w:val="6EE51DB8"/>
    <w:rsid w:val="6EE80872"/>
    <w:rsid w:val="6EE92007"/>
    <w:rsid w:val="6EEC43E5"/>
    <w:rsid w:val="6F0000A1"/>
    <w:rsid w:val="6F0666BC"/>
    <w:rsid w:val="6F0E31FF"/>
    <w:rsid w:val="6F2968A7"/>
    <w:rsid w:val="6F2A4AF9"/>
    <w:rsid w:val="6F312601"/>
    <w:rsid w:val="6F4638FD"/>
    <w:rsid w:val="6F4E204B"/>
    <w:rsid w:val="6F5D0AEB"/>
    <w:rsid w:val="6F614293"/>
    <w:rsid w:val="6F616B65"/>
    <w:rsid w:val="6F654CF8"/>
    <w:rsid w:val="6F6B469B"/>
    <w:rsid w:val="6F772D63"/>
    <w:rsid w:val="6F800BBD"/>
    <w:rsid w:val="6F8B0B34"/>
    <w:rsid w:val="6FAB550E"/>
    <w:rsid w:val="6FB46AB9"/>
    <w:rsid w:val="6FB9298F"/>
    <w:rsid w:val="6FC0545D"/>
    <w:rsid w:val="6FC30AAA"/>
    <w:rsid w:val="6FCD0DBA"/>
    <w:rsid w:val="6FD507EA"/>
    <w:rsid w:val="6FE35402"/>
    <w:rsid w:val="7007479D"/>
    <w:rsid w:val="7008217B"/>
    <w:rsid w:val="700A4D31"/>
    <w:rsid w:val="7024596B"/>
    <w:rsid w:val="70293003"/>
    <w:rsid w:val="703A37E5"/>
    <w:rsid w:val="703A6FBE"/>
    <w:rsid w:val="70410EE9"/>
    <w:rsid w:val="7044012B"/>
    <w:rsid w:val="70475AFB"/>
    <w:rsid w:val="704E0CBB"/>
    <w:rsid w:val="704E2A51"/>
    <w:rsid w:val="705234B1"/>
    <w:rsid w:val="705465E1"/>
    <w:rsid w:val="705838E8"/>
    <w:rsid w:val="70637A77"/>
    <w:rsid w:val="7064352D"/>
    <w:rsid w:val="706C7393"/>
    <w:rsid w:val="707341CC"/>
    <w:rsid w:val="707454C9"/>
    <w:rsid w:val="708B7819"/>
    <w:rsid w:val="70941B1D"/>
    <w:rsid w:val="709B37D5"/>
    <w:rsid w:val="70A52EB9"/>
    <w:rsid w:val="70AC59E2"/>
    <w:rsid w:val="70B84386"/>
    <w:rsid w:val="70BC3E77"/>
    <w:rsid w:val="70C571F7"/>
    <w:rsid w:val="70C64CF5"/>
    <w:rsid w:val="70D249AE"/>
    <w:rsid w:val="70D42B79"/>
    <w:rsid w:val="70EB6F9A"/>
    <w:rsid w:val="70F3716D"/>
    <w:rsid w:val="70FA674D"/>
    <w:rsid w:val="70FC2C1E"/>
    <w:rsid w:val="710A43EC"/>
    <w:rsid w:val="71116DE2"/>
    <w:rsid w:val="711205DD"/>
    <w:rsid w:val="71194723"/>
    <w:rsid w:val="711A6D17"/>
    <w:rsid w:val="711D6797"/>
    <w:rsid w:val="711F1C41"/>
    <w:rsid w:val="7124781C"/>
    <w:rsid w:val="71290DE0"/>
    <w:rsid w:val="713271FB"/>
    <w:rsid w:val="713619AF"/>
    <w:rsid w:val="713D0A8C"/>
    <w:rsid w:val="713E1E5F"/>
    <w:rsid w:val="714258B8"/>
    <w:rsid w:val="714972D2"/>
    <w:rsid w:val="71512C37"/>
    <w:rsid w:val="71557E27"/>
    <w:rsid w:val="716138C9"/>
    <w:rsid w:val="716712E5"/>
    <w:rsid w:val="716B77EF"/>
    <w:rsid w:val="71787FD9"/>
    <w:rsid w:val="7184462D"/>
    <w:rsid w:val="718F50E7"/>
    <w:rsid w:val="71A7174E"/>
    <w:rsid w:val="71AA4426"/>
    <w:rsid w:val="71AB2A96"/>
    <w:rsid w:val="71BC3A02"/>
    <w:rsid w:val="71C253E4"/>
    <w:rsid w:val="71C8684B"/>
    <w:rsid w:val="71CA611F"/>
    <w:rsid w:val="71CA65DC"/>
    <w:rsid w:val="71D4555E"/>
    <w:rsid w:val="71E06D42"/>
    <w:rsid w:val="71E54D48"/>
    <w:rsid w:val="71EC42E8"/>
    <w:rsid w:val="71EF6E24"/>
    <w:rsid w:val="71F118FE"/>
    <w:rsid w:val="71F254CD"/>
    <w:rsid w:val="71F77074"/>
    <w:rsid w:val="7205184D"/>
    <w:rsid w:val="72074EB5"/>
    <w:rsid w:val="720D4038"/>
    <w:rsid w:val="720E5F55"/>
    <w:rsid w:val="720F7FD6"/>
    <w:rsid w:val="721D12D5"/>
    <w:rsid w:val="721E0666"/>
    <w:rsid w:val="722424EC"/>
    <w:rsid w:val="722822C3"/>
    <w:rsid w:val="722A3062"/>
    <w:rsid w:val="722E2B52"/>
    <w:rsid w:val="722F4D16"/>
    <w:rsid w:val="72343EE1"/>
    <w:rsid w:val="7238577F"/>
    <w:rsid w:val="724265FE"/>
    <w:rsid w:val="724F0D1A"/>
    <w:rsid w:val="72517005"/>
    <w:rsid w:val="72523032"/>
    <w:rsid w:val="725E4ABA"/>
    <w:rsid w:val="72643F0C"/>
    <w:rsid w:val="72646574"/>
    <w:rsid w:val="7270316B"/>
    <w:rsid w:val="727165AE"/>
    <w:rsid w:val="727A5D97"/>
    <w:rsid w:val="72871302"/>
    <w:rsid w:val="728A3B01"/>
    <w:rsid w:val="728F1117"/>
    <w:rsid w:val="728F12F7"/>
    <w:rsid w:val="72921A39"/>
    <w:rsid w:val="72933DE9"/>
    <w:rsid w:val="72B53BF7"/>
    <w:rsid w:val="72C67049"/>
    <w:rsid w:val="72DE11C8"/>
    <w:rsid w:val="72DF209E"/>
    <w:rsid w:val="72E36EBE"/>
    <w:rsid w:val="72EE5E3E"/>
    <w:rsid w:val="72F654FA"/>
    <w:rsid w:val="72F922D3"/>
    <w:rsid w:val="72FA225C"/>
    <w:rsid w:val="73015AD2"/>
    <w:rsid w:val="731A6C33"/>
    <w:rsid w:val="7327134F"/>
    <w:rsid w:val="732E0930"/>
    <w:rsid w:val="73317DD8"/>
    <w:rsid w:val="73345564"/>
    <w:rsid w:val="73356922"/>
    <w:rsid w:val="73380E0F"/>
    <w:rsid w:val="73414465"/>
    <w:rsid w:val="734359DE"/>
    <w:rsid w:val="734803D3"/>
    <w:rsid w:val="734860BC"/>
    <w:rsid w:val="73500851"/>
    <w:rsid w:val="735760D9"/>
    <w:rsid w:val="735C549D"/>
    <w:rsid w:val="73697346"/>
    <w:rsid w:val="736F3422"/>
    <w:rsid w:val="7377413B"/>
    <w:rsid w:val="738024A2"/>
    <w:rsid w:val="738D5656"/>
    <w:rsid w:val="73A87A1C"/>
    <w:rsid w:val="73A87CCE"/>
    <w:rsid w:val="73A91424"/>
    <w:rsid w:val="73AB3D2F"/>
    <w:rsid w:val="73B0211F"/>
    <w:rsid w:val="73C97321"/>
    <w:rsid w:val="73CD28EF"/>
    <w:rsid w:val="73F536A0"/>
    <w:rsid w:val="73F77193"/>
    <w:rsid w:val="740320A2"/>
    <w:rsid w:val="740D2C3B"/>
    <w:rsid w:val="741D2E7E"/>
    <w:rsid w:val="742B5128"/>
    <w:rsid w:val="74341F76"/>
    <w:rsid w:val="74463A57"/>
    <w:rsid w:val="74496532"/>
    <w:rsid w:val="74575C64"/>
    <w:rsid w:val="74583EB6"/>
    <w:rsid w:val="745F5087"/>
    <w:rsid w:val="746D60D4"/>
    <w:rsid w:val="746F2F74"/>
    <w:rsid w:val="747D42E6"/>
    <w:rsid w:val="748257F6"/>
    <w:rsid w:val="74867151"/>
    <w:rsid w:val="748C1559"/>
    <w:rsid w:val="74951061"/>
    <w:rsid w:val="749D3FBF"/>
    <w:rsid w:val="74AB7DB7"/>
    <w:rsid w:val="74C245AA"/>
    <w:rsid w:val="74C90910"/>
    <w:rsid w:val="74DD408E"/>
    <w:rsid w:val="74F13FF6"/>
    <w:rsid w:val="75053E50"/>
    <w:rsid w:val="75093403"/>
    <w:rsid w:val="75137DDD"/>
    <w:rsid w:val="751C1388"/>
    <w:rsid w:val="7521699E"/>
    <w:rsid w:val="7527160E"/>
    <w:rsid w:val="75276801"/>
    <w:rsid w:val="752C0E9F"/>
    <w:rsid w:val="7533222E"/>
    <w:rsid w:val="753D6D35"/>
    <w:rsid w:val="754B3A1B"/>
    <w:rsid w:val="75540860"/>
    <w:rsid w:val="75545716"/>
    <w:rsid w:val="75657F46"/>
    <w:rsid w:val="756F513B"/>
    <w:rsid w:val="75752B63"/>
    <w:rsid w:val="757A1C0A"/>
    <w:rsid w:val="757B28A5"/>
    <w:rsid w:val="75882579"/>
    <w:rsid w:val="758D5DE2"/>
    <w:rsid w:val="758F4E1F"/>
    <w:rsid w:val="759938CF"/>
    <w:rsid w:val="759D637E"/>
    <w:rsid w:val="759E6B84"/>
    <w:rsid w:val="759F7A68"/>
    <w:rsid w:val="75A12DF3"/>
    <w:rsid w:val="75BC33CC"/>
    <w:rsid w:val="75C35626"/>
    <w:rsid w:val="75C4732A"/>
    <w:rsid w:val="75CD2682"/>
    <w:rsid w:val="75CD61DE"/>
    <w:rsid w:val="75DF4163"/>
    <w:rsid w:val="75EC5219"/>
    <w:rsid w:val="75EE3D4D"/>
    <w:rsid w:val="7600575E"/>
    <w:rsid w:val="761E53CE"/>
    <w:rsid w:val="7621652A"/>
    <w:rsid w:val="76304914"/>
    <w:rsid w:val="763518B4"/>
    <w:rsid w:val="7645046A"/>
    <w:rsid w:val="765468FF"/>
    <w:rsid w:val="767951DB"/>
    <w:rsid w:val="767D3B20"/>
    <w:rsid w:val="76967998"/>
    <w:rsid w:val="769B4F81"/>
    <w:rsid w:val="769E02D7"/>
    <w:rsid w:val="76A71125"/>
    <w:rsid w:val="76BD6253"/>
    <w:rsid w:val="76C1585E"/>
    <w:rsid w:val="76C27D0D"/>
    <w:rsid w:val="76D57F0F"/>
    <w:rsid w:val="76DD5D4F"/>
    <w:rsid w:val="76E425A4"/>
    <w:rsid w:val="76EA20D6"/>
    <w:rsid w:val="76F50BC7"/>
    <w:rsid w:val="76F63A33"/>
    <w:rsid w:val="76FE2720"/>
    <w:rsid w:val="7715608F"/>
    <w:rsid w:val="773F135E"/>
    <w:rsid w:val="77401A91"/>
    <w:rsid w:val="77427178"/>
    <w:rsid w:val="7748643A"/>
    <w:rsid w:val="774D2A13"/>
    <w:rsid w:val="77534E09"/>
    <w:rsid w:val="77536BB7"/>
    <w:rsid w:val="7758241F"/>
    <w:rsid w:val="77607266"/>
    <w:rsid w:val="776B5AB1"/>
    <w:rsid w:val="777E33C9"/>
    <w:rsid w:val="77815CA3"/>
    <w:rsid w:val="77816D0A"/>
    <w:rsid w:val="77897C1A"/>
    <w:rsid w:val="778F2BBC"/>
    <w:rsid w:val="77935D45"/>
    <w:rsid w:val="779A2A2C"/>
    <w:rsid w:val="779E42D6"/>
    <w:rsid w:val="77A318EC"/>
    <w:rsid w:val="77A63981"/>
    <w:rsid w:val="77A80CB1"/>
    <w:rsid w:val="77AE6F2F"/>
    <w:rsid w:val="77B43520"/>
    <w:rsid w:val="77C20163"/>
    <w:rsid w:val="77C83101"/>
    <w:rsid w:val="77DF044B"/>
    <w:rsid w:val="77E047BF"/>
    <w:rsid w:val="77E31CE9"/>
    <w:rsid w:val="77E36D4C"/>
    <w:rsid w:val="77E42248"/>
    <w:rsid w:val="77E45708"/>
    <w:rsid w:val="77E95C91"/>
    <w:rsid w:val="77EA5890"/>
    <w:rsid w:val="77F43EF6"/>
    <w:rsid w:val="78123076"/>
    <w:rsid w:val="78157D1A"/>
    <w:rsid w:val="78177CCD"/>
    <w:rsid w:val="781B0562"/>
    <w:rsid w:val="782068C9"/>
    <w:rsid w:val="78267A28"/>
    <w:rsid w:val="782B0D6B"/>
    <w:rsid w:val="783004D4"/>
    <w:rsid w:val="783074DF"/>
    <w:rsid w:val="78320A23"/>
    <w:rsid w:val="7833735C"/>
    <w:rsid w:val="783E7867"/>
    <w:rsid w:val="78441DE8"/>
    <w:rsid w:val="7857564D"/>
    <w:rsid w:val="785B2E5C"/>
    <w:rsid w:val="786A1CE5"/>
    <w:rsid w:val="7890729A"/>
    <w:rsid w:val="78914A97"/>
    <w:rsid w:val="789952BE"/>
    <w:rsid w:val="789B5A0C"/>
    <w:rsid w:val="78A94B5D"/>
    <w:rsid w:val="78AF606F"/>
    <w:rsid w:val="78B26708"/>
    <w:rsid w:val="78C25DA2"/>
    <w:rsid w:val="78C31B1A"/>
    <w:rsid w:val="78CF04BF"/>
    <w:rsid w:val="78D43D28"/>
    <w:rsid w:val="78DD3484"/>
    <w:rsid w:val="78E55F35"/>
    <w:rsid w:val="78F73643"/>
    <w:rsid w:val="78FF6FF6"/>
    <w:rsid w:val="791505C8"/>
    <w:rsid w:val="792D72EF"/>
    <w:rsid w:val="79312F28"/>
    <w:rsid w:val="793330B3"/>
    <w:rsid w:val="79342425"/>
    <w:rsid w:val="79384C77"/>
    <w:rsid w:val="793A0645"/>
    <w:rsid w:val="793A5FD5"/>
    <w:rsid w:val="793F4F78"/>
    <w:rsid w:val="794E3974"/>
    <w:rsid w:val="794E5888"/>
    <w:rsid w:val="79515432"/>
    <w:rsid w:val="79645F9C"/>
    <w:rsid w:val="79652BD2"/>
    <w:rsid w:val="796818ED"/>
    <w:rsid w:val="79703A50"/>
    <w:rsid w:val="797352AE"/>
    <w:rsid w:val="797352D2"/>
    <w:rsid w:val="7984574E"/>
    <w:rsid w:val="79935991"/>
    <w:rsid w:val="79987A77"/>
    <w:rsid w:val="799F7E92"/>
    <w:rsid w:val="79A61220"/>
    <w:rsid w:val="79A713FE"/>
    <w:rsid w:val="79B1149F"/>
    <w:rsid w:val="79BD34A8"/>
    <w:rsid w:val="79CE4C1B"/>
    <w:rsid w:val="79DA56DC"/>
    <w:rsid w:val="79E2140E"/>
    <w:rsid w:val="79EA0E03"/>
    <w:rsid w:val="79FC7CC7"/>
    <w:rsid w:val="7A0120B0"/>
    <w:rsid w:val="7A055F4B"/>
    <w:rsid w:val="7A097A01"/>
    <w:rsid w:val="7A183F51"/>
    <w:rsid w:val="7A232871"/>
    <w:rsid w:val="7A261790"/>
    <w:rsid w:val="7A3A4DF0"/>
    <w:rsid w:val="7A41150A"/>
    <w:rsid w:val="7A4C5587"/>
    <w:rsid w:val="7A573ED6"/>
    <w:rsid w:val="7A654347"/>
    <w:rsid w:val="7A67140E"/>
    <w:rsid w:val="7A6A542B"/>
    <w:rsid w:val="7A71547A"/>
    <w:rsid w:val="7A752E76"/>
    <w:rsid w:val="7A777060"/>
    <w:rsid w:val="7A946066"/>
    <w:rsid w:val="7A97500D"/>
    <w:rsid w:val="7AA87536"/>
    <w:rsid w:val="7AAE5CB8"/>
    <w:rsid w:val="7ABC4A73"/>
    <w:rsid w:val="7AC774E0"/>
    <w:rsid w:val="7ACF47A6"/>
    <w:rsid w:val="7AD350B1"/>
    <w:rsid w:val="7AD500EE"/>
    <w:rsid w:val="7AD67C84"/>
    <w:rsid w:val="7ADE592F"/>
    <w:rsid w:val="7AE30DFA"/>
    <w:rsid w:val="7AEA1CF5"/>
    <w:rsid w:val="7AF122E3"/>
    <w:rsid w:val="7AF4427B"/>
    <w:rsid w:val="7AF810EA"/>
    <w:rsid w:val="7AF83CFD"/>
    <w:rsid w:val="7B097F8E"/>
    <w:rsid w:val="7B0C5670"/>
    <w:rsid w:val="7B0D7266"/>
    <w:rsid w:val="7B1727AC"/>
    <w:rsid w:val="7B191E80"/>
    <w:rsid w:val="7B234A23"/>
    <w:rsid w:val="7B317D92"/>
    <w:rsid w:val="7B38255B"/>
    <w:rsid w:val="7B38317E"/>
    <w:rsid w:val="7B391404"/>
    <w:rsid w:val="7B494559"/>
    <w:rsid w:val="7B4D0CE4"/>
    <w:rsid w:val="7B4F79A5"/>
    <w:rsid w:val="7B542EFE"/>
    <w:rsid w:val="7B5B79B7"/>
    <w:rsid w:val="7B696F09"/>
    <w:rsid w:val="7B6A571A"/>
    <w:rsid w:val="7B6C2AB0"/>
    <w:rsid w:val="7B6E7672"/>
    <w:rsid w:val="7B7D5239"/>
    <w:rsid w:val="7B7F26C2"/>
    <w:rsid w:val="7B7F7F7B"/>
    <w:rsid w:val="7B861E2C"/>
    <w:rsid w:val="7B9C6D7F"/>
    <w:rsid w:val="7BA43E85"/>
    <w:rsid w:val="7BAD6A7F"/>
    <w:rsid w:val="7BBC0E75"/>
    <w:rsid w:val="7BBD62BA"/>
    <w:rsid w:val="7BC368D1"/>
    <w:rsid w:val="7BCA6356"/>
    <w:rsid w:val="7BD75A22"/>
    <w:rsid w:val="7BDD1B33"/>
    <w:rsid w:val="7BF344C5"/>
    <w:rsid w:val="7BF72207"/>
    <w:rsid w:val="7BFC781D"/>
    <w:rsid w:val="7C005604"/>
    <w:rsid w:val="7C0404C1"/>
    <w:rsid w:val="7C052B70"/>
    <w:rsid w:val="7C176405"/>
    <w:rsid w:val="7C1A7CA3"/>
    <w:rsid w:val="7C375547"/>
    <w:rsid w:val="7C4116D4"/>
    <w:rsid w:val="7C444D20"/>
    <w:rsid w:val="7C5533D1"/>
    <w:rsid w:val="7C6508C5"/>
    <w:rsid w:val="7C663103"/>
    <w:rsid w:val="7C6D67E0"/>
    <w:rsid w:val="7C7720AD"/>
    <w:rsid w:val="7C7970C0"/>
    <w:rsid w:val="7C7A6994"/>
    <w:rsid w:val="7C7B2E38"/>
    <w:rsid w:val="7C7F1C4B"/>
    <w:rsid w:val="7C962A89"/>
    <w:rsid w:val="7C980842"/>
    <w:rsid w:val="7C9A381F"/>
    <w:rsid w:val="7C9E2682"/>
    <w:rsid w:val="7CA56FD7"/>
    <w:rsid w:val="7CA723AA"/>
    <w:rsid w:val="7CAC4753"/>
    <w:rsid w:val="7CAD6D69"/>
    <w:rsid w:val="7CB918D0"/>
    <w:rsid w:val="7CDB38D7"/>
    <w:rsid w:val="7CDD381C"/>
    <w:rsid w:val="7CDF547C"/>
    <w:rsid w:val="7CE24360"/>
    <w:rsid w:val="7CF37D80"/>
    <w:rsid w:val="7CF46746"/>
    <w:rsid w:val="7CF93D5D"/>
    <w:rsid w:val="7D052701"/>
    <w:rsid w:val="7D071A8C"/>
    <w:rsid w:val="7D073CFE"/>
    <w:rsid w:val="7D083FA0"/>
    <w:rsid w:val="7D1233A5"/>
    <w:rsid w:val="7D1943FF"/>
    <w:rsid w:val="7D2A03BA"/>
    <w:rsid w:val="7D2C1823"/>
    <w:rsid w:val="7D3724F9"/>
    <w:rsid w:val="7D373AA5"/>
    <w:rsid w:val="7D376633"/>
    <w:rsid w:val="7D4D737B"/>
    <w:rsid w:val="7D580A83"/>
    <w:rsid w:val="7D605B8A"/>
    <w:rsid w:val="7D62691A"/>
    <w:rsid w:val="7D627B54"/>
    <w:rsid w:val="7D692C90"/>
    <w:rsid w:val="7D7269B3"/>
    <w:rsid w:val="7D754289"/>
    <w:rsid w:val="7D784E37"/>
    <w:rsid w:val="7D787377"/>
    <w:rsid w:val="7D8649AC"/>
    <w:rsid w:val="7D876154"/>
    <w:rsid w:val="7D8F44D2"/>
    <w:rsid w:val="7D951CD7"/>
    <w:rsid w:val="7D99109C"/>
    <w:rsid w:val="7D9B4E14"/>
    <w:rsid w:val="7D9F4260"/>
    <w:rsid w:val="7DA02894"/>
    <w:rsid w:val="7DAC704B"/>
    <w:rsid w:val="7DAE0FEB"/>
    <w:rsid w:val="7DB3215D"/>
    <w:rsid w:val="7DB639FC"/>
    <w:rsid w:val="7DC12ACC"/>
    <w:rsid w:val="7DC17169"/>
    <w:rsid w:val="7DC41094"/>
    <w:rsid w:val="7DC50D53"/>
    <w:rsid w:val="7DCA3F50"/>
    <w:rsid w:val="7DCC01A6"/>
    <w:rsid w:val="7DCE6F97"/>
    <w:rsid w:val="7DEC0992"/>
    <w:rsid w:val="7DF41010"/>
    <w:rsid w:val="7DF417A8"/>
    <w:rsid w:val="7DF73C27"/>
    <w:rsid w:val="7DF87F2A"/>
    <w:rsid w:val="7DFD5FFB"/>
    <w:rsid w:val="7E062BD5"/>
    <w:rsid w:val="7E0659F1"/>
    <w:rsid w:val="7E0D6EBF"/>
    <w:rsid w:val="7E113AA3"/>
    <w:rsid w:val="7E195450"/>
    <w:rsid w:val="7E2C06B6"/>
    <w:rsid w:val="7E2E5F7E"/>
    <w:rsid w:val="7E492AC2"/>
    <w:rsid w:val="7E4C02B9"/>
    <w:rsid w:val="7E5E7184"/>
    <w:rsid w:val="7E5F381F"/>
    <w:rsid w:val="7E657214"/>
    <w:rsid w:val="7E6611A7"/>
    <w:rsid w:val="7E77378E"/>
    <w:rsid w:val="7E7D1C3F"/>
    <w:rsid w:val="7E7D28AE"/>
    <w:rsid w:val="7E926217"/>
    <w:rsid w:val="7E97639E"/>
    <w:rsid w:val="7EB10C4E"/>
    <w:rsid w:val="7EC928C7"/>
    <w:rsid w:val="7EDC1A59"/>
    <w:rsid w:val="7EE4618A"/>
    <w:rsid w:val="7EFF03A9"/>
    <w:rsid w:val="7F005876"/>
    <w:rsid w:val="7F0215EE"/>
    <w:rsid w:val="7F0F52C3"/>
    <w:rsid w:val="7F194924"/>
    <w:rsid w:val="7F1C44CB"/>
    <w:rsid w:val="7F1E096B"/>
    <w:rsid w:val="7F2A25F4"/>
    <w:rsid w:val="7F3D66CA"/>
    <w:rsid w:val="7F47533B"/>
    <w:rsid w:val="7F501229"/>
    <w:rsid w:val="7F5659A9"/>
    <w:rsid w:val="7F61335E"/>
    <w:rsid w:val="7F6A7194"/>
    <w:rsid w:val="7F7104FE"/>
    <w:rsid w:val="7F74591C"/>
    <w:rsid w:val="7F932247"/>
    <w:rsid w:val="7F953665"/>
    <w:rsid w:val="7FA6323F"/>
    <w:rsid w:val="7FA9158B"/>
    <w:rsid w:val="7FAD75B9"/>
    <w:rsid w:val="7FC9408E"/>
    <w:rsid w:val="7FCC5758"/>
    <w:rsid w:val="7FD144BD"/>
    <w:rsid w:val="7FF321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602"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pageBreakBefore/>
      <w:ind w:firstLine="0" w:firstLineChars="0"/>
      <w:jc w:val="center"/>
      <w:outlineLvl w:val="0"/>
    </w:pPr>
    <w:rPr>
      <w:b/>
      <w:kern w:val="44"/>
      <w:sz w:val="30"/>
    </w:rPr>
  </w:style>
  <w:style w:type="paragraph" w:styleId="3">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spacing w:line="529" w:lineRule="exact"/>
      <w:ind w:left="420" w:leftChars="200"/>
    </w:pPr>
    <w:rPr>
      <w:rFonts w:ascii="Times New Roman" w:hAnsi="Times New Roman" w:eastAsia="宋体" w:cs="Times New Roman"/>
      <w:sz w:val="24"/>
    </w:rPr>
  </w:style>
  <w:style w:type="paragraph" w:styleId="7">
    <w:name w:val="Normal Indent"/>
    <w:basedOn w:val="1"/>
    <w:next w:val="8"/>
    <w:qFormat/>
    <w:uiPriority w:val="0"/>
    <w:pPr>
      <w:ind w:firstLine="420"/>
    </w:pPr>
  </w:style>
  <w:style w:type="paragraph" w:styleId="8">
    <w:name w:val="toc 1"/>
    <w:basedOn w:val="1"/>
    <w:next w:val="1"/>
    <w:qFormat/>
    <w:uiPriority w:val="39"/>
  </w:style>
  <w:style w:type="paragraph" w:styleId="9">
    <w:name w:val="annotation text"/>
    <w:basedOn w:val="1"/>
    <w:qFormat/>
    <w:uiPriority w:val="0"/>
    <w:pPr>
      <w:jc w:val="left"/>
    </w:pPr>
  </w:style>
  <w:style w:type="paragraph" w:styleId="10">
    <w:name w:val="Salutation"/>
    <w:basedOn w:val="1"/>
    <w:next w:val="1"/>
    <w:qFormat/>
    <w:uiPriority w:val="0"/>
    <w:pPr>
      <w:widowControl/>
    </w:pPr>
    <w:rPr>
      <w:kern w:val="0"/>
      <w:szCs w:val="20"/>
    </w:rPr>
  </w:style>
  <w:style w:type="paragraph" w:styleId="11">
    <w:name w:val="Body Text"/>
    <w:basedOn w:val="1"/>
    <w:next w:val="1"/>
    <w:qFormat/>
    <w:uiPriority w:val="0"/>
    <w:pPr>
      <w:widowControl/>
      <w:snapToGrid w:val="0"/>
    </w:pPr>
    <w:rPr>
      <w:rFonts w:ascii="宋体" w:hAnsi="宋体"/>
      <w:i/>
    </w:rPr>
  </w:style>
  <w:style w:type="paragraph" w:styleId="12">
    <w:name w:val="Body Text Indent"/>
    <w:basedOn w:val="1"/>
    <w:next w:val="1"/>
    <w:qFormat/>
    <w:uiPriority w:val="0"/>
    <w:pPr>
      <w:spacing w:after="120"/>
      <w:ind w:left="420" w:leftChars="200"/>
    </w:pPr>
  </w:style>
  <w:style w:type="paragraph" w:styleId="13">
    <w:name w:val="Plain Text"/>
    <w:basedOn w:val="1"/>
    <w:next w:val="1"/>
    <w:qFormat/>
    <w:uiPriority w:val="0"/>
    <w:rPr>
      <w:rFonts w:ascii="宋体" w:hAnsi="Courier New"/>
    </w:rPr>
  </w:style>
  <w:style w:type="paragraph" w:styleId="14">
    <w:name w:val="Balloon Text"/>
    <w:basedOn w:val="1"/>
    <w:link w:val="47"/>
    <w:qFormat/>
    <w:uiPriority w:val="0"/>
    <w:pPr>
      <w:spacing w:line="240" w:lineRule="auto"/>
    </w:pPr>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7">
    <w:name w:val="index heading"/>
    <w:basedOn w:val="1"/>
    <w:next w:val="18"/>
    <w:qFormat/>
    <w:uiPriority w:val="99"/>
    <w:pPr>
      <w:snapToGrid w:val="0"/>
      <w:spacing w:line="360" w:lineRule="auto"/>
    </w:pPr>
    <w:rPr>
      <w:sz w:val="28"/>
      <w:szCs w:val="20"/>
    </w:rPr>
  </w:style>
  <w:style w:type="paragraph" w:styleId="18">
    <w:name w:val="index 1"/>
    <w:basedOn w:val="1"/>
    <w:next w:val="1"/>
    <w:qFormat/>
    <w:uiPriority w:val="0"/>
    <w:pPr>
      <w:spacing w:line="400" w:lineRule="exact"/>
      <w:ind w:right="-154"/>
    </w:pPr>
  </w:style>
  <w:style w:type="paragraph" w:styleId="19">
    <w:name w:val="toc 2"/>
    <w:basedOn w:val="1"/>
    <w:next w:val="1"/>
    <w:qFormat/>
    <w:uiPriority w:val="39"/>
    <w:pPr>
      <w:ind w:left="210"/>
      <w:jc w:val="left"/>
    </w:pPr>
    <w:rPr>
      <w:smallCaps/>
      <w:sz w:val="24"/>
      <w:szCs w:val="20"/>
    </w:rPr>
  </w:style>
  <w:style w:type="paragraph" w:styleId="20">
    <w:name w:val="Normal (Web)"/>
    <w:basedOn w:val="1"/>
    <w:qFormat/>
    <w:uiPriority w:val="99"/>
  </w:style>
  <w:style w:type="paragraph" w:styleId="21">
    <w:name w:val="Body Text First Indent"/>
    <w:basedOn w:val="11"/>
    <w:next w:val="1"/>
    <w:qFormat/>
    <w:uiPriority w:val="0"/>
    <w:pPr>
      <w:ind w:firstLine="420" w:firstLineChars="100"/>
    </w:pPr>
  </w:style>
  <w:style w:type="paragraph" w:styleId="22">
    <w:name w:val="Body Text First Indent 2"/>
    <w:basedOn w:val="12"/>
    <w:next w:val="1"/>
    <w:qFormat/>
    <w:uiPriority w:val="0"/>
    <w:pPr>
      <w:ind w:firstLine="42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5">
    <w:name w:val="Table Theme"/>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Hyperlink"/>
    <w:basedOn w:val="26"/>
    <w:unhideWhenUsed/>
    <w:qFormat/>
    <w:uiPriority w:val="99"/>
    <w:rPr>
      <w:color w:val="0000FF" w:themeColor="hyperlink"/>
      <w:u w:val="single"/>
      <w14:textFill>
        <w14:solidFill>
          <w14:schemeClr w14:val="hlink"/>
        </w14:solidFill>
      </w14:textFill>
    </w:rPr>
  </w:style>
  <w:style w:type="paragraph" w:customStyle="1" w:styleId="29">
    <w:name w:val="表格内容"/>
    <w:basedOn w:val="30"/>
    <w:next w:val="1"/>
    <w:link w:val="39"/>
    <w:qFormat/>
    <w:uiPriority w:val="0"/>
    <w:pPr>
      <w:spacing w:line="240" w:lineRule="auto"/>
      <w:ind w:firstLine="0" w:firstLineChars="0"/>
      <w:jc w:val="center"/>
    </w:pPr>
    <w:rPr>
      <w:rFonts w:ascii="Times New Roman" w:hAnsi="Times New Roman" w:eastAsia="宋体"/>
      <w:b w:val="0"/>
      <w:szCs w:val="21"/>
    </w:rPr>
  </w:style>
  <w:style w:type="paragraph" w:customStyle="1" w:styleId="30">
    <w:name w:val="表格标题"/>
    <w:basedOn w:val="1"/>
    <w:next w:val="1"/>
    <w:link w:val="42"/>
    <w:qFormat/>
    <w:uiPriority w:val="0"/>
    <w:pPr>
      <w:spacing w:line="240" w:lineRule="auto"/>
      <w:ind w:firstLine="0" w:firstLineChars="0"/>
      <w:jc w:val="center"/>
    </w:pPr>
    <w:rPr>
      <w:rFonts w:hint="eastAsia"/>
      <w:b/>
      <w:sz w:val="21"/>
    </w:rPr>
  </w:style>
  <w:style w:type="paragraph" w:customStyle="1" w:styleId="31">
    <w:name w:val="Default"/>
    <w:basedOn w:val="32"/>
    <w:next w:val="33"/>
    <w:qFormat/>
    <w:uiPriority w:val="0"/>
    <w:pPr>
      <w:autoSpaceDE w:val="0"/>
      <w:autoSpaceDN w:val="0"/>
    </w:pPr>
    <w:rPr>
      <w:rFonts w:ascii="宋体" w:hAnsi="Times New Roman" w:cs="宋体"/>
      <w:color w:val="000000"/>
      <w:szCs w:val="24"/>
    </w:rPr>
  </w:style>
  <w:style w:type="paragraph" w:customStyle="1" w:styleId="32">
    <w:name w:val="纯文本1"/>
    <w:basedOn w:val="1"/>
    <w:qFormat/>
    <w:uiPriority w:val="0"/>
    <w:pPr>
      <w:adjustRightInd w:val="0"/>
    </w:pPr>
    <w:rPr>
      <w:rFonts w:hAnsi="Courier New"/>
      <w:szCs w:val="20"/>
    </w:rPr>
  </w:style>
  <w:style w:type="paragraph" w:customStyle="1" w:styleId="33">
    <w:name w:val="样式35"/>
    <w:basedOn w:val="34"/>
    <w:next w:val="38"/>
    <w:qFormat/>
    <w:uiPriority w:val="0"/>
    <w:pPr>
      <w:widowControl w:val="0"/>
      <w:tabs>
        <w:tab w:val="left" w:pos="360"/>
        <w:tab w:val="left" w:pos="567"/>
        <w:tab w:val="left" w:pos="900"/>
        <w:tab w:val="left" w:pos="960"/>
        <w:tab w:val="left" w:pos="1320"/>
        <w:tab w:val="left" w:pos="4140"/>
        <w:tab w:val="left" w:pos="8715"/>
      </w:tabs>
      <w:spacing w:line="312" w:lineRule="auto"/>
      <w:ind w:firstLine="567"/>
      <w:jc w:val="both"/>
    </w:pPr>
    <w:rPr>
      <w:rFonts w:ascii="宋体" w:hAnsi="Times New Roman" w:eastAsia="宋体" w:cs="Times New Roman"/>
      <w:kern w:val="2"/>
      <w:sz w:val="21"/>
      <w:szCs w:val="22"/>
      <w:lang w:val="en-US" w:eastAsia="zh-CN" w:bidi="ar-SA"/>
    </w:rPr>
  </w:style>
  <w:style w:type="paragraph" w:customStyle="1" w:styleId="34">
    <w:name w:val="样式26"/>
    <w:basedOn w:val="35"/>
    <w:qFormat/>
    <w:uiPriority w:val="0"/>
    <w:pPr>
      <w:tabs>
        <w:tab w:val="left" w:pos="360"/>
        <w:tab w:val="left" w:pos="567"/>
        <w:tab w:val="left" w:pos="900"/>
        <w:tab w:val="left" w:pos="960"/>
        <w:tab w:val="left" w:pos="1320"/>
        <w:tab w:val="left" w:pos="4140"/>
        <w:tab w:val="left" w:pos="8715"/>
      </w:tabs>
      <w:adjustRightInd/>
      <w:spacing w:beforeLines="50" w:afterLines="50"/>
      <w:ind w:left="900" w:hanging="360"/>
      <w:outlineLvl w:val="0"/>
    </w:pPr>
    <w:rPr>
      <w:kern w:val="44"/>
      <w:sz w:val="30"/>
      <w:szCs w:val="44"/>
    </w:rPr>
  </w:style>
  <w:style w:type="paragraph" w:customStyle="1" w:styleId="35">
    <w:name w:val="样式21"/>
    <w:basedOn w:val="36"/>
    <w:qFormat/>
    <w:uiPriority w:val="0"/>
    <w:pPr>
      <w:tabs>
        <w:tab w:val="left" w:pos="360"/>
        <w:tab w:val="left" w:pos="567"/>
        <w:tab w:val="left" w:pos="960"/>
        <w:tab w:val="left" w:pos="1320"/>
        <w:tab w:val="left" w:pos="4140"/>
        <w:tab w:val="left" w:pos="8715"/>
      </w:tabs>
      <w:spacing w:before="120" w:beforeLines="0" w:after="120" w:afterLines="0"/>
      <w:ind w:hanging="992"/>
    </w:pPr>
  </w:style>
  <w:style w:type="paragraph" w:customStyle="1" w:styleId="36">
    <w:name w:val="样式5"/>
    <w:basedOn w:val="37"/>
    <w:next w:val="1"/>
    <w:qFormat/>
    <w:uiPriority w:val="0"/>
    <w:pPr>
      <w:snapToGrid w:val="0"/>
      <w:spacing w:before="62" w:beforeLines="20" w:after="62" w:afterLines="20" w:line="480" w:lineRule="exact"/>
      <w:ind w:firstLine="523" w:firstLineChars="218"/>
      <w:jc w:val="both"/>
    </w:pPr>
    <w:rPr>
      <w:iCs/>
      <w:sz w:val="24"/>
      <w:szCs w:val="20"/>
    </w:rPr>
  </w:style>
  <w:style w:type="paragraph" w:customStyle="1" w:styleId="37">
    <w:name w:val="正文1"/>
    <w:basedOn w:val="11"/>
    <w:next w:val="1"/>
    <w:qFormat/>
    <w:uiPriority w:val="0"/>
    <w:pPr>
      <w:widowControl/>
      <w:jc w:val="left"/>
    </w:pPr>
    <w:rPr>
      <w:rFonts w:hAnsi="宋体"/>
    </w:rPr>
  </w:style>
  <w:style w:type="paragraph" w:customStyle="1" w:styleId="38">
    <w:name w:val="font6"/>
    <w:basedOn w:val="1"/>
    <w:next w:val="19"/>
    <w:qFormat/>
    <w:uiPriority w:val="0"/>
    <w:pPr>
      <w:widowControl/>
      <w:spacing w:before="100" w:beforeLines="0" w:beforeAutospacing="1" w:after="100" w:afterLines="0" w:afterAutospacing="1"/>
      <w:jc w:val="left"/>
    </w:pPr>
    <w:rPr>
      <w:rFonts w:eastAsia="Arial Unicode MS"/>
      <w:kern w:val="0"/>
      <w:sz w:val="24"/>
    </w:rPr>
  </w:style>
  <w:style w:type="character" w:customStyle="1" w:styleId="39">
    <w:name w:val="表格内容 字符"/>
    <w:basedOn w:val="26"/>
    <w:link w:val="29"/>
    <w:qFormat/>
    <w:uiPriority w:val="0"/>
    <w:rPr>
      <w:rFonts w:ascii="Times New Roman" w:hAnsi="Times New Roman" w:eastAsia="宋体" w:cs="Times New Roman"/>
      <w:kern w:val="2"/>
      <w:sz w:val="21"/>
      <w:szCs w:val="21"/>
    </w:rPr>
  </w:style>
  <w:style w:type="paragraph" w:customStyle="1" w:styleId="40">
    <w:name w:val="表格"/>
    <w:basedOn w:val="1"/>
    <w:next w:val="1"/>
    <w:link w:val="49"/>
    <w:qFormat/>
    <w:uiPriority w:val="0"/>
    <w:pPr>
      <w:adjustRightInd w:val="0"/>
      <w:snapToGrid w:val="0"/>
      <w:spacing w:beforeLines="10" w:afterLines="10" w:line="259" w:lineRule="auto"/>
      <w:jc w:val="center"/>
    </w:pPr>
    <w:rPr>
      <w:rFonts w:ascii="宋体"/>
      <w:kern w:val="0"/>
      <w:szCs w:val="20"/>
    </w:rPr>
  </w:style>
  <w:style w:type="paragraph" w:customStyle="1" w:styleId="41">
    <w:name w:val="样式1"/>
    <w:basedOn w:val="6"/>
    <w:qFormat/>
    <w:uiPriority w:val="0"/>
    <w:pPr>
      <w:numPr>
        <w:ilvl w:val="0"/>
        <w:numId w:val="1"/>
      </w:numPr>
      <w:spacing w:line="240" w:lineRule="auto"/>
      <w:ind w:firstLine="0" w:firstLineChars="0"/>
      <w:jc w:val="center"/>
    </w:pPr>
    <w:rPr>
      <w:rFonts w:hint="eastAsia" w:ascii="Times New Roman" w:hAnsi="Times New Roman" w:cs="Times New Roman"/>
      <w:color w:val="0000FF"/>
      <w:sz w:val="21"/>
      <w:szCs w:val="21"/>
    </w:rPr>
  </w:style>
  <w:style w:type="character" w:customStyle="1" w:styleId="42">
    <w:name w:val="表格标题 Char"/>
    <w:link w:val="30"/>
    <w:qFormat/>
    <w:uiPriority w:val="0"/>
    <w:rPr>
      <w:rFonts w:hint="eastAsia"/>
      <w:b/>
      <w:sz w:val="21"/>
    </w:rPr>
  </w:style>
  <w:style w:type="paragraph" w:customStyle="1" w:styleId="43">
    <w:name w:val="Normal Indent1"/>
    <w:basedOn w:val="1"/>
    <w:qFormat/>
    <w:uiPriority w:val="0"/>
    <w:pPr>
      <w:ind w:firstLine="420"/>
    </w:pPr>
  </w:style>
  <w:style w:type="paragraph" w:customStyle="1" w:styleId="44">
    <w:name w:val="明显引用1"/>
    <w:next w:val="1"/>
    <w:qFormat/>
    <w:uiPriority w:val="0"/>
    <w:pPr>
      <w:wordWrap w:val="0"/>
      <w:spacing w:before="360" w:after="360"/>
      <w:ind w:left="950" w:right="950"/>
      <w:jc w:val="center"/>
    </w:pPr>
    <w:rPr>
      <w:rFonts w:ascii="Calibri" w:hAnsi="Calibri" w:eastAsia="宋体" w:cs="Times New Roman"/>
      <w:i/>
      <w:sz w:val="21"/>
      <w:lang w:val="en-US" w:eastAsia="zh-CN" w:bidi="ar-SA"/>
    </w:rPr>
  </w:style>
  <w:style w:type="paragraph" w:customStyle="1" w:styleId="45">
    <w:name w:val="小标题"/>
    <w:basedOn w:val="1"/>
    <w:qFormat/>
    <w:uiPriority w:val="0"/>
    <w:pPr>
      <w:ind w:firstLine="0" w:firstLineChars="0"/>
    </w:pPr>
    <w:rPr>
      <w:rFonts w:hint="eastAsia"/>
      <w:b/>
    </w:rPr>
  </w:style>
  <w:style w:type="paragraph" w:styleId="46">
    <w:name w:val="No Spacing"/>
    <w:qFormat/>
    <w:uiPriority w:val="1"/>
    <w:pPr>
      <w:widowControl w:val="0"/>
      <w:jc w:val="both"/>
    </w:pPr>
    <w:rPr>
      <w:rFonts w:ascii="Times New Roman" w:hAnsi="Times New Roman" w:eastAsia="楷体" w:cs="Times New Roman"/>
      <w:kern w:val="2"/>
      <w:sz w:val="24"/>
      <w:szCs w:val="24"/>
      <w:lang w:val="en-US" w:eastAsia="zh-CN" w:bidi="ar-SA"/>
    </w:rPr>
  </w:style>
  <w:style w:type="character" w:customStyle="1" w:styleId="47">
    <w:name w:val="批注框文本 Char"/>
    <w:basedOn w:val="26"/>
    <w:link w:val="14"/>
    <w:qFormat/>
    <w:uiPriority w:val="0"/>
    <w:rPr>
      <w:rFonts w:cs="黑体"/>
      <w:kern w:val="2"/>
      <w:sz w:val="18"/>
      <w:szCs w:val="18"/>
    </w:rPr>
  </w:style>
  <w:style w:type="paragraph" w:customStyle="1" w:styleId="48">
    <w:name w:val="表中文字"/>
    <w:basedOn w:val="1"/>
    <w:qFormat/>
    <w:uiPriority w:val="0"/>
    <w:pPr>
      <w:snapToGrid w:val="0"/>
      <w:spacing w:line="240" w:lineRule="auto"/>
      <w:ind w:firstLine="0" w:firstLineChars="0"/>
      <w:jc w:val="center"/>
    </w:pPr>
    <w:rPr>
      <w:rFonts w:cs="Times New Roman"/>
      <w:color w:val="000000"/>
      <w:sz w:val="21"/>
      <w:szCs w:val="20"/>
    </w:rPr>
  </w:style>
  <w:style w:type="character" w:customStyle="1" w:styleId="49">
    <w:name w:val="表格 Char"/>
    <w:link w:val="40"/>
    <w:qFormat/>
    <w:uiPriority w:val="0"/>
    <w:rPr>
      <w:rFonts w:ascii="宋体" w:cs="黑体"/>
      <w:sz w:val="24"/>
    </w:rPr>
  </w:style>
  <w:style w:type="paragraph" w:styleId="50">
    <w:name w:val="List Paragraph"/>
    <w:basedOn w:val="1"/>
    <w:unhideWhenUsed/>
    <w:qFormat/>
    <w:uiPriority w:val="99"/>
    <w:pPr>
      <w:ind w:firstLine="420"/>
    </w:pPr>
  </w:style>
  <w:style w:type="paragraph" w:customStyle="1" w:styleId="51">
    <w:name w:val="表头"/>
    <w:basedOn w:val="52"/>
    <w:next w:val="1"/>
    <w:link w:val="53"/>
    <w:qFormat/>
    <w:uiPriority w:val="99"/>
    <w:pPr>
      <w:spacing w:line="240" w:lineRule="auto"/>
      <w:ind w:firstLine="480"/>
      <w:jc w:val="center"/>
    </w:pPr>
    <w:rPr>
      <w:rFonts w:cs="Times New Roman"/>
      <w:b/>
      <w:sz w:val="21"/>
      <w:szCs w:val="22"/>
    </w:rPr>
  </w:style>
  <w:style w:type="paragraph" w:customStyle="1" w:styleId="52">
    <w:name w:val="表格文字"/>
    <w:basedOn w:val="41"/>
    <w:qFormat/>
    <w:uiPriority w:val="0"/>
    <w:pPr>
      <w:spacing w:line="240" w:lineRule="auto"/>
      <w:ind w:firstLine="0" w:firstLineChars="0"/>
      <w:jc w:val="center"/>
    </w:pPr>
    <w:rPr>
      <w:rFonts w:ascii="Times New Roman" w:hAnsi="Times New Roman"/>
      <w:sz w:val="21"/>
      <w:szCs w:val="21"/>
    </w:rPr>
  </w:style>
  <w:style w:type="character" w:customStyle="1" w:styleId="53">
    <w:name w:val="表头 Char"/>
    <w:link w:val="51"/>
    <w:qFormat/>
    <w:locked/>
    <w:uiPriority w:val="99"/>
    <w:rPr>
      <w:b/>
      <w:kern w:val="2"/>
      <w:sz w:val="21"/>
      <w:szCs w:val="22"/>
    </w:rPr>
  </w:style>
  <w:style w:type="character" w:customStyle="1" w:styleId="54">
    <w:name w:val="表格标题 字符"/>
    <w:basedOn w:val="26"/>
    <w:qFormat/>
    <w:uiPriority w:val="0"/>
    <w:rPr>
      <w:rFonts w:ascii="Times New Roman" w:hAnsi="Times New Roman" w:eastAsia="宋体"/>
      <w:b/>
    </w:rPr>
  </w:style>
  <w:style w:type="paragraph" w:customStyle="1" w:styleId="55">
    <w:name w:val="样式 正文缩进正文缩进2正文缩进 Char Char正文缩进 Char Char Char Char正文缩进 Char ..."/>
    <w:basedOn w:val="7"/>
    <w:qFormat/>
    <w:uiPriority w:val="0"/>
    <w:pPr>
      <w:ind w:firstLine="200"/>
    </w:pPr>
    <w:rPr>
      <w:rFonts w:cs="宋体"/>
    </w:rPr>
  </w:style>
  <w:style w:type="paragraph" w:customStyle="1" w:styleId="56">
    <w:name w:val="Table caption|1"/>
    <w:basedOn w:val="1"/>
    <w:qFormat/>
    <w:uiPriority w:val="0"/>
    <w:pPr>
      <w:widowControl w:val="0"/>
      <w:shd w:val="clear" w:color="auto" w:fill="auto"/>
      <w:spacing w:line="466" w:lineRule="exact"/>
      <w:jc w:val="center"/>
    </w:pPr>
    <w:rPr>
      <w:rFonts w:ascii="宋体" w:hAnsi="宋体" w:eastAsia="宋体" w:cs="宋体"/>
      <w:u w:val="none"/>
      <w:shd w:val="clear" w:color="auto" w:fill="auto"/>
      <w:lang w:val="zh-TW" w:eastAsia="zh-TW" w:bidi="zh-TW"/>
    </w:rPr>
  </w:style>
  <w:style w:type="paragraph" w:customStyle="1" w:styleId="57">
    <w:name w:val="Other|1"/>
    <w:basedOn w:val="1"/>
    <w:qFormat/>
    <w:uiPriority w:val="0"/>
    <w:pPr>
      <w:widowControl w:val="0"/>
      <w:shd w:val="clear" w:color="auto" w:fill="auto"/>
      <w:spacing w:line="408" w:lineRule="auto"/>
      <w:ind w:firstLine="400"/>
    </w:pPr>
    <w:rPr>
      <w:rFonts w:ascii="宋体" w:hAnsi="宋体" w:eastAsia="宋体" w:cs="宋体"/>
      <w:u w:val="none"/>
      <w:shd w:val="clear" w:color="auto" w:fill="auto"/>
      <w:lang w:val="zh-TW" w:eastAsia="zh-TW" w:bidi="zh-TW"/>
    </w:rPr>
  </w:style>
  <w:style w:type="paragraph" w:customStyle="1" w:styleId="58">
    <w:name w:val="中文报告书样式"/>
    <w:basedOn w:val="1"/>
    <w:qFormat/>
    <w:uiPriority w:val="0"/>
    <w:pPr>
      <w:adjustRightInd w:val="0"/>
      <w:spacing w:line="480" w:lineRule="atLeast"/>
      <w:ind w:firstLine="482"/>
      <w:textAlignment w:val="baseline"/>
    </w:pPr>
    <w:rPr>
      <w:kern w:val="24"/>
      <w:szCs w:val="20"/>
    </w:rPr>
  </w:style>
  <w:style w:type="paragraph" w:customStyle="1" w:styleId="59">
    <w:name w:val="1jw正文"/>
    <w:qFormat/>
    <w:uiPriority w:val="0"/>
    <w:pPr>
      <w:spacing w:beforeLines="50" w:afterLines="50" w:line="360" w:lineRule="auto"/>
      <w:ind w:firstLine="200" w:firstLineChars="200"/>
    </w:pPr>
    <w:rPr>
      <w:rFonts w:ascii="Times New Roman" w:hAnsi="Times New Roman" w:eastAsia="宋体" w:cs="宋体"/>
      <w:sz w:val="24"/>
      <w:szCs w:val="24"/>
      <w:lang w:val="en-US" w:eastAsia="zh-CN" w:bidi="ar-SA"/>
    </w:rPr>
  </w:style>
  <w:style w:type="paragraph" w:customStyle="1" w:styleId="60">
    <w:name w:val="正文缩"/>
    <w:basedOn w:val="1"/>
    <w:qFormat/>
    <w:uiPriority w:val="0"/>
    <w:pPr>
      <w:adjustRightInd w:val="0"/>
      <w:snapToGrid w:val="0"/>
      <w:ind w:firstLine="720" w:firstLineChars="200"/>
    </w:pPr>
    <w:rPr>
      <w:sz w:val="24"/>
    </w:rPr>
  </w:style>
  <w:style w:type="paragraph" w:customStyle="1" w:styleId="61">
    <w:name w:val="lh-表格文字-报告书"/>
    <w:qFormat/>
    <w:uiPriority w:val="0"/>
    <w:pPr>
      <w:jc w:val="center"/>
    </w:pPr>
    <w:rPr>
      <w:rFonts w:ascii="Times New Roman" w:hAnsi="Times New Roman" w:eastAsia="宋体" w:cs="Times New Roman"/>
      <w:snapToGrid w:val="0"/>
      <w:sz w:val="21"/>
      <w:szCs w:val="24"/>
      <w:lang w:val="en-US" w:eastAsia="zh-CN" w:bidi="ar-SA"/>
    </w:rPr>
  </w:style>
  <w:style w:type="paragraph" w:customStyle="1" w:styleId="62">
    <w:name w:val="Normal"/>
    <w:qFormat/>
    <w:uiPriority w:val="0"/>
    <w:pPr>
      <w:jc w:val="both"/>
    </w:pPr>
    <w:rPr>
      <w:rFonts w:ascii="宋体" w:hAnsi="宋体" w:eastAsia="宋体" w:cs="宋体"/>
      <w:kern w:val="2"/>
      <w:sz w:val="21"/>
      <w:szCs w:val="21"/>
      <w:lang w:val="en-US" w:eastAsia="zh-CN" w:bidi="ar-SA"/>
    </w:rPr>
  </w:style>
  <w:style w:type="paragraph" w:customStyle="1" w:styleId="63">
    <w:name w:val="biaoge"/>
    <w:basedOn w:val="1"/>
    <w:qFormat/>
    <w:uiPriority w:val="0"/>
    <w:pPr>
      <w:snapToGrid w:val="0"/>
      <w:spacing w:line="240" w:lineRule="atLeast"/>
      <w:jc w:val="center"/>
    </w:pPr>
    <w:rPr>
      <w:szCs w:val="21"/>
    </w:rPr>
  </w:style>
  <w:style w:type="paragraph" w:customStyle="1" w:styleId="64">
    <w:name w:val="Table Text"/>
    <w:basedOn w:val="1"/>
    <w:semiHidden/>
    <w:qFormat/>
    <w:uiPriority w:val="0"/>
    <w:rPr>
      <w:rFonts w:ascii="宋体" w:hAnsi="宋体" w:cs="宋体"/>
      <w:sz w:val="24"/>
      <w:lang w:eastAsia="en-US"/>
    </w:rPr>
  </w:style>
  <w:style w:type="table" w:customStyle="1" w:styleId="65">
    <w:name w:val="Table Normal"/>
    <w:unhideWhenUsed/>
    <w:qFormat/>
    <w:uiPriority w:val="0"/>
    <w:tblPr>
      <w:tblCellMar>
        <w:top w:w="0" w:type="dxa"/>
        <w:left w:w="0" w:type="dxa"/>
        <w:bottom w:w="0" w:type="dxa"/>
        <w:right w:w="0" w:type="dxa"/>
      </w:tblCellMar>
    </w:tblPr>
  </w:style>
  <w:style w:type="paragraph" w:customStyle="1" w:styleId="66">
    <w:name w:val="gt正文"/>
    <w:basedOn w:val="1"/>
    <w:qFormat/>
    <w:uiPriority w:val="0"/>
    <w:pPr>
      <w:topLinePunct/>
      <w:adjustRightInd w:val="0"/>
      <w:snapToGrid w:val="0"/>
      <w:ind w:firstLine="480"/>
      <w:outlineLvl w:val="9"/>
    </w:pPr>
    <w:rPr>
      <w:rFonts w:ascii="Times New Roman" w:hAnsi="Times New Roman" w:eastAsia="宋体"/>
      <w:color w:val="auto"/>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endnotes" Target="endnotes.xml"/><Relationship Id="rId39" Type="http://schemas.openxmlformats.org/officeDocument/2006/relationships/image" Target="media/image27.png"/><Relationship Id="rId38" Type="http://schemas.openxmlformats.org/officeDocument/2006/relationships/image" Target="media/image26.wmf"/><Relationship Id="rId37" Type="http://schemas.openxmlformats.org/officeDocument/2006/relationships/oleObject" Target="embeddings/oleObject5.bin"/><Relationship Id="rId36" Type="http://schemas.openxmlformats.org/officeDocument/2006/relationships/image" Target="media/image25.wmf"/><Relationship Id="rId35" Type="http://schemas.openxmlformats.org/officeDocument/2006/relationships/oleObject" Target="embeddings/oleObject4.bin"/><Relationship Id="rId34" Type="http://schemas.openxmlformats.org/officeDocument/2006/relationships/image" Target="media/image24.wmf"/><Relationship Id="rId33" Type="http://schemas.openxmlformats.org/officeDocument/2006/relationships/oleObject" Target="embeddings/oleObject3.bin"/><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oleObject" Target="embeddings/oleObject2.bin"/><Relationship Id="rId3" Type="http://schemas.openxmlformats.org/officeDocument/2006/relationships/footnotes" Target="footnotes.xml"/><Relationship Id="rId29" Type="http://schemas.openxmlformats.org/officeDocument/2006/relationships/image" Target="media/image21.wmf"/><Relationship Id="rId28" Type="http://schemas.openxmlformats.org/officeDocument/2006/relationships/oleObject" Target="embeddings/oleObject1.bin"/><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olidFill>
            <a:srgbClr val="FF0000"/>
          </a:solidFill>
        </a:ln>
      </a:spPr>
      <a:bodyPr rot="0" vertOverflow="overflow" horzOverflow="overflow" vert="horz" wrap="square" lIns="91440" tIns="45720" rIns="91440" bIns="45720" numCol="1" spcCol="0" rtlCol="0" fromWordArt="0" anchor="ctr" anchorCtr="0" forceAA="0" compatLnSpc="1">
        <a:noAutofit/>
      </a:bodyPr>
      <a:lstStyle/>
      <a:style>
        <a:lnRef idx="2">
          <a:schemeClr val="accent1">
            <a:lumMod val="75000"/>
          </a:schemeClr>
        </a:lnRef>
        <a:fillRef idx="1">
          <a:schemeClr val="accent1"/>
        </a:fillRef>
        <a:effectRef idx="0">
          <a:srgbClr val="FFFFFF"/>
        </a:effectRef>
        <a:fontRef idx="minor">
          <a:schemeClr val="lt1"/>
        </a:fontRef>
      </a:style>
    </a:spDef>
    <a:lnDef>
      <a:spPr>
        <a:noFill/>
        <a:ln w="3175" cap="flat" cmpd="sng" algn="ctr">
          <a:solidFill>
            <a:sysClr val="windowText" lastClr="000000"/>
          </a:solidFill>
          <a:prstDash val="solid"/>
          <a:headEnd type="none" w="med" len="med"/>
          <a:tailEnd type="triangle" w="med" len="med"/>
        </a:ln>
      </a:spPr>
      <a:bodyPr/>
      <a:lstStyle/>
      <a:style>
        <a:lnRef idx="1">
          <a:schemeClr val="accent1"/>
        </a:lnRef>
        <a:fillRef idx="0">
          <a:schemeClr val="accent1"/>
        </a:fillRef>
        <a:effectRef idx="0">
          <a:schemeClr val="accent1"/>
        </a:effectRef>
        <a:fontRef idx="minor">
          <a:schemeClr val="tx1"/>
        </a:fontRef>
      </a:style>
    </a:lnDef>
    <a:txDef>
      <a:spPr>
        <a:noFill/>
        <a:ln w="6350">
          <a:solidFill>
            <a:prstClr val="black"/>
          </a:solidFill>
        </a:ln>
      </a:spPr>
      <a:bodyPr rot="0" spcFirstLastPara="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TIzMDAzMjc4NjA0IiwKCSJHcm91cElkIiA6ICIyOTI1MDkwMTYiLAoJIkltYWdlIiA6ICJpVkJPUncwS0dnb0FBQUFOU1VoRVVnQUFCdHdBQUFqYUNBWUFBQUFXV2FpNEFBQUFBWE5TUjBJQXJzNGM2UUFBSUFCSlJFRlVlSnpzM1hsNFZOWDl4L0hQdVRQWmdMQ0lRZGtFTVFnR21PVGVxWXBhdGFpNDEzMnBXS3NXYTExcXJWcTF0cllXdGRYV3F2WG5qbHB0dGVKV3JWdEZBY1VWRldmdUpFQVFqWWdhUUVCbEordmM4L3VESkNZaCt3UWk4SDQ5VHg2VGU4ODk1M3NuSUpOODdqbEhBZ0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RBQnZ3L2JkWS9ZbDYxa000QUFBQUFTVVZPUks1Q1lJST0iLAoJIlRoZW1lIiA6ICIiLAoJIlR5cGUiIDogImZsb3ciLAoJIlZlcnNpb24iIDogIiIKfQo="/>
    </extobj>
    <extobj name="ECB019B1-382A-4266-B25C-5B523AA43C14-2">
      <extobjdata type="ECB019B1-382A-4266-B25C-5B523AA43C14" data="ewoJIkZpbGVJZCIgOiAiNTIyOTQ3NzkxMDI3IiwKCSJHcm91cElkIiA6ICIyOTI1MDkwMTYiLAoJIkltYWdlIiA6ICJpVkJPUncwS0dnb0FBQUFOU1VoRVVnQUFCa0lBQUFaMUNBWUFBQUJ4VHNpRUFBQUFBWE5TUjBJQXJzNGM2UUFBSUFCSlJFRlVlSnpzM1hkOGxGWCsvdi9ybnBKS0MwMDZvWW1nUUdaQURTQVdiQ3RXRUdUbEowVmhXWlVxS00wZ1MxdWFnTUFpaUt1aXFLdWdyRmo1QUlxTEFpc1FFb3FVUlNCSUpFQ1FGaEtTekV6dTN4K1MrUkptMGlBd1lYZzlsWlU1NTl6bmZ0K1REUStZaTNPT0J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EQUtmby9iWnByNjkyYjlWY0FBQUFBU1VWT1JLNUNZSUk9IiwKCSJUaGVtZSIgOiAiIiwKCSJUeXBlIiA6ICJmbG93IiwKCSJWZXJzaW9uIiA6ICIiCn0K"/>
    </extobj>
    <extobj name="ECB019B1-382A-4266-B25C-5B523AA43C14-3">
      <extobjdata type="ECB019B1-382A-4266-B25C-5B523AA43C14" data="ewoJIkZpbGVJZCIgOiAiNTIyOTgxMzQ5OTAzIiwKCSJHcm91cElkIiA6ICIyOTI1MDkwMTYiLAoJIkltYWdlIiA6ICJpVkJPUncwS0dnb0FBQUFOU1VoRVVnQUFCY2tBQUFUb0NBWUFBQURBTGtqSEFBQUFBWE5TUjBJQXJzNGM2UUFBSUFCSlJFRlVlSnpzM1hsOFZOWDkvL0gzdVRPVGhCQlFSRlFRTlNwV2lKRE12WEdwVzR2Zjl2dTE5V3RWRkxUMkozVnRyVXVWYXF1Q0M5VnFFU2x1MUdwcjFWcDNiVzNWYWwyckZyVnVtVHRKSUVJQmpScGxMVWpDa21YbW50OGZtZVNiaE1rR0lZUE02OWtpekQzbm52dTVFM2c4NEQwbm55c0J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TnJHL3dLU2tqVzlQNjVWcHdBQUFBQkpSVTVFcmtKZ2dnPT0iLAoJIlRoZW1lIiA6ICIiLAoJIlR5cGUiIDogImZsb3ciLAoJIlZlcnNpb24iIDogIiIKfQo="/>
    </extobj>
    <extobj name="ECB019B1-382A-4266-B25C-5B523AA43C14-4">
      <extobjdata type="ECB019B1-382A-4266-B25C-5B523AA43C14" data="ewoJIkZpbGVJZCIgOiAiNTIyOTg1Nzk5NjAwIiwKCSJHcm91cElkIiA6ICIyOTI1MDkwMTYiLAoJIkltYWdlIiA6ICJpVkJPUncwS0dnb0FBQUFOU1VoRVVnQUFCam9BQUFTTENBWUFBQUFzMTJTb0FBQUFBWE5TUjBJQXJzNGM2UUFBSUFCSlJFRlVlSnpzM1hsOFZQVzkvL0gzOTh4TUVoS0lJb0lGRWFOaWdSU1NPU2V1Vlh2eHR2ZGF2VmJGZ3JhOW9yalVWcXVWaTYzN1VyZUxTSEdCV3F4dDlWcDNhVzIxV3ExTDNhMVZNMmVTWUlRQ0dqSEtXcENFSmN2TStmNyt5Q1MvRUNiSkJBSkQ0UFc4MStxYzh6M2Y4emtEUGg1eTN2bCtQeEl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JQUI3SDhCQ2RxeVIyZlIwa01BQUFBQVNVVk9SSzVDWUlJPSIsCgkiVGhlbWUiIDogIiIsCgkiVHlwZSIgOiAiZmxvdyIsCgkiVmVyc2lvbiIgOiAiIgp9Cg=="/>
    </extobj>
    <extobj name="ECB019B1-382A-4266-B25C-5B523AA43C14-5">
      <extobjdata type="ECB019B1-382A-4266-B25C-5B523AA43C14" data="ewoJIkZpbGVJZCIgOiAiNTIzNjY4NTg5NDQyIiwKCSJHcm91cElkIiA6ICIyOTI1MDkwMTYiLAoJIkltYWdlIiA6ICJpVkJPUncwS0dnb0FBQUFOU1VoRVVnQUFCMVlBQUFNUENBWUFBQUJtQkRmV0FBQUFBWE5TUjBJQXJzNGM2UUFBSUFCSlJFRlVlSnpzM1htVXBYZGQ3L3ZQZDlmUW5SbkkwQTBITGpJY2gzaE5RbklPeUtBb1VRTktsSU1ZampoQ05OWGRCUjJTUStEZ2dBVmNKZ01SbTNRTkVHU1FLekc0dUNvS2NnN0lKSUpCUWlRSWNzM0ZxQWdOU1Rva0lTUmR3LzdkUDdvRElTUThDZW1xcDRiWGE2MkNkSVhxL2VuRlh0VzE2MTIvNTB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UXJBSUFBQUFBQUFDMFVLd0NBQUFBQUFBQXRGQ3NBZ0FBQUFBQUFMUlFyQUlBQUFBQUFBQzBVS3dDQUFBQUFBQUF0RkNzQWdBQUFBQUFBTFJRckFJQUFBQUFBQUMwVUt3Q0FBQUFBQUFBdEZDc0FnQUFBQUFBQUxSWTAzVUFBQUFBT05UNmRVbldkNTBDMnExZjEzVUNGcHJ4aU9YSTJBUUFDME94Q2dBQXdKS3ovb2o5TDRDdUdZOEFBRGpBVnNBQUFBQXNDVTJUSHlXNXMrc2M4R0RVWk0vYy84T3NBTVlqVmdwakV3RE1MeXRXQVFBQVdCS205K1dTdFVlbjZTV1A2am9MUEdCTmRrN3Z5eVZkeDJCK0dJOVlNWXhO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IVHYvd0hDQkpzZGV6MDZCUUFBQUFCSlJVNUVya0pnZ2c9PSIsCgkiVGhlbWUiIDogIiIsCgkiVHlwZSIgOiAiZmxvdyIsCgkiVmVyc2lvbiIgOiAiIgp9Cg=="/>
    </extobj>
    <extobj name="ECB019B1-382A-4266-B25C-5B523AA43C14-6">
      <extobjdata type="ECB019B1-382A-4266-B25C-5B523AA43C14" data="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"/>
    </extobj>
    <extobj name="ECB019B1-382A-4266-B25C-5B523AA43C14-7">
      <extobjdata type="ECB019B1-382A-4266-B25C-5B523AA43C14" data="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"/>
    </extobj>
    <extobj name="ECB019B1-382A-4266-B25C-5B523AA43C14-8">
      <extobjdata type="ECB019B1-382A-4266-B25C-5B523AA43C14" data="ewoJIkZpbGVJZCIgOiAiNTE5ODM5NTU4NDA2IiwKCSJHcm91cElkIiA6ICIyOTI1MDkwMTYiLAoJIkltYWdlIiA6ICJpVkJPUncwS0dnb0FBQUFOU1VoRVVnQUFCTXNBQUFWRkNBWUFBQUFHb0U2K0FBQUFBWE5TUjBJQXJzNGM2UUFBSUFCSlJFRlVlSnpzM1hsNFZOWEJ4L0hmdVROWkNJUWRCQVZFRElKQmtyazNvSWhhbDFaVVJHdlZLbGF0MXIzV1hVUnBWYlMrWGRTK2F0MXRYV3ExVkgydHFDZ3FGVGZRdW1WbWtrQWdnaGlVZmQ5Q01zbk1QZThmbVl4WklTQTFMTi9QOC9TUk9mZWNjODhkaDJieTh5d1N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ndDUHAvVlZ2a3h5NFBQMThBQUFBQVNVVk9SSzVDWUlJPSIsCgkiVGhlbWUiIDogIiIsCgkiVHlwZSIgOiAiZmxvdyIsCgkiVmVyc2lvbiIgOiAiIgp9Cg=="/>
    </extobj>
    <extobj name="ECB019B1-382A-4266-B25C-5B523AA43C14-9">
      <extobjdata type="ECB019B1-382A-4266-B25C-5B523AA43C14" data="ewoJIkZpbGVJZCIgOiAiNTIwMzI4NDUwOTI3IiwKCSJHcm91cElkIiA6ICIyOTI1MDkwMTYiLAoJIkltYWdlIiA6ICJpVkJPUncwS0dnb0FBQUFOU1VoRVVnQUFCNmNBQUFqdENBWUFBQURBQVQ0Q0FBQUFBWE5TUjBJQXJzNGM2UUFBSUFCSlJFRlVlSnpzM1hsNDNVVzlQL0RQbktSTlcyaFpXeWdVS0ZBRlMwbHlUbFJRcmdzcWlJTGd2dUNLZUwzdUM2N2NuMWN1Z3FJaWNyMHFDaTZvS0c2NGdvcUFMSEpsenpsSnVrQWxiRnJXc3JXRnRtbHl6dnorSUsxdG1xWkoyME5hK25vOVR4N2FtZm5PZkw2bjdSL2huWm1K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3RlBPL3dkVVA3ZllTaDVNWlFBQUFBQkpSVTVFcmtKZ2dnPT0iLAoJIlRoZW1lIiA6ICIiLAoJIlR5cGUiIDogImZsb3ciLAoJIlZlcnNpb24iIDogIiIKfQo="/>
    </extobj>
    <extobj name="ECB019B1-382A-4266-B25C-5B523AA43C14-10">
      <extobjdata type="ECB019B1-382A-4266-B25C-5B523AA43C14" data="ewoJIkZpbGVJZCIgOiAiNTIwMzQ2OTM4OTM0IiwKCSJHcm91cElkIiA6ICIyOTI1MDkwMTYiLAoJIkltYWdlIiA6ICJpVkJPUncwS0dnb0FBQUFOU1VoRVVnQUFCMklBQUFkSkNBWUFBQUFxVXRqMkFBQUFBWE5TUjBJQXJzNGM2UUFBSUFCSlJFRlVlSnpzM1hkNGxGWGUvL0hQUFRNcEpLRUVBYWtTbWhxRWtFa0VSTVVWMXBXeTZpS0xaVmRSQWN1cXFDQllFQlJwaTRCS1UybXVpQWlDcU5nZndVSlRWSkJNQ2tZNkFTSUVnaEFDZ2JTWjgvdURKTCtVU1lQQlVONnY2L0VpYzUvMnZjTjZYWS81NUp3akF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0EvOThlSEJBQUFBQUFDUG4vdWlFQkFBQUFBQUFBQUFBQUFBQUFBQUFBQUFBQUFBQUFBQUFBQUFBQUFBQUFBQUFBQUFBQUFBQUFBQUFBQUFBQUFBQUFBQUFBQUFBQUFBQUFBQUFBQUFBQUFBQUFBQUFBQUFBQUFBQUFBQUFBQUFBQUFBQUFBQUFBQUFBQUFBQUFBTmdLRE9XOUZGbzdIOFlBQUFBQVNVVk9SSzVDWUlJPSIsCgkiVGhlbWUiIDogIiIsCgkiVHlwZSIgOiAiZmxvdyIsCgkiVmVyc2lvbiIgOiAiIgp9Cg=="/>
    </extobj>
    <extobj name="ECB019B1-382A-4266-B25C-5B523AA43C14-11">
      <extobjdata type="ECB019B1-382A-4266-B25C-5B523AA43C14" data="ewoJIkZpbGVJZCIgOiAiNTIwNDcyODM3MDYyIiwKCSJHcm91cElkIiA6ICIyOTI1MDkwMTYiLAoJIkltYWdlIiA6ICJpVkJPUncwS0dnb0FBQUFOU1VoRVVnQUFCMklBQUFVcUNBWUFBQUF6cmJRckFBQUFBWE5TUjBJQXJzNGM2UUFBSUFCSlJFRlVlSnpzM1g5OHpmWC8vL0g3T1R2N1lac3hSbjV2U0prUXliejlqSDZSNGkxdlArb2RsWGwvOUV0WXFQeEt4Z2o1TlRHcWQ1VElxSWpxSFpXZkpaR2YwL3pLYkl5TkRUUEd0ck96OC8wak8xL0h6cll6RHZQamRyM1VoZk44UGwvUDUrTjFsdjY1ZXo2ZkV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MQUovai84R2EvSGUxbVZrd0FBQUFCSlJVNUVya0pnZ2c9PSIsCgkiVGhlbWUiIDogIiIsCgkiVHlwZSIgOiAiZmxvdyIsCgkiVmVyc2lvbiIgOiAiIgp9Cg=="/>
    </extobj>
    <extobj name="ECB019B1-382A-4266-B25C-5B523AA43C14-12">
      <extobjdata type="ECB019B1-382A-4266-B25C-5B523AA43C14" data="ewoJIkZpbGVJZCIgOiAiNTUyMzMzNjUzMTc1IiwKCSJHcm91cElkIiA6ICIyOTI1MDkwMTYiLAoJIkltYWdlIiA6ICJpVkJPUncwS0dnb0FBQUFOU1VoRVVnQUFBRXNBQUFCTENBWUFBQUE0VG5ycUFBQUFBWE5TUjBJQXJzNGM2UUFBQUMxSlJFRlVlSnp0d1RFQkFBQUF3cUQxVDIwTUg2QUFBQUFBQUFBQUFBQUFBQUFBQUFBQUFBQUFBQUNBc3dGWUx3QUJjQlY5NkFBQUFBQkpSVTVFcmtKZ2dnPT0iLAoJIlRoZW1lIiA6ICIiLAoJIlR5cGUiIDogImZsb3ciLAoJIlZlcnNpb24iIDogI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157</Pages>
  <Words>2703</Words>
  <Characters>2929</Characters>
  <Lines>254</Lines>
  <Paragraphs>71</Paragraphs>
  <TotalTime>7</TotalTime>
  <ScaleCrop>false</ScaleCrop>
  <LinksUpToDate>false</LinksUpToDate>
  <CharactersWithSpaces>2981</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2021-05-24T11:38:00Z</dcterms:created>
  <dc:creator>Administrator</dc:creator>
  <cp:lastModifiedBy>丫头</cp:lastModifiedBy>
  <cp:lastPrinted>2026-05-15T08:42:00Z</cp:lastPrinted>
  <dcterms:modified xsi:type="dcterms:W3CDTF">2026-09-01T06:22:04Z</dcterms:modified>
  <dc:title>前言</dc:title>
  <cp:revision>609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A2B8B22B5E424D4092FD430DDCF3EFD7_13</vt:lpwstr>
  </property>
  <property fmtid="{D5CDD505-2E9C-101B-9397-08002B2CF9AE}" pid="4" name="KSOTemplateDocerSaveRecord">
    <vt:lpwstr>eyJoZGlkIjoiNWZjNTEyZThiYjA5YmVlZTNkMjQwNWI0NTRmYzQyYTIiLCJ1c2VySWQiOiIzMjU5MDQxNDIifQ==</vt:lpwstr>
  </property>
</Properties>
</file>