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6F9DB1">
      <w:pPr>
        <w:adjustRightInd w:val="0"/>
        <w:snapToGrid w:val="0"/>
        <w:jc w:val="center"/>
        <w:outlineLvl w:val="0"/>
        <w:rPr>
          <w:rFonts w:ascii="方正小标宋_GBK" w:eastAsia="方正小标宋_GBK"/>
          <w:bCs/>
          <w:color w:val="auto"/>
          <w:sz w:val="52"/>
          <w:szCs w:val="52"/>
        </w:rPr>
      </w:pPr>
    </w:p>
    <w:p w14:paraId="4B146D2A">
      <w:pPr>
        <w:adjustRightInd w:val="0"/>
        <w:snapToGrid w:val="0"/>
        <w:jc w:val="center"/>
        <w:outlineLvl w:val="0"/>
        <w:rPr>
          <w:rFonts w:ascii="方正小标宋_GBK" w:eastAsia="方正小标宋_GBK"/>
          <w:bCs/>
          <w:color w:val="auto"/>
          <w:sz w:val="52"/>
          <w:szCs w:val="52"/>
        </w:rPr>
      </w:pPr>
    </w:p>
    <w:p w14:paraId="634D93C2">
      <w:pPr>
        <w:adjustRightInd w:val="0"/>
        <w:snapToGrid w:val="0"/>
        <w:jc w:val="center"/>
        <w:outlineLvl w:val="0"/>
        <w:rPr>
          <w:rFonts w:ascii="方正小标宋_GBK" w:eastAsia="方正小标宋_GBK"/>
          <w:bCs/>
          <w:color w:val="auto"/>
          <w:sz w:val="52"/>
          <w:szCs w:val="52"/>
        </w:rPr>
      </w:pPr>
      <w:r>
        <w:rPr>
          <w:rFonts w:ascii="方正小标宋_GBK" w:eastAsia="方正小标宋_GBK"/>
          <w:bCs/>
          <w:color w:val="auto"/>
          <w:sz w:val="52"/>
          <w:szCs w:val="52"/>
        </w:rPr>
        <w:t>建设项目</w:t>
      </w:r>
      <w:r>
        <w:rPr>
          <w:rFonts w:hint="eastAsia" w:ascii="方正小标宋_GBK" w:eastAsia="方正小标宋_GBK"/>
          <w:bCs/>
          <w:color w:val="auto"/>
          <w:sz w:val="52"/>
          <w:szCs w:val="52"/>
        </w:rPr>
        <w:t>生态</w:t>
      </w:r>
      <w:r>
        <w:rPr>
          <w:rFonts w:ascii="方正小标宋_GBK" w:eastAsia="方正小标宋_GBK"/>
          <w:bCs/>
          <w:color w:val="auto"/>
          <w:sz w:val="52"/>
          <w:szCs w:val="52"/>
        </w:rPr>
        <w:t>环境影响报告表</w:t>
      </w:r>
    </w:p>
    <w:p w14:paraId="322A739C">
      <w:pPr>
        <w:adjustRightInd w:val="0"/>
        <w:snapToGrid w:val="0"/>
        <w:spacing w:before="192" w:beforeLines="80"/>
        <w:jc w:val="center"/>
        <w:rPr>
          <w:rFonts w:eastAsia="楷体_GB2312"/>
          <w:bCs/>
          <w:color w:val="auto"/>
          <w:sz w:val="48"/>
          <w:szCs w:val="48"/>
        </w:rPr>
      </w:pPr>
      <w:r>
        <w:rPr>
          <w:rFonts w:eastAsia="楷体_GB2312"/>
          <w:bCs/>
          <w:color w:val="auto"/>
          <w:sz w:val="48"/>
          <w:szCs w:val="48"/>
        </w:rPr>
        <w:t>（污染影响类）</w:t>
      </w:r>
    </w:p>
    <w:p w14:paraId="21A2045C">
      <w:pPr>
        <w:ind w:firstLine="1040"/>
        <w:rPr>
          <w:rFonts w:eastAsia="仿宋"/>
          <w:color w:val="auto"/>
          <w:sz w:val="44"/>
          <w:szCs w:val="44"/>
        </w:rPr>
      </w:pPr>
    </w:p>
    <w:p w14:paraId="5F8E0B58">
      <w:pPr>
        <w:ind w:firstLine="1040"/>
        <w:rPr>
          <w:rFonts w:eastAsia="仿宋"/>
          <w:color w:val="auto"/>
          <w:sz w:val="44"/>
          <w:szCs w:val="44"/>
        </w:rPr>
      </w:pPr>
    </w:p>
    <w:p w14:paraId="67562B93">
      <w:pPr>
        <w:pStyle w:val="31"/>
        <w:rPr>
          <w:color w:val="auto"/>
        </w:rPr>
      </w:pPr>
    </w:p>
    <w:p w14:paraId="6FD282DC">
      <w:pPr>
        <w:ind w:firstLine="1040"/>
        <w:rPr>
          <w:rFonts w:eastAsia="仿宋"/>
          <w:color w:val="auto"/>
          <w:sz w:val="44"/>
          <w:szCs w:val="44"/>
        </w:rPr>
      </w:pPr>
    </w:p>
    <w:p w14:paraId="79F337AA">
      <w:pPr>
        <w:ind w:firstLine="1040"/>
        <w:rPr>
          <w:rFonts w:eastAsia="仿宋"/>
          <w:color w:val="auto"/>
          <w:sz w:val="44"/>
          <w:szCs w:val="44"/>
        </w:rPr>
      </w:pPr>
    </w:p>
    <w:p w14:paraId="02AB7DCE">
      <w:pPr>
        <w:adjustRightInd w:val="0"/>
        <w:snapToGrid w:val="0"/>
        <w:spacing w:line="360" w:lineRule="auto"/>
        <w:ind w:left="1981" w:leftChars="86" w:hanging="1800" w:hangingChars="500"/>
        <w:rPr>
          <w:rFonts w:eastAsia="仿宋_GB2312"/>
          <w:color w:val="auto"/>
          <w:sz w:val="36"/>
          <w:szCs w:val="36"/>
          <w:u w:val="single"/>
        </w:rPr>
      </w:pPr>
      <w:r>
        <w:rPr>
          <w:rFonts w:eastAsia="仿宋_GB2312"/>
          <w:color w:val="auto"/>
          <w:sz w:val="36"/>
          <w:szCs w:val="36"/>
        </w:rPr>
        <w:t>项目名称：</w:t>
      </w:r>
      <w:r>
        <w:rPr>
          <w:rFonts w:hint="eastAsia" w:eastAsia="仿宋_GB2312"/>
          <w:color w:val="auto"/>
          <w:sz w:val="36"/>
          <w:szCs w:val="36"/>
          <w:u w:val="single"/>
          <w:lang w:val="en-US" w:eastAsia="zh-CN"/>
        </w:rPr>
        <w:t xml:space="preserve">  </w:t>
      </w:r>
      <w:r>
        <w:rPr>
          <w:rFonts w:hint="eastAsia" w:ascii="仿宋_GB2312" w:eastAsia="仿宋_GB2312"/>
          <w:color w:val="auto"/>
          <w:sz w:val="36"/>
          <w:szCs w:val="36"/>
          <w:u w:val="single"/>
        </w:rPr>
        <w:t>年产10万吨焊管生产线建设项目</w:t>
      </w:r>
      <w:r>
        <w:rPr>
          <w:rFonts w:eastAsia="仿宋_GB2312"/>
          <w:color w:val="auto"/>
          <w:sz w:val="36"/>
          <w:szCs w:val="36"/>
          <w:u w:val="single"/>
        </w:rPr>
        <w:t xml:space="preserve">                        </w:t>
      </w:r>
    </w:p>
    <w:p w14:paraId="080603DB">
      <w:pPr>
        <w:adjustRightInd w:val="0"/>
        <w:spacing w:line="360" w:lineRule="auto"/>
        <w:ind w:firstLine="180" w:firstLineChars="50"/>
        <w:rPr>
          <w:rFonts w:eastAsia="仿宋_GB2312"/>
          <w:color w:val="auto"/>
          <w:sz w:val="36"/>
          <w:szCs w:val="36"/>
          <w:u w:val="single"/>
        </w:rPr>
      </w:pPr>
      <w:r>
        <w:rPr>
          <w:rFonts w:eastAsia="仿宋_GB2312"/>
          <w:color w:val="auto"/>
          <w:sz w:val="36"/>
          <w:szCs w:val="36"/>
        </w:rPr>
        <w:t>建设单位（盖章）：</w:t>
      </w:r>
      <w:bookmarkStart w:id="0" w:name="_Toc9637"/>
      <w:bookmarkStart w:id="1" w:name="_Toc7695"/>
      <w:bookmarkStart w:id="2" w:name="_Toc17088"/>
      <w:r>
        <w:rPr>
          <w:rFonts w:hint="eastAsia" w:ascii="仿宋_GB2312" w:eastAsia="仿宋_GB2312"/>
          <w:bCs/>
          <w:color w:val="auto"/>
          <w:sz w:val="36"/>
          <w:szCs w:val="36"/>
          <w:u w:val="single"/>
        </w:rPr>
        <w:t>云南省通海县鸿翔焊管有限公司</w:t>
      </w:r>
      <w:bookmarkEnd w:id="0"/>
      <w:bookmarkEnd w:id="1"/>
      <w:bookmarkEnd w:id="2"/>
      <w:r>
        <w:rPr>
          <w:rFonts w:eastAsia="仿宋_GB2312"/>
          <w:color w:val="auto"/>
          <w:sz w:val="36"/>
          <w:szCs w:val="36"/>
          <w:u w:val="single"/>
        </w:rPr>
        <w:t xml:space="preserve"> </w:t>
      </w:r>
      <w:r>
        <w:rPr>
          <w:rFonts w:hint="eastAsia" w:eastAsia="仿宋_GB2312"/>
          <w:color w:val="auto"/>
          <w:sz w:val="36"/>
          <w:szCs w:val="36"/>
          <w:u w:val="single"/>
        </w:rPr>
        <w:t xml:space="preserve">  </w:t>
      </w:r>
    </w:p>
    <w:p w14:paraId="69CEAEFE">
      <w:pPr>
        <w:adjustRightInd w:val="0"/>
        <w:snapToGrid w:val="0"/>
        <w:spacing w:line="360" w:lineRule="auto"/>
        <w:ind w:firstLine="180" w:firstLineChars="50"/>
        <w:rPr>
          <w:rFonts w:eastAsia="仿宋_GB2312"/>
          <w:color w:val="auto"/>
          <w:sz w:val="36"/>
          <w:szCs w:val="36"/>
          <w:u w:val="single"/>
        </w:rPr>
      </w:pPr>
      <w:r>
        <w:rPr>
          <w:rFonts w:eastAsia="仿宋_GB2312"/>
          <w:color w:val="auto"/>
          <w:sz w:val="36"/>
          <w:szCs w:val="36"/>
        </w:rPr>
        <w:t>编制日期：</w:t>
      </w:r>
      <w:r>
        <w:rPr>
          <w:rFonts w:eastAsia="仿宋_GB2312"/>
          <w:color w:val="auto"/>
          <w:sz w:val="36"/>
          <w:szCs w:val="36"/>
          <w:u w:val="single"/>
        </w:rPr>
        <w:t xml:space="preserve">        </w:t>
      </w:r>
      <w:r>
        <w:rPr>
          <w:rFonts w:hint="eastAsia" w:eastAsia="仿宋_GB2312"/>
          <w:color w:val="auto"/>
          <w:sz w:val="36"/>
          <w:szCs w:val="36"/>
          <w:u w:val="single"/>
        </w:rPr>
        <w:t xml:space="preserve">  </w:t>
      </w:r>
      <w:r>
        <w:rPr>
          <w:rFonts w:hint="eastAsia" w:ascii="仿宋_GB2312" w:eastAsia="仿宋_GB2312"/>
          <w:color w:val="auto"/>
          <w:sz w:val="36"/>
          <w:szCs w:val="36"/>
          <w:u w:val="single"/>
        </w:rPr>
        <w:t>202</w:t>
      </w:r>
      <w:r>
        <w:rPr>
          <w:rFonts w:ascii="仿宋_GB2312" w:eastAsia="仿宋_GB2312"/>
          <w:color w:val="auto"/>
          <w:sz w:val="36"/>
          <w:szCs w:val="36"/>
          <w:u w:val="single"/>
        </w:rPr>
        <w:t>6</w:t>
      </w:r>
      <w:r>
        <w:rPr>
          <w:rFonts w:hint="eastAsia" w:ascii="仿宋_GB2312" w:eastAsia="仿宋_GB2312"/>
          <w:color w:val="auto"/>
          <w:sz w:val="36"/>
          <w:szCs w:val="36"/>
          <w:u w:val="single"/>
        </w:rPr>
        <w:t>年8月</w:t>
      </w:r>
      <w:r>
        <w:rPr>
          <w:rFonts w:eastAsia="仿宋_GB2312"/>
          <w:color w:val="auto"/>
          <w:sz w:val="36"/>
          <w:szCs w:val="36"/>
          <w:u w:val="single"/>
        </w:rPr>
        <w:t xml:space="preserve">     </w:t>
      </w:r>
      <w:r>
        <w:rPr>
          <w:rFonts w:hint="eastAsia" w:eastAsia="仿宋_GB2312"/>
          <w:color w:val="auto"/>
          <w:sz w:val="36"/>
          <w:szCs w:val="36"/>
          <w:u w:val="single"/>
        </w:rPr>
        <w:t xml:space="preserve">    </w:t>
      </w:r>
      <w:r>
        <w:rPr>
          <w:rFonts w:eastAsia="仿宋_GB2312"/>
          <w:color w:val="auto"/>
          <w:sz w:val="36"/>
          <w:szCs w:val="36"/>
          <w:u w:val="single"/>
        </w:rPr>
        <w:t xml:space="preserve"> </w:t>
      </w:r>
      <w:r>
        <w:rPr>
          <w:rFonts w:hint="eastAsia" w:eastAsia="仿宋_GB2312"/>
          <w:color w:val="auto"/>
          <w:sz w:val="36"/>
          <w:szCs w:val="36"/>
          <w:u w:val="single"/>
        </w:rPr>
        <w:t xml:space="preserve">    </w:t>
      </w:r>
    </w:p>
    <w:p w14:paraId="391C2D37">
      <w:pPr>
        <w:adjustRightInd w:val="0"/>
        <w:snapToGrid w:val="0"/>
        <w:spacing w:line="288" w:lineRule="auto"/>
        <w:ind w:firstLine="1040"/>
        <w:rPr>
          <w:rFonts w:eastAsia="仿宋_GB2312"/>
          <w:color w:val="auto"/>
          <w:sz w:val="36"/>
          <w:szCs w:val="36"/>
          <w:u w:val="single"/>
        </w:rPr>
      </w:pPr>
      <w:bookmarkStart w:id="3" w:name="_Hlk57884087"/>
    </w:p>
    <w:p w14:paraId="08FF7791">
      <w:pPr>
        <w:adjustRightInd w:val="0"/>
        <w:snapToGrid w:val="0"/>
        <w:spacing w:line="288" w:lineRule="auto"/>
        <w:ind w:firstLine="1040"/>
        <w:rPr>
          <w:rFonts w:eastAsia="仿宋_GB2312"/>
          <w:color w:val="auto"/>
          <w:sz w:val="36"/>
          <w:szCs w:val="36"/>
        </w:rPr>
      </w:pPr>
    </w:p>
    <w:p w14:paraId="4B9AAE52">
      <w:pPr>
        <w:adjustRightInd w:val="0"/>
        <w:snapToGrid w:val="0"/>
        <w:spacing w:line="288" w:lineRule="auto"/>
        <w:ind w:firstLine="1040"/>
        <w:rPr>
          <w:rFonts w:eastAsia="仿宋_GB2312"/>
          <w:color w:val="auto"/>
          <w:sz w:val="36"/>
          <w:szCs w:val="36"/>
        </w:rPr>
      </w:pPr>
    </w:p>
    <w:p w14:paraId="081E65EC">
      <w:pPr>
        <w:adjustRightInd w:val="0"/>
        <w:snapToGrid w:val="0"/>
        <w:spacing w:line="288" w:lineRule="auto"/>
        <w:ind w:firstLine="1040"/>
        <w:rPr>
          <w:rFonts w:eastAsia="仿宋_GB2312"/>
          <w:color w:val="auto"/>
          <w:sz w:val="36"/>
          <w:szCs w:val="36"/>
        </w:rPr>
      </w:pPr>
    </w:p>
    <w:p w14:paraId="1138B1F4">
      <w:pPr>
        <w:adjustRightInd w:val="0"/>
        <w:snapToGrid w:val="0"/>
        <w:spacing w:line="288" w:lineRule="auto"/>
        <w:ind w:firstLine="1040"/>
        <w:rPr>
          <w:rFonts w:eastAsia="仿宋_GB2312"/>
          <w:color w:val="auto"/>
          <w:sz w:val="36"/>
          <w:szCs w:val="36"/>
        </w:rPr>
      </w:pPr>
    </w:p>
    <w:p w14:paraId="470F9F5A">
      <w:pPr>
        <w:adjustRightInd w:val="0"/>
        <w:snapToGrid w:val="0"/>
        <w:spacing w:line="288" w:lineRule="auto"/>
        <w:ind w:firstLine="1040"/>
        <w:rPr>
          <w:rFonts w:eastAsia="仿宋_GB2312"/>
          <w:color w:val="auto"/>
          <w:sz w:val="36"/>
          <w:szCs w:val="36"/>
        </w:rPr>
      </w:pPr>
    </w:p>
    <w:p w14:paraId="3D612500">
      <w:pPr>
        <w:adjustRightInd w:val="0"/>
        <w:snapToGrid w:val="0"/>
        <w:spacing w:line="288" w:lineRule="auto"/>
        <w:ind w:firstLine="1040"/>
        <w:rPr>
          <w:rFonts w:eastAsia="仿宋_GB2312"/>
          <w:color w:val="auto"/>
          <w:sz w:val="36"/>
          <w:szCs w:val="36"/>
        </w:rPr>
      </w:pPr>
    </w:p>
    <w:p w14:paraId="02C80A9B">
      <w:pPr>
        <w:adjustRightInd w:val="0"/>
        <w:snapToGrid w:val="0"/>
        <w:spacing w:line="288" w:lineRule="auto"/>
        <w:ind w:firstLine="1040"/>
        <w:rPr>
          <w:rFonts w:eastAsia="仿宋_GB2312"/>
          <w:color w:val="auto"/>
          <w:sz w:val="36"/>
          <w:szCs w:val="36"/>
        </w:rPr>
      </w:pPr>
    </w:p>
    <w:p w14:paraId="52D53AA7">
      <w:pPr>
        <w:adjustRightInd w:val="0"/>
        <w:snapToGrid w:val="0"/>
        <w:spacing w:line="288" w:lineRule="auto"/>
        <w:ind w:firstLine="1040"/>
        <w:rPr>
          <w:rFonts w:eastAsia="仿宋_GB2312"/>
          <w:color w:val="auto"/>
          <w:sz w:val="36"/>
          <w:szCs w:val="36"/>
        </w:rPr>
      </w:pPr>
    </w:p>
    <w:bookmarkEnd w:id="3"/>
    <w:p w14:paraId="593807B6">
      <w:pPr>
        <w:adjustRightInd w:val="0"/>
        <w:snapToGrid w:val="0"/>
        <w:spacing w:line="288" w:lineRule="auto"/>
        <w:jc w:val="center"/>
        <w:rPr>
          <w:rFonts w:eastAsia="楷体_GB2312"/>
          <w:color w:val="auto"/>
          <w:sz w:val="36"/>
          <w:szCs w:val="36"/>
        </w:rPr>
      </w:pPr>
      <w:r>
        <w:rPr>
          <w:rFonts w:eastAsia="楷体_GB2312"/>
          <w:color w:val="auto"/>
          <w:sz w:val="36"/>
          <w:szCs w:val="36"/>
        </w:rPr>
        <w:t>中华人民共和国生态环境部制</w:t>
      </w:r>
    </w:p>
    <w:p w14:paraId="558CB24C">
      <w:pPr>
        <w:rPr>
          <w:color w:val="auto"/>
        </w:rPr>
      </w:pPr>
    </w:p>
    <w:p w14:paraId="32447D65">
      <w:pPr>
        <w:rPr>
          <w:rFonts w:ascii="Times New Roman" w:hAnsi="黑体" w:eastAsia="黑体"/>
          <w:snapToGrid w:val="0"/>
          <w:color w:val="auto"/>
          <w:sz w:val="32"/>
          <w:szCs w:val="32"/>
        </w:rPr>
      </w:pPr>
      <w:r>
        <w:rPr>
          <w:rFonts w:ascii="Times New Roman" w:hAnsi="黑体" w:eastAsia="黑体"/>
          <w:snapToGrid w:val="0"/>
          <w:color w:val="auto"/>
          <w:sz w:val="32"/>
          <w:szCs w:val="32"/>
        </w:rPr>
        <w:br w:type="page"/>
      </w:r>
    </w:p>
    <w:p w14:paraId="46A5D40F">
      <w:pPr>
        <w:pStyle w:val="28"/>
        <w:jc w:val="center"/>
        <w:rPr>
          <w:rFonts w:hint="eastAsia" w:ascii="Times New Roman" w:hAnsi="黑体" w:eastAsia="黑体"/>
          <w:snapToGrid w:val="0"/>
          <w:color w:val="auto"/>
          <w:sz w:val="32"/>
          <w:szCs w:val="32"/>
        </w:rPr>
      </w:pPr>
      <w:bookmarkStart w:id="93" w:name="_GoBack"/>
      <w:bookmarkEnd w:id="93"/>
      <w:r>
        <w:rPr>
          <w:rFonts w:ascii="Times New Roman" w:hAnsi="黑体" w:eastAsia="黑体"/>
          <w:snapToGrid w:val="0"/>
          <w:color w:val="auto"/>
          <w:sz w:val="32"/>
          <w:szCs w:val="32"/>
        </w:rPr>
        <w:t>目</w:t>
      </w:r>
      <w:r>
        <w:rPr>
          <w:rFonts w:hint="eastAsia" w:ascii="Times New Roman" w:hAnsi="黑体" w:eastAsia="黑体"/>
          <w:snapToGrid w:val="0"/>
          <w:color w:val="auto"/>
          <w:sz w:val="32"/>
          <w:szCs w:val="32"/>
        </w:rPr>
        <w:t xml:space="preserve">   </w:t>
      </w:r>
      <w:r>
        <w:rPr>
          <w:rFonts w:ascii="Times New Roman" w:hAnsi="黑体" w:eastAsia="黑体"/>
          <w:snapToGrid w:val="0"/>
          <w:color w:val="auto"/>
          <w:sz w:val="32"/>
          <w:szCs w:val="32"/>
        </w:rPr>
        <w:t>录</w:t>
      </w:r>
    </w:p>
    <w:p w14:paraId="2DBC9CFF">
      <w:pPr>
        <w:pStyle w:val="23"/>
        <w:tabs>
          <w:tab w:val="right" w:leader="dot" w:pos="9628"/>
        </w:tabs>
        <w:rPr>
          <w:rFonts w:ascii="Times New Roman" w:hAnsi="Times New Roman" w:cs="Times New Roman" w:eastAsiaTheme="minorEastAsia"/>
          <w:caps w:val="0"/>
          <w:color w:val="auto"/>
          <w:sz w:val="24"/>
          <w:szCs w:val="24"/>
          <w14:ligatures w14:val="standardContextual"/>
        </w:rPr>
      </w:pPr>
      <w:r>
        <w:rPr>
          <w:rFonts w:ascii="Times New Roman" w:hAnsi="Times New Roman" w:cs="Times New Roman" w:eastAsiaTheme="minorEastAsia"/>
          <w:snapToGrid w:val="0"/>
          <w:color w:val="auto"/>
          <w:sz w:val="24"/>
          <w:szCs w:val="24"/>
        </w:rPr>
        <w:fldChar w:fldCharType="begin"/>
      </w:r>
      <w:r>
        <w:rPr>
          <w:rFonts w:ascii="Times New Roman" w:hAnsi="Times New Roman" w:cs="Times New Roman" w:eastAsiaTheme="minorEastAsia"/>
          <w:snapToGrid w:val="0"/>
          <w:color w:val="auto"/>
          <w:sz w:val="24"/>
          <w:szCs w:val="24"/>
        </w:rPr>
        <w:instrText xml:space="preserve"> TOC \o "1-1" \h \z \u </w:instrText>
      </w:r>
      <w:r>
        <w:rPr>
          <w:rFonts w:ascii="Times New Roman" w:hAnsi="Times New Roman" w:cs="Times New Roman" w:eastAsiaTheme="minorEastAsia"/>
          <w:snapToGrid w:val="0"/>
          <w:color w:val="auto"/>
          <w:sz w:val="24"/>
          <w:szCs w:val="24"/>
        </w:rPr>
        <w:fldChar w:fldCharType="separate"/>
      </w:r>
      <w:r>
        <w:rPr>
          <w:color w:val="auto"/>
        </w:rPr>
        <w:fldChar w:fldCharType="begin"/>
      </w:r>
      <w:r>
        <w:rPr>
          <w:color w:val="auto"/>
        </w:rPr>
        <w:instrText xml:space="preserve"> HYPERLINK \l "_Toc152840729" </w:instrText>
      </w:r>
      <w:r>
        <w:rPr>
          <w:color w:val="auto"/>
        </w:rPr>
        <w:fldChar w:fldCharType="separate"/>
      </w:r>
      <w:r>
        <w:rPr>
          <w:rStyle w:val="37"/>
          <w:rFonts w:ascii="Times New Roman" w:hAnsi="Times New Roman" w:cs="Times New Roman" w:eastAsiaTheme="minorEastAsia"/>
          <w:snapToGrid w:val="0"/>
          <w:color w:val="auto"/>
          <w:sz w:val="24"/>
          <w:szCs w:val="24"/>
        </w:rPr>
        <w:t>一、建设项目基本情况</w:t>
      </w:r>
      <w:r>
        <w:rPr>
          <w:rFonts w:ascii="Times New Roman" w:hAnsi="Times New Roman" w:cs="Times New Roman" w:eastAsiaTheme="minorEastAsia"/>
          <w:color w:val="auto"/>
          <w:sz w:val="24"/>
          <w:szCs w:val="24"/>
        </w:rPr>
        <w:tab/>
      </w:r>
      <w:r>
        <w:rPr>
          <w:rFonts w:ascii="Times New Roman" w:hAnsi="Times New Roman" w:cs="Times New Roman" w:eastAsiaTheme="minorEastAsia"/>
          <w:color w:val="auto"/>
          <w:sz w:val="24"/>
          <w:szCs w:val="24"/>
        </w:rPr>
        <w:fldChar w:fldCharType="begin"/>
      </w:r>
      <w:r>
        <w:rPr>
          <w:rFonts w:ascii="Times New Roman" w:hAnsi="Times New Roman" w:cs="Times New Roman" w:eastAsiaTheme="minorEastAsia"/>
          <w:color w:val="auto"/>
          <w:sz w:val="24"/>
          <w:szCs w:val="24"/>
        </w:rPr>
        <w:instrText xml:space="preserve"> PAGEREF _Toc152840729 \h </w:instrText>
      </w:r>
      <w:r>
        <w:rPr>
          <w:rFonts w:ascii="Times New Roman" w:hAnsi="Times New Roman" w:cs="Times New Roman" w:eastAsiaTheme="minorEastAsia"/>
          <w:color w:val="auto"/>
          <w:sz w:val="24"/>
          <w:szCs w:val="24"/>
        </w:rPr>
        <w:fldChar w:fldCharType="separate"/>
      </w:r>
      <w:r>
        <w:rPr>
          <w:rFonts w:ascii="Times New Roman" w:hAnsi="Times New Roman" w:cs="Times New Roman" w:eastAsiaTheme="minorEastAsia"/>
          <w:color w:val="auto"/>
          <w:sz w:val="24"/>
          <w:szCs w:val="24"/>
        </w:rPr>
        <w:t>1</w:t>
      </w:r>
      <w:r>
        <w:rPr>
          <w:rFonts w:ascii="Times New Roman" w:hAnsi="Times New Roman" w:cs="Times New Roman" w:eastAsiaTheme="minorEastAsia"/>
          <w:color w:val="auto"/>
          <w:sz w:val="24"/>
          <w:szCs w:val="24"/>
        </w:rPr>
        <w:fldChar w:fldCharType="end"/>
      </w:r>
      <w:r>
        <w:rPr>
          <w:rFonts w:ascii="Times New Roman" w:hAnsi="Times New Roman" w:cs="Times New Roman" w:eastAsiaTheme="minorEastAsia"/>
          <w:color w:val="auto"/>
          <w:sz w:val="24"/>
          <w:szCs w:val="24"/>
        </w:rPr>
        <w:fldChar w:fldCharType="end"/>
      </w:r>
    </w:p>
    <w:p w14:paraId="37DF9DE8">
      <w:pPr>
        <w:pStyle w:val="23"/>
        <w:tabs>
          <w:tab w:val="right" w:leader="dot" w:pos="9628"/>
        </w:tabs>
        <w:rPr>
          <w:rFonts w:ascii="Times New Roman" w:hAnsi="Times New Roman" w:cs="Times New Roman" w:eastAsiaTheme="minorEastAsia"/>
          <w:caps w:val="0"/>
          <w:color w:val="auto"/>
          <w:sz w:val="24"/>
          <w:szCs w:val="24"/>
          <w14:ligatures w14:val="standardContextual"/>
        </w:rPr>
      </w:pPr>
      <w:r>
        <w:rPr>
          <w:color w:val="auto"/>
        </w:rPr>
        <w:fldChar w:fldCharType="begin"/>
      </w:r>
      <w:r>
        <w:rPr>
          <w:color w:val="auto"/>
        </w:rPr>
        <w:instrText xml:space="preserve"> HYPERLINK \l "_Toc152840730" </w:instrText>
      </w:r>
      <w:r>
        <w:rPr>
          <w:color w:val="auto"/>
        </w:rPr>
        <w:fldChar w:fldCharType="separate"/>
      </w:r>
      <w:r>
        <w:rPr>
          <w:rStyle w:val="37"/>
          <w:rFonts w:ascii="Times New Roman" w:hAnsi="Times New Roman" w:cs="Times New Roman" w:eastAsiaTheme="minorEastAsia"/>
          <w:snapToGrid w:val="0"/>
          <w:color w:val="auto"/>
          <w:sz w:val="24"/>
          <w:szCs w:val="24"/>
        </w:rPr>
        <w:t>二、建设项目工程分析</w:t>
      </w:r>
      <w:r>
        <w:rPr>
          <w:rFonts w:ascii="Times New Roman" w:hAnsi="Times New Roman" w:cs="Times New Roman" w:eastAsiaTheme="minorEastAsia"/>
          <w:color w:val="auto"/>
          <w:sz w:val="24"/>
          <w:szCs w:val="24"/>
        </w:rPr>
        <w:tab/>
      </w:r>
      <w:r>
        <w:rPr>
          <w:rFonts w:ascii="Times New Roman" w:hAnsi="Times New Roman" w:cs="Times New Roman" w:eastAsiaTheme="minorEastAsia"/>
          <w:color w:val="auto"/>
          <w:sz w:val="24"/>
          <w:szCs w:val="24"/>
        </w:rPr>
        <w:fldChar w:fldCharType="begin"/>
      </w:r>
      <w:r>
        <w:rPr>
          <w:rFonts w:ascii="Times New Roman" w:hAnsi="Times New Roman" w:cs="Times New Roman" w:eastAsiaTheme="minorEastAsia"/>
          <w:color w:val="auto"/>
          <w:sz w:val="24"/>
          <w:szCs w:val="24"/>
        </w:rPr>
        <w:instrText xml:space="preserve"> PAGEREF _Toc152840730 \h </w:instrText>
      </w:r>
      <w:r>
        <w:rPr>
          <w:rFonts w:ascii="Times New Roman" w:hAnsi="Times New Roman" w:cs="Times New Roman" w:eastAsiaTheme="minorEastAsia"/>
          <w:color w:val="auto"/>
          <w:sz w:val="24"/>
          <w:szCs w:val="24"/>
        </w:rPr>
        <w:fldChar w:fldCharType="separate"/>
      </w:r>
      <w:r>
        <w:rPr>
          <w:rFonts w:ascii="Times New Roman" w:hAnsi="Times New Roman" w:cs="Times New Roman" w:eastAsiaTheme="minorEastAsia"/>
          <w:color w:val="auto"/>
          <w:sz w:val="24"/>
          <w:szCs w:val="24"/>
        </w:rPr>
        <w:t>28</w:t>
      </w:r>
      <w:r>
        <w:rPr>
          <w:rFonts w:ascii="Times New Roman" w:hAnsi="Times New Roman" w:cs="Times New Roman" w:eastAsiaTheme="minorEastAsia"/>
          <w:color w:val="auto"/>
          <w:sz w:val="24"/>
          <w:szCs w:val="24"/>
        </w:rPr>
        <w:fldChar w:fldCharType="end"/>
      </w:r>
      <w:r>
        <w:rPr>
          <w:rFonts w:ascii="Times New Roman" w:hAnsi="Times New Roman" w:cs="Times New Roman" w:eastAsiaTheme="minorEastAsia"/>
          <w:color w:val="auto"/>
          <w:sz w:val="24"/>
          <w:szCs w:val="24"/>
        </w:rPr>
        <w:fldChar w:fldCharType="end"/>
      </w:r>
    </w:p>
    <w:p w14:paraId="18B99AC3">
      <w:pPr>
        <w:pStyle w:val="23"/>
        <w:tabs>
          <w:tab w:val="right" w:leader="dot" w:pos="9628"/>
        </w:tabs>
        <w:rPr>
          <w:rFonts w:ascii="Times New Roman" w:hAnsi="Times New Roman" w:cs="Times New Roman" w:eastAsiaTheme="minorEastAsia"/>
          <w:caps w:val="0"/>
          <w:color w:val="auto"/>
          <w:sz w:val="24"/>
          <w:szCs w:val="24"/>
          <w14:ligatures w14:val="standardContextual"/>
        </w:rPr>
      </w:pPr>
      <w:r>
        <w:rPr>
          <w:color w:val="auto"/>
        </w:rPr>
        <w:fldChar w:fldCharType="begin"/>
      </w:r>
      <w:r>
        <w:rPr>
          <w:color w:val="auto"/>
        </w:rPr>
        <w:instrText xml:space="preserve"> HYPERLINK \l "_Toc152840731" </w:instrText>
      </w:r>
      <w:r>
        <w:rPr>
          <w:color w:val="auto"/>
        </w:rPr>
        <w:fldChar w:fldCharType="separate"/>
      </w:r>
      <w:r>
        <w:rPr>
          <w:rStyle w:val="37"/>
          <w:rFonts w:ascii="Times New Roman" w:hAnsi="Times New Roman" w:cs="Times New Roman" w:eastAsiaTheme="minorEastAsia"/>
          <w:snapToGrid w:val="0"/>
          <w:color w:val="auto"/>
          <w:sz w:val="24"/>
          <w:szCs w:val="24"/>
        </w:rPr>
        <w:t>三、区域环境质量现状、环境保护目标及评价标准</w:t>
      </w:r>
      <w:r>
        <w:rPr>
          <w:rFonts w:ascii="Times New Roman" w:hAnsi="Times New Roman" w:cs="Times New Roman" w:eastAsiaTheme="minorEastAsia"/>
          <w:color w:val="auto"/>
          <w:sz w:val="24"/>
          <w:szCs w:val="24"/>
        </w:rPr>
        <w:tab/>
      </w:r>
      <w:r>
        <w:rPr>
          <w:rFonts w:ascii="Times New Roman" w:hAnsi="Times New Roman" w:cs="Times New Roman" w:eastAsiaTheme="minorEastAsia"/>
          <w:color w:val="auto"/>
          <w:sz w:val="24"/>
          <w:szCs w:val="24"/>
        </w:rPr>
        <w:fldChar w:fldCharType="begin"/>
      </w:r>
      <w:r>
        <w:rPr>
          <w:rFonts w:ascii="Times New Roman" w:hAnsi="Times New Roman" w:cs="Times New Roman" w:eastAsiaTheme="minorEastAsia"/>
          <w:color w:val="auto"/>
          <w:sz w:val="24"/>
          <w:szCs w:val="24"/>
        </w:rPr>
        <w:instrText xml:space="preserve"> PAGEREF _Toc152840731 \h </w:instrText>
      </w:r>
      <w:r>
        <w:rPr>
          <w:rFonts w:ascii="Times New Roman" w:hAnsi="Times New Roman" w:cs="Times New Roman" w:eastAsiaTheme="minorEastAsia"/>
          <w:color w:val="auto"/>
          <w:sz w:val="24"/>
          <w:szCs w:val="24"/>
        </w:rPr>
        <w:fldChar w:fldCharType="separate"/>
      </w:r>
      <w:r>
        <w:rPr>
          <w:rFonts w:ascii="Times New Roman" w:hAnsi="Times New Roman" w:cs="Times New Roman" w:eastAsiaTheme="minorEastAsia"/>
          <w:color w:val="auto"/>
          <w:sz w:val="24"/>
          <w:szCs w:val="24"/>
        </w:rPr>
        <w:t>47</w:t>
      </w:r>
      <w:r>
        <w:rPr>
          <w:rFonts w:ascii="Times New Roman" w:hAnsi="Times New Roman" w:cs="Times New Roman" w:eastAsiaTheme="minorEastAsia"/>
          <w:color w:val="auto"/>
          <w:sz w:val="24"/>
          <w:szCs w:val="24"/>
        </w:rPr>
        <w:fldChar w:fldCharType="end"/>
      </w:r>
      <w:r>
        <w:rPr>
          <w:rFonts w:ascii="Times New Roman" w:hAnsi="Times New Roman" w:cs="Times New Roman" w:eastAsiaTheme="minorEastAsia"/>
          <w:color w:val="auto"/>
          <w:sz w:val="24"/>
          <w:szCs w:val="24"/>
        </w:rPr>
        <w:fldChar w:fldCharType="end"/>
      </w:r>
    </w:p>
    <w:p w14:paraId="2372D746">
      <w:pPr>
        <w:pStyle w:val="23"/>
        <w:tabs>
          <w:tab w:val="right" w:leader="dot" w:pos="9628"/>
        </w:tabs>
        <w:rPr>
          <w:rFonts w:ascii="Times New Roman" w:hAnsi="Times New Roman" w:cs="Times New Roman" w:eastAsiaTheme="minorEastAsia"/>
          <w:caps w:val="0"/>
          <w:color w:val="auto"/>
          <w:sz w:val="24"/>
          <w:szCs w:val="24"/>
          <w14:ligatures w14:val="standardContextual"/>
        </w:rPr>
      </w:pPr>
      <w:r>
        <w:rPr>
          <w:color w:val="auto"/>
        </w:rPr>
        <w:fldChar w:fldCharType="begin"/>
      </w:r>
      <w:r>
        <w:rPr>
          <w:color w:val="auto"/>
        </w:rPr>
        <w:instrText xml:space="preserve"> HYPERLINK \l "_Toc152840732" </w:instrText>
      </w:r>
      <w:r>
        <w:rPr>
          <w:color w:val="auto"/>
        </w:rPr>
        <w:fldChar w:fldCharType="separate"/>
      </w:r>
      <w:r>
        <w:rPr>
          <w:rStyle w:val="37"/>
          <w:rFonts w:ascii="Times New Roman" w:hAnsi="Times New Roman" w:cs="Times New Roman" w:eastAsiaTheme="minorEastAsia"/>
          <w:snapToGrid w:val="0"/>
          <w:color w:val="auto"/>
          <w:sz w:val="24"/>
          <w:szCs w:val="24"/>
        </w:rPr>
        <w:t>四、主要环境影响和保护措施</w:t>
      </w:r>
      <w:r>
        <w:rPr>
          <w:rFonts w:ascii="Times New Roman" w:hAnsi="Times New Roman" w:cs="Times New Roman" w:eastAsiaTheme="minorEastAsia"/>
          <w:color w:val="auto"/>
          <w:sz w:val="24"/>
          <w:szCs w:val="24"/>
        </w:rPr>
        <w:tab/>
      </w:r>
      <w:r>
        <w:rPr>
          <w:rFonts w:ascii="Times New Roman" w:hAnsi="Times New Roman" w:cs="Times New Roman" w:eastAsiaTheme="minorEastAsia"/>
          <w:color w:val="auto"/>
          <w:sz w:val="24"/>
          <w:szCs w:val="24"/>
        </w:rPr>
        <w:fldChar w:fldCharType="begin"/>
      </w:r>
      <w:r>
        <w:rPr>
          <w:rFonts w:ascii="Times New Roman" w:hAnsi="Times New Roman" w:cs="Times New Roman" w:eastAsiaTheme="minorEastAsia"/>
          <w:color w:val="auto"/>
          <w:sz w:val="24"/>
          <w:szCs w:val="24"/>
        </w:rPr>
        <w:instrText xml:space="preserve"> PAGEREF _Toc152840732 \h </w:instrText>
      </w:r>
      <w:r>
        <w:rPr>
          <w:rFonts w:ascii="Times New Roman" w:hAnsi="Times New Roman" w:cs="Times New Roman" w:eastAsiaTheme="minorEastAsia"/>
          <w:color w:val="auto"/>
          <w:sz w:val="24"/>
          <w:szCs w:val="24"/>
        </w:rPr>
        <w:fldChar w:fldCharType="separate"/>
      </w:r>
      <w:r>
        <w:rPr>
          <w:rFonts w:ascii="Times New Roman" w:hAnsi="Times New Roman" w:cs="Times New Roman" w:eastAsiaTheme="minorEastAsia"/>
          <w:color w:val="auto"/>
          <w:sz w:val="24"/>
          <w:szCs w:val="24"/>
        </w:rPr>
        <w:t>56</w:t>
      </w:r>
      <w:r>
        <w:rPr>
          <w:rFonts w:ascii="Times New Roman" w:hAnsi="Times New Roman" w:cs="Times New Roman" w:eastAsiaTheme="minorEastAsia"/>
          <w:color w:val="auto"/>
          <w:sz w:val="24"/>
          <w:szCs w:val="24"/>
        </w:rPr>
        <w:fldChar w:fldCharType="end"/>
      </w:r>
      <w:r>
        <w:rPr>
          <w:rFonts w:ascii="Times New Roman" w:hAnsi="Times New Roman" w:cs="Times New Roman" w:eastAsiaTheme="minorEastAsia"/>
          <w:color w:val="auto"/>
          <w:sz w:val="24"/>
          <w:szCs w:val="24"/>
        </w:rPr>
        <w:fldChar w:fldCharType="end"/>
      </w:r>
    </w:p>
    <w:p w14:paraId="07B96742">
      <w:pPr>
        <w:pStyle w:val="23"/>
        <w:tabs>
          <w:tab w:val="right" w:leader="dot" w:pos="9628"/>
        </w:tabs>
        <w:rPr>
          <w:rFonts w:ascii="Times New Roman" w:hAnsi="Times New Roman" w:cs="Times New Roman" w:eastAsiaTheme="minorEastAsia"/>
          <w:caps w:val="0"/>
          <w:color w:val="auto"/>
          <w:sz w:val="24"/>
          <w:szCs w:val="24"/>
          <w14:ligatures w14:val="standardContextual"/>
        </w:rPr>
      </w:pPr>
      <w:r>
        <w:rPr>
          <w:color w:val="auto"/>
        </w:rPr>
        <w:fldChar w:fldCharType="begin"/>
      </w:r>
      <w:r>
        <w:rPr>
          <w:color w:val="auto"/>
        </w:rPr>
        <w:instrText xml:space="preserve"> HYPERLINK \l "_Toc152840733" </w:instrText>
      </w:r>
      <w:r>
        <w:rPr>
          <w:color w:val="auto"/>
        </w:rPr>
        <w:fldChar w:fldCharType="separate"/>
      </w:r>
      <w:r>
        <w:rPr>
          <w:rStyle w:val="37"/>
          <w:rFonts w:ascii="Times New Roman" w:hAnsi="Times New Roman" w:cs="Times New Roman" w:eastAsiaTheme="minorEastAsia"/>
          <w:snapToGrid w:val="0"/>
          <w:color w:val="auto"/>
          <w:sz w:val="24"/>
          <w:szCs w:val="24"/>
        </w:rPr>
        <w:t>五、环境保护措施监督检查清单</w:t>
      </w:r>
      <w:r>
        <w:rPr>
          <w:rFonts w:ascii="Times New Roman" w:hAnsi="Times New Roman" w:cs="Times New Roman" w:eastAsiaTheme="minorEastAsia"/>
          <w:color w:val="auto"/>
          <w:sz w:val="24"/>
          <w:szCs w:val="24"/>
        </w:rPr>
        <w:tab/>
      </w:r>
      <w:r>
        <w:rPr>
          <w:rFonts w:ascii="Times New Roman" w:hAnsi="Times New Roman" w:cs="Times New Roman" w:eastAsiaTheme="minorEastAsia"/>
          <w:color w:val="auto"/>
          <w:sz w:val="24"/>
          <w:szCs w:val="24"/>
        </w:rPr>
        <w:fldChar w:fldCharType="begin"/>
      </w:r>
      <w:r>
        <w:rPr>
          <w:rFonts w:ascii="Times New Roman" w:hAnsi="Times New Roman" w:cs="Times New Roman" w:eastAsiaTheme="minorEastAsia"/>
          <w:color w:val="auto"/>
          <w:sz w:val="24"/>
          <w:szCs w:val="24"/>
        </w:rPr>
        <w:instrText xml:space="preserve"> PAGEREF _Toc152840733 \h </w:instrText>
      </w:r>
      <w:r>
        <w:rPr>
          <w:rFonts w:ascii="Times New Roman" w:hAnsi="Times New Roman" w:cs="Times New Roman" w:eastAsiaTheme="minorEastAsia"/>
          <w:color w:val="auto"/>
          <w:sz w:val="24"/>
          <w:szCs w:val="24"/>
        </w:rPr>
        <w:fldChar w:fldCharType="separate"/>
      </w:r>
      <w:r>
        <w:rPr>
          <w:rFonts w:ascii="Times New Roman" w:hAnsi="Times New Roman" w:cs="Times New Roman" w:eastAsiaTheme="minorEastAsia"/>
          <w:color w:val="auto"/>
          <w:sz w:val="24"/>
          <w:szCs w:val="24"/>
        </w:rPr>
        <w:t>82</w:t>
      </w:r>
      <w:r>
        <w:rPr>
          <w:rFonts w:ascii="Times New Roman" w:hAnsi="Times New Roman" w:cs="Times New Roman" w:eastAsiaTheme="minorEastAsia"/>
          <w:color w:val="auto"/>
          <w:sz w:val="24"/>
          <w:szCs w:val="24"/>
        </w:rPr>
        <w:fldChar w:fldCharType="end"/>
      </w:r>
      <w:r>
        <w:rPr>
          <w:rFonts w:ascii="Times New Roman" w:hAnsi="Times New Roman" w:cs="Times New Roman" w:eastAsiaTheme="minorEastAsia"/>
          <w:color w:val="auto"/>
          <w:sz w:val="24"/>
          <w:szCs w:val="24"/>
        </w:rPr>
        <w:fldChar w:fldCharType="end"/>
      </w:r>
    </w:p>
    <w:p w14:paraId="6EBB05BF">
      <w:pPr>
        <w:pStyle w:val="23"/>
        <w:tabs>
          <w:tab w:val="right" w:leader="dot" w:pos="9628"/>
        </w:tabs>
        <w:rPr>
          <w:rFonts w:ascii="Times New Roman" w:hAnsi="Times New Roman" w:cs="Times New Roman" w:eastAsiaTheme="minorEastAsia"/>
          <w:caps w:val="0"/>
          <w:color w:val="auto"/>
          <w:sz w:val="24"/>
          <w:szCs w:val="24"/>
          <w14:ligatures w14:val="standardContextual"/>
        </w:rPr>
      </w:pPr>
      <w:r>
        <w:rPr>
          <w:color w:val="auto"/>
        </w:rPr>
        <w:fldChar w:fldCharType="begin"/>
      </w:r>
      <w:r>
        <w:rPr>
          <w:color w:val="auto"/>
        </w:rPr>
        <w:instrText xml:space="preserve"> HYPERLINK \l "_Toc152840734" </w:instrText>
      </w:r>
      <w:r>
        <w:rPr>
          <w:color w:val="auto"/>
        </w:rPr>
        <w:fldChar w:fldCharType="separate"/>
      </w:r>
      <w:r>
        <w:rPr>
          <w:rStyle w:val="37"/>
          <w:rFonts w:ascii="Times New Roman" w:hAnsi="Times New Roman" w:cs="Times New Roman" w:eastAsiaTheme="minorEastAsia"/>
          <w:snapToGrid w:val="0"/>
          <w:color w:val="auto"/>
          <w:sz w:val="24"/>
          <w:szCs w:val="24"/>
        </w:rPr>
        <w:t>六、结论</w:t>
      </w:r>
      <w:r>
        <w:rPr>
          <w:rFonts w:ascii="Times New Roman" w:hAnsi="Times New Roman" w:cs="Times New Roman" w:eastAsiaTheme="minorEastAsia"/>
          <w:color w:val="auto"/>
          <w:sz w:val="24"/>
          <w:szCs w:val="24"/>
        </w:rPr>
        <w:tab/>
      </w:r>
      <w:r>
        <w:rPr>
          <w:rFonts w:ascii="Times New Roman" w:hAnsi="Times New Roman" w:cs="Times New Roman" w:eastAsiaTheme="minorEastAsia"/>
          <w:color w:val="auto"/>
          <w:sz w:val="24"/>
          <w:szCs w:val="24"/>
        </w:rPr>
        <w:fldChar w:fldCharType="begin"/>
      </w:r>
      <w:r>
        <w:rPr>
          <w:rFonts w:ascii="Times New Roman" w:hAnsi="Times New Roman" w:cs="Times New Roman" w:eastAsiaTheme="minorEastAsia"/>
          <w:color w:val="auto"/>
          <w:sz w:val="24"/>
          <w:szCs w:val="24"/>
        </w:rPr>
        <w:instrText xml:space="preserve"> PAGEREF _Toc152840734 \h </w:instrText>
      </w:r>
      <w:r>
        <w:rPr>
          <w:rFonts w:ascii="Times New Roman" w:hAnsi="Times New Roman" w:cs="Times New Roman" w:eastAsiaTheme="minorEastAsia"/>
          <w:color w:val="auto"/>
          <w:sz w:val="24"/>
          <w:szCs w:val="24"/>
        </w:rPr>
        <w:fldChar w:fldCharType="separate"/>
      </w:r>
      <w:r>
        <w:rPr>
          <w:rFonts w:ascii="Times New Roman" w:hAnsi="Times New Roman" w:cs="Times New Roman" w:eastAsiaTheme="minorEastAsia"/>
          <w:color w:val="auto"/>
          <w:sz w:val="24"/>
          <w:szCs w:val="24"/>
        </w:rPr>
        <w:t>87</w:t>
      </w:r>
      <w:r>
        <w:rPr>
          <w:rFonts w:ascii="Times New Roman" w:hAnsi="Times New Roman" w:cs="Times New Roman" w:eastAsiaTheme="minorEastAsia"/>
          <w:color w:val="auto"/>
          <w:sz w:val="24"/>
          <w:szCs w:val="24"/>
        </w:rPr>
        <w:fldChar w:fldCharType="end"/>
      </w:r>
      <w:r>
        <w:rPr>
          <w:rFonts w:ascii="Times New Roman" w:hAnsi="Times New Roman" w:cs="Times New Roman" w:eastAsiaTheme="minorEastAsia"/>
          <w:color w:val="auto"/>
          <w:sz w:val="24"/>
          <w:szCs w:val="24"/>
        </w:rPr>
        <w:fldChar w:fldCharType="end"/>
      </w:r>
    </w:p>
    <w:p w14:paraId="17D86820">
      <w:pPr>
        <w:pStyle w:val="23"/>
        <w:tabs>
          <w:tab w:val="right" w:leader="dot" w:pos="9628"/>
        </w:tabs>
        <w:rPr>
          <w:rFonts w:ascii="Times New Roman" w:hAnsi="Times New Roman" w:cs="Times New Roman" w:eastAsiaTheme="minorEastAsia"/>
          <w:caps w:val="0"/>
          <w:color w:val="auto"/>
          <w:sz w:val="24"/>
          <w:szCs w:val="24"/>
          <w14:ligatures w14:val="standardContextual"/>
        </w:rPr>
      </w:pPr>
      <w:r>
        <w:rPr>
          <w:color w:val="auto"/>
        </w:rPr>
        <w:fldChar w:fldCharType="begin"/>
      </w:r>
      <w:r>
        <w:rPr>
          <w:color w:val="auto"/>
        </w:rPr>
        <w:instrText xml:space="preserve"> HYPERLINK \l "_Toc152840735" </w:instrText>
      </w:r>
      <w:r>
        <w:rPr>
          <w:color w:val="auto"/>
        </w:rPr>
        <w:fldChar w:fldCharType="separate"/>
      </w:r>
      <w:r>
        <w:rPr>
          <w:rStyle w:val="37"/>
          <w:rFonts w:ascii="Times New Roman" w:hAnsi="Times New Roman" w:cs="Times New Roman" w:eastAsiaTheme="minorEastAsia"/>
          <w:snapToGrid w:val="0"/>
          <w:color w:val="auto"/>
          <w:sz w:val="24"/>
          <w:szCs w:val="24"/>
        </w:rPr>
        <w:t>附表</w:t>
      </w:r>
      <w:r>
        <w:rPr>
          <w:rFonts w:ascii="Times New Roman" w:hAnsi="Times New Roman" w:cs="Times New Roman" w:eastAsiaTheme="minorEastAsia"/>
          <w:color w:val="auto"/>
          <w:sz w:val="24"/>
          <w:szCs w:val="24"/>
        </w:rPr>
        <w:tab/>
      </w:r>
      <w:r>
        <w:rPr>
          <w:rFonts w:ascii="Times New Roman" w:hAnsi="Times New Roman" w:cs="Times New Roman" w:eastAsiaTheme="minorEastAsia"/>
          <w:color w:val="auto"/>
          <w:sz w:val="24"/>
          <w:szCs w:val="24"/>
        </w:rPr>
        <w:fldChar w:fldCharType="begin"/>
      </w:r>
      <w:r>
        <w:rPr>
          <w:rFonts w:ascii="Times New Roman" w:hAnsi="Times New Roman" w:cs="Times New Roman" w:eastAsiaTheme="minorEastAsia"/>
          <w:color w:val="auto"/>
          <w:sz w:val="24"/>
          <w:szCs w:val="24"/>
        </w:rPr>
        <w:instrText xml:space="preserve"> PAGEREF _Toc152840735 \h </w:instrText>
      </w:r>
      <w:r>
        <w:rPr>
          <w:rFonts w:ascii="Times New Roman" w:hAnsi="Times New Roman" w:cs="Times New Roman" w:eastAsiaTheme="minorEastAsia"/>
          <w:color w:val="auto"/>
          <w:sz w:val="24"/>
          <w:szCs w:val="24"/>
        </w:rPr>
        <w:fldChar w:fldCharType="separate"/>
      </w:r>
      <w:r>
        <w:rPr>
          <w:rFonts w:ascii="Times New Roman" w:hAnsi="Times New Roman" w:cs="Times New Roman" w:eastAsiaTheme="minorEastAsia"/>
          <w:color w:val="auto"/>
          <w:sz w:val="24"/>
          <w:szCs w:val="24"/>
        </w:rPr>
        <w:t>88</w:t>
      </w:r>
      <w:r>
        <w:rPr>
          <w:rFonts w:ascii="Times New Roman" w:hAnsi="Times New Roman" w:cs="Times New Roman" w:eastAsiaTheme="minorEastAsia"/>
          <w:color w:val="auto"/>
          <w:sz w:val="24"/>
          <w:szCs w:val="24"/>
        </w:rPr>
        <w:fldChar w:fldCharType="end"/>
      </w:r>
      <w:r>
        <w:rPr>
          <w:rFonts w:ascii="Times New Roman" w:hAnsi="Times New Roman" w:cs="Times New Roman" w:eastAsiaTheme="minorEastAsia"/>
          <w:color w:val="auto"/>
          <w:sz w:val="24"/>
          <w:szCs w:val="24"/>
        </w:rPr>
        <w:fldChar w:fldCharType="end"/>
      </w:r>
    </w:p>
    <w:p w14:paraId="641F514A">
      <w:pPr>
        <w:pStyle w:val="23"/>
        <w:tabs>
          <w:tab w:val="right" w:leader="dot" w:pos="9628"/>
        </w:tabs>
        <w:rPr>
          <w:rFonts w:ascii="Times New Roman" w:hAnsi="Times New Roman" w:cs="Times New Roman" w:eastAsiaTheme="minorEastAsia"/>
          <w:caps w:val="0"/>
          <w:color w:val="auto"/>
          <w:sz w:val="24"/>
          <w:szCs w:val="24"/>
          <w14:ligatures w14:val="standardContextual"/>
        </w:rPr>
      </w:pPr>
      <w:r>
        <w:rPr>
          <w:color w:val="auto"/>
        </w:rPr>
        <w:fldChar w:fldCharType="begin"/>
      </w:r>
      <w:r>
        <w:rPr>
          <w:color w:val="auto"/>
        </w:rPr>
        <w:instrText xml:space="preserve"> HYPERLINK \l "_Toc152840736" </w:instrText>
      </w:r>
      <w:r>
        <w:rPr>
          <w:color w:val="auto"/>
        </w:rPr>
        <w:fldChar w:fldCharType="separate"/>
      </w:r>
      <w:r>
        <w:rPr>
          <w:rStyle w:val="37"/>
          <w:rFonts w:ascii="Times New Roman" w:hAnsi="Times New Roman" w:cs="Times New Roman" w:eastAsiaTheme="minorEastAsia"/>
          <w:snapToGrid w:val="0"/>
          <w:color w:val="auto"/>
          <w:sz w:val="24"/>
          <w:szCs w:val="24"/>
        </w:rPr>
        <w:t>建设项目污染物排放量汇总表</w:t>
      </w:r>
      <w:r>
        <w:rPr>
          <w:rFonts w:ascii="Times New Roman" w:hAnsi="Times New Roman" w:cs="Times New Roman" w:eastAsiaTheme="minorEastAsia"/>
          <w:color w:val="auto"/>
          <w:sz w:val="24"/>
          <w:szCs w:val="24"/>
        </w:rPr>
        <w:tab/>
      </w:r>
      <w:r>
        <w:rPr>
          <w:rFonts w:ascii="Times New Roman" w:hAnsi="Times New Roman" w:cs="Times New Roman" w:eastAsiaTheme="minorEastAsia"/>
          <w:color w:val="auto"/>
          <w:sz w:val="24"/>
          <w:szCs w:val="24"/>
        </w:rPr>
        <w:fldChar w:fldCharType="begin"/>
      </w:r>
      <w:r>
        <w:rPr>
          <w:rFonts w:ascii="Times New Roman" w:hAnsi="Times New Roman" w:cs="Times New Roman" w:eastAsiaTheme="minorEastAsia"/>
          <w:color w:val="auto"/>
          <w:sz w:val="24"/>
          <w:szCs w:val="24"/>
        </w:rPr>
        <w:instrText xml:space="preserve"> PAGEREF _Toc152840736 \h </w:instrText>
      </w:r>
      <w:r>
        <w:rPr>
          <w:rFonts w:ascii="Times New Roman" w:hAnsi="Times New Roman" w:cs="Times New Roman" w:eastAsiaTheme="minorEastAsia"/>
          <w:color w:val="auto"/>
          <w:sz w:val="24"/>
          <w:szCs w:val="24"/>
        </w:rPr>
        <w:fldChar w:fldCharType="separate"/>
      </w:r>
      <w:r>
        <w:rPr>
          <w:rFonts w:ascii="Times New Roman" w:hAnsi="Times New Roman" w:cs="Times New Roman" w:eastAsiaTheme="minorEastAsia"/>
          <w:color w:val="auto"/>
          <w:sz w:val="24"/>
          <w:szCs w:val="24"/>
        </w:rPr>
        <w:t>88</w:t>
      </w:r>
      <w:r>
        <w:rPr>
          <w:rFonts w:ascii="Times New Roman" w:hAnsi="Times New Roman" w:cs="Times New Roman" w:eastAsiaTheme="minorEastAsia"/>
          <w:color w:val="auto"/>
          <w:sz w:val="24"/>
          <w:szCs w:val="24"/>
        </w:rPr>
        <w:fldChar w:fldCharType="end"/>
      </w:r>
      <w:r>
        <w:rPr>
          <w:rFonts w:ascii="Times New Roman" w:hAnsi="Times New Roman" w:cs="Times New Roman" w:eastAsiaTheme="minorEastAsia"/>
          <w:color w:val="auto"/>
          <w:sz w:val="24"/>
          <w:szCs w:val="24"/>
        </w:rPr>
        <w:fldChar w:fldCharType="end"/>
      </w:r>
    </w:p>
    <w:p w14:paraId="24C0CB70">
      <w:pPr>
        <w:pStyle w:val="28"/>
        <w:adjustRightInd w:val="0"/>
        <w:snapToGrid w:val="0"/>
        <w:spacing w:before="0" w:beforeAutospacing="0" w:after="0" w:afterAutospacing="0" w:line="360" w:lineRule="exact"/>
        <w:rPr>
          <w:rFonts w:ascii="Times New Roman" w:hAnsi="Times New Roman" w:eastAsia="黑体"/>
          <w:snapToGrid w:val="0"/>
          <w:color w:val="auto"/>
          <w:szCs w:val="24"/>
        </w:rPr>
      </w:pPr>
      <w:r>
        <w:rPr>
          <w:rFonts w:ascii="Times New Roman" w:hAnsi="Times New Roman" w:eastAsiaTheme="minorEastAsia"/>
          <w:b/>
          <w:bCs/>
          <w:snapToGrid w:val="0"/>
          <w:color w:val="auto"/>
          <w:szCs w:val="24"/>
        </w:rPr>
        <w:fldChar w:fldCharType="end"/>
      </w:r>
    </w:p>
    <w:p w14:paraId="650838F4">
      <w:pPr>
        <w:pStyle w:val="28"/>
        <w:adjustRightInd w:val="0"/>
        <w:snapToGrid w:val="0"/>
        <w:spacing w:before="0" w:beforeAutospacing="0" w:after="0" w:afterAutospacing="0" w:line="360" w:lineRule="exact"/>
        <w:rPr>
          <w:rFonts w:ascii="Times New Roman" w:hAnsi="Times New Roman" w:eastAsiaTheme="minorEastAsia"/>
          <w:snapToGrid w:val="0"/>
          <w:color w:val="auto"/>
          <w:sz w:val="21"/>
          <w:szCs w:val="21"/>
        </w:rPr>
      </w:pPr>
      <w:r>
        <w:rPr>
          <w:rFonts w:ascii="Times New Roman" w:hAnsi="Times New Roman" w:eastAsiaTheme="minorEastAsia"/>
          <w:snapToGrid w:val="0"/>
          <w:color w:val="auto"/>
          <w:sz w:val="21"/>
          <w:szCs w:val="21"/>
        </w:rPr>
        <w:t>附图：</w:t>
      </w:r>
    </w:p>
    <w:p w14:paraId="0BCBFEE5">
      <w:pPr>
        <w:pStyle w:val="28"/>
        <w:adjustRightInd w:val="0"/>
        <w:snapToGrid w:val="0"/>
        <w:spacing w:before="0" w:beforeAutospacing="0" w:after="0" w:afterAutospacing="0" w:line="360" w:lineRule="exact"/>
        <w:rPr>
          <w:rFonts w:ascii="Times New Roman" w:hAnsi="Times New Roman" w:eastAsiaTheme="minorEastAsia"/>
          <w:snapToGrid w:val="0"/>
          <w:color w:val="auto"/>
          <w:sz w:val="21"/>
          <w:szCs w:val="21"/>
        </w:rPr>
      </w:pPr>
      <w:r>
        <w:rPr>
          <w:rFonts w:ascii="Times New Roman" w:hAnsi="Times New Roman" w:eastAsiaTheme="minorEastAsia"/>
          <w:snapToGrid w:val="0"/>
          <w:color w:val="auto"/>
          <w:sz w:val="21"/>
          <w:szCs w:val="21"/>
        </w:rPr>
        <w:t>附图1、项目地理位置图</w:t>
      </w:r>
    </w:p>
    <w:p w14:paraId="2BFE4B45">
      <w:pPr>
        <w:pStyle w:val="28"/>
        <w:adjustRightInd w:val="0"/>
        <w:snapToGrid w:val="0"/>
        <w:spacing w:before="0" w:beforeAutospacing="0" w:after="0" w:afterAutospacing="0" w:line="360" w:lineRule="exact"/>
        <w:rPr>
          <w:rFonts w:ascii="Times New Roman" w:hAnsi="Times New Roman" w:eastAsiaTheme="minorEastAsia"/>
          <w:snapToGrid w:val="0"/>
          <w:color w:val="auto"/>
          <w:sz w:val="21"/>
          <w:szCs w:val="21"/>
        </w:rPr>
      </w:pPr>
      <w:r>
        <w:rPr>
          <w:rFonts w:ascii="Times New Roman" w:hAnsi="Times New Roman" w:eastAsiaTheme="minorEastAsia"/>
          <w:snapToGrid w:val="0"/>
          <w:color w:val="auto"/>
          <w:sz w:val="21"/>
          <w:szCs w:val="21"/>
        </w:rPr>
        <w:t>附图2、项目厂区平面布置图</w:t>
      </w:r>
    </w:p>
    <w:p w14:paraId="559A52C2">
      <w:pPr>
        <w:pStyle w:val="28"/>
        <w:adjustRightInd w:val="0"/>
        <w:snapToGrid w:val="0"/>
        <w:spacing w:before="0" w:beforeAutospacing="0" w:after="0" w:afterAutospacing="0" w:line="360" w:lineRule="exact"/>
        <w:rPr>
          <w:rFonts w:ascii="Times New Roman" w:hAnsi="Times New Roman" w:eastAsiaTheme="minorEastAsia"/>
          <w:snapToGrid w:val="0"/>
          <w:color w:val="auto"/>
          <w:sz w:val="21"/>
          <w:szCs w:val="21"/>
        </w:rPr>
      </w:pPr>
      <w:r>
        <w:rPr>
          <w:rFonts w:ascii="Times New Roman" w:hAnsi="Times New Roman" w:eastAsiaTheme="minorEastAsia"/>
          <w:snapToGrid w:val="0"/>
          <w:color w:val="auto"/>
          <w:sz w:val="21"/>
          <w:szCs w:val="21"/>
        </w:rPr>
        <w:t>附图3、项目周边环境关系图</w:t>
      </w:r>
    </w:p>
    <w:p w14:paraId="1C65BB43">
      <w:pPr>
        <w:pStyle w:val="28"/>
        <w:adjustRightInd w:val="0"/>
        <w:snapToGrid w:val="0"/>
        <w:spacing w:before="0" w:beforeAutospacing="0" w:after="0" w:afterAutospacing="0" w:line="360" w:lineRule="exact"/>
        <w:rPr>
          <w:rFonts w:ascii="Times New Roman" w:hAnsi="Times New Roman" w:eastAsiaTheme="minorEastAsia"/>
          <w:snapToGrid w:val="0"/>
          <w:color w:val="auto"/>
          <w:sz w:val="21"/>
          <w:szCs w:val="21"/>
        </w:rPr>
      </w:pPr>
      <w:r>
        <w:rPr>
          <w:rFonts w:ascii="Times New Roman" w:hAnsi="Times New Roman" w:eastAsiaTheme="minorEastAsia"/>
          <w:snapToGrid w:val="0"/>
          <w:color w:val="auto"/>
          <w:sz w:val="21"/>
          <w:szCs w:val="21"/>
        </w:rPr>
        <w:t>附图4、项目所在流域水系图</w:t>
      </w:r>
    </w:p>
    <w:p w14:paraId="42E0CC41">
      <w:pPr>
        <w:pStyle w:val="28"/>
        <w:adjustRightInd w:val="0"/>
        <w:snapToGrid w:val="0"/>
        <w:spacing w:before="0" w:beforeAutospacing="0" w:after="0" w:afterAutospacing="0" w:line="360" w:lineRule="exact"/>
        <w:rPr>
          <w:rFonts w:ascii="Times New Roman" w:hAnsi="Times New Roman" w:eastAsiaTheme="minorEastAsia"/>
          <w:snapToGrid w:val="0"/>
          <w:color w:val="auto"/>
          <w:sz w:val="21"/>
          <w:szCs w:val="21"/>
        </w:rPr>
      </w:pPr>
      <w:r>
        <w:rPr>
          <w:rFonts w:ascii="Times New Roman" w:hAnsi="Times New Roman" w:eastAsiaTheme="minorEastAsia"/>
          <w:snapToGrid w:val="0"/>
          <w:color w:val="auto"/>
          <w:sz w:val="21"/>
          <w:szCs w:val="21"/>
        </w:rPr>
        <w:t>附图5、项目与杞麓湖生态保护区划定范围图位置关系图</w:t>
      </w:r>
    </w:p>
    <w:p w14:paraId="67614C4A">
      <w:pPr>
        <w:pStyle w:val="28"/>
        <w:adjustRightInd w:val="0"/>
        <w:snapToGrid w:val="0"/>
        <w:spacing w:before="0" w:beforeAutospacing="0" w:after="0" w:afterAutospacing="0" w:line="360" w:lineRule="exact"/>
        <w:rPr>
          <w:rFonts w:ascii="Times New Roman" w:hAnsi="Times New Roman" w:eastAsiaTheme="minorEastAsia"/>
          <w:snapToGrid w:val="0"/>
          <w:color w:val="auto"/>
          <w:sz w:val="21"/>
          <w:szCs w:val="21"/>
        </w:rPr>
      </w:pPr>
      <w:r>
        <w:rPr>
          <w:rFonts w:ascii="Times New Roman" w:hAnsi="Times New Roman" w:eastAsiaTheme="minorEastAsia"/>
          <w:snapToGrid w:val="0"/>
          <w:color w:val="auto"/>
          <w:sz w:val="21"/>
          <w:szCs w:val="21"/>
        </w:rPr>
        <w:t>附图6、项目与云南通海杞麓湖国家湿地公园位置关系图</w:t>
      </w:r>
    </w:p>
    <w:p w14:paraId="73682FD9">
      <w:pPr>
        <w:pStyle w:val="28"/>
        <w:adjustRightInd w:val="0"/>
        <w:snapToGrid w:val="0"/>
        <w:spacing w:before="0" w:beforeAutospacing="0" w:after="0" w:afterAutospacing="0" w:line="360" w:lineRule="exact"/>
        <w:rPr>
          <w:rFonts w:ascii="Times New Roman" w:hAnsi="Times New Roman" w:eastAsiaTheme="minorEastAsia"/>
          <w:snapToGrid w:val="0"/>
          <w:color w:val="auto"/>
          <w:sz w:val="21"/>
          <w:szCs w:val="21"/>
        </w:rPr>
      </w:pPr>
      <w:r>
        <w:rPr>
          <w:rFonts w:ascii="Times New Roman" w:hAnsi="Times New Roman" w:eastAsiaTheme="minorEastAsia"/>
          <w:snapToGrid w:val="0"/>
          <w:color w:val="auto"/>
          <w:sz w:val="21"/>
          <w:szCs w:val="21"/>
        </w:rPr>
        <w:t>附图7、项目与《玉溪市通海县纳古镇集镇区国土空间详细规划(2单元)》用地布局规划的位置关系图</w:t>
      </w:r>
    </w:p>
    <w:p w14:paraId="65C13D59">
      <w:pPr>
        <w:pStyle w:val="28"/>
        <w:adjustRightInd w:val="0"/>
        <w:snapToGrid w:val="0"/>
        <w:spacing w:before="0" w:beforeAutospacing="0" w:after="0" w:afterAutospacing="0" w:line="360" w:lineRule="exact"/>
        <w:rPr>
          <w:rFonts w:ascii="Times New Roman" w:hAnsi="Times New Roman" w:eastAsiaTheme="minorEastAsia"/>
          <w:snapToGrid w:val="0"/>
          <w:color w:val="auto"/>
          <w:sz w:val="21"/>
          <w:szCs w:val="21"/>
        </w:rPr>
      </w:pPr>
      <w:r>
        <w:rPr>
          <w:rFonts w:ascii="Times New Roman" w:hAnsi="Times New Roman" w:eastAsiaTheme="minorEastAsia"/>
          <w:snapToGrid w:val="0"/>
          <w:color w:val="auto"/>
          <w:sz w:val="21"/>
          <w:szCs w:val="21"/>
        </w:rPr>
        <w:t>附图8、项目分区防渗图</w:t>
      </w:r>
    </w:p>
    <w:p w14:paraId="70E31D9C">
      <w:pPr>
        <w:pStyle w:val="28"/>
        <w:adjustRightInd w:val="0"/>
        <w:snapToGrid w:val="0"/>
        <w:spacing w:before="0" w:beforeAutospacing="0" w:after="0" w:afterAutospacing="0" w:line="360" w:lineRule="exact"/>
        <w:rPr>
          <w:rFonts w:hint="eastAsia" w:asciiTheme="minorEastAsia" w:hAnsiTheme="minorEastAsia" w:eastAsiaTheme="minorEastAsia"/>
          <w:snapToGrid w:val="0"/>
          <w:color w:val="auto"/>
          <w:sz w:val="21"/>
          <w:szCs w:val="21"/>
        </w:rPr>
      </w:pPr>
    </w:p>
    <w:p w14:paraId="3971D3BA">
      <w:pPr>
        <w:pStyle w:val="28"/>
        <w:adjustRightInd w:val="0"/>
        <w:snapToGrid w:val="0"/>
        <w:spacing w:before="0" w:beforeAutospacing="0" w:after="0" w:afterAutospacing="0" w:line="360" w:lineRule="exact"/>
        <w:rPr>
          <w:rFonts w:hint="eastAsia" w:asciiTheme="minorEastAsia" w:hAnsiTheme="minorEastAsia" w:eastAsiaTheme="minorEastAsia"/>
          <w:snapToGrid w:val="0"/>
          <w:color w:val="auto"/>
          <w:sz w:val="21"/>
          <w:szCs w:val="21"/>
        </w:rPr>
      </w:pPr>
      <w:r>
        <w:rPr>
          <w:rFonts w:asciiTheme="minorEastAsia" w:hAnsiTheme="minorEastAsia" w:eastAsiaTheme="minorEastAsia"/>
          <w:snapToGrid w:val="0"/>
          <w:color w:val="auto"/>
          <w:sz w:val="21"/>
          <w:szCs w:val="21"/>
        </w:rPr>
        <w:t>附件：</w:t>
      </w:r>
    </w:p>
    <w:p w14:paraId="5ED46B5A">
      <w:pPr>
        <w:pStyle w:val="28"/>
        <w:adjustRightInd w:val="0"/>
        <w:snapToGrid w:val="0"/>
        <w:spacing w:before="0" w:beforeAutospacing="0" w:after="0" w:afterAutospacing="0" w:line="360" w:lineRule="exact"/>
        <w:rPr>
          <w:rFonts w:ascii="Times New Roman" w:hAnsi="Times New Roman" w:eastAsiaTheme="minorEastAsia"/>
          <w:snapToGrid w:val="0"/>
          <w:color w:val="auto"/>
          <w:sz w:val="21"/>
          <w:szCs w:val="21"/>
        </w:rPr>
      </w:pPr>
      <w:r>
        <w:rPr>
          <w:rFonts w:ascii="Times New Roman" w:hAnsi="Times New Roman" w:eastAsiaTheme="minorEastAsia"/>
          <w:snapToGrid w:val="0"/>
          <w:color w:val="auto"/>
          <w:sz w:val="21"/>
          <w:szCs w:val="21"/>
        </w:rPr>
        <w:t>附件1、项目委托书</w:t>
      </w:r>
    </w:p>
    <w:p w14:paraId="162731F1">
      <w:pPr>
        <w:pStyle w:val="28"/>
        <w:adjustRightInd w:val="0"/>
        <w:snapToGrid w:val="0"/>
        <w:spacing w:before="0" w:beforeAutospacing="0" w:after="0" w:afterAutospacing="0" w:line="360" w:lineRule="exact"/>
        <w:rPr>
          <w:rFonts w:ascii="Times New Roman" w:hAnsi="Times New Roman" w:eastAsiaTheme="minorEastAsia"/>
          <w:snapToGrid w:val="0"/>
          <w:color w:val="auto"/>
          <w:sz w:val="21"/>
          <w:szCs w:val="21"/>
        </w:rPr>
      </w:pPr>
      <w:r>
        <w:rPr>
          <w:rFonts w:ascii="Times New Roman" w:hAnsi="Times New Roman" w:eastAsiaTheme="minorEastAsia"/>
          <w:snapToGrid w:val="0"/>
          <w:color w:val="auto"/>
          <w:sz w:val="21"/>
          <w:szCs w:val="21"/>
        </w:rPr>
        <w:t>附件2、</w:t>
      </w:r>
      <w:r>
        <w:rPr>
          <w:rFonts w:hint="eastAsia" w:ascii="Times New Roman" w:hAnsi="Times New Roman" w:eastAsiaTheme="minorEastAsia"/>
          <w:snapToGrid w:val="0"/>
          <w:color w:val="auto"/>
          <w:sz w:val="21"/>
          <w:szCs w:val="21"/>
        </w:rPr>
        <w:t>投资项目备案证</w:t>
      </w:r>
    </w:p>
    <w:p w14:paraId="61C154E1">
      <w:pPr>
        <w:pStyle w:val="28"/>
        <w:adjustRightInd w:val="0"/>
        <w:snapToGrid w:val="0"/>
        <w:spacing w:before="0" w:beforeAutospacing="0" w:after="0" w:afterAutospacing="0" w:line="360" w:lineRule="exact"/>
        <w:rPr>
          <w:rFonts w:ascii="Times New Roman" w:hAnsi="Times New Roman" w:eastAsiaTheme="minorEastAsia"/>
          <w:snapToGrid w:val="0"/>
          <w:color w:val="auto"/>
          <w:sz w:val="21"/>
          <w:szCs w:val="21"/>
        </w:rPr>
      </w:pPr>
      <w:r>
        <w:rPr>
          <w:rFonts w:hint="eastAsia" w:ascii="Times New Roman" w:hAnsi="Times New Roman" w:eastAsiaTheme="minorEastAsia"/>
          <w:snapToGrid w:val="0"/>
          <w:color w:val="auto"/>
          <w:sz w:val="21"/>
          <w:szCs w:val="21"/>
        </w:rPr>
        <w:t>附件3、土地租用协议</w:t>
      </w:r>
    </w:p>
    <w:p w14:paraId="3BC1BC6A">
      <w:pPr>
        <w:pStyle w:val="28"/>
        <w:adjustRightInd w:val="0"/>
        <w:snapToGrid w:val="0"/>
        <w:spacing w:before="0" w:beforeAutospacing="0" w:after="0" w:afterAutospacing="0" w:line="360" w:lineRule="exact"/>
        <w:rPr>
          <w:rFonts w:ascii="Times New Roman" w:hAnsi="Times New Roman" w:eastAsiaTheme="minorEastAsia"/>
          <w:snapToGrid w:val="0"/>
          <w:color w:val="auto"/>
          <w:sz w:val="21"/>
          <w:szCs w:val="21"/>
        </w:rPr>
      </w:pPr>
      <w:r>
        <w:rPr>
          <w:rFonts w:hint="eastAsia" w:ascii="Times New Roman" w:hAnsi="Times New Roman" w:eastAsiaTheme="minorEastAsia"/>
          <w:snapToGrid w:val="0"/>
          <w:color w:val="auto"/>
          <w:sz w:val="21"/>
          <w:szCs w:val="21"/>
        </w:rPr>
        <w:t>附件4、通海县三区三线数据查询结果</w:t>
      </w:r>
    </w:p>
    <w:p w14:paraId="7A3335D8">
      <w:pPr>
        <w:pStyle w:val="28"/>
        <w:adjustRightInd w:val="0"/>
        <w:snapToGrid w:val="0"/>
        <w:spacing w:before="0" w:beforeAutospacing="0" w:after="0" w:afterAutospacing="0" w:line="360" w:lineRule="exact"/>
        <w:rPr>
          <w:rFonts w:ascii="Times New Roman" w:hAnsi="Times New Roman" w:eastAsiaTheme="minorEastAsia"/>
          <w:snapToGrid w:val="0"/>
          <w:color w:val="auto"/>
          <w:sz w:val="21"/>
          <w:szCs w:val="21"/>
        </w:rPr>
      </w:pPr>
      <w:bookmarkStart w:id="4" w:name="OLE_LINK3"/>
      <w:r>
        <w:rPr>
          <w:rFonts w:hint="eastAsia" w:ascii="Times New Roman" w:hAnsi="Times New Roman" w:eastAsiaTheme="minorEastAsia"/>
          <w:snapToGrid w:val="0"/>
          <w:color w:val="auto"/>
          <w:sz w:val="21"/>
          <w:szCs w:val="21"/>
        </w:rPr>
        <w:t>附件5、项目生态环境分区管控单元查询结果</w:t>
      </w:r>
    </w:p>
    <w:bookmarkEnd w:id="4"/>
    <w:p w14:paraId="69BFE31A">
      <w:pPr>
        <w:spacing w:line="360" w:lineRule="exact"/>
        <w:rPr>
          <w:color w:val="auto"/>
        </w:rPr>
      </w:pPr>
      <w:r>
        <w:rPr>
          <w:rFonts w:hint="eastAsia"/>
          <w:color w:val="auto"/>
        </w:rPr>
        <w:t>附件6、通海县纳古镇人民政府关于云南省通海县鸿翔焊管有限公司的选址意见</w:t>
      </w:r>
    </w:p>
    <w:p w14:paraId="14D47EFD">
      <w:pPr>
        <w:spacing w:line="360" w:lineRule="exact"/>
        <w:rPr>
          <w:color w:val="auto"/>
        </w:rPr>
      </w:pPr>
      <w:r>
        <w:rPr>
          <w:rFonts w:hint="eastAsia"/>
          <w:color w:val="auto"/>
        </w:rPr>
        <w:t>附件7、通海县杞麓湖管理局关于本项目的选址意见</w:t>
      </w:r>
    </w:p>
    <w:p w14:paraId="118EA117">
      <w:pPr>
        <w:spacing w:line="360" w:lineRule="exact"/>
        <w:rPr>
          <w:color w:val="auto"/>
        </w:rPr>
      </w:pPr>
      <w:r>
        <w:rPr>
          <w:rFonts w:hint="eastAsia"/>
          <w:color w:val="auto"/>
        </w:rPr>
        <w:t>附件8、项目生活污水接纳申请</w:t>
      </w:r>
    </w:p>
    <w:p w14:paraId="5ED16E7D">
      <w:pPr>
        <w:spacing w:line="360" w:lineRule="exact"/>
        <w:rPr>
          <w:color w:val="auto"/>
        </w:rPr>
      </w:pPr>
      <w:r>
        <w:rPr>
          <w:rFonts w:hint="eastAsia"/>
          <w:color w:val="auto"/>
        </w:rPr>
        <w:t>附件9、项目已有环保手续</w:t>
      </w:r>
    </w:p>
    <w:p w14:paraId="35601E82">
      <w:pPr>
        <w:spacing w:line="360" w:lineRule="exact"/>
        <w:rPr>
          <w:color w:val="auto"/>
        </w:rPr>
      </w:pPr>
      <w:r>
        <w:rPr>
          <w:rFonts w:hint="eastAsia"/>
          <w:color w:val="auto"/>
        </w:rPr>
        <w:t>附件</w:t>
      </w:r>
      <w:r>
        <w:rPr>
          <w:color w:val="auto"/>
        </w:rPr>
        <w:t>10</w:t>
      </w:r>
      <w:r>
        <w:rPr>
          <w:rFonts w:hint="eastAsia"/>
          <w:color w:val="auto"/>
        </w:rPr>
        <w:t>、项目未批先建处罚通知书及罚金缴纳</w:t>
      </w:r>
    </w:p>
    <w:p w14:paraId="6C002ABF">
      <w:pPr>
        <w:spacing w:line="360" w:lineRule="exact"/>
        <w:rPr>
          <w:color w:val="auto"/>
        </w:rPr>
      </w:pPr>
      <w:r>
        <w:rPr>
          <w:rFonts w:hint="eastAsia"/>
          <w:color w:val="auto"/>
        </w:rPr>
        <w:t>附件11、项目生产线情况说明</w:t>
      </w:r>
    </w:p>
    <w:p w14:paraId="5C3E66FD">
      <w:pPr>
        <w:spacing w:line="360" w:lineRule="exact"/>
        <w:rPr>
          <w:color w:val="auto"/>
        </w:rPr>
      </w:pPr>
      <w:r>
        <w:rPr>
          <w:rFonts w:hint="eastAsia"/>
          <w:color w:val="auto"/>
        </w:rPr>
        <w:t>附件12、水源地查询结果</w:t>
      </w:r>
    </w:p>
    <w:p w14:paraId="791A3CD5">
      <w:pPr>
        <w:spacing w:line="360" w:lineRule="exact"/>
        <w:rPr>
          <w:color w:val="auto"/>
        </w:rPr>
      </w:pPr>
      <w:r>
        <w:rPr>
          <w:rFonts w:hint="eastAsia"/>
          <w:color w:val="auto"/>
        </w:rPr>
        <w:t>附件13、噪声现状监测报告</w:t>
      </w:r>
    </w:p>
    <w:p w14:paraId="7B0D43A9">
      <w:pPr>
        <w:spacing w:line="360" w:lineRule="exact"/>
        <w:rPr>
          <w:color w:val="auto"/>
        </w:rPr>
      </w:pPr>
      <w:r>
        <w:rPr>
          <w:rFonts w:hint="eastAsia"/>
          <w:color w:val="auto"/>
        </w:rPr>
        <w:t>附件14~16、进度表、内部审核表、技术咨询合同</w:t>
      </w:r>
    </w:p>
    <w:p w14:paraId="2DF396BF">
      <w:pPr>
        <w:spacing w:line="360" w:lineRule="exact"/>
        <w:rPr>
          <w:color w:val="auto"/>
        </w:rPr>
        <w:sectPr>
          <w:footerReference r:id="rId3" w:type="default"/>
          <w:pgSz w:w="11906" w:h="16838"/>
          <w:pgMar w:top="1440" w:right="1134" w:bottom="1440" w:left="1134" w:header="851" w:footer="1077" w:gutter="0"/>
          <w:pgNumType w:start="1"/>
          <w:cols w:space="720" w:num="1"/>
          <w:docGrid w:linePitch="312" w:charSpace="0"/>
        </w:sectPr>
      </w:pPr>
    </w:p>
    <w:p w14:paraId="74EAEC5C">
      <w:pPr>
        <w:pStyle w:val="28"/>
        <w:jc w:val="center"/>
        <w:outlineLvl w:val="0"/>
        <w:rPr>
          <w:rFonts w:ascii="Times New Roman" w:hAnsi="Times New Roman" w:eastAsia="黑体"/>
          <w:snapToGrid w:val="0"/>
          <w:color w:val="auto"/>
          <w:sz w:val="30"/>
          <w:szCs w:val="30"/>
        </w:rPr>
      </w:pPr>
      <w:bookmarkStart w:id="5" w:name="_Toc152840729"/>
      <w:r>
        <w:rPr>
          <w:rFonts w:ascii="Times New Roman" w:hAnsi="黑体" w:eastAsia="黑体"/>
          <w:snapToGrid w:val="0"/>
          <w:color w:val="auto"/>
          <w:sz w:val="30"/>
          <w:szCs w:val="30"/>
        </w:rPr>
        <w:t>一、建设项目基本情况</w:t>
      </w:r>
      <w:bookmarkEnd w:id="5"/>
    </w:p>
    <w:tbl>
      <w:tblPr>
        <w:tblStyle w:val="32"/>
        <w:tblW w:w="963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642"/>
        <w:gridCol w:w="109"/>
        <w:gridCol w:w="686"/>
        <w:gridCol w:w="2523"/>
        <w:gridCol w:w="356"/>
        <w:gridCol w:w="1981"/>
        <w:gridCol w:w="3342"/>
      </w:tblGrid>
      <w:tr w14:paraId="4E80D2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37" w:type="dxa"/>
            <w:gridSpan w:val="3"/>
            <w:tcMar>
              <w:top w:w="16" w:type="dxa"/>
              <w:left w:w="16" w:type="dxa"/>
              <w:right w:w="16" w:type="dxa"/>
            </w:tcMar>
            <w:vAlign w:val="center"/>
          </w:tcPr>
          <w:p w14:paraId="737A707E">
            <w:pPr>
              <w:adjustRightInd w:val="0"/>
              <w:snapToGrid w:val="0"/>
              <w:jc w:val="center"/>
              <w:rPr>
                <w:color w:val="auto"/>
                <w:sz w:val="24"/>
              </w:rPr>
            </w:pPr>
            <w:r>
              <w:rPr>
                <w:rFonts w:hAnsi="宋体"/>
                <w:color w:val="auto"/>
                <w:sz w:val="24"/>
              </w:rPr>
              <w:t>建设项目名称</w:t>
            </w:r>
          </w:p>
        </w:tc>
        <w:tc>
          <w:tcPr>
            <w:tcW w:w="8202" w:type="dxa"/>
            <w:gridSpan w:val="4"/>
            <w:vAlign w:val="center"/>
          </w:tcPr>
          <w:p w14:paraId="3B3A8158">
            <w:pPr>
              <w:adjustRightInd w:val="0"/>
              <w:snapToGrid w:val="0"/>
              <w:jc w:val="center"/>
              <w:rPr>
                <w:bCs/>
                <w:color w:val="auto"/>
                <w:sz w:val="24"/>
              </w:rPr>
            </w:pPr>
            <w:bookmarkStart w:id="6" w:name="_Toc6231"/>
            <w:r>
              <w:rPr>
                <w:rFonts w:hint="eastAsia" w:hAnsi="宋体"/>
                <w:bCs/>
                <w:color w:val="auto"/>
                <w:sz w:val="24"/>
              </w:rPr>
              <w:t>年产10万吨焊管生产线建设项目</w:t>
            </w:r>
            <w:bookmarkEnd w:id="6"/>
          </w:p>
        </w:tc>
      </w:tr>
      <w:tr w14:paraId="7BF29E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37" w:type="dxa"/>
            <w:gridSpan w:val="3"/>
            <w:tcMar>
              <w:top w:w="16" w:type="dxa"/>
              <w:left w:w="16" w:type="dxa"/>
              <w:right w:w="16" w:type="dxa"/>
            </w:tcMar>
            <w:vAlign w:val="center"/>
          </w:tcPr>
          <w:p w14:paraId="3F0FC84F">
            <w:pPr>
              <w:adjustRightInd w:val="0"/>
              <w:snapToGrid w:val="0"/>
              <w:jc w:val="center"/>
              <w:rPr>
                <w:color w:val="auto"/>
                <w:sz w:val="24"/>
              </w:rPr>
            </w:pPr>
            <w:r>
              <w:rPr>
                <w:rFonts w:hAnsi="宋体"/>
                <w:color w:val="auto"/>
                <w:sz w:val="24"/>
              </w:rPr>
              <w:t>项目代码</w:t>
            </w:r>
          </w:p>
        </w:tc>
        <w:tc>
          <w:tcPr>
            <w:tcW w:w="8202" w:type="dxa"/>
            <w:gridSpan w:val="4"/>
            <w:vAlign w:val="center"/>
          </w:tcPr>
          <w:p w14:paraId="5B84425C">
            <w:pPr>
              <w:adjustRightInd w:val="0"/>
              <w:snapToGrid w:val="0"/>
              <w:jc w:val="center"/>
              <w:rPr>
                <w:color w:val="auto"/>
                <w:sz w:val="24"/>
              </w:rPr>
            </w:pPr>
            <w:bookmarkStart w:id="7" w:name="OLE_LINK7"/>
            <w:r>
              <w:rPr>
                <w:rFonts w:hint="eastAsia"/>
                <w:color w:val="auto"/>
                <w:sz w:val="24"/>
              </w:rPr>
              <w:t>2512-530423-04-02-16282</w:t>
            </w:r>
            <w:bookmarkEnd w:id="7"/>
          </w:p>
        </w:tc>
      </w:tr>
      <w:tr w14:paraId="4EAFF0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37" w:type="dxa"/>
            <w:gridSpan w:val="3"/>
            <w:tcMar>
              <w:top w:w="16" w:type="dxa"/>
              <w:left w:w="16" w:type="dxa"/>
              <w:right w:w="16" w:type="dxa"/>
            </w:tcMar>
            <w:vAlign w:val="center"/>
          </w:tcPr>
          <w:p w14:paraId="25A78397">
            <w:pPr>
              <w:adjustRightInd w:val="0"/>
              <w:snapToGrid w:val="0"/>
              <w:jc w:val="center"/>
              <w:rPr>
                <w:rFonts w:hint="eastAsia" w:hAnsi="宋体"/>
                <w:color w:val="auto"/>
                <w:sz w:val="24"/>
              </w:rPr>
            </w:pPr>
            <w:r>
              <w:rPr>
                <w:rFonts w:hAnsi="宋体"/>
                <w:color w:val="auto"/>
                <w:sz w:val="24"/>
              </w:rPr>
              <w:t>建设单位联系人</w:t>
            </w:r>
          </w:p>
        </w:tc>
        <w:tc>
          <w:tcPr>
            <w:tcW w:w="2523" w:type="dxa"/>
            <w:vAlign w:val="center"/>
          </w:tcPr>
          <w:p w14:paraId="26700A5A">
            <w:pPr>
              <w:adjustRightInd w:val="0"/>
              <w:snapToGrid w:val="0"/>
              <w:jc w:val="center"/>
              <w:rPr>
                <w:color w:val="auto"/>
                <w:sz w:val="24"/>
              </w:rPr>
            </w:pPr>
            <w:r>
              <w:rPr>
                <w:color w:val="auto"/>
                <w:sz w:val="24"/>
              </w:rPr>
              <w:t>纳红阳</w:t>
            </w:r>
          </w:p>
        </w:tc>
        <w:tc>
          <w:tcPr>
            <w:tcW w:w="2337" w:type="dxa"/>
            <w:gridSpan w:val="2"/>
            <w:vAlign w:val="center"/>
          </w:tcPr>
          <w:p w14:paraId="3349F803">
            <w:pPr>
              <w:adjustRightInd w:val="0"/>
              <w:snapToGrid w:val="0"/>
              <w:jc w:val="center"/>
              <w:rPr>
                <w:color w:val="auto"/>
                <w:sz w:val="24"/>
              </w:rPr>
            </w:pPr>
            <w:r>
              <w:rPr>
                <w:rFonts w:hAnsi="宋体"/>
                <w:color w:val="auto"/>
                <w:sz w:val="24"/>
              </w:rPr>
              <w:t>联系方式</w:t>
            </w:r>
          </w:p>
        </w:tc>
        <w:tc>
          <w:tcPr>
            <w:tcW w:w="3342" w:type="dxa"/>
            <w:vAlign w:val="center"/>
          </w:tcPr>
          <w:p w14:paraId="37BC5259">
            <w:pPr>
              <w:adjustRightInd w:val="0"/>
              <w:snapToGrid w:val="0"/>
              <w:jc w:val="center"/>
              <w:rPr>
                <w:color w:val="auto"/>
                <w:sz w:val="24"/>
              </w:rPr>
            </w:pPr>
            <w:r>
              <w:rPr>
                <w:color w:val="auto"/>
                <w:sz w:val="24"/>
              </w:rPr>
              <w:t>133 8889 9331</w:t>
            </w:r>
          </w:p>
        </w:tc>
      </w:tr>
      <w:tr w14:paraId="66ADD3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37" w:type="dxa"/>
            <w:gridSpan w:val="3"/>
            <w:tcMar>
              <w:top w:w="16" w:type="dxa"/>
              <w:left w:w="16" w:type="dxa"/>
              <w:right w:w="16" w:type="dxa"/>
            </w:tcMar>
            <w:vAlign w:val="center"/>
          </w:tcPr>
          <w:p w14:paraId="4E9EECDB">
            <w:pPr>
              <w:adjustRightInd w:val="0"/>
              <w:snapToGrid w:val="0"/>
              <w:jc w:val="center"/>
              <w:rPr>
                <w:rFonts w:hint="eastAsia" w:hAnsi="宋体"/>
                <w:color w:val="auto"/>
                <w:sz w:val="24"/>
              </w:rPr>
            </w:pPr>
            <w:r>
              <w:rPr>
                <w:rFonts w:hAnsi="宋体"/>
                <w:color w:val="auto"/>
                <w:sz w:val="24"/>
              </w:rPr>
              <w:t>建设地点</w:t>
            </w:r>
          </w:p>
        </w:tc>
        <w:tc>
          <w:tcPr>
            <w:tcW w:w="8202" w:type="dxa"/>
            <w:gridSpan w:val="4"/>
            <w:vAlign w:val="center"/>
          </w:tcPr>
          <w:p w14:paraId="41F171F6">
            <w:pPr>
              <w:adjustRightInd w:val="0"/>
              <w:snapToGrid w:val="0"/>
              <w:jc w:val="center"/>
              <w:rPr>
                <w:color w:val="auto"/>
                <w:sz w:val="24"/>
              </w:rPr>
            </w:pPr>
            <w:r>
              <w:rPr>
                <w:rFonts w:hint="eastAsia"/>
                <w:color w:val="auto"/>
                <w:sz w:val="24"/>
              </w:rPr>
              <w:t>通海县四街镇二街村老江通公路大平地</w:t>
            </w:r>
          </w:p>
        </w:tc>
      </w:tr>
      <w:tr w14:paraId="6D5A61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37" w:type="dxa"/>
            <w:gridSpan w:val="3"/>
            <w:tcMar>
              <w:top w:w="16" w:type="dxa"/>
              <w:left w:w="16" w:type="dxa"/>
              <w:right w:w="16" w:type="dxa"/>
            </w:tcMar>
            <w:vAlign w:val="center"/>
          </w:tcPr>
          <w:p w14:paraId="35975C8B">
            <w:pPr>
              <w:adjustRightInd w:val="0"/>
              <w:snapToGrid w:val="0"/>
              <w:jc w:val="center"/>
              <w:rPr>
                <w:rFonts w:hint="eastAsia" w:hAnsi="宋体"/>
                <w:color w:val="auto"/>
                <w:sz w:val="24"/>
              </w:rPr>
            </w:pPr>
            <w:r>
              <w:rPr>
                <w:rFonts w:hAnsi="宋体"/>
                <w:color w:val="auto"/>
                <w:sz w:val="24"/>
              </w:rPr>
              <w:t>地理坐标</w:t>
            </w:r>
          </w:p>
        </w:tc>
        <w:tc>
          <w:tcPr>
            <w:tcW w:w="8202" w:type="dxa"/>
            <w:gridSpan w:val="4"/>
            <w:vAlign w:val="center"/>
          </w:tcPr>
          <w:p w14:paraId="0AC61D30">
            <w:pPr>
              <w:jc w:val="center"/>
              <w:rPr>
                <w:color w:val="auto"/>
                <w:sz w:val="24"/>
              </w:rPr>
            </w:pPr>
            <w:r>
              <w:rPr>
                <w:rFonts w:hAnsi="宋体"/>
                <w:color w:val="auto"/>
                <w:sz w:val="24"/>
              </w:rPr>
              <w:t>（</w:t>
            </w:r>
            <w:r>
              <w:rPr>
                <w:color w:val="auto"/>
                <w:sz w:val="24"/>
                <w:u w:val="single"/>
              </w:rPr>
              <w:t xml:space="preserve"> 102 </w:t>
            </w:r>
            <w:r>
              <w:rPr>
                <w:rFonts w:hAnsi="宋体"/>
                <w:color w:val="auto"/>
                <w:sz w:val="24"/>
              </w:rPr>
              <w:t>度</w:t>
            </w:r>
            <w:r>
              <w:rPr>
                <w:color w:val="auto"/>
                <w:sz w:val="24"/>
                <w:u w:val="single"/>
              </w:rPr>
              <w:t xml:space="preserve"> 4</w:t>
            </w:r>
            <w:r>
              <w:rPr>
                <w:rFonts w:hint="eastAsia"/>
                <w:color w:val="auto"/>
                <w:sz w:val="24"/>
                <w:u w:val="single"/>
              </w:rPr>
              <w:t>5</w:t>
            </w:r>
            <w:r>
              <w:rPr>
                <w:color w:val="auto"/>
                <w:sz w:val="24"/>
                <w:u w:val="single"/>
              </w:rPr>
              <w:t xml:space="preserve"> </w:t>
            </w:r>
            <w:r>
              <w:rPr>
                <w:rFonts w:hAnsi="宋体"/>
                <w:color w:val="auto"/>
                <w:sz w:val="24"/>
              </w:rPr>
              <w:t>分</w:t>
            </w:r>
            <w:r>
              <w:rPr>
                <w:color w:val="auto"/>
                <w:sz w:val="24"/>
                <w:u w:val="single"/>
              </w:rPr>
              <w:t xml:space="preserve"> </w:t>
            </w:r>
            <w:r>
              <w:rPr>
                <w:rFonts w:hint="eastAsia"/>
                <w:color w:val="auto"/>
                <w:sz w:val="24"/>
                <w:u w:val="single"/>
              </w:rPr>
              <w:t>02.7721</w:t>
            </w:r>
            <w:r>
              <w:rPr>
                <w:color w:val="auto"/>
                <w:sz w:val="24"/>
                <w:u w:val="single"/>
              </w:rPr>
              <w:t xml:space="preserve"> </w:t>
            </w:r>
            <w:r>
              <w:rPr>
                <w:rFonts w:hAnsi="宋体"/>
                <w:color w:val="auto"/>
                <w:sz w:val="24"/>
              </w:rPr>
              <w:t>秒，</w:t>
            </w:r>
            <w:r>
              <w:rPr>
                <w:color w:val="auto"/>
                <w:sz w:val="24"/>
                <w:u w:val="single"/>
              </w:rPr>
              <w:t xml:space="preserve"> 24 </w:t>
            </w:r>
            <w:r>
              <w:rPr>
                <w:rFonts w:hAnsi="宋体"/>
                <w:color w:val="auto"/>
                <w:sz w:val="24"/>
              </w:rPr>
              <w:t>度</w:t>
            </w:r>
            <w:r>
              <w:rPr>
                <w:color w:val="auto"/>
                <w:sz w:val="24"/>
                <w:u w:val="single"/>
              </w:rPr>
              <w:t xml:space="preserve"> 1</w:t>
            </w:r>
            <w:r>
              <w:rPr>
                <w:rFonts w:hint="eastAsia"/>
                <w:color w:val="auto"/>
                <w:sz w:val="24"/>
                <w:u w:val="single"/>
              </w:rPr>
              <w:t>2</w:t>
            </w:r>
            <w:r>
              <w:rPr>
                <w:color w:val="auto"/>
                <w:sz w:val="24"/>
                <w:u w:val="single"/>
              </w:rPr>
              <w:t xml:space="preserve"> </w:t>
            </w:r>
            <w:r>
              <w:rPr>
                <w:rFonts w:hAnsi="宋体"/>
                <w:color w:val="auto"/>
                <w:sz w:val="24"/>
              </w:rPr>
              <w:t>分</w:t>
            </w:r>
            <w:r>
              <w:rPr>
                <w:color w:val="auto"/>
                <w:sz w:val="24"/>
                <w:u w:val="single"/>
              </w:rPr>
              <w:t xml:space="preserve"> </w:t>
            </w:r>
            <w:r>
              <w:rPr>
                <w:rFonts w:hint="eastAsia"/>
                <w:color w:val="auto"/>
                <w:sz w:val="24"/>
                <w:u w:val="single"/>
              </w:rPr>
              <w:t>04.0089</w:t>
            </w:r>
            <w:r>
              <w:rPr>
                <w:color w:val="auto"/>
                <w:sz w:val="24"/>
                <w:u w:val="single"/>
              </w:rPr>
              <w:t xml:space="preserve"> </w:t>
            </w:r>
            <w:r>
              <w:rPr>
                <w:rFonts w:hAnsi="宋体"/>
                <w:color w:val="auto"/>
                <w:sz w:val="24"/>
              </w:rPr>
              <w:t>秒）</w:t>
            </w:r>
          </w:p>
        </w:tc>
      </w:tr>
      <w:tr w14:paraId="52F043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437" w:type="dxa"/>
            <w:gridSpan w:val="3"/>
            <w:tcMar>
              <w:top w:w="16" w:type="dxa"/>
              <w:left w:w="16" w:type="dxa"/>
              <w:right w:w="16" w:type="dxa"/>
            </w:tcMar>
            <w:vAlign w:val="center"/>
          </w:tcPr>
          <w:p w14:paraId="3F6E703E">
            <w:pPr>
              <w:adjustRightInd w:val="0"/>
              <w:snapToGrid w:val="0"/>
              <w:jc w:val="center"/>
              <w:rPr>
                <w:color w:val="auto"/>
                <w:sz w:val="24"/>
              </w:rPr>
            </w:pPr>
            <w:r>
              <w:rPr>
                <w:rFonts w:hAnsi="宋体"/>
                <w:color w:val="auto"/>
                <w:sz w:val="24"/>
              </w:rPr>
              <w:t>国民经济</w:t>
            </w:r>
          </w:p>
          <w:p w14:paraId="0AD4D710">
            <w:pPr>
              <w:adjustRightInd w:val="0"/>
              <w:snapToGrid w:val="0"/>
              <w:jc w:val="center"/>
              <w:rPr>
                <w:color w:val="auto"/>
                <w:sz w:val="24"/>
              </w:rPr>
            </w:pPr>
            <w:r>
              <w:rPr>
                <w:rFonts w:hAnsi="宋体"/>
                <w:color w:val="auto"/>
                <w:sz w:val="24"/>
              </w:rPr>
              <w:t>行业类别</w:t>
            </w:r>
          </w:p>
        </w:tc>
        <w:tc>
          <w:tcPr>
            <w:tcW w:w="2879" w:type="dxa"/>
            <w:gridSpan w:val="2"/>
            <w:vAlign w:val="center"/>
          </w:tcPr>
          <w:p w14:paraId="224B40CE">
            <w:pPr>
              <w:adjustRightInd w:val="0"/>
              <w:snapToGrid w:val="0"/>
              <w:jc w:val="center"/>
              <w:rPr>
                <w:color w:val="auto"/>
                <w:sz w:val="24"/>
              </w:rPr>
            </w:pPr>
            <w:r>
              <w:rPr>
                <w:rFonts w:hint="eastAsia"/>
                <w:color w:val="auto"/>
                <w:sz w:val="24"/>
              </w:rPr>
              <w:t>C3130钢压延加工</w:t>
            </w:r>
          </w:p>
        </w:tc>
        <w:tc>
          <w:tcPr>
            <w:tcW w:w="1981" w:type="dxa"/>
            <w:vAlign w:val="center"/>
          </w:tcPr>
          <w:p w14:paraId="3C01D6F5">
            <w:pPr>
              <w:adjustRightInd w:val="0"/>
              <w:snapToGrid w:val="0"/>
              <w:jc w:val="center"/>
              <w:rPr>
                <w:color w:val="auto"/>
                <w:sz w:val="24"/>
              </w:rPr>
            </w:pPr>
            <w:bookmarkStart w:id="8" w:name="_Hlk49843745"/>
            <w:r>
              <w:rPr>
                <w:rFonts w:hAnsi="宋体"/>
                <w:color w:val="auto"/>
                <w:sz w:val="24"/>
              </w:rPr>
              <w:t>建设项目</w:t>
            </w:r>
          </w:p>
          <w:p w14:paraId="2DA050B8">
            <w:pPr>
              <w:adjustRightInd w:val="0"/>
              <w:snapToGrid w:val="0"/>
              <w:jc w:val="center"/>
              <w:rPr>
                <w:color w:val="auto"/>
                <w:sz w:val="24"/>
              </w:rPr>
            </w:pPr>
            <w:r>
              <w:rPr>
                <w:rFonts w:hAnsi="宋体"/>
                <w:color w:val="auto"/>
                <w:sz w:val="24"/>
              </w:rPr>
              <w:t>行业类别</w:t>
            </w:r>
            <w:bookmarkEnd w:id="8"/>
          </w:p>
        </w:tc>
        <w:tc>
          <w:tcPr>
            <w:tcW w:w="3342" w:type="dxa"/>
            <w:vAlign w:val="center"/>
          </w:tcPr>
          <w:p w14:paraId="7A4562E7">
            <w:pPr>
              <w:adjustRightInd w:val="0"/>
              <w:snapToGrid w:val="0"/>
              <w:rPr>
                <w:color w:val="auto"/>
                <w:sz w:val="24"/>
              </w:rPr>
            </w:pPr>
            <w:r>
              <w:rPr>
                <w:rFonts w:hint="eastAsia"/>
                <w:color w:val="auto"/>
                <w:sz w:val="24"/>
              </w:rPr>
              <w:t>二十八、黑色金属冶炼和压延加工业  钢压延加工313</w:t>
            </w:r>
          </w:p>
        </w:tc>
      </w:tr>
      <w:tr w14:paraId="1D114C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437" w:type="dxa"/>
            <w:gridSpan w:val="3"/>
            <w:tcMar>
              <w:top w:w="16" w:type="dxa"/>
              <w:left w:w="16" w:type="dxa"/>
              <w:right w:w="16" w:type="dxa"/>
            </w:tcMar>
            <w:vAlign w:val="center"/>
          </w:tcPr>
          <w:p w14:paraId="66635B09">
            <w:pPr>
              <w:adjustRightInd w:val="0"/>
              <w:snapToGrid w:val="0"/>
              <w:jc w:val="center"/>
              <w:rPr>
                <w:rFonts w:hint="eastAsia" w:asciiTheme="minorEastAsia" w:hAnsiTheme="minorEastAsia" w:eastAsiaTheme="minorEastAsia"/>
                <w:color w:val="auto"/>
                <w:sz w:val="24"/>
              </w:rPr>
            </w:pPr>
            <w:r>
              <w:rPr>
                <w:rFonts w:asciiTheme="minorEastAsia" w:hAnsiTheme="minorEastAsia" w:eastAsiaTheme="minorEastAsia"/>
                <w:color w:val="auto"/>
                <w:sz w:val="24"/>
              </w:rPr>
              <w:t>建设性质</w:t>
            </w:r>
          </w:p>
        </w:tc>
        <w:tc>
          <w:tcPr>
            <w:tcW w:w="2879" w:type="dxa"/>
            <w:gridSpan w:val="2"/>
            <w:vAlign w:val="center"/>
          </w:tcPr>
          <w:p w14:paraId="0CA85D03">
            <w:pPr>
              <w:jc w:val="left"/>
              <w:rPr>
                <w:rFonts w:hint="eastAsia" w:asciiTheme="minorEastAsia" w:hAnsiTheme="minorEastAsia" w:eastAsiaTheme="minorEastAsia"/>
                <w:color w:val="auto"/>
                <w:sz w:val="24"/>
              </w:rPr>
            </w:pPr>
            <w:r>
              <w:rPr>
                <w:rFonts w:asciiTheme="minorEastAsia" w:hAnsiTheme="minorEastAsia" w:eastAsiaTheme="minorEastAsia"/>
                <w:color w:val="auto"/>
                <w:sz w:val="24"/>
              </w:rPr>
              <w:t>□新建（迁建）</w:t>
            </w:r>
          </w:p>
          <w:p w14:paraId="3204EF6B">
            <w:pPr>
              <w:jc w:val="left"/>
              <w:rPr>
                <w:rFonts w:hint="eastAsia" w:asciiTheme="minorEastAsia" w:hAnsiTheme="minorEastAsia" w:eastAsiaTheme="minorEastAsia"/>
                <w:color w:val="auto"/>
                <w:sz w:val="24"/>
              </w:rPr>
            </w:pPr>
            <w:r>
              <w:rPr>
                <w:rFonts w:asciiTheme="minorEastAsia" w:hAnsiTheme="minorEastAsia" w:eastAsiaTheme="minorEastAsia"/>
                <w:color w:val="auto"/>
                <w:sz w:val="24"/>
              </w:rPr>
              <w:sym w:font="Wingdings" w:char="F0FE"/>
            </w:r>
            <w:r>
              <w:rPr>
                <w:rFonts w:asciiTheme="minorEastAsia" w:hAnsiTheme="minorEastAsia" w:eastAsiaTheme="minorEastAsia"/>
                <w:color w:val="auto"/>
                <w:sz w:val="24"/>
              </w:rPr>
              <w:t>改建</w:t>
            </w:r>
          </w:p>
          <w:p w14:paraId="02619F9C">
            <w:pPr>
              <w:jc w:val="left"/>
              <w:rPr>
                <w:rFonts w:hint="eastAsia" w:asciiTheme="minorEastAsia" w:hAnsiTheme="minorEastAsia" w:eastAsiaTheme="minorEastAsia"/>
                <w:color w:val="auto"/>
                <w:sz w:val="24"/>
              </w:rPr>
            </w:pPr>
            <w:r>
              <w:rPr>
                <w:rFonts w:asciiTheme="minorEastAsia" w:hAnsiTheme="minorEastAsia" w:eastAsiaTheme="minorEastAsia"/>
                <w:color w:val="auto"/>
                <w:sz w:val="24"/>
              </w:rPr>
              <w:sym w:font="Wingdings" w:char="F0FE"/>
            </w:r>
            <w:r>
              <w:rPr>
                <w:rFonts w:asciiTheme="minorEastAsia" w:hAnsiTheme="minorEastAsia" w:eastAsiaTheme="minorEastAsia"/>
                <w:color w:val="auto"/>
                <w:sz w:val="24"/>
              </w:rPr>
              <w:t>扩建</w:t>
            </w:r>
          </w:p>
          <w:p w14:paraId="7634DEF0">
            <w:pPr>
              <w:jc w:val="left"/>
              <w:rPr>
                <w:rFonts w:hint="eastAsia" w:asciiTheme="minorEastAsia" w:hAnsiTheme="minorEastAsia" w:eastAsiaTheme="minorEastAsia"/>
                <w:color w:val="auto"/>
                <w:sz w:val="24"/>
              </w:rPr>
            </w:pPr>
            <w:r>
              <w:rPr>
                <w:rFonts w:asciiTheme="minorEastAsia" w:hAnsiTheme="minorEastAsia" w:eastAsiaTheme="minorEastAsia"/>
                <w:color w:val="auto"/>
                <w:sz w:val="24"/>
              </w:rPr>
              <w:t>□技术改造</w:t>
            </w:r>
          </w:p>
        </w:tc>
        <w:tc>
          <w:tcPr>
            <w:tcW w:w="1981" w:type="dxa"/>
            <w:vAlign w:val="center"/>
          </w:tcPr>
          <w:p w14:paraId="65599107">
            <w:pPr>
              <w:adjustRightInd w:val="0"/>
              <w:snapToGrid w:val="0"/>
              <w:jc w:val="center"/>
              <w:rPr>
                <w:color w:val="auto"/>
                <w:sz w:val="24"/>
              </w:rPr>
            </w:pPr>
            <w:r>
              <w:rPr>
                <w:rFonts w:hAnsi="宋体"/>
                <w:color w:val="auto"/>
                <w:sz w:val="24"/>
              </w:rPr>
              <w:t>建设项目</w:t>
            </w:r>
          </w:p>
          <w:p w14:paraId="381DA36B">
            <w:pPr>
              <w:adjustRightInd w:val="0"/>
              <w:snapToGrid w:val="0"/>
              <w:jc w:val="center"/>
              <w:rPr>
                <w:color w:val="auto"/>
                <w:sz w:val="24"/>
              </w:rPr>
            </w:pPr>
            <w:r>
              <w:rPr>
                <w:rFonts w:hAnsi="宋体"/>
                <w:color w:val="auto"/>
                <w:sz w:val="24"/>
              </w:rPr>
              <w:t>申报情形</w:t>
            </w:r>
          </w:p>
        </w:tc>
        <w:tc>
          <w:tcPr>
            <w:tcW w:w="3342" w:type="dxa"/>
            <w:vAlign w:val="center"/>
          </w:tcPr>
          <w:p w14:paraId="64130C99">
            <w:pPr>
              <w:jc w:val="left"/>
              <w:rPr>
                <w:rFonts w:hint="eastAsia" w:asciiTheme="minorEastAsia" w:hAnsiTheme="minorEastAsia" w:eastAsiaTheme="minorEastAsia"/>
                <w:color w:val="auto"/>
                <w:sz w:val="24"/>
              </w:rPr>
            </w:pPr>
            <w:r>
              <w:rPr>
                <w:rFonts w:asciiTheme="minorEastAsia" w:hAnsiTheme="minorEastAsia" w:eastAsiaTheme="minorEastAsia"/>
                <w:color w:val="auto"/>
                <w:sz w:val="24"/>
              </w:rPr>
              <w:sym w:font="Wingdings" w:char="F0FE"/>
            </w:r>
            <w:r>
              <w:rPr>
                <w:rFonts w:asciiTheme="minorEastAsia" w:hAnsiTheme="minorEastAsia" w:eastAsiaTheme="minorEastAsia"/>
                <w:color w:val="auto"/>
                <w:sz w:val="24"/>
              </w:rPr>
              <w:t xml:space="preserve">首次申报项目             </w:t>
            </w:r>
          </w:p>
          <w:p w14:paraId="49D7236C">
            <w:pPr>
              <w:jc w:val="left"/>
              <w:rPr>
                <w:rFonts w:hint="eastAsia" w:asciiTheme="minorEastAsia" w:hAnsiTheme="minorEastAsia" w:eastAsiaTheme="minorEastAsia"/>
                <w:color w:val="auto"/>
                <w:sz w:val="24"/>
              </w:rPr>
            </w:pPr>
            <w:r>
              <w:rPr>
                <w:rFonts w:asciiTheme="minorEastAsia" w:hAnsiTheme="minorEastAsia" w:eastAsiaTheme="minorEastAsia"/>
                <w:color w:val="auto"/>
                <w:sz w:val="24"/>
              </w:rPr>
              <w:t>□不予批准后再次申报项目</w:t>
            </w:r>
          </w:p>
          <w:p w14:paraId="5D76B7E8">
            <w:pPr>
              <w:jc w:val="left"/>
              <w:rPr>
                <w:rFonts w:hint="eastAsia" w:asciiTheme="minorEastAsia" w:hAnsiTheme="minorEastAsia" w:eastAsiaTheme="minorEastAsia"/>
                <w:color w:val="auto"/>
                <w:sz w:val="24"/>
              </w:rPr>
            </w:pPr>
            <w:r>
              <w:rPr>
                <w:rFonts w:asciiTheme="minorEastAsia" w:hAnsiTheme="minorEastAsia" w:eastAsiaTheme="minorEastAsia"/>
                <w:color w:val="auto"/>
                <w:sz w:val="24"/>
              </w:rPr>
              <w:t xml:space="preserve">□超五年重新审核项目     </w:t>
            </w:r>
          </w:p>
          <w:p w14:paraId="2E7A18AC">
            <w:pPr>
              <w:jc w:val="left"/>
              <w:rPr>
                <w:color w:val="auto"/>
                <w:sz w:val="24"/>
              </w:rPr>
            </w:pPr>
            <w:r>
              <w:rPr>
                <w:rFonts w:asciiTheme="minorEastAsia" w:hAnsiTheme="minorEastAsia" w:eastAsiaTheme="minorEastAsia"/>
                <w:color w:val="auto"/>
                <w:sz w:val="24"/>
              </w:rPr>
              <w:t>□重大变动重新报批项目</w:t>
            </w:r>
          </w:p>
        </w:tc>
      </w:tr>
      <w:tr w14:paraId="18A056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437" w:type="dxa"/>
            <w:gridSpan w:val="3"/>
            <w:tcMar>
              <w:top w:w="16" w:type="dxa"/>
              <w:left w:w="16" w:type="dxa"/>
              <w:right w:w="16" w:type="dxa"/>
            </w:tcMar>
            <w:vAlign w:val="center"/>
          </w:tcPr>
          <w:p w14:paraId="3BB8ADDF">
            <w:pPr>
              <w:adjustRightInd w:val="0"/>
              <w:snapToGrid w:val="0"/>
              <w:jc w:val="center"/>
              <w:rPr>
                <w:rFonts w:hint="eastAsia" w:asciiTheme="minorEastAsia" w:hAnsiTheme="minorEastAsia" w:eastAsiaTheme="minorEastAsia"/>
                <w:color w:val="auto"/>
                <w:sz w:val="24"/>
              </w:rPr>
            </w:pPr>
            <w:r>
              <w:rPr>
                <w:rFonts w:asciiTheme="minorEastAsia" w:hAnsiTheme="minorEastAsia" w:eastAsiaTheme="minorEastAsia"/>
                <w:color w:val="auto"/>
                <w:sz w:val="24"/>
              </w:rPr>
              <w:t>项目审批（核准/</w:t>
            </w:r>
          </w:p>
          <w:p w14:paraId="36F30FFD">
            <w:pPr>
              <w:adjustRightInd w:val="0"/>
              <w:snapToGrid w:val="0"/>
              <w:jc w:val="center"/>
              <w:rPr>
                <w:color w:val="auto"/>
                <w:sz w:val="24"/>
              </w:rPr>
            </w:pPr>
            <w:r>
              <w:rPr>
                <w:rFonts w:asciiTheme="minorEastAsia" w:hAnsiTheme="minorEastAsia" w:eastAsiaTheme="minorEastAsia"/>
                <w:color w:val="auto"/>
                <w:sz w:val="24"/>
              </w:rPr>
              <w:t>备案）部门（选填）</w:t>
            </w:r>
          </w:p>
        </w:tc>
        <w:tc>
          <w:tcPr>
            <w:tcW w:w="2879" w:type="dxa"/>
            <w:gridSpan w:val="2"/>
            <w:vAlign w:val="center"/>
          </w:tcPr>
          <w:p w14:paraId="25B93DCB">
            <w:pPr>
              <w:adjustRightInd w:val="0"/>
              <w:snapToGrid w:val="0"/>
              <w:jc w:val="center"/>
              <w:rPr>
                <w:color w:val="auto"/>
                <w:sz w:val="24"/>
              </w:rPr>
            </w:pPr>
            <w:r>
              <w:rPr>
                <w:rFonts w:hint="eastAsia"/>
                <w:color w:val="auto"/>
                <w:sz w:val="24"/>
              </w:rPr>
              <w:t>通海县发展和改革局</w:t>
            </w:r>
          </w:p>
        </w:tc>
        <w:tc>
          <w:tcPr>
            <w:tcW w:w="1981" w:type="dxa"/>
            <w:vAlign w:val="center"/>
          </w:tcPr>
          <w:p w14:paraId="4E846944">
            <w:pPr>
              <w:adjustRightInd w:val="0"/>
              <w:snapToGrid w:val="0"/>
              <w:jc w:val="center"/>
              <w:rPr>
                <w:color w:val="auto"/>
                <w:szCs w:val="21"/>
              </w:rPr>
            </w:pPr>
            <w:r>
              <w:rPr>
                <w:rFonts w:hAnsi="宋体"/>
                <w:color w:val="auto"/>
                <w:szCs w:val="21"/>
              </w:rPr>
              <w:t>项目审批（核准</w:t>
            </w:r>
            <w:r>
              <w:rPr>
                <w:color w:val="auto"/>
                <w:szCs w:val="21"/>
              </w:rPr>
              <w:t>/</w:t>
            </w:r>
          </w:p>
          <w:p w14:paraId="48C72B59">
            <w:pPr>
              <w:adjustRightInd w:val="0"/>
              <w:snapToGrid w:val="0"/>
              <w:jc w:val="center"/>
              <w:rPr>
                <w:color w:val="auto"/>
                <w:sz w:val="24"/>
              </w:rPr>
            </w:pPr>
            <w:r>
              <w:rPr>
                <w:rFonts w:hAnsi="宋体"/>
                <w:color w:val="auto"/>
                <w:szCs w:val="21"/>
              </w:rPr>
              <w:t>备案）文号（选填）</w:t>
            </w:r>
          </w:p>
        </w:tc>
        <w:tc>
          <w:tcPr>
            <w:tcW w:w="3342" w:type="dxa"/>
            <w:vAlign w:val="center"/>
          </w:tcPr>
          <w:p w14:paraId="1BD6C06A">
            <w:pPr>
              <w:adjustRightInd w:val="0"/>
              <w:snapToGrid w:val="0"/>
              <w:jc w:val="center"/>
              <w:rPr>
                <w:color w:val="auto"/>
                <w:sz w:val="24"/>
              </w:rPr>
            </w:pPr>
            <w:r>
              <w:rPr>
                <w:color w:val="auto"/>
                <w:sz w:val="24"/>
              </w:rPr>
              <w:t>2209-530423-04-01-672864</w:t>
            </w:r>
          </w:p>
        </w:tc>
      </w:tr>
      <w:tr w14:paraId="670AE4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37" w:type="dxa"/>
            <w:gridSpan w:val="3"/>
            <w:tcMar>
              <w:top w:w="16" w:type="dxa"/>
              <w:left w:w="16" w:type="dxa"/>
              <w:right w:w="16" w:type="dxa"/>
            </w:tcMar>
            <w:vAlign w:val="center"/>
          </w:tcPr>
          <w:p w14:paraId="5A1535F5">
            <w:pPr>
              <w:adjustRightInd w:val="0"/>
              <w:snapToGrid w:val="0"/>
              <w:jc w:val="center"/>
              <w:rPr>
                <w:color w:val="auto"/>
                <w:sz w:val="24"/>
              </w:rPr>
            </w:pPr>
            <w:r>
              <w:rPr>
                <w:rFonts w:hAnsi="宋体"/>
                <w:color w:val="auto"/>
                <w:sz w:val="24"/>
              </w:rPr>
              <w:t>总投资（万元）</w:t>
            </w:r>
          </w:p>
        </w:tc>
        <w:tc>
          <w:tcPr>
            <w:tcW w:w="2879" w:type="dxa"/>
            <w:gridSpan w:val="2"/>
            <w:vAlign w:val="center"/>
          </w:tcPr>
          <w:p w14:paraId="7AC3EF83">
            <w:pPr>
              <w:adjustRightInd w:val="0"/>
              <w:snapToGrid w:val="0"/>
              <w:jc w:val="center"/>
              <w:rPr>
                <w:color w:val="auto"/>
                <w:sz w:val="24"/>
              </w:rPr>
            </w:pPr>
            <w:r>
              <w:rPr>
                <w:rFonts w:hint="eastAsia"/>
                <w:color w:val="auto"/>
                <w:sz w:val="24"/>
              </w:rPr>
              <w:t>3</w:t>
            </w:r>
            <w:r>
              <w:rPr>
                <w:color w:val="auto"/>
                <w:sz w:val="24"/>
              </w:rPr>
              <w:t>00</w:t>
            </w:r>
          </w:p>
        </w:tc>
        <w:tc>
          <w:tcPr>
            <w:tcW w:w="1981" w:type="dxa"/>
            <w:tcMar>
              <w:top w:w="16" w:type="dxa"/>
              <w:left w:w="16" w:type="dxa"/>
              <w:right w:w="16" w:type="dxa"/>
            </w:tcMar>
            <w:vAlign w:val="center"/>
          </w:tcPr>
          <w:p w14:paraId="49C869ED">
            <w:pPr>
              <w:adjustRightInd w:val="0"/>
              <w:snapToGrid w:val="0"/>
              <w:jc w:val="center"/>
              <w:rPr>
                <w:color w:val="auto"/>
                <w:sz w:val="24"/>
              </w:rPr>
            </w:pPr>
            <w:r>
              <w:rPr>
                <w:rFonts w:hAnsi="宋体"/>
                <w:color w:val="auto"/>
                <w:sz w:val="24"/>
              </w:rPr>
              <w:t>环保投资（万元）</w:t>
            </w:r>
          </w:p>
        </w:tc>
        <w:tc>
          <w:tcPr>
            <w:tcW w:w="3342" w:type="dxa"/>
            <w:vAlign w:val="center"/>
          </w:tcPr>
          <w:p w14:paraId="28949452">
            <w:pPr>
              <w:adjustRightInd w:val="0"/>
              <w:snapToGrid w:val="0"/>
              <w:jc w:val="center"/>
              <w:rPr>
                <w:color w:val="auto"/>
                <w:sz w:val="24"/>
              </w:rPr>
            </w:pPr>
            <w:r>
              <w:rPr>
                <w:rFonts w:hint="eastAsia"/>
                <w:color w:val="auto"/>
                <w:sz w:val="24"/>
              </w:rPr>
              <w:t>57.5</w:t>
            </w:r>
          </w:p>
        </w:tc>
      </w:tr>
      <w:tr w14:paraId="1E34F5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37" w:type="dxa"/>
            <w:gridSpan w:val="3"/>
            <w:tcMar>
              <w:top w:w="16" w:type="dxa"/>
              <w:left w:w="16" w:type="dxa"/>
              <w:right w:w="16" w:type="dxa"/>
            </w:tcMar>
            <w:vAlign w:val="center"/>
          </w:tcPr>
          <w:p w14:paraId="27FA81F2">
            <w:pPr>
              <w:adjustRightInd w:val="0"/>
              <w:snapToGrid w:val="0"/>
              <w:jc w:val="center"/>
              <w:rPr>
                <w:color w:val="auto"/>
                <w:sz w:val="24"/>
              </w:rPr>
            </w:pPr>
            <w:r>
              <w:rPr>
                <w:rFonts w:hAnsi="宋体"/>
                <w:color w:val="auto"/>
                <w:sz w:val="24"/>
              </w:rPr>
              <w:t>环保投资占比（</w:t>
            </w:r>
            <w:r>
              <w:rPr>
                <w:color w:val="auto"/>
                <w:sz w:val="24"/>
              </w:rPr>
              <w:t>%</w:t>
            </w:r>
            <w:r>
              <w:rPr>
                <w:rFonts w:hAnsi="宋体"/>
                <w:color w:val="auto"/>
                <w:sz w:val="24"/>
              </w:rPr>
              <w:t>）</w:t>
            </w:r>
          </w:p>
        </w:tc>
        <w:tc>
          <w:tcPr>
            <w:tcW w:w="2879" w:type="dxa"/>
            <w:gridSpan w:val="2"/>
            <w:vAlign w:val="center"/>
          </w:tcPr>
          <w:p w14:paraId="5057F954">
            <w:pPr>
              <w:adjustRightInd w:val="0"/>
              <w:snapToGrid w:val="0"/>
              <w:jc w:val="center"/>
              <w:rPr>
                <w:color w:val="auto"/>
                <w:sz w:val="24"/>
              </w:rPr>
            </w:pPr>
            <w:r>
              <w:rPr>
                <w:rFonts w:hint="eastAsia"/>
                <w:color w:val="auto"/>
                <w:sz w:val="24"/>
              </w:rPr>
              <w:t>19.17</w:t>
            </w:r>
          </w:p>
        </w:tc>
        <w:tc>
          <w:tcPr>
            <w:tcW w:w="1981" w:type="dxa"/>
            <w:tcMar>
              <w:top w:w="16" w:type="dxa"/>
              <w:left w:w="16" w:type="dxa"/>
              <w:right w:w="16" w:type="dxa"/>
            </w:tcMar>
            <w:vAlign w:val="center"/>
          </w:tcPr>
          <w:p w14:paraId="5A04F23E">
            <w:pPr>
              <w:adjustRightInd w:val="0"/>
              <w:snapToGrid w:val="0"/>
              <w:jc w:val="center"/>
              <w:rPr>
                <w:color w:val="auto"/>
                <w:sz w:val="24"/>
              </w:rPr>
            </w:pPr>
            <w:r>
              <w:rPr>
                <w:rFonts w:hAnsi="宋体"/>
                <w:color w:val="auto"/>
                <w:sz w:val="24"/>
              </w:rPr>
              <w:t>施工工期</w:t>
            </w:r>
          </w:p>
        </w:tc>
        <w:tc>
          <w:tcPr>
            <w:tcW w:w="3342" w:type="dxa"/>
            <w:vAlign w:val="center"/>
          </w:tcPr>
          <w:p w14:paraId="0ACE0F7D">
            <w:pPr>
              <w:adjustRightInd w:val="0"/>
              <w:snapToGrid w:val="0"/>
              <w:jc w:val="center"/>
              <w:rPr>
                <w:color w:val="auto"/>
                <w:sz w:val="24"/>
              </w:rPr>
            </w:pPr>
            <w:r>
              <w:rPr>
                <w:rFonts w:hint="eastAsia"/>
                <w:color w:val="auto"/>
                <w:sz w:val="24"/>
              </w:rPr>
              <w:t>3个月</w:t>
            </w:r>
          </w:p>
        </w:tc>
      </w:tr>
      <w:tr w14:paraId="3CBA4D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37" w:type="dxa"/>
            <w:gridSpan w:val="3"/>
            <w:tcMar>
              <w:top w:w="16" w:type="dxa"/>
              <w:left w:w="16" w:type="dxa"/>
              <w:right w:w="16" w:type="dxa"/>
            </w:tcMar>
            <w:vAlign w:val="center"/>
          </w:tcPr>
          <w:p w14:paraId="70BBB140">
            <w:pPr>
              <w:adjustRightInd w:val="0"/>
              <w:snapToGrid w:val="0"/>
              <w:jc w:val="center"/>
              <w:rPr>
                <w:color w:val="auto"/>
                <w:sz w:val="24"/>
              </w:rPr>
            </w:pPr>
            <w:r>
              <w:rPr>
                <w:rFonts w:hAnsi="宋体"/>
                <w:color w:val="auto"/>
                <w:sz w:val="24"/>
              </w:rPr>
              <w:t>是否开工建设</w:t>
            </w:r>
          </w:p>
        </w:tc>
        <w:tc>
          <w:tcPr>
            <w:tcW w:w="2879" w:type="dxa"/>
            <w:gridSpan w:val="2"/>
            <w:vAlign w:val="center"/>
          </w:tcPr>
          <w:p w14:paraId="02E0B1A0">
            <w:pPr>
              <w:adjustRightInd w:val="0"/>
              <w:snapToGrid w:val="0"/>
              <w:rPr>
                <w:color w:val="auto"/>
                <w:sz w:val="24"/>
              </w:rPr>
            </w:pPr>
            <w:r>
              <w:rPr>
                <w:color w:val="auto"/>
                <w:sz w:val="24"/>
              </w:rPr>
              <w:sym w:font="Wingdings 2" w:char="00A3"/>
            </w:r>
            <w:r>
              <w:rPr>
                <w:rFonts w:hAnsi="宋体"/>
                <w:color w:val="auto"/>
                <w:sz w:val="24"/>
              </w:rPr>
              <w:t>否</w:t>
            </w:r>
          </w:p>
          <w:p w14:paraId="6FE2123B">
            <w:pPr>
              <w:adjustRightInd w:val="0"/>
              <w:snapToGrid w:val="0"/>
              <w:rPr>
                <w:color w:val="auto"/>
                <w:sz w:val="24"/>
              </w:rPr>
            </w:pPr>
            <w:r>
              <w:rPr>
                <w:rFonts w:asciiTheme="minorEastAsia" w:hAnsiTheme="minorEastAsia" w:eastAsiaTheme="minorEastAsia"/>
                <w:color w:val="auto"/>
                <w:sz w:val="24"/>
              </w:rPr>
              <w:sym w:font="Wingdings" w:char="F0FE"/>
            </w:r>
            <w:r>
              <w:rPr>
                <w:rFonts w:hAnsi="宋体"/>
                <w:color w:val="auto"/>
                <w:sz w:val="24"/>
              </w:rPr>
              <w:t>是：</w:t>
            </w:r>
            <w:r>
              <w:rPr>
                <w:rFonts w:hAnsi="宋体"/>
                <w:bCs/>
                <w:color w:val="auto"/>
                <w:szCs w:val="21"/>
                <w:u w:val="single"/>
              </w:rPr>
              <w:t>2025年11月25日，玉溪市生态环境局经现场检查，发现公司生产车间4号内建成两条高频焊管生产线（含1条纵剪线），未办理环保手续，以玉环罚告[2026]1-11号对建设单位进行了处罚。</w:t>
            </w:r>
          </w:p>
        </w:tc>
        <w:tc>
          <w:tcPr>
            <w:tcW w:w="1981" w:type="dxa"/>
            <w:tcMar>
              <w:top w:w="16" w:type="dxa"/>
              <w:left w:w="16" w:type="dxa"/>
              <w:right w:w="16" w:type="dxa"/>
            </w:tcMar>
            <w:vAlign w:val="center"/>
          </w:tcPr>
          <w:p w14:paraId="4EE258A5">
            <w:pPr>
              <w:adjustRightInd w:val="0"/>
              <w:snapToGrid w:val="0"/>
              <w:jc w:val="center"/>
              <w:rPr>
                <w:color w:val="auto"/>
                <w:spacing w:val="-6"/>
                <w:sz w:val="24"/>
              </w:rPr>
            </w:pPr>
            <w:r>
              <w:rPr>
                <w:rFonts w:hAnsi="宋体"/>
                <w:color w:val="auto"/>
                <w:spacing w:val="-6"/>
                <w:sz w:val="24"/>
              </w:rPr>
              <w:t>用地（用海）</w:t>
            </w:r>
          </w:p>
          <w:p w14:paraId="5C6F8B7B">
            <w:pPr>
              <w:adjustRightInd w:val="0"/>
              <w:snapToGrid w:val="0"/>
              <w:jc w:val="center"/>
              <w:rPr>
                <w:color w:val="auto"/>
                <w:sz w:val="24"/>
              </w:rPr>
            </w:pPr>
            <w:r>
              <w:rPr>
                <w:rFonts w:hAnsi="宋体"/>
                <w:color w:val="auto"/>
                <w:spacing w:val="-6"/>
                <w:sz w:val="24"/>
              </w:rPr>
              <w:t>面积（</w:t>
            </w:r>
            <w:r>
              <w:rPr>
                <w:color w:val="auto"/>
                <w:spacing w:val="-6"/>
                <w:sz w:val="24"/>
              </w:rPr>
              <w:t>m</w:t>
            </w:r>
            <w:r>
              <w:rPr>
                <w:color w:val="auto"/>
                <w:spacing w:val="-6"/>
                <w:sz w:val="24"/>
                <w:vertAlign w:val="superscript"/>
              </w:rPr>
              <w:t>2</w:t>
            </w:r>
            <w:r>
              <w:rPr>
                <w:rFonts w:hAnsi="宋体"/>
                <w:color w:val="auto"/>
                <w:spacing w:val="-6"/>
                <w:sz w:val="24"/>
              </w:rPr>
              <w:t>）</w:t>
            </w:r>
          </w:p>
        </w:tc>
        <w:tc>
          <w:tcPr>
            <w:tcW w:w="3342" w:type="dxa"/>
            <w:vAlign w:val="center"/>
          </w:tcPr>
          <w:p w14:paraId="3E46C9D9">
            <w:pPr>
              <w:adjustRightInd w:val="0"/>
              <w:snapToGrid w:val="0"/>
              <w:jc w:val="center"/>
              <w:rPr>
                <w:color w:val="auto"/>
                <w:sz w:val="24"/>
              </w:rPr>
            </w:pPr>
            <w:r>
              <w:rPr>
                <w:rFonts w:hint="eastAsia"/>
                <w:color w:val="auto"/>
                <w:sz w:val="24"/>
              </w:rPr>
              <w:t>26640</w:t>
            </w:r>
          </w:p>
        </w:tc>
      </w:tr>
      <w:tr w14:paraId="25A1A2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437" w:type="dxa"/>
            <w:gridSpan w:val="3"/>
            <w:vAlign w:val="center"/>
          </w:tcPr>
          <w:p w14:paraId="5235F5B2">
            <w:pPr>
              <w:autoSpaceDE w:val="0"/>
              <w:autoSpaceDN w:val="0"/>
              <w:adjustRightInd w:val="0"/>
              <w:snapToGrid w:val="0"/>
              <w:jc w:val="center"/>
              <w:rPr>
                <w:color w:val="auto"/>
                <w:kern w:val="0"/>
                <w:sz w:val="24"/>
              </w:rPr>
            </w:pPr>
            <w:r>
              <w:rPr>
                <w:rFonts w:hAnsi="宋体"/>
                <w:color w:val="auto"/>
                <w:kern w:val="0"/>
                <w:sz w:val="24"/>
              </w:rPr>
              <w:t>专项评价设置情况</w:t>
            </w:r>
          </w:p>
        </w:tc>
        <w:tc>
          <w:tcPr>
            <w:tcW w:w="8202" w:type="dxa"/>
            <w:gridSpan w:val="4"/>
            <w:vAlign w:val="center"/>
          </w:tcPr>
          <w:p w14:paraId="7B1F8780">
            <w:pPr>
              <w:autoSpaceDE w:val="0"/>
              <w:autoSpaceDN w:val="0"/>
              <w:adjustRightInd w:val="0"/>
              <w:snapToGrid w:val="0"/>
              <w:spacing w:line="360" w:lineRule="auto"/>
              <w:ind w:firstLine="480" w:firstLineChars="200"/>
              <w:jc w:val="left"/>
              <w:rPr>
                <w:color w:val="auto"/>
                <w:kern w:val="0"/>
                <w:sz w:val="24"/>
              </w:rPr>
            </w:pPr>
            <w:r>
              <w:rPr>
                <w:rFonts w:hint="eastAsia"/>
                <w:color w:val="auto"/>
                <w:kern w:val="0"/>
                <w:sz w:val="24"/>
              </w:rPr>
              <w:t>无。</w:t>
            </w:r>
          </w:p>
          <w:p w14:paraId="039E318A">
            <w:pPr>
              <w:autoSpaceDE w:val="0"/>
              <w:autoSpaceDN w:val="0"/>
              <w:adjustRightInd w:val="0"/>
              <w:snapToGrid w:val="0"/>
              <w:spacing w:line="360" w:lineRule="auto"/>
              <w:ind w:firstLine="480" w:firstLineChars="200"/>
              <w:jc w:val="left"/>
              <w:rPr>
                <w:color w:val="auto"/>
                <w:kern w:val="0"/>
                <w:sz w:val="24"/>
              </w:rPr>
            </w:pPr>
            <w:r>
              <w:rPr>
                <w:rFonts w:hint="eastAsia"/>
                <w:color w:val="auto"/>
                <w:kern w:val="0"/>
                <w:sz w:val="24"/>
              </w:rPr>
              <w:t>依据《建设项目环境影响报告表编制技术指南（污染影响类）》专项评价设置原则表，本项目具体专项评价设置原则及本项目判定情况见下表。</w:t>
            </w:r>
          </w:p>
          <w:p w14:paraId="66DF2E4F">
            <w:pPr>
              <w:autoSpaceDE w:val="0"/>
              <w:autoSpaceDN w:val="0"/>
              <w:adjustRightInd w:val="0"/>
              <w:snapToGrid w:val="0"/>
              <w:jc w:val="center"/>
              <w:rPr>
                <w:b/>
                <w:bCs/>
                <w:color w:val="auto"/>
                <w:kern w:val="0"/>
                <w:sz w:val="24"/>
              </w:rPr>
            </w:pPr>
            <w:r>
              <w:rPr>
                <w:rFonts w:hint="eastAsia"/>
                <w:b/>
                <w:bCs/>
                <w:color w:val="auto"/>
                <w:kern w:val="0"/>
                <w:sz w:val="24"/>
              </w:rPr>
              <w:t>表1-1 专项评价设置原则表</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5"/>
              <w:gridCol w:w="3056"/>
              <w:gridCol w:w="2765"/>
              <w:gridCol w:w="930"/>
            </w:tblGrid>
            <w:tr w14:paraId="28365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dxa"/>
                  <w:vAlign w:val="center"/>
                </w:tcPr>
                <w:p w14:paraId="1B0068DD">
                  <w:pPr>
                    <w:autoSpaceDE w:val="0"/>
                    <w:autoSpaceDN w:val="0"/>
                    <w:adjustRightInd w:val="0"/>
                    <w:snapToGrid w:val="0"/>
                    <w:jc w:val="center"/>
                    <w:rPr>
                      <w:color w:val="auto"/>
                      <w:kern w:val="0"/>
                      <w:szCs w:val="21"/>
                    </w:rPr>
                  </w:pPr>
                  <w:r>
                    <w:rPr>
                      <w:rFonts w:hint="eastAsia"/>
                      <w:color w:val="auto"/>
                      <w:kern w:val="0"/>
                      <w:szCs w:val="21"/>
                    </w:rPr>
                    <w:t>专项评价的类别</w:t>
                  </w:r>
                </w:p>
              </w:tc>
              <w:tc>
                <w:tcPr>
                  <w:tcW w:w="3056" w:type="dxa"/>
                  <w:vAlign w:val="center"/>
                </w:tcPr>
                <w:p w14:paraId="79C3A9CB">
                  <w:pPr>
                    <w:autoSpaceDE w:val="0"/>
                    <w:autoSpaceDN w:val="0"/>
                    <w:adjustRightInd w:val="0"/>
                    <w:snapToGrid w:val="0"/>
                    <w:jc w:val="center"/>
                    <w:rPr>
                      <w:color w:val="auto"/>
                      <w:kern w:val="0"/>
                      <w:szCs w:val="21"/>
                    </w:rPr>
                  </w:pPr>
                  <w:r>
                    <w:rPr>
                      <w:rFonts w:hint="eastAsia"/>
                      <w:color w:val="auto"/>
                      <w:kern w:val="0"/>
                      <w:szCs w:val="21"/>
                    </w:rPr>
                    <w:t>设置原则</w:t>
                  </w:r>
                </w:p>
              </w:tc>
              <w:tc>
                <w:tcPr>
                  <w:tcW w:w="2765" w:type="dxa"/>
                  <w:vAlign w:val="center"/>
                </w:tcPr>
                <w:p w14:paraId="6255C3D6">
                  <w:pPr>
                    <w:autoSpaceDE w:val="0"/>
                    <w:autoSpaceDN w:val="0"/>
                    <w:adjustRightInd w:val="0"/>
                    <w:snapToGrid w:val="0"/>
                    <w:jc w:val="center"/>
                    <w:rPr>
                      <w:color w:val="auto"/>
                      <w:kern w:val="0"/>
                      <w:szCs w:val="21"/>
                    </w:rPr>
                  </w:pPr>
                  <w:r>
                    <w:rPr>
                      <w:rFonts w:hint="eastAsia"/>
                      <w:color w:val="auto"/>
                      <w:kern w:val="0"/>
                      <w:szCs w:val="21"/>
                    </w:rPr>
                    <w:t>本项目情况</w:t>
                  </w:r>
                </w:p>
              </w:tc>
              <w:tc>
                <w:tcPr>
                  <w:tcW w:w="930" w:type="dxa"/>
                  <w:vAlign w:val="center"/>
                </w:tcPr>
                <w:p w14:paraId="0F46C296">
                  <w:pPr>
                    <w:autoSpaceDE w:val="0"/>
                    <w:autoSpaceDN w:val="0"/>
                    <w:adjustRightInd w:val="0"/>
                    <w:snapToGrid w:val="0"/>
                    <w:jc w:val="center"/>
                    <w:rPr>
                      <w:color w:val="auto"/>
                      <w:kern w:val="0"/>
                      <w:szCs w:val="21"/>
                    </w:rPr>
                  </w:pPr>
                  <w:r>
                    <w:rPr>
                      <w:rFonts w:hint="eastAsia"/>
                      <w:color w:val="auto"/>
                      <w:kern w:val="0"/>
                      <w:szCs w:val="21"/>
                    </w:rPr>
                    <w:t>专项</w:t>
                  </w:r>
                </w:p>
                <w:p w14:paraId="28A39FCD">
                  <w:pPr>
                    <w:autoSpaceDE w:val="0"/>
                    <w:autoSpaceDN w:val="0"/>
                    <w:adjustRightInd w:val="0"/>
                    <w:snapToGrid w:val="0"/>
                    <w:jc w:val="center"/>
                    <w:rPr>
                      <w:color w:val="auto"/>
                      <w:kern w:val="0"/>
                      <w:szCs w:val="21"/>
                    </w:rPr>
                  </w:pPr>
                  <w:r>
                    <w:rPr>
                      <w:rFonts w:hint="eastAsia"/>
                      <w:color w:val="auto"/>
                      <w:kern w:val="0"/>
                      <w:szCs w:val="21"/>
                    </w:rPr>
                    <w:t>设置</w:t>
                  </w:r>
                </w:p>
              </w:tc>
            </w:tr>
            <w:tr w14:paraId="184A1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dxa"/>
                  <w:vAlign w:val="center"/>
                </w:tcPr>
                <w:p w14:paraId="47627083">
                  <w:pPr>
                    <w:autoSpaceDE w:val="0"/>
                    <w:autoSpaceDN w:val="0"/>
                    <w:adjustRightInd w:val="0"/>
                    <w:snapToGrid w:val="0"/>
                    <w:jc w:val="center"/>
                    <w:rPr>
                      <w:color w:val="auto"/>
                      <w:kern w:val="0"/>
                      <w:szCs w:val="21"/>
                    </w:rPr>
                  </w:pPr>
                  <w:r>
                    <w:rPr>
                      <w:rFonts w:hint="eastAsia"/>
                      <w:color w:val="auto"/>
                      <w:kern w:val="0"/>
                      <w:szCs w:val="21"/>
                    </w:rPr>
                    <w:t>大气</w:t>
                  </w:r>
                </w:p>
              </w:tc>
              <w:tc>
                <w:tcPr>
                  <w:tcW w:w="3056" w:type="dxa"/>
                  <w:vAlign w:val="center"/>
                </w:tcPr>
                <w:p w14:paraId="26831D58">
                  <w:pPr>
                    <w:autoSpaceDE w:val="0"/>
                    <w:autoSpaceDN w:val="0"/>
                    <w:adjustRightInd w:val="0"/>
                    <w:snapToGrid w:val="0"/>
                    <w:jc w:val="center"/>
                    <w:rPr>
                      <w:color w:val="auto"/>
                      <w:kern w:val="0"/>
                      <w:szCs w:val="21"/>
                    </w:rPr>
                  </w:pPr>
                  <w:r>
                    <w:rPr>
                      <w:rFonts w:hint="eastAsia"/>
                      <w:color w:val="auto"/>
                      <w:kern w:val="0"/>
                      <w:szCs w:val="21"/>
                    </w:rPr>
                    <w:t>排放废气含有毒有害污染物、二噁英、苯并[a]芘、氰化物、氯气且厂界外500米范围内有环境空气保护目标的建设项目</w:t>
                  </w:r>
                </w:p>
              </w:tc>
              <w:tc>
                <w:tcPr>
                  <w:tcW w:w="2765" w:type="dxa"/>
                  <w:vAlign w:val="center"/>
                </w:tcPr>
                <w:p w14:paraId="0F0984F3">
                  <w:pPr>
                    <w:autoSpaceDE w:val="0"/>
                    <w:autoSpaceDN w:val="0"/>
                    <w:adjustRightInd w:val="0"/>
                    <w:snapToGrid w:val="0"/>
                    <w:jc w:val="center"/>
                    <w:rPr>
                      <w:color w:val="auto"/>
                      <w:kern w:val="0"/>
                      <w:szCs w:val="21"/>
                    </w:rPr>
                  </w:pPr>
                  <w:r>
                    <w:rPr>
                      <w:rFonts w:hint="eastAsia"/>
                      <w:color w:val="auto"/>
                      <w:kern w:val="0"/>
                      <w:szCs w:val="21"/>
                    </w:rPr>
                    <w:t>本项目排放的废气主要为颗粒物，不涉及含有毒有害污染物、二噁英、苯并[a]芘、氰化物、氯气。</w:t>
                  </w:r>
                </w:p>
              </w:tc>
              <w:tc>
                <w:tcPr>
                  <w:tcW w:w="930" w:type="dxa"/>
                  <w:vAlign w:val="center"/>
                </w:tcPr>
                <w:p w14:paraId="7B3E18CB">
                  <w:pPr>
                    <w:autoSpaceDE w:val="0"/>
                    <w:autoSpaceDN w:val="0"/>
                    <w:adjustRightInd w:val="0"/>
                    <w:snapToGrid w:val="0"/>
                    <w:jc w:val="center"/>
                    <w:rPr>
                      <w:color w:val="auto"/>
                      <w:kern w:val="0"/>
                      <w:szCs w:val="21"/>
                    </w:rPr>
                  </w:pPr>
                  <w:r>
                    <w:rPr>
                      <w:rFonts w:hint="eastAsia"/>
                      <w:color w:val="auto"/>
                      <w:kern w:val="0"/>
                      <w:szCs w:val="21"/>
                    </w:rPr>
                    <w:t>不设置</w:t>
                  </w:r>
                </w:p>
              </w:tc>
            </w:tr>
            <w:tr w14:paraId="36BFF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dxa"/>
                  <w:vAlign w:val="center"/>
                </w:tcPr>
                <w:p w14:paraId="6E85DC21">
                  <w:pPr>
                    <w:autoSpaceDE w:val="0"/>
                    <w:autoSpaceDN w:val="0"/>
                    <w:adjustRightInd w:val="0"/>
                    <w:snapToGrid w:val="0"/>
                    <w:jc w:val="center"/>
                    <w:rPr>
                      <w:color w:val="auto"/>
                      <w:kern w:val="0"/>
                      <w:szCs w:val="21"/>
                    </w:rPr>
                  </w:pPr>
                  <w:r>
                    <w:rPr>
                      <w:rFonts w:hint="eastAsia"/>
                      <w:color w:val="auto"/>
                      <w:kern w:val="0"/>
                      <w:szCs w:val="21"/>
                    </w:rPr>
                    <w:t>地表水</w:t>
                  </w:r>
                </w:p>
              </w:tc>
              <w:tc>
                <w:tcPr>
                  <w:tcW w:w="3056" w:type="dxa"/>
                  <w:vAlign w:val="center"/>
                </w:tcPr>
                <w:p w14:paraId="205ACF6F">
                  <w:pPr>
                    <w:autoSpaceDE w:val="0"/>
                    <w:autoSpaceDN w:val="0"/>
                    <w:adjustRightInd w:val="0"/>
                    <w:snapToGrid w:val="0"/>
                    <w:jc w:val="center"/>
                    <w:rPr>
                      <w:color w:val="auto"/>
                      <w:kern w:val="0"/>
                      <w:szCs w:val="21"/>
                    </w:rPr>
                  </w:pPr>
                  <w:r>
                    <w:rPr>
                      <w:rFonts w:hint="eastAsia"/>
                      <w:color w:val="auto"/>
                      <w:kern w:val="0"/>
                      <w:szCs w:val="21"/>
                    </w:rPr>
                    <w:t>新增工业废水直排建设项目（槽罐车外送污水处理厂的除外）；新增废水直排的污水集中处理厂</w:t>
                  </w:r>
                </w:p>
              </w:tc>
              <w:tc>
                <w:tcPr>
                  <w:tcW w:w="2765" w:type="dxa"/>
                  <w:vAlign w:val="center"/>
                </w:tcPr>
                <w:p w14:paraId="56D48919">
                  <w:pPr>
                    <w:autoSpaceDE w:val="0"/>
                    <w:autoSpaceDN w:val="0"/>
                    <w:adjustRightInd w:val="0"/>
                    <w:snapToGrid w:val="0"/>
                    <w:jc w:val="center"/>
                    <w:rPr>
                      <w:color w:val="auto"/>
                      <w:kern w:val="0"/>
                      <w:szCs w:val="21"/>
                    </w:rPr>
                  </w:pPr>
                  <w:r>
                    <w:rPr>
                      <w:rFonts w:hint="eastAsia"/>
                      <w:color w:val="auto"/>
                      <w:kern w:val="0"/>
                      <w:szCs w:val="21"/>
                    </w:rPr>
                    <w:t>本项目无新增工业废水直排。</w:t>
                  </w:r>
                </w:p>
              </w:tc>
              <w:tc>
                <w:tcPr>
                  <w:tcW w:w="930" w:type="dxa"/>
                  <w:vAlign w:val="center"/>
                </w:tcPr>
                <w:p w14:paraId="329C71A1">
                  <w:pPr>
                    <w:autoSpaceDE w:val="0"/>
                    <w:autoSpaceDN w:val="0"/>
                    <w:adjustRightInd w:val="0"/>
                    <w:snapToGrid w:val="0"/>
                    <w:jc w:val="center"/>
                    <w:rPr>
                      <w:color w:val="auto"/>
                      <w:kern w:val="0"/>
                      <w:szCs w:val="21"/>
                    </w:rPr>
                  </w:pPr>
                  <w:r>
                    <w:rPr>
                      <w:rFonts w:hint="eastAsia"/>
                      <w:color w:val="auto"/>
                      <w:kern w:val="0"/>
                      <w:szCs w:val="21"/>
                    </w:rPr>
                    <w:t>不设置</w:t>
                  </w:r>
                </w:p>
              </w:tc>
            </w:tr>
            <w:tr w14:paraId="4CA5F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dxa"/>
                  <w:vAlign w:val="center"/>
                </w:tcPr>
                <w:p w14:paraId="574AB5D3">
                  <w:pPr>
                    <w:autoSpaceDE w:val="0"/>
                    <w:autoSpaceDN w:val="0"/>
                    <w:adjustRightInd w:val="0"/>
                    <w:snapToGrid w:val="0"/>
                    <w:jc w:val="center"/>
                    <w:rPr>
                      <w:color w:val="auto"/>
                      <w:kern w:val="0"/>
                      <w:szCs w:val="21"/>
                    </w:rPr>
                  </w:pPr>
                  <w:r>
                    <w:rPr>
                      <w:rFonts w:hint="eastAsia"/>
                      <w:color w:val="auto"/>
                      <w:kern w:val="0"/>
                      <w:szCs w:val="21"/>
                    </w:rPr>
                    <w:t>环境风险</w:t>
                  </w:r>
                </w:p>
              </w:tc>
              <w:tc>
                <w:tcPr>
                  <w:tcW w:w="3056" w:type="dxa"/>
                  <w:vAlign w:val="center"/>
                </w:tcPr>
                <w:p w14:paraId="682E4541">
                  <w:pPr>
                    <w:autoSpaceDE w:val="0"/>
                    <w:autoSpaceDN w:val="0"/>
                    <w:adjustRightInd w:val="0"/>
                    <w:snapToGrid w:val="0"/>
                    <w:jc w:val="center"/>
                    <w:rPr>
                      <w:color w:val="auto"/>
                      <w:kern w:val="0"/>
                      <w:szCs w:val="21"/>
                    </w:rPr>
                  </w:pPr>
                  <w:r>
                    <w:rPr>
                      <w:rFonts w:hint="eastAsia"/>
                      <w:color w:val="auto"/>
                      <w:kern w:val="0"/>
                      <w:szCs w:val="21"/>
                    </w:rPr>
                    <w:t>有毒有害和易燃易爆危险物质存储量超过临界量的建设项目</w:t>
                  </w:r>
                </w:p>
              </w:tc>
              <w:tc>
                <w:tcPr>
                  <w:tcW w:w="2765" w:type="dxa"/>
                  <w:vAlign w:val="center"/>
                </w:tcPr>
                <w:p w14:paraId="5223B424">
                  <w:pPr>
                    <w:autoSpaceDE w:val="0"/>
                    <w:autoSpaceDN w:val="0"/>
                    <w:adjustRightInd w:val="0"/>
                    <w:snapToGrid w:val="0"/>
                    <w:jc w:val="center"/>
                    <w:rPr>
                      <w:color w:val="auto"/>
                      <w:kern w:val="0"/>
                      <w:szCs w:val="21"/>
                    </w:rPr>
                  </w:pPr>
                  <w:r>
                    <w:rPr>
                      <w:rFonts w:hint="eastAsia"/>
                      <w:color w:val="auto"/>
                      <w:szCs w:val="21"/>
                    </w:rPr>
                    <w:t>本项目涉及的</w:t>
                  </w:r>
                  <w:r>
                    <w:rPr>
                      <w:rFonts w:hint="eastAsia"/>
                      <w:color w:val="auto"/>
                      <w:kern w:val="0"/>
                      <w:szCs w:val="21"/>
                    </w:rPr>
                    <w:t>有毒有害和易燃易爆危险物质</w:t>
                  </w:r>
                  <w:r>
                    <w:rPr>
                      <w:rFonts w:hint="eastAsia"/>
                      <w:color w:val="auto"/>
                      <w:szCs w:val="21"/>
                    </w:rPr>
                    <w:t>主要为废机油、润滑油、乙炔，项目贮存量未超过临界值。</w:t>
                  </w:r>
                </w:p>
              </w:tc>
              <w:tc>
                <w:tcPr>
                  <w:tcW w:w="930" w:type="dxa"/>
                  <w:vAlign w:val="center"/>
                </w:tcPr>
                <w:p w14:paraId="3EC2A7A3">
                  <w:pPr>
                    <w:autoSpaceDE w:val="0"/>
                    <w:autoSpaceDN w:val="0"/>
                    <w:adjustRightInd w:val="0"/>
                    <w:snapToGrid w:val="0"/>
                    <w:jc w:val="center"/>
                    <w:rPr>
                      <w:color w:val="auto"/>
                      <w:kern w:val="0"/>
                      <w:szCs w:val="21"/>
                    </w:rPr>
                  </w:pPr>
                  <w:r>
                    <w:rPr>
                      <w:rFonts w:hint="eastAsia"/>
                      <w:color w:val="auto"/>
                      <w:kern w:val="0"/>
                      <w:szCs w:val="21"/>
                    </w:rPr>
                    <w:t>不设置</w:t>
                  </w:r>
                </w:p>
              </w:tc>
            </w:tr>
            <w:tr w14:paraId="23662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dxa"/>
                  <w:vAlign w:val="center"/>
                </w:tcPr>
                <w:p w14:paraId="16970580">
                  <w:pPr>
                    <w:autoSpaceDE w:val="0"/>
                    <w:autoSpaceDN w:val="0"/>
                    <w:adjustRightInd w:val="0"/>
                    <w:snapToGrid w:val="0"/>
                    <w:jc w:val="center"/>
                    <w:rPr>
                      <w:color w:val="auto"/>
                      <w:kern w:val="0"/>
                      <w:szCs w:val="21"/>
                    </w:rPr>
                  </w:pPr>
                  <w:r>
                    <w:rPr>
                      <w:rFonts w:hint="eastAsia"/>
                      <w:color w:val="auto"/>
                      <w:kern w:val="0"/>
                      <w:szCs w:val="21"/>
                    </w:rPr>
                    <w:t>生态</w:t>
                  </w:r>
                </w:p>
              </w:tc>
              <w:tc>
                <w:tcPr>
                  <w:tcW w:w="3056" w:type="dxa"/>
                  <w:vAlign w:val="center"/>
                </w:tcPr>
                <w:p w14:paraId="3ABABEF7">
                  <w:pPr>
                    <w:autoSpaceDE w:val="0"/>
                    <w:autoSpaceDN w:val="0"/>
                    <w:adjustRightInd w:val="0"/>
                    <w:snapToGrid w:val="0"/>
                    <w:jc w:val="center"/>
                    <w:rPr>
                      <w:color w:val="auto"/>
                      <w:kern w:val="0"/>
                      <w:szCs w:val="21"/>
                    </w:rPr>
                  </w:pPr>
                  <w:r>
                    <w:rPr>
                      <w:rFonts w:hint="eastAsia"/>
                      <w:color w:val="auto"/>
                      <w:kern w:val="0"/>
                      <w:szCs w:val="21"/>
                    </w:rPr>
                    <w:t>取水口下游 500 米范围内有重要水生生物的自然产卵场、索饵场、越冬场和洄游通道的新增河道取水的污染类建设项目</w:t>
                  </w:r>
                </w:p>
              </w:tc>
              <w:tc>
                <w:tcPr>
                  <w:tcW w:w="2765" w:type="dxa"/>
                  <w:vAlign w:val="center"/>
                </w:tcPr>
                <w:p w14:paraId="293CDDCD">
                  <w:pPr>
                    <w:autoSpaceDE w:val="0"/>
                    <w:autoSpaceDN w:val="0"/>
                    <w:adjustRightInd w:val="0"/>
                    <w:snapToGrid w:val="0"/>
                    <w:jc w:val="center"/>
                    <w:rPr>
                      <w:color w:val="auto"/>
                      <w:kern w:val="0"/>
                      <w:szCs w:val="21"/>
                    </w:rPr>
                  </w:pPr>
                  <w:r>
                    <w:rPr>
                      <w:rFonts w:hint="eastAsia"/>
                      <w:color w:val="auto"/>
                      <w:kern w:val="0"/>
                      <w:szCs w:val="21"/>
                    </w:rPr>
                    <w:t>本项目不设置河道取水口。</w:t>
                  </w:r>
                </w:p>
              </w:tc>
              <w:tc>
                <w:tcPr>
                  <w:tcW w:w="930" w:type="dxa"/>
                  <w:vAlign w:val="center"/>
                </w:tcPr>
                <w:p w14:paraId="1F15D3AC">
                  <w:pPr>
                    <w:autoSpaceDE w:val="0"/>
                    <w:autoSpaceDN w:val="0"/>
                    <w:adjustRightInd w:val="0"/>
                    <w:snapToGrid w:val="0"/>
                    <w:jc w:val="center"/>
                    <w:rPr>
                      <w:color w:val="auto"/>
                      <w:kern w:val="0"/>
                      <w:szCs w:val="21"/>
                    </w:rPr>
                  </w:pPr>
                  <w:r>
                    <w:rPr>
                      <w:rFonts w:hint="eastAsia"/>
                      <w:color w:val="auto"/>
                      <w:kern w:val="0"/>
                      <w:szCs w:val="21"/>
                    </w:rPr>
                    <w:t>不设置</w:t>
                  </w:r>
                </w:p>
              </w:tc>
            </w:tr>
            <w:tr w14:paraId="1D71E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dxa"/>
                  <w:vAlign w:val="center"/>
                </w:tcPr>
                <w:p w14:paraId="21899DD7">
                  <w:pPr>
                    <w:autoSpaceDE w:val="0"/>
                    <w:autoSpaceDN w:val="0"/>
                    <w:adjustRightInd w:val="0"/>
                    <w:snapToGrid w:val="0"/>
                    <w:jc w:val="center"/>
                    <w:rPr>
                      <w:color w:val="auto"/>
                      <w:kern w:val="0"/>
                      <w:szCs w:val="21"/>
                    </w:rPr>
                  </w:pPr>
                  <w:r>
                    <w:rPr>
                      <w:rFonts w:hint="eastAsia"/>
                      <w:color w:val="auto"/>
                      <w:kern w:val="0"/>
                      <w:szCs w:val="21"/>
                    </w:rPr>
                    <w:t>海洋</w:t>
                  </w:r>
                </w:p>
              </w:tc>
              <w:tc>
                <w:tcPr>
                  <w:tcW w:w="3056" w:type="dxa"/>
                  <w:vAlign w:val="center"/>
                </w:tcPr>
                <w:p w14:paraId="37790F7B">
                  <w:pPr>
                    <w:autoSpaceDE w:val="0"/>
                    <w:autoSpaceDN w:val="0"/>
                    <w:adjustRightInd w:val="0"/>
                    <w:snapToGrid w:val="0"/>
                    <w:jc w:val="center"/>
                    <w:rPr>
                      <w:color w:val="auto"/>
                      <w:kern w:val="0"/>
                      <w:szCs w:val="21"/>
                    </w:rPr>
                  </w:pPr>
                  <w:r>
                    <w:rPr>
                      <w:rFonts w:hint="eastAsia"/>
                      <w:color w:val="auto"/>
                      <w:kern w:val="0"/>
                      <w:szCs w:val="21"/>
                    </w:rPr>
                    <w:t>直接向海排放污染物的海洋工程建设项目</w:t>
                  </w:r>
                </w:p>
              </w:tc>
              <w:tc>
                <w:tcPr>
                  <w:tcW w:w="2765" w:type="dxa"/>
                  <w:vAlign w:val="center"/>
                </w:tcPr>
                <w:p w14:paraId="3A53BB60">
                  <w:pPr>
                    <w:autoSpaceDE w:val="0"/>
                    <w:autoSpaceDN w:val="0"/>
                    <w:adjustRightInd w:val="0"/>
                    <w:snapToGrid w:val="0"/>
                    <w:jc w:val="center"/>
                    <w:rPr>
                      <w:color w:val="auto"/>
                      <w:kern w:val="0"/>
                      <w:szCs w:val="21"/>
                    </w:rPr>
                  </w:pPr>
                  <w:r>
                    <w:rPr>
                      <w:rFonts w:hint="eastAsia"/>
                      <w:color w:val="auto"/>
                      <w:kern w:val="0"/>
                      <w:szCs w:val="21"/>
                    </w:rPr>
                    <w:t>本项目不涉及海洋工程。</w:t>
                  </w:r>
                </w:p>
              </w:tc>
              <w:tc>
                <w:tcPr>
                  <w:tcW w:w="930" w:type="dxa"/>
                  <w:vAlign w:val="center"/>
                </w:tcPr>
                <w:p w14:paraId="3948159C">
                  <w:pPr>
                    <w:autoSpaceDE w:val="0"/>
                    <w:autoSpaceDN w:val="0"/>
                    <w:adjustRightInd w:val="0"/>
                    <w:snapToGrid w:val="0"/>
                    <w:jc w:val="center"/>
                    <w:rPr>
                      <w:color w:val="auto"/>
                      <w:kern w:val="0"/>
                      <w:szCs w:val="21"/>
                    </w:rPr>
                  </w:pPr>
                  <w:r>
                    <w:rPr>
                      <w:rFonts w:hint="eastAsia"/>
                      <w:color w:val="auto"/>
                      <w:kern w:val="0"/>
                      <w:szCs w:val="21"/>
                    </w:rPr>
                    <w:t>不设置</w:t>
                  </w:r>
                </w:p>
              </w:tc>
            </w:tr>
          </w:tbl>
          <w:p w14:paraId="3529F4D0">
            <w:pPr>
              <w:autoSpaceDE w:val="0"/>
              <w:autoSpaceDN w:val="0"/>
              <w:adjustRightInd w:val="0"/>
              <w:snapToGrid w:val="0"/>
              <w:jc w:val="center"/>
              <w:rPr>
                <w:color w:val="auto"/>
                <w:kern w:val="0"/>
                <w:sz w:val="24"/>
              </w:rPr>
            </w:pPr>
          </w:p>
        </w:tc>
      </w:tr>
      <w:tr w14:paraId="1C8D8F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437" w:type="dxa"/>
            <w:gridSpan w:val="3"/>
            <w:vAlign w:val="center"/>
          </w:tcPr>
          <w:p w14:paraId="44DE723F">
            <w:pPr>
              <w:autoSpaceDE w:val="0"/>
              <w:autoSpaceDN w:val="0"/>
              <w:adjustRightInd w:val="0"/>
              <w:snapToGrid w:val="0"/>
              <w:jc w:val="center"/>
              <w:rPr>
                <w:color w:val="auto"/>
                <w:kern w:val="0"/>
                <w:sz w:val="24"/>
              </w:rPr>
            </w:pPr>
            <w:r>
              <w:rPr>
                <w:rFonts w:hAnsi="宋体"/>
                <w:color w:val="auto"/>
                <w:sz w:val="24"/>
              </w:rPr>
              <w:t>规划情况</w:t>
            </w:r>
          </w:p>
        </w:tc>
        <w:tc>
          <w:tcPr>
            <w:tcW w:w="8202" w:type="dxa"/>
            <w:gridSpan w:val="4"/>
            <w:vAlign w:val="center"/>
          </w:tcPr>
          <w:p w14:paraId="10BD592B">
            <w:pPr>
              <w:autoSpaceDE w:val="0"/>
              <w:autoSpaceDN w:val="0"/>
              <w:adjustRightInd w:val="0"/>
              <w:snapToGrid w:val="0"/>
              <w:spacing w:line="360" w:lineRule="auto"/>
              <w:jc w:val="left"/>
              <w:rPr>
                <w:color w:val="auto"/>
                <w:kern w:val="0"/>
                <w:sz w:val="24"/>
              </w:rPr>
            </w:pPr>
            <w:r>
              <w:rPr>
                <w:rFonts w:hint="eastAsia"/>
                <w:color w:val="auto"/>
                <w:kern w:val="0"/>
                <w:sz w:val="24"/>
              </w:rPr>
              <w:t>（一）</w:t>
            </w:r>
            <w:r>
              <w:rPr>
                <w:rFonts w:hint="eastAsia"/>
                <w:b/>
                <w:bCs/>
                <w:color w:val="auto"/>
                <w:sz w:val="24"/>
                <w:lang w:val="zh-CN"/>
              </w:rPr>
              <w:t>规划名称：</w:t>
            </w:r>
            <w:bookmarkStart w:id="9" w:name="OLE_LINK11"/>
            <w:r>
              <w:rPr>
                <w:rFonts w:hint="eastAsia"/>
                <w:color w:val="auto"/>
                <w:kern w:val="0"/>
                <w:sz w:val="24"/>
              </w:rPr>
              <w:t>《通海县国土空间总体规划（</w:t>
            </w:r>
            <w:r>
              <w:rPr>
                <w:color w:val="auto"/>
                <w:kern w:val="0"/>
                <w:sz w:val="24"/>
              </w:rPr>
              <w:t>2021</w:t>
            </w:r>
            <w:r>
              <w:rPr>
                <w:rFonts w:hint="eastAsia"/>
                <w:color w:val="auto"/>
                <w:kern w:val="0"/>
                <w:sz w:val="24"/>
              </w:rPr>
              <w:t>—</w:t>
            </w:r>
            <w:r>
              <w:rPr>
                <w:color w:val="auto"/>
                <w:kern w:val="0"/>
                <w:sz w:val="24"/>
              </w:rPr>
              <w:t>2035</w:t>
            </w:r>
            <w:r>
              <w:rPr>
                <w:rFonts w:hint="eastAsia"/>
                <w:color w:val="auto"/>
                <w:kern w:val="0"/>
                <w:sz w:val="24"/>
              </w:rPr>
              <w:t>年）》</w:t>
            </w:r>
            <w:bookmarkEnd w:id="9"/>
          </w:p>
          <w:p w14:paraId="4B1278BF">
            <w:pPr>
              <w:autoSpaceDE w:val="0"/>
              <w:autoSpaceDN w:val="0"/>
              <w:adjustRightInd w:val="0"/>
              <w:snapToGrid w:val="0"/>
              <w:spacing w:line="360" w:lineRule="auto"/>
              <w:ind w:firstLine="723" w:firstLineChars="300"/>
              <w:rPr>
                <w:color w:val="auto"/>
                <w:sz w:val="24"/>
                <w:lang w:val="zh-CN"/>
              </w:rPr>
            </w:pPr>
            <w:r>
              <w:rPr>
                <w:rFonts w:hint="eastAsia"/>
                <w:b/>
                <w:bCs/>
                <w:color w:val="auto"/>
                <w:sz w:val="24"/>
                <w:lang w:val="zh-CN"/>
              </w:rPr>
              <w:t>审批机关：</w:t>
            </w:r>
            <w:r>
              <w:rPr>
                <w:color w:val="auto"/>
                <w:sz w:val="24"/>
              </w:rPr>
              <w:t>玉溪市人民政府</w:t>
            </w:r>
          </w:p>
          <w:p w14:paraId="4BEF677F">
            <w:pPr>
              <w:autoSpaceDE w:val="0"/>
              <w:autoSpaceDN w:val="0"/>
              <w:adjustRightInd w:val="0"/>
              <w:snapToGrid w:val="0"/>
              <w:spacing w:line="360" w:lineRule="auto"/>
              <w:jc w:val="left"/>
              <w:rPr>
                <w:color w:val="auto"/>
                <w:kern w:val="0"/>
                <w:sz w:val="24"/>
              </w:rPr>
            </w:pPr>
            <w:r>
              <w:rPr>
                <w:rFonts w:hint="eastAsia"/>
                <w:color w:val="auto"/>
                <w:kern w:val="0"/>
                <w:sz w:val="24"/>
              </w:rPr>
              <w:t>（二）</w:t>
            </w:r>
            <w:r>
              <w:rPr>
                <w:rFonts w:hint="eastAsia"/>
                <w:b/>
                <w:bCs/>
                <w:color w:val="auto"/>
                <w:sz w:val="24"/>
                <w:lang w:val="zh-CN"/>
              </w:rPr>
              <w:t>规划名称：</w:t>
            </w:r>
            <w:r>
              <w:rPr>
                <w:rFonts w:hint="eastAsia"/>
                <w:color w:val="auto"/>
                <w:kern w:val="0"/>
                <w:sz w:val="24"/>
              </w:rPr>
              <w:t>《玉溪市通海县纳古镇集镇区国土空间详细规划(2单元)》</w:t>
            </w:r>
          </w:p>
          <w:p w14:paraId="20FFC124">
            <w:pPr>
              <w:autoSpaceDE w:val="0"/>
              <w:autoSpaceDN w:val="0"/>
              <w:adjustRightInd w:val="0"/>
              <w:snapToGrid w:val="0"/>
              <w:spacing w:line="360" w:lineRule="auto"/>
              <w:ind w:firstLine="723" w:firstLineChars="300"/>
              <w:rPr>
                <w:color w:val="auto"/>
                <w:sz w:val="24"/>
              </w:rPr>
            </w:pPr>
            <w:r>
              <w:rPr>
                <w:rFonts w:hint="eastAsia"/>
                <w:b/>
                <w:bCs/>
                <w:color w:val="auto"/>
                <w:sz w:val="24"/>
                <w:lang w:val="zh-CN"/>
              </w:rPr>
              <w:t>审批机关：</w:t>
            </w:r>
            <w:r>
              <w:rPr>
                <w:rFonts w:hint="eastAsia"/>
                <w:color w:val="auto"/>
                <w:sz w:val="24"/>
              </w:rPr>
              <w:t>通海县</w:t>
            </w:r>
            <w:r>
              <w:rPr>
                <w:color w:val="auto"/>
                <w:sz w:val="24"/>
              </w:rPr>
              <w:t>人民政府</w:t>
            </w:r>
          </w:p>
          <w:p w14:paraId="276F5026">
            <w:pPr>
              <w:autoSpaceDE w:val="0"/>
              <w:autoSpaceDN w:val="0"/>
              <w:adjustRightInd w:val="0"/>
              <w:snapToGrid w:val="0"/>
              <w:spacing w:line="360" w:lineRule="auto"/>
              <w:jc w:val="left"/>
              <w:rPr>
                <w:color w:val="auto"/>
                <w:sz w:val="24"/>
              </w:rPr>
            </w:pPr>
            <w:r>
              <w:rPr>
                <w:rFonts w:hint="eastAsia"/>
                <w:color w:val="auto"/>
                <w:sz w:val="24"/>
                <w:lang w:val="zh-CN"/>
              </w:rPr>
              <w:t>（三）</w:t>
            </w:r>
            <w:r>
              <w:rPr>
                <w:rFonts w:hint="eastAsia"/>
                <w:b/>
                <w:bCs/>
                <w:color w:val="auto"/>
                <w:sz w:val="24"/>
                <w:lang w:val="zh-CN"/>
              </w:rPr>
              <w:t>规划名称：</w:t>
            </w:r>
            <w:bookmarkStart w:id="10" w:name="OLE_LINK14"/>
            <w:r>
              <w:rPr>
                <w:color w:val="auto"/>
                <w:sz w:val="24"/>
              </w:rPr>
              <w:t>《</w:t>
            </w:r>
            <w:bookmarkStart w:id="11" w:name="OLE_LINK19"/>
            <w:r>
              <w:rPr>
                <w:color w:val="auto"/>
                <w:sz w:val="24"/>
              </w:rPr>
              <w:t>杞麓湖流域国土空间保护和科学利用专项规划（2021-2035 年）</w:t>
            </w:r>
            <w:bookmarkEnd w:id="11"/>
            <w:r>
              <w:rPr>
                <w:color w:val="auto"/>
                <w:sz w:val="24"/>
              </w:rPr>
              <w:t>》</w:t>
            </w:r>
          </w:p>
          <w:bookmarkEnd w:id="10"/>
          <w:p w14:paraId="24D1B806">
            <w:pPr>
              <w:autoSpaceDE w:val="0"/>
              <w:autoSpaceDN w:val="0"/>
              <w:adjustRightInd w:val="0"/>
              <w:snapToGrid w:val="0"/>
              <w:spacing w:line="360" w:lineRule="auto"/>
              <w:ind w:firstLine="723" w:firstLineChars="300"/>
              <w:rPr>
                <w:color w:val="auto"/>
                <w:sz w:val="24"/>
                <w:lang w:val="zh-CN"/>
              </w:rPr>
            </w:pPr>
            <w:r>
              <w:rPr>
                <w:rFonts w:hint="eastAsia"/>
                <w:b/>
                <w:bCs/>
                <w:color w:val="auto"/>
                <w:sz w:val="24"/>
              </w:rPr>
              <w:t>审批机关：</w:t>
            </w:r>
            <w:r>
              <w:rPr>
                <w:rFonts w:hint="eastAsia"/>
                <w:color w:val="auto"/>
                <w:sz w:val="24"/>
              </w:rPr>
              <w:t>玉溪市人民政府</w:t>
            </w:r>
          </w:p>
        </w:tc>
      </w:tr>
      <w:tr w14:paraId="1724B4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437" w:type="dxa"/>
            <w:gridSpan w:val="3"/>
            <w:vAlign w:val="center"/>
          </w:tcPr>
          <w:p w14:paraId="7DC8F819">
            <w:pPr>
              <w:adjustRightInd w:val="0"/>
              <w:snapToGrid w:val="0"/>
              <w:jc w:val="center"/>
              <w:rPr>
                <w:color w:val="auto"/>
                <w:sz w:val="24"/>
              </w:rPr>
            </w:pPr>
            <w:r>
              <w:rPr>
                <w:rFonts w:hAnsi="宋体"/>
                <w:color w:val="auto"/>
                <w:sz w:val="24"/>
              </w:rPr>
              <w:t>规划环境影响评价情况</w:t>
            </w:r>
          </w:p>
        </w:tc>
        <w:tc>
          <w:tcPr>
            <w:tcW w:w="8202" w:type="dxa"/>
            <w:gridSpan w:val="4"/>
            <w:vAlign w:val="center"/>
          </w:tcPr>
          <w:p w14:paraId="21E2DC28">
            <w:pPr>
              <w:autoSpaceDE w:val="0"/>
              <w:autoSpaceDN w:val="0"/>
              <w:adjustRightInd w:val="0"/>
              <w:snapToGrid w:val="0"/>
              <w:spacing w:line="360" w:lineRule="auto"/>
              <w:rPr>
                <w:color w:val="auto"/>
                <w:kern w:val="0"/>
                <w:sz w:val="24"/>
              </w:rPr>
            </w:pPr>
            <w:r>
              <w:rPr>
                <w:rFonts w:hint="eastAsia"/>
                <w:color w:val="auto"/>
                <w:kern w:val="0"/>
                <w:sz w:val="24"/>
              </w:rPr>
              <w:t>无</w:t>
            </w:r>
          </w:p>
        </w:tc>
      </w:tr>
      <w:tr w14:paraId="239B1F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751" w:type="dxa"/>
            <w:gridSpan w:val="2"/>
            <w:vAlign w:val="center"/>
          </w:tcPr>
          <w:p w14:paraId="3BF25FE6">
            <w:pPr>
              <w:autoSpaceDE w:val="0"/>
              <w:autoSpaceDN w:val="0"/>
              <w:adjustRightInd w:val="0"/>
              <w:snapToGrid w:val="0"/>
              <w:jc w:val="center"/>
              <w:rPr>
                <w:color w:val="auto"/>
                <w:kern w:val="0"/>
                <w:sz w:val="24"/>
              </w:rPr>
            </w:pPr>
            <w:r>
              <w:rPr>
                <w:rFonts w:hAnsi="宋体"/>
                <w:color w:val="auto"/>
                <w:kern w:val="0"/>
                <w:sz w:val="24"/>
              </w:rPr>
              <w:t>规划及规划环境影响评价符合性分析</w:t>
            </w:r>
          </w:p>
        </w:tc>
        <w:tc>
          <w:tcPr>
            <w:tcW w:w="8888" w:type="dxa"/>
            <w:gridSpan w:val="5"/>
          </w:tcPr>
          <w:p w14:paraId="280F91CC">
            <w:pPr>
              <w:autoSpaceDE w:val="0"/>
              <w:autoSpaceDN w:val="0"/>
              <w:adjustRightInd w:val="0"/>
              <w:snapToGrid w:val="0"/>
              <w:spacing w:line="360" w:lineRule="auto"/>
              <w:rPr>
                <w:b/>
                <w:color w:val="auto"/>
                <w:kern w:val="0"/>
                <w:sz w:val="24"/>
              </w:rPr>
            </w:pPr>
            <w:r>
              <w:rPr>
                <w:rFonts w:hint="eastAsia"/>
                <w:b/>
                <w:color w:val="auto"/>
                <w:kern w:val="0"/>
                <w:sz w:val="24"/>
              </w:rPr>
              <w:t>（一）</w:t>
            </w:r>
            <w:r>
              <w:rPr>
                <w:rFonts w:hint="eastAsia"/>
                <w:b/>
                <w:bCs/>
                <w:color w:val="auto"/>
                <w:sz w:val="24"/>
              </w:rPr>
              <w:t>与《通海县国土空间总体规划（2021—2035年）》规划符合</w:t>
            </w:r>
            <w:r>
              <w:rPr>
                <w:b/>
                <w:bCs/>
                <w:color w:val="auto"/>
                <w:sz w:val="24"/>
              </w:rPr>
              <w:t>性分析</w:t>
            </w:r>
          </w:p>
          <w:p w14:paraId="09848A1D">
            <w:pPr>
              <w:adjustRightInd w:val="0"/>
              <w:snapToGrid w:val="0"/>
              <w:spacing w:line="360" w:lineRule="auto"/>
              <w:ind w:firstLine="480" w:firstLineChars="200"/>
              <w:rPr>
                <w:color w:val="auto"/>
                <w:sz w:val="24"/>
              </w:rPr>
            </w:pPr>
            <w:r>
              <w:rPr>
                <w:rFonts w:hint="eastAsia"/>
                <w:color w:val="auto"/>
                <w:sz w:val="24"/>
              </w:rPr>
              <w:t>根据</w:t>
            </w:r>
            <w:bookmarkStart w:id="12" w:name="OLE_LINK8"/>
            <w:r>
              <w:rPr>
                <w:rFonts w:hint="eastAsia"/>
                <w:color w:val="auto"/>
                <w:sz w:val="24"/>
              </w:rPr>
              <w:t>《通海县国土空间总体规划（2021—2035年）》</w:t>
            </w:r>
            <w:bookmarkEnd w:id="12"/>
            <w:r>
              <w:rPr>
                <w:rFonts w:hint="eastAsia"/>
                <w:color w:val="auto"/>
                <w:sz w:val="24"/>
              </w:rPr>
              <w:t>，规划范围为通海县行政辖区内的全部国土空间。《规划》包括县域及中心城区两个层次。县域为通海县全部行政辖区范围，包括秀山街道、九龙街道、杨广镇、四街镇、河西镇、纳古镇、里山彝族乡、高大傣族彝族乡、兴蒙蒙古族乡。中心城区包括秀山街道城镇集中建设区、里山产业园区（城镇开发边界内的区域）、九龙街道集镇及火车站片区等区域，面积为32.63 平方公里。</w:t>
            </w:r>
          </w:p>
          <w:p w14:paraId="41BC71F8">
            <w:pPr>
              <w:adjustRightInd w:val="0"/>
              <w:snapToGrid w:val="0"/>
              <w:spacing w:line="360" w:lineRule="auto"/>
              <w:ind w:firstLine="480" w:firstLineChars="200"/>
              <w:rPr>
                <w:color w:val="auto"/>
                <w:sz w:val="24"/>
              </w:rPr>
            </w:pPr>
            <w:r>
              <w:rPr>
                <w:rFonts w:hint="eastAsia"/>
                <w:color w:val="auto"/>
                <w:sz w:val="24"/>
              </w:rPr>
              <w:t>规划要求以“三区三线”划定成果为基础，统筹划定工业用地红线。新建工业项目不得在工业用地红线外选址，近期重点工业项目应在工业用地保障线内选址，依托资源或有邻避要求的单独选址工业项目，允许在工业用地拓展线内选址。严控工业用地红线外的现状工业项目原址重建或改扩建，逐步引导向工业用地红线内集聚。</w:t>
            </w:r>
          </w:p>
          <w:p w14:paraId="7D09E6BB">
            <w:pPr>
              <w:adjustRightInd w:val="0"/>
              <w:snapToGrid w:val="0"/>
              <w:spacing w:line="360" w:lineRule="auto"/>
              <w:ind w:firstLine="480" w:firstLineChars="200"/>
              <w:rPr>
                <w:color w:val="auto"/>
                <w:sz w:val="24"/>
              </w:rPr>
            </w:pPr>
            <w:r>
              <w:rPr>
                <w:rFonts w:hint="eastAsia"/>
                <w:color w:val="auto"/>
                <w:sz w:val="24"/>
              </w:rPr>
              <w:t>本项目位于通海县四街镇二街村老江通公路大平地，项目用地属于工业用地。根据2025年</w:t>
            </w:r>
            <w:r>
              <w:rPr>
                <w:color w:val="auto"/>
                <w:sz w:val="24"/>
              </w:rPr>
              <w:t>1</w:t>
            </w:r>
            <w:r>
              <w:rPr>
                <w:rFonts w:hint="eastAsia"/>
                <w:color w:val="auto"/>
                <w:sz w:val="24"/>
              </w:rPr>
              <w:t>2月30日通海县自然资源局出具的《通海县国土空间规划三区三线查询结果》，本项目不涉及永久基本农田，不涉及生态保护红线，位于城镇开发边界；根据202</w:t>
            </w:r>
            <w:r>
              <w:rPr>
                <w:color w:val="auto"/>
                <w:sz w:val="24"/>
              </w:rPr>
              <w:t>6</w:t>
            </w:r>
            <w:r>
              <w:rPr>
                <w:rFonts w:hint="eastAsia"/>
                <w:color w:val="auto"/>
                <w:sz w:val="24"/>
              </w:rPr>
              <w:t>年4月17日玉溪市生态环境局通海分局出具的《云南省通海县鸿翔焊管有限公司三线一单管控单元查询结果》，项目涉及通海县农业农村面源污染重点管控单元、通海县乡镇生活污染重点管控单元、通海县一般管控单元。经对照分析，项目符合所在地“三线一单”生态环境分区管控中与本项目有关的相关要求。根据2025年12月30日通海县纳古镇人民政府出具的《关于云南省通海县鸿翔焊管有限公司的选址意见》，项目符合《玉溪市通海县纳古镇集镇区国土空间详细规划(2单元)》，同意该项目选址。</w:t>
            </w:r>
          </w:p>
          <w:p w14:paraId="3BCA23B2">
            <w:pPr>
              <w:adjustRightInd w:val="0"/>
              <w:snapToGrid w:val="0"/>
              <w:spacing w:line="360" w:lineRule="auto"/>
              <w:ind w:firstLine="480" w:firstLineChars="200"/>
              <w:rPr>
                <w:color w:val="auto"/>
                <w:sz w:val="24"/>
              </w:rPr>
            </w:pPr>
            <w:r>
              <w:rPr>
                <w:rFonts w:hint="eastAsia"/>
                <w:color w:val="auto"/>
                <w:sz w:val="24"/>
              </w:rPr>
              <w:t>因此，项目符合《通海县国土空间总体规划（2021—2035年）》。</w:t>
            </w:r>
          </w:p>
          <w:p w14:paraId="072DAF9C">
            <w:pPr>
              <w:autoSpaceDE w:val="0"/>
              <w:autoSpaceDN w:val="0"/>
              <w:adjustRightInd w:val="0"/>
              <w:snapToGrid w:val="0"/>
              <w:spacing w:line="360" w:lineRule="auto"/>
              <w:rPr>
                <w:b/>
                <w:color w:val="auto"/>
                <w:kern w:val="0"/>
                <w:sz w:val="24"/>
              </w:rPr>
            </w:pPr>
            <w:r>
              <w:rPr>
                <w:rFonts w:hint="eastAsia"/>
                <w:b/>
                <w:color w:val="auto"/>
                <w:kern w:val="0"/>
                <w:sz w:val="24"/>
              </w:rPr>
              <w:t>（二）</w:t>
            </w:r>
            <w:r>
              <w:rPr>
                <w:rFonts w:hint="eastAsia"/>
                <w:b/>
                <w:bCs/>
                <w:color w:val="auto"/>
                <w:sz w:val="24"/>
              </w:rPr>
              <w:t>与《玉溪市通海县纳古镇集镇区国土空间详细规划(2单元)》规划符合</w:t>
            </w:r>
            <w:r>
              <w:rPr>
                <w:b/>
                <w:bCs/>
                <w:color w:val="auto"/>
                <w:sz w:val="24"/>
              </w:rPr>
              <w:t>性分析</w:t>
            </w:r>
          </w:p>
          <w:p w14:paraId="5F023C69">
            <w:pPr>
              <w:autoSpaceDE w:val="0"/>
              <w:autoSpaceDN w:val="0"/>
              <w:adjustRightInd w:val="0"/>
              <w:snapToGrid w:val="0"/>
              <w:spacing w:line="360" w:lineRule="auto"/>
              <w:ind w:firstLine="480" w:firstLineChars="200"/>
              <w:jc w:val="left"/>
              <w:rPr>
                <w:rFonts w:eastAsiaTheme="minorEastAsia"/>
                <w:color w:val="auto"/>
                <w:kern w:val="0"/>
                <w:sz w:val="24"/>
              </w:rPr>
            </w:pPr>
            <w:r>
              <w:rPr>
                <w:rFonts w:hint="eastAsia" w:eastAsiaTheme="minorEastAsia"/>
                <w:color w:val="auto"/>
                <w:kern w:val="0"/>
                <w:sz w:val="24"/>
              </w:rPr>
              <w:t>根据《玉溪市通海县纳古镇集镇区国土空间详细规划（2单元）》，规划范围与已批复的《通海县国土空间总体规划(2021-2035年)》划定的城镇单元纳古-2单元(530423106010020)的范围保持一致，北接江川区，南至在建弥楚高速与G245国道交汇处，西至鸡脖子山脚，东至米冲水库，总面积222.50公顷，其中146.47公顷在纳古镇行政区范围内，另外76.03公顷在四街镇行政区范围内。</w:t>
            </w:r>
          </w:p>
          <w:p w14:paraId="73D46C78">
            <w:pPr>
              <w:autoSpaceDE w:val="0"/>
              <w:autoSpaceDN w:val="0"/>
              <w:adjustRightInd w:val="0"/>
              <w:snapToGrid w:val="0"/>
              <w:spacing w:line="360" w:lineRule="auto"/>
              <w:ind w:firstLine="480" w:firstLineChars="200"/>
              <w:jc w:val="left"/>
              <w:rPr>
                <w:rFonts w:eastAsiaTheme="minorEastAsia"/>
                <w:color w:val="auto"/>
                <w:kern w:val="0"/>
                <w:sz w:val="24"/>
              </w:rPr>
            </w:pPr>
            <w:r>
              <w:rPr>
                <w:rFonts w:hint="eastAsia" w:eastAsiaTheme="minorEastAsia"/>
                <w:color w:val="auto"/>
                <w:kern w:val="0"/>
                <w:sz w:val="24"/>
              </w:rPr>
              <w:t>本项目位于通海县四街镇二街村老江通公路大平地，根据《玉溪市通海县纳古镇集镇区国土空间详细规划（2单元）》规划范围图，项目所在地属于通海县纳古镇集镇区范围（详见附图7），通海县纳古镇集镇区国土空间详细规划（2单元）国土空间结构规划构建“一环、一心、四片、两带”的国土空间功能结构。“一环”：将四个片区串联成集镇区多远绿色产业联动环；“一心”：指整个单元中心的综合服务中心；“四片”：整个单元由四个片区组成，分别为北部现代物流片区、西部彩印包装片区、东部装备制造片区；“两带”：由东西两侧山体、林地构建的两条山林屏障隔离带。项目位于“四片”中的东部装备制造片区，本项目主要生产高频焊管，符合片区规划。根据集镇用地布局规划图，项目区用地规划为二类工业用地，项目用地与《玉溪市通海县纳古镇集镇区国土空间详细规划（2单元）》不冲突。</w:t>
            </w:r>
          </w:p>
          <w:p w14:paraId="15386C9E">
            <w:pPr>
              <w:autoSpaceDE w:val="0"/>
              <w:autoSpaceDN w:val="0"/>
              <w:adjustRightInd w:val="0"/>
              <w:snapToGrid w:val="0"/>
              <w:spacing w:line="360" w:lineRule="auto"/>
              <w:rPr>
                <w:b/>
                <w:bCs/>
                <w:color w:val="auto"/>
                <w:sz w:val="24"/>
              </w:rPr>
            </w:pPr>
            <w:r>
              <w:rPr>
                <w:rFonts w:hint="eastAsia"/>
                <w:b/>
                <w:bCs/>
                <w:color w:val="auto"/>
                <w:sz w:val="24"/>
              </w:rPr>
              <w:t>（三）</w:t>
            </w:r>
            <w:r>
              <w:rPr>
                <w:b/>
                <w:bCs/>
                <w:color w:val="auto"/>
                <w:sz w:val="24"/>
              </w:rPr>
              <w:t>项目与《杞麓湖流域国土空间保护和科学利用专项规划（2021-2035 年）》符合性分析</w:t>
            </w:r>
          </w:p>
          <w:p w14:paraId="30ABB813">
            <w:pPr>
              <w:autoSpaceDE w:val="0"/>
              <w:autoSpaceDN w:val="0"/>
              <w:adjustRightInd w:val="0"/>
              <w:snapToGrid w:val="0"/>
              <w:spacing w:line="360" w:lineRule="auto"/>
              <w:ind w:firstLine="480" w:firstLineChars="200"/>
              <w:jc w:val="left"/>
              <w:rPr>
                <w:color w:val="auto"/>
                <w:kern w:val="0"/>
                <w:sz w:val="24"/>
              </w:rPr>
            </w:pPr>
            <w:bookmarkStart w:id="13" w:name="OLE_LINK21"/>
            <w:r>
              <w:rPr>
                <w:color w:val="auto"/>
                <w:kern w:val="0"/>
                <w:sz w:val="24"/>
              </w:rPr>
              <w:t>《杞麓湖流域国土空间保护和科学利用专项规划（2021-2035 年）》</w:t>
            </w:r>
            <w:bookmarkEnd w:id="13"/>
            <w:r>
              <w:rPr>
                <w:color w:val="auto"/>
                <w:kern w:val="0"/>
                <w:sz w:val="24"/>
              </w:rPr>
              <w:t>范围覆盖杞麓湖流域全域，规划期限为 2021</w:t>
            </w:r>
            <w:r>
              <w:rPr>
                <w:rFonts w:hint="eastAsia"/>
                <w:color w:val="auto"/>
                <w:kern w:val="0"/>
                <w:sz w:val="24"/>
              </w:rPr>
              <w:t>~</w:t>
            </w:r>
            <w:r>
              <w:rPr>
                <w:color w:val="auto"/>
                <w:kern w:val="0"/>
                <w:sz w:val="24"/>
              </w:rPr>
              <w:t>2035 年，以生态保护优先、系统综合治理、国土空间集约管控为原则，紧扣湖泊革命治理要求。规划严守生态保护红线、永久基本农田、城镇开发边界三条控制线，优化流域生态、农业、城镇三大空间格局，构建“一湖一屏、一心一片、三轴四点”总体布局与流域生态安全格局。按湖泊核心保护区、入湖河道管控区、环湖生态屏障区、农业绿色发展区、城镇集约发展区实行分区管控，重点开展湿地修复、入湖河道整治、环湖截污、农业面源污染治理、水土保持及矿山生态修复等工程。严格管控岸线开发与产业准入，优化城镇、农业、文旅及特色农业空间布局，保护历史文化与湖城风貌；同步完善水资源调配、污水垃圾处理、交通等基础设施，建立空间管控、生态补偿、动态监测与执法监管长效机制。近期实现水质脱劣企稳、污染负荷有效削减，远期力争湖体水质稳步提升，推动流域生态环境持续改善、国土空间科学高效利用、生态保护与绿色协调可持续发展。</w:t>
            </w:r>
          </w:p>
          <w:p w14:paraId="46C1801A">
            <w:pPr>
              <w:autoSpaceDE w:val="0"/>
              <w:autoSpaceDN w:val="0"/>
              <w:adjustRightInd w:val="0"/>
              <w:snapToGrid w:val="0"/>
              <w:spacing w:line="360" w:lineRule="auto"/>
              <w:ind w:firstLine="480" w:firstLineChars="200"/>
              <w:jc w:val="left"/>
              <w:rPr>
                <w:color w:val="auto"/>
                <w:kern w:val="0"/>
                <w:sz w:val="24"/>
              </w:rPr>
            </w:pPr>
            <w:r>
              <w:rPr>
                <w:color w:val="auto"/>
                <w:kern w:val="0"/>
                <w:sz w:val="24"/>
              </w:rPr>
              <w:t>本项目选址于通海县</w:t>
            </w:r>
            <w:r>
              <w:rPr>
                <w:rFonts w:hint="eastAsia"/>
                <w:color w:val="auto"/>
                <w:kern w:val="0"/>
                <w:sz w:val="24"/>
              </w:rPr>
              <w:t>四街</w:t>
            </w:r>
            <w:r>
              <w:rPr>
                <w:color w:val="auto"/>
                <w:kern w:val="0"/>
                <w:sz w:val="24"/>
              </w:rPr>
              <w:t>镇，地处杞麓湖流域绿色发展区范围内，不在生态保护核心区、生态保护缓冲区及湖滨带内，远离湖泊及入湖河流敏感区域，完全契合“两线三区”分级管控要求，规避了生态保护核心区、缓冲区的开发禁令，项目用地为规划工矿用地，符合《杞麓湖流域国土空间保护和科学利用专项规划（2021-2035 年）》及城镇开发边界管控要求，不占用永久基本农田、林地、生态保护红线，项目为技改项目，不新增建设用地，依托现有厂房实施设备升级，与规划不冲突。</w:t>
            </w:r>
          </w:p>
          <w:p w14:paraId="6B57D534">
            <w:pPr>
              <w:autoSpaceDE w:val="0"/>
              <w:autoSpaceDN w:val="0"/>
              <w:adjustRightInd w:val="0"/>
              <w:snapToGrid w:val="0"/>
              <w:spacing w:line="360" w:lineRule="auto"/>
              <w:ind w:firstLine="480" w:firstLineChars="200"/>
              <w:jc w:val="left"/>
              <w:rPr>
                <w:color w:val="auto"/>
                <w:kern w:val="0"/>
                <w:sz w:val="24"/>
              </w:rPr>
            </w:pPr>
          </w:p>
        </w:tc>
      </w:tr>
      <w:tr w14:paraId="543C50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99" w:hRule="atLeast"/>
          <w:jc w:val="center"/>
        </w:trPr>
        <w:tc>
          <w:tcPr>
            <w:tcW w:w="642" w:type="dxa"/>
            <w:vAlign w:val="center"/>
          </w:tcPr>
          <w:p w14:paraId="22068313">
            <w:pPr>
              <w:autoSpaceDE w:val="0"/>
              <w:autoSpaceDN w:val="0"/>
              <w:adjustRightInd w:val="0"/>
              <w:snapToGrid w:val="0"/>
              <w:jc w:val="center"/>
              <w:rPr>
                <w:color w:val="auto"/>
                <w:kern w:val="0"/>
                <w:sz w:val="24"/>
              </w:rPr>
            </w:pPr>
            <w:r>
              <w:rPr>
                <w:rFonts w:hAnsi="宋体"/>
                <w:color w:val="auto"/>
                <w:kern w:val="0"/>
                <w:sz w:val="24"/>
              </w:rPr>
              <w:t>其他符合性分析</w:t>
            </w:r>
          </w:p>
        </w:tc>
        <w:tc>
          <w:tcPr>
            <w:tcW w:w="8997" w:type="dxa"/>
            <w:gridSpan w:val="6"/>
            <w:vAlign w:val="center"/>
          </w:tcPr>
          <w:p w14:paraId="6EDF41A6">
            <w:pPr>
              <w:autoSpaceDE w:val="0"/>
              <w:autoSpaceDN w:val="0"/>
              <w:adjustRightInd w:val="0"/>
              <w:snapToGrid w:val="0"/>
              <w:spacing w:line="360" w:lineRule="auto"/>
              <w:jc w:val="left"/>
              <w:rPr>
                <w:b/>
                <w:bCs/>
                <w:color w:val="auto"/>
                <w:kern w:val="0"/>
                <w:sz w:val="24"/>
              </w:rPr>
            </w:pPr>
            <w:r>
              <w:rPr>
                <w:b/>
                <w:color w:val="auto"/>
                <w:kern w:val="0"/>
                <w:sz w:val="24"/>
              </w:rPr>
              <w:t>（</w:t>
            </w:r>
            <w:r>
              <w:rPr>
                <w:rFonts w:hint="eastAsia"/>
                <w:b/>
                <w:color w:val="auto"/>
                <w:kern w:val="0"/>
                <w:sz w:val="24"/>
              </w:rPr>
              <w:t>一</w:t>
            </w:r>
            <w:r>
              <w:rPr>
                <w:b/>
                <w:color w:val="auto"/>
                <w:kern w:val="0"/>
                <w:sz w:val="24"/>
              </w:rPr>
              <w:t>）建设项目与所在地</w:t>
            </w:r>
            <w:r>
              <w:rPr>
                <w:rFonts w:hint="eastAsia"/>
                <w:b/>
                <w:color w:val="auto"/>
                <w:kern w:val="0"/>
                <w:sz w:val="24"/>
              </w:rPr>
              <w:t>生态环境分区管控</w:t>
            </w:r>
            <w:r>
              <w:rPr>
                <w:b/>
                <w:bCs/>
                <w:color w:val="auto"/>
                <w:kern w:val="0"/>
                <w:sz w:val="24"/>
              </w:rPr>
              <w:t>符合性分析</w:t>
            </w:r>
          </w:p>
          <w:p w14:paraId="50FF4A18">
            <w:pPr>
              <w:autoSpaceDE w:val="0"/>
              <w:autoSpaceDN w:val="0"/>
              <w:adjustRightInd w:val="0"/>
              <w:snapToGrid w:val="0"/>
              <w:spacing w:line="360" w:lineRule="auto"/>
              <w:ind w:firstLine="480" w:firstLineChars="200"/>
              <w:jc w:val="left"/>
              <w:rPr>
                <w:rFonts w:eastAsiaTheme="minorEastAsia"/>
                <w:color w:val="auto"/>
                <w:kern w:val="0"/>
                <w:sz w:val="24"/>
              </w:rPr>
            </w:pPr>
            <w:r>
              <w:rPr>
                <w:rFonts w:hint="eastAsia" w:eastAsiaTheme="minorEastAsia"/>
                <w:color w:val="auto"/>
                <w:kern w:val="0"/>
                <w:sz w:val="24"/>
              </w:rPr>
              <w:t>202</w:t>
            </w:r>
            <w:r>
              <w:rPr>
                <w:rFonts w:eastAsiaTheme="minorEastAsia"/>
                <w:color w:val="auto"/>
                <w:kern w:val="0"/>
                <w:sz w:val="24"/>
              </w:rPr>
              <w:t>4</w:t>
            </w:r>
            <w:r>
              <w:rPr>
                <w:rFonts w:hint="eastAsia" w:eastAsiaTheme="minorEastAsia"/>
                <w:color w:val="auto"/>
                <w:kern w:val="0"/>
                <w:sz w:val="24"/>
              </w:rPr>
              <w:t>年</w:t>
            </w:r>
            <w:r>
              <w:rPr>
                <w:rFonts w:eastAsiaTheme="minorEastAsia"/>
                <w:color w:val="auto"/>
                <w:kern w:val="0"/>
                <w:sz w:val="24"/>
              </w:rPr>
              <w:t>6</w:t>
            </w:r>
            <w:r>
              <w:rPr>
                <w:rFonts w:hint="eastAsia" w:eastAsiaTheme="minorEastAsia"/>
                <w:color w:val="auto"/>
                <w:kern w:val="0"/>
                <w:sz w:val="24"/>
              </w:rPr>
              <w:t>月</w:t>
            </w:r>
            <w:r>
              <w:rPr>
                <w:rFonts w:eastAsiaTheme="minorEastAsia"/>
                <w:color w:val="auto"/>
                <w:kern w:val="0"/>
                <w:sz w:val="24"/>
              </w:rPr>
              <w:t>7</w:t>
            </w:r>
            <w:r>
              <w:rPr>
                <w:rFonts w:hint="eastAsia" w:eastAsiaTheme="minorEastAsia"/>
                <w:color w:val="auto"/>
                <w:kern w:val="0"/>
                <w:sz w:val="24"/>
              </w:rPr>
              <w:t>日玉溪市生态环境局发布了《玉溪市生态环境分区管控动态更新调整方案（2023年）》（玉市环〔2024〕40号），2026年1月6日玉溪市生态环境局发布了《玉溪市生态环境分区管控动态更新调整方案（通海县）》。</w:t>
            </w:r>
          </w:p>
          <w:p w14:paraId="71A40D02">
            <w:pPr>
              <w:autoSpaceDE w:val="0"/>
              <w:autoSpaceDN w:val="0"/>
              <w:adjustRightInd w:val="0"/>
              <w:snapToGrid w:val="0"/>
              <w:spacing w:line="360" w:lineRule="auto"/>
              <w:ind w:firstLine="480" w:firstLineChars="200"/>
              <w:jc w:val="left"/>
              <w:rPr>
                <w:rFonts w:eastAsiaTheme="minorEastAsia"/>
                <w:color w:val="auto"/>
                <w:kern w:val="0"/>
                <w:sz w:val="24"/>
              </w:rPr>
            </w:pPr>
            <w:r>
              <w:rPr>
                <w:rFonts w:hint="eastAsia" w:eastAsiaTheme="minorEastAsia"/>
                <w:color w:val="auto"/>
                <w:kern w:val="0"/>
                <w:sz w:val="24"/>
              </w:rPr>
              <w:t>根据《云南省通海县鸿翔焊管有限公司生态环境分区管控查询结果》，本项目涉及通海县乡镇生活污染重点管控单元、通海县农业农村面源污染重点管控单元、通海县一般管控单元，经对照分析，项目符合所在地生态环境分区管控中与本项目有关的相关要求。项目与其符合性分析详见下表1-</w:t>
            </w:r>
            <w:r>
              <w:rPr>
                <w:rFonts w:eastAsiaTheme="minorEastAsia"/>
                <w:color w:val="auto"/>
                <w:kern w:val="0"/>
                <w:sz w:val="24"/>
              </w:rPr>
              <w:t>2</w:t>
            </w:r>
            <w:r>
              <w:rPr>
                <w:rFonts w:hint="eastAsia" w:eastAsiaTheme="minorEastAsia"/>
                <w:color w:val="auto"/>
                <w:kern w:val="0"/>
                <w:sz w:val="24"/>
              </w:rPr>
              <w:t>。</w:t>
            </w:r>
          </w:p>
          <w:p w14:paraId="3D940627">
            <w:pPr>
              <w:autoSpaceDE w:val="0"/>
              <w:autoSpaceDN w:val="0"/>
              <w:adjustRightInd w:val="0"/>
              <w:snapToGrid w:val="0"/>
              <w:spacing w:line="360" w:lineRule="auto"/>
              <w:ind w:firstLine="482" w:firstLineChars="200"/>
              <w:jc w:val="center"/>
              <w:rPr>
                <w:b/>
                <w:bCs/>
                <w:color w:val="auto"/>
                <w:kern w:val="0"/>
                <w:sz w:val="24"/>
              </w:rPr>
            </w:pPr>
            <w:r>
              <w:rPr>
                <w:b/>
                <w:bCs/>
                <w:color w:val="auto"/>
                <w:kern w:val="0"/>
                <w:sz w:val="24"/>
              </w:rPr>
              <w:t>表</w:t>
            </w:r>
            <w:r>
              <w:rPr>
                <w:rFonts w:hint="eastAsia"/>
                <w:b/>
                <w:bCs/>
                <w:color w:val="auto"/>
                <w:kern w:val="0"/>
                <w:sz w:val="24"/>
              </w:rPr>
              <w:t>1-</w:t>
            </w:r>
            <w:r>
              <w:rPr>
                <w:b/>
                <w:bCs/>
                <w:color w:val="auto"/>
                <w:kern w:val="0"/>
                <w:sz w:val="24"/>
              </w:rPr>
              <w:t>2</w:t>
            </w:r>
            <w:r>
              <w:rPr>
                <w:rFonts w:hint="eastAsia"/>
                <w:b/>
                <w:bCs/>
                <w:color w:val="auto"/>
                <w:kern w:val="0"/>
                <w:sz w:val="24"/>
              </w:rPr>
              <w:t xml:space="preserve"> </w:t>
            </w:r>
            <w:r>
              <w:rPr>
                <w:b/>
                <w:bCs/>
                <w:color w:val="auto"/>
                <w:kern w:val="0"/>
                <w:sz w:val="24"/>
              </w:rPr>
              <w:t>项目与所在地</w:t>
            </w:r>
            <w:r>
              <w:rPr>
                <w:rFonts w:hint="eastAsia"/>
                <w:b/>
                <w:bCs/>
                <w:color w:val="auto"/>
                <w:kern w:val="0"/>
                <w:sz w:val="24"/>
              </w:rPr>
              <w:t>生态环境分区管控</w:t>
            </w:r>
            <w:r>
              <w:rPr>
                <w:b/>
                <w:bCs/>
                <w:color w:val="auto"/>
                <w:kern w:val="0"/>
                <w:sz w:val="24"/>
              </w:rPr>
              <w:t>符合性分析一览表</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5"/>
              <w:gridCol w:w="3544"/>
              <w:gridCol w:w="2803"/>
              <w:gridCol w:w="1209"/>
            </w:tblGrid>
            <w:tr w14:paraId="04B04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1" w:type="dxa"/>
                  <w:gridSpan w:val="4"/>
                  <w:vAlign w:val="center"/>
                </w:tcPr>
                <w:p w14:paraId="4CA22D4A">
                  <w:pPr>
                    <w:autoSpaceDE w:val="0"/>
                    <w:autoSpaceDN w:val="0"/>
                    <w:adjustRightInd w:val="0"/>
                    <w:snapToGrid w:val="0"/>
                    <w:jc w:val="center"/>
                    <w:rPr>
                      <w:color w:val="auto"/>
                      <w:kern w:val="0"/>
                      <w:szCs w:val="21"/>
                    </w:rPr>
                  </w:pPr>
                  <w:r>
                    <w:rPr>
                      <w:rFonts w:hint="eastAsia"/>
                      <w:color w:val="auto"/>
                      <w:kern w:val="0"/>
                      <w:szCs w:val="21"/>
                    </w:rPr>
                    <w:t>1、玉溪市生态环境管控总体要求</w:t>
                  </w:r>
                </w:p>
              </w:tc>
            </w:tr>
            <w:tr w14:paraId="213AC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Align w:val="center"/>
                </w:tcPr>
                <w:p w14:paraId="70341CDF">
                  <w:pPr>
                    <w:autoSpaceDE w:val="0"/>
                    <w:autoSpaceDN w:val="0"/>
                    <w:adjustRightInd w:val="0"/>
                    <w:snapToGrid w:val="0"/>
                    <w:jc w:val="center"/>
                    <w:rPr>
                      <w:color w:val="auto"/>
                      <w:kern w:val="0"/>
                      <w:szCs w:val="21"/>
                    </w:rPr>
                  </w:pPr>
                  <w:r>
                    <w:rPr>
                      <w:rFonts w:hint="eastAsia"/>
                      <w:color w:val="auto"/>
                      <w:kern w:val="0"/>
                      <w:szCs w:val="21"/>
                    </w:rPr>
                    <w:t>管控领域</w:t>
                  </w:r>
                </w:p>
              </w:tc>
              <w:tc>
                <w:tcPr>
                  <w:tcW w:w="3544" w:type="dxa"/>
                  <w:vAlign w:val="center"/>
                </w:tcPr>
                <w:p w14:paraId="3498456C">
                  <w:pPr>
                    <w:autoSpaceDE w:val="0"/>
                    <w:autoSpaceDN w:val="0"/>
                    <w:adjustRightInd w:val="0"/>
                    <w:snapToGrid w:val="0"/>
                    <w:jc w:val="center"/>
                    <w:rPr>
                      <w:color w:val="auto"/>
                      <w:kern w:val="0"/>
                      <w:szCs w:val="21"/>
                    </w:rPr>
                  </w:pPr>
                  <w:r>
                    <w:rPr>
                      <w:rFonts w:hint="eastAsia"/>
                      <w:color w:val="auto"/>
                      <w:kern w:val="0"/>
                      <w:szCs w:val="21"/>
                    </w:rPr>
                    <w:t>管控要求</w:t>
                  </w:r>
                </w:p>
              </w:tc>
              <w:tc>
                <w:tcPr>
                  <w:tcW w:w="2803" w:type="dxa"/>
                  <w:vAlign w:val="center"/>
                </w:tcPr>
                <w:p w14:paraId="50AC1521">
                  <w:pPr>
                    <w:autoSpaceDE w:val="0"/>
                    <w:autoSpaceDN w:val="0"/>
                    <w:adjustRightInd w:val="0"/>
                    <w:snapToGrid w:val="0"/>
                    <w:jc w:val="center"/>
                    <w:rPr>
                      <w:color w:val="auto"/>
                      <w:kern w:val="0"/>
                      <w:szCs w:val="21"/>
                    </w:rPr>
                  </w:pPr>
                  <w:r>
                    <w:rPr>
                      <w:color w:val="auto"/>
                      <w:kern w:val="0"/>
                      <w:szCs w:val="21"/>
                    </w:rPr>
                    <w:t>项目情况</w:t>
                  </w:r>
                </w:p>
              </w:tc>
              <w:tc>
                <w:tcPr>
                  <w:tcW w:w="1209" w:type="dxa"/>
                  <w:vAlign w:val="center"/>
                </w:tcPr>
                <w:p w14:paraId="74B3651B">
                  <w:pPr>
                    <w:autoSpaceDE w:val="0"/>
                    <w:autoSpaceDN w:val="0"/>
                    <w:adjustRightInd w:val="0"/>
                    <w:snapToGrid w:val="0"/>
                    <w:jc w:val="center"/>
                    <w:rPr>
                      <w:color w:val="auto"/>
                      <w:kern w:val="0"/>
                      <w:szCs w:val="21"/>
                    </w:rPr>
                  </w:pPr>
                  <w:r>
                    <w:rPr>
                      <w:color w:val="auto"/>
                      <w:kern w:val="0"/>
                      <w:szCs w:val="21"/>
                    </w:rPr>
                    <w:t>符合情况</w:t>
                  </w:r>
                </w:p>
              </w:tc>
            </w:tr>
            <w:tr w14:paraId="020B5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restart"/>
                  <w:vAlign w:val="center"/>
                </w:tcPr>
                <w:p w14:paraId="54B1C1B8">
                  <w:pPr>
                    <w:autoSpaceDE w:val="0"/>
                    <w:autoSpaceDN w:val="0"/>
                    <w:adjustRightInd w:val="0"/>
                    <w:snapToGrid w:val="0"/>
                    <w:jc w:val="center"/>
                    <w:rPr>
                      <w:color w:val="auto"/>
                      <w:kern w:val="0"/>
                      <w:szCs w:val="21"/>
                    </w:rPr>
                  </w:pPr>
                  <w:r>
                    <w:rPr>
                      <w:color w:val="auto"/>
                      <w:szCs w:val="21"/>
                    </w:rPr>
                    <w:t>空间布局约束</w:t>
                  </w:r>
                </w:p>
              </w:tc>
              <w:tc>
                <w:tcPr>
                  <w:tcW w:w="3544" w:type="dxa"/>
                  <w:vAlign w:val="center"/>
                </w:tcPr>
                <w:p w14:paraId="42619B11">
                  <w:pPr>
                    <w:autoSpaceDE w:val="0"/>
                    <w:autoSpaceDN w:val="0"/>
                    <w:adjustRightInd w:val="0"/>
                    <w:snapToGrid w:val="0"/>
                    <w:rPr>
                      <w:color w:val="auto"/>
                      <w:kern w:val="0"/>
                      <w:szCs w:val="21"/>
                    </w:rPr>
                  </w:pPr>
                  <w:r>
                    <w:rPr>
                      <w:rFonts w:hint="eastAsia"/>
                      <w:color w:val="auto"/>
                      <w:kern w:val="0"/>
                      <w:szCs w:val="21"/>
                    </w:rPr>
                    <w:t>1.严格落实国家产业政策、国家产业结构调整指导目录。坚决遏制高耗能、高排放、低水平项目盲目发展，项目审批严格落实国家和云南省相关政策要求。严格落实钢铁、水泥、平板玻璃、电解铝等行业产能置换相关政策，严管严控新增电解铝和工业硅产能。</w:t>
                  </w:r>
                </w:p>
              </w:tc>
              <w:tc>
                <w:tcPr>
                  <w:tcW w:w="2803" w:type="dxa"/>
                  <w:vAlign w:val="center"/>
                </w:tcPr>
                <w:p w14:paraId="52BEF0A9">
                  <w:pPr>
                    <w:autoSpaceDE w:val="0"/>
                    <w:autoSpaceDN w:val="0"/>
                    <w:adjustRightInd w:val="0"/>
                    <w:snapToGrid w:val="0"/>
                    <w:rPr>
                      <w:color w:val="auto"/>
                      <w:kern w:val="0"/>
                      <w:szCs w:val="21"/>
                    </w:rPr>
                  </w:pPr>
                  <w:r>
                    <w:rPr>
                      <w:rFonts w:hint="eastAsia"/>
                      <w:color w:val="auto"/>
                      <w:kern w:val="0"/>
                      <w:szCs w:val="21"/>
                    </w:rPr>
                    <w:t>本项目属于C3130钢压延加工。根据《产业结构调整指导目录（2024年本）》，本项目为允许类。项目建设符合国家相关产业政策。</w:t>
                  </w:r>
                </w:p>
                <w:p w14:paraId="3586B23E">
                  <w:pPr>
                    <w:autoSpaceDE w:val="0"/>
                    <w:autoSpaceDN w:val="0"/>
                    <w:adjustRightInd w:val="0"/>
                    <w:snapToGrid w:val="0"/>
                    <w:rPr>
                      <w:color w:val="auto"/>
                      <w:kern w:val="0"/>
                      <w:szCs w:val="21"/>
                    </w:rPr>
                  </w:pPr>
                  <w:r>
                    <w:rPr>
                      <w:rFonts w:hint="eastAsia"/>
                      <w:color w:val="auto"/>
                      <w:kern w:val="0"/>
                      <w:szCs w:val="21"/>
                    </w:rPr>
                    <w:t>本项目不涉及高耗能、高排放、低水平项目，不涉及钢铁、水泥、平板玻璃、电解铝等行业产能置换，不涉及新增电解铝和工业硅产能。</w:t>
                  </w:r>
                </w:p>
              </w:tc>
              <w:tc>
                <w:tcPr>
                  <w:tcW w:w="1209" w:type="dxa"/>
                  <w:vAlign w:val="center"/>
                </w:tcPr>
                <w:p w14:paraId="0B70D0EA">
                  <w:pPr>
                    <w:autoSpaceDE w:val="0"/>
                    <w:autoSpaceDN w:val="0"/>
                    <w:adjustRightInd w:val="0"/>
                    <w:snapToGrid w:val="0"/>
                    <w:jc w:val="center"/>
                    <w:rPr>
                      <w:color w:val="auto"/>
                      <w:kern w:val="0"/>
                      <w:szCs w:val="21"/>
                    </w:rPr>
                  </w:pPr>
                  <w:r>
                    <w:rPr>
                      <w:rFonts w:hint="eastAsia"/>
                      <w:color w:val="auto"/>
                      <w:kern w:val="0"/>
                      <w:szCs w:val="21"/>
                    </w:rPr>
                    <w:t>符合</w:t>
                  </w:r>
                </w:p>
              </w:tc>
            </w:tr>
            <w:tr w14:paraId="4FB11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continue"/>
                  <w:vAlign w:val="center"/>
                </w:tcPr>
                <w:p w14:paraId="4D3DCFCC">
                  <w:pPr>
                    <w:autoSpaceDE w:val="0"/>
                    <w:autoSpaceDN w:val="0"/>
                    <w:adjustRightInd w:val="0"/>
                    <w:snapToGrid w:val="0"/>
                    <w:jc w:val="center"/>
                    <w:rPr>
                      <w:color w:val="auto"/>
                      <w:kern w:val="0"/>
                      <w:szCs w:val="21"/>
                    </w:rPr>
                  </w:pPr>
                </w:p>
              </w:tc>
              <w:tc>
                <w:tcPr>
                  <w:tcW w:w="3544" w:type="dxa"/>
                  <w:vAlign w:val="center"/>
                </w:tcPr>
                <w:p w14:paraId="5759A6D1">
                  <w:pPr>
                    <w:autoSpaceDE w:val="0"/>
                    <w:autoSpaceDN w:val="0"/>
                    <w:adjustRightInd w:val="0"/>
                    <w:snapToGrid w:val="0"/>
                    <w:rPr>
                      <w:color w:val="auto"/>
                      <w:kern w:val="0"/>
                      <w:szCs w:val="21"/>
                    </w:rPr>
                  </w:pPr>
                  <w:r>
                    <w:rPr>
                      <w:rFonts w:hint="eastAsia"/>
                      <w:color w:val="auto"/>
                      <w:kern w:val="0"/>
                      <w:szCs w:val="21"/>
                    </w:rPr>
                    <w:t>2.加强河湖水域岸线空间管控，严格落实九大高原湖泊（抚仙湖、星云湖、杞麓湖）“两线三区”相关管控要求。加快推动重点区域、重点流域落后和过剩产能退出。依法加快城市建成区重污染企业搬迁改造或关闭退出。</w:t>
                  </w:r>
                </w:p>
              </w:tc>
              <w:tc>
                <w:tcPr>
                  <w:tcW w:w="2803" w:type="dxa"/>
                  <w:vAlign w:val="center"/>
                </w:tcPr>
                <w:p w14:paraId="2561745F">
                  <w:pPr>
                    <w:autoSpaceDE w:val="0"/>
                    <w:autoSpaceDN w:val="0"/>
                    <w:adjustRightInd w:val="0"/>
                    <w:snapToGrid w:val="0"/>
                    <w:jc w:val="center"/>
                    <w:rPr>
                      <w:color w:val="auto"/>
                      <w:kern w:val="0"/>
                      <w:szCs w:val="21"/>
                    </w:rPr>
                  </w:pPr>
                  <w:r>
                    <w:rPr>
                      <w:rFonts w:hint="eastAsia"/>
                      <w:color w:val="auto"/>
                      <w:kern w:val="0"/>
                      <w:szCs w:val="21"/>
                    </w:rPr>
                    <w:t>本项目位于杞麓湖绿色发展区，不涉及《云南省杞麓湖保护条例》中绿色发展区规定的禁止行为。本项目不属于落后和过剩产能，不属于城市建成区重污染企业。</w:t>
                  </w:r>
                </w:p>
              </w:tc>
              <w:tc>
                <w:tcPr>
                  <w:tcW w:w="1209" w:type="dxa"/>
                  <w:vAlign w:val="center"/>
                </w:tcPr>
                <w:p w14:paraId="26BA2F30">
                  <w:pPr>
                    <w:autoSpaceDE w:val="0"/>
                    <w:autoSpaceDN w:val="0"/>
                    <w:adjustRightInd w:val="0"/>
                    <w:snapToGrid w:val="0"/>
                    <w:jc w:val="center"/>
                    <w:rPr>
                      <w:color w:val="auto"/>
                      <w:kern w:val="0"/>
                      <w:szCs w:val="21"/>
                    </w:rPr>
                  </w:pPr>
                  <w:r>
                    <w:rPr>
                      <w:rFonts w:hint="eastAsia"/>
                      <w:color w:val="auto"/>
                      <w:kern w:val="0"/>
                      <w:szCs w:val="21"/>
                    </w:rPr>
                    <w:t>符合</w:t>
                  </w:r>
                </w:p>
              </w:tc>
            </w:tr>
            <w:tr w14:paraId="3FC25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continue"/>
                  <w:vAlign w:val="center"/>
                </w:tcPr>
                <w:p w14:paraId="291FC3C3">
                  <w:pPr>
                    <w:autoSpaceDE w:val="0"/>
                    <w:autoSpaceDN w:val="0"/>
                    <w:adjustRightInd w:val="0"/>
                    <w:snapToGrid w:val="0"/>
                    <w:jc w:val="center"/>
                    <w:rPr>
                      <w:color w:val="auto"/>
                      <w:kern w:val="0"/>
                      <w:szCs w:val="21"/>
                    </w:rPr>
                  </w:pPr>
                </w:p>
              </w:tc>
              <w:tc>
                <w:tcPr>
                  <w:tcW w:w="3544" w:type="dxa"/>
                  <w:vAlign w:val="center"/>
                </w:tcPr>
                <w:p w14:paraId="42A5EB07">
                  <w:pPr>
                    <w:autoSpaceDE w:val="0"/>
                    <w:autoSpaceDN w:val="0"/>
                    <w:adjustRightInd w:val="0"/>
                    <w:snapToGrid w:val="0"/>
                    <w:rPr>
                      <w:color w:val="auto"/>
                      <w:kern w:val="0"/>
                      <w:szCs w:val="21"/>
                    </w:rPr>
                  </w:pPr>
                  <w:r>
                    <w:rPr>
                      <w:rFonts w:hint="eastAsia"/>
                      <w:color w:val="auto"/>
                      <w:kern w:val="0"/>
                      <w:szCs w:val="21"/>
                    </w:rPr>
                    <w:t>3.禁止在合规园区外新建、扩建钢铁、石化、化工、焦化、建材、有色、制浆造纸行业中的高污染项目。禁止新建、扩建不符合国家石化、现代煤化工等产业布局规划的项目。禁止列入《云南省城镇人口密集区危险化学品生产企业搬迁改造名单》的搬迁改造企业在原址新建、扩建危险化学品生产项目。新建、改建、扩建“两高”项目须符合生态环境保护法律法规和相关法定规划，满足重点污染物排放总量控制、碳排放达峰目标、生态环境准入清单、相关规划环评和相应行业建设项目环境准入条件、环评文件审批原则要求。</w:t>
                  </w:r>
                </w:p>
              </w:tc>
              <w:tc>
                <w:tcPr>
                  <w:tcW w:w="2803" w:type="dxa"/>
                  <w:vAlign w:val="center"/>
                </w:tcPr>
                <w:p w14:paraId="7236478D">
                  <w:pPr>
                    <w:autoSpaceDE w:val="0"/>
                    <w:autoSpaceDN w:val="0"/>
                    <w:adjustRightInd w:val="0"/>
                    <w:snapToGrid w:val="0"/>
                    <w:jc w:val="center"/>
                    <w:rPr>
                      <w:color w:val="auto"/>
                      <w:kern w:val="0"/>
                      <w:szCs w:val="21"/>
                    </w:rPr>
                  </w:pPr>
                  <w:r>
                    <w:rPr>
                      <w:rFonts w:hint="eastAsia"/>
                      <w:color w:val="auto"/>
                      <w:kern w:val="0"/>
                      <w:szCs w:val="21"/>
                    </w:rPr>
                    <w:t>本项目属于C3130钢压延加工。不涉及新建、扩建钢铁、石化、化工、焦化、建材、有色、制浆造纸行业中的高污染项目。不涉及国家石化、现代煤化工等产业布局规划的项目。不涉及《云南省城镇人口密集区危险化学品生产企业搬迁改造名单》的搬迁改造企业在原址新建、扩建危险化学品生产项目。不涉及“两高”项目。</w:t>
                  </w:r>
                </w:p>
              </w:tc>
              <w:tc>
                <w:tcPr>
                  <w:tcW w:w="1209" w:type="dxa"/>
                  <w:vAlign w:val="center"/>
                </w:tcPr>
                <w:p w14:paraId="2763EE86">
                  <w:pPr>
                    <w:autoSpaceDE w:val="0"/>
                    <w:autoSpaceDN w:val="0"/>
                    <w:adjustRightInd w:val="0"/>
                    <w:snapToGrid w:val="0"/>
                    <w:jc w:val="center"/>
                    <w:rPr>
                      <w:color w:val="auto"/>
                      <w:kern w:val="0"/>
                      <w:szCs w:val="21"/>
                    </w:rPr>
                  </w:pPr>
                  <w:r>
                    <w:rPr>
                      <w:rFonts w:hint="eastAsia"/>
                      <w:color w:val="auto"/>
                      <w:kern w:val="0"/>
                      <w:szCs w:val="21"/>
                    </w:rPr>
                    <w:t>符合</w:t>
                  </w:r>
                </w:p>
              </w:tc>
            </w:tr>
            <w:tr w14:paraId="173C4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continue"/>
                  <w:vAlign w:val="center"/>
                </w:tcPr>
                <w:p w14:paraId="23F9F620">
                  <w:pPr>
                    <w:autoSpaceDE w:val="0"/>
                    <w:autoSpaceDN w:val="0"/>
                    <w:adjustRightInd w:val="0"/>
                    <w:snapToGrid w:val="0"/>
                    <w:jc w:val="center"/>
                    <w:rPr>
                      <w:color w:val="auto"/>
                      <w:kern w:val="0"/>
                      <w:szCs w:val="21"/>
                    </w:rPr>
                  </w:pPr>
                </w:p>
              </w:tc>
              <w:tc>
                <w:tcPr>
                  <w:tcW w:w="3544" w:type="dxa"/>
                  <w:vAlign w:val="center"/>
                </w:tcPr>
                <w:p w14:paraId="4763DF59">
                  <w:pPr>
                    <w:autoSpaceDE w:val="0"/>
                    <w:autoSpaceDN w:val="0"/>
                    <w:adjustRightInd w:val="0"/>
                    <w:snapToGrid w:val="0"/>
                    <w:rPr>
                      <w:color w:val="auto"/>
                      <w:kern w:val="0"/>
                      <w:szCs w:val="21"/>
                    </w:rPr>
                  </w:pPr>
                  <w:r>
                    <w:rPr>
                      <w:rFonts w:hint="eastAsia"/>
                      <w:color w:val="auto"/>
                      <w:kern w:val="0"/>
                      <w:szCs w:val="21"/>
                    </w:rPr>
                    <w:t>4.禁止在九大高原湖泊（抚仙湖、星云湖、杞麓湖）流域内新建、改建、扩建污染环境、高耗水、高耗能、破坏生态平衡和自然景观的项目。</w:t>
                  </w:r>
                </w:p>
              </w:tc>
              <w:tc>
                <w:tcPr>
                  <w:tcW w:w="2803" w:type="dxa"/>
                  <w:vAlign w:val="center"/>
                </w:tcPr>
                <w:p w14:paraId="5D7C3C3C">
                  <w:pPr>
                    <w:autoSpaceDE w:val="0"/>
                    <w:autoSpaceDN w:val="0"/>
                    <w:adjustRightInd w:val="0"/>
                    <w:snapToGrid w:val="0"/>
                    <w:jc w:val="center"/>
                    <w:rPr>
                      <w:color w:val="auto"/>
                      <w:kern w:val="0"/>
                      <w:szCs w:val="21"/>
                    </w:rPr>
                  </w:pPr>
                  <w:r>
                    <w:rPr>
                      <w:rFonts w:hint="eastAsia" w:hAnsi="Calibri"/>
                      <w:color w:val="auto"/>
                      <w:szCs w:val="21"/>
                    </w:rPr>
                    <w:t>本项目不属于</w:t>
                  </w:r>
                  <w:r>
                    <w:rPr>
                      <w:rFonts w:hint="eastAsia"/>
                      <w:color w:val="auto"/>
                      <w:kern w:val="0"/>
                      <w:szCs w:val="21"/>
                    </w:rPr>
                    <w:t>污染环境、高耗水、高耗能、破坏生态平衡和自然景观的项目</w:t>
                  </w:r>
                  <w:r>
                    <w:rPr>
                      <w:rFonts w:hint="eastAsia" w:hAnsi="Calibri"/>
                      <w:color w:val="auto"/>
                      <w:szCs w:val="21"/>
                    </w:rPr>
                    <w:t>。</w:t>
                  </w:r>
                </w:p>
              </w:tc>
              <w:tc>
                <w:tcPr>
                  <w:tcW w:w="1209" w:type="dxa"/>
                  <w:vAlign w:val="center"/>
                </w:tcPr>
                <w:p w14:paraId="021FC103">
                  <w:pPr>
                    <w:autoSpaceDE w:val="0"/>
                    <w:autoSpaceDN w:val="0"/>
                    <w:adjustRightInd w:val="0"/>
                    <w:snapToGrid w:val="0"/>
                    <w:jc w:val="center"/>
                    <w:rPr>
                      <w:color w:val="auto"/>
                      <w:kern w:val="0"/>
                      <w:szCs w:val="21"/>
                    </w:rPr>
                  </w:pPr>
                  <w:r>
                    <w:rPr>
                      <w:rFonts w:hint="eastAsia"/>
                      <w:color w:val="auto"/>
                      <w:kern w:val="0"/>
                      <w:szCs w:val="21"/>
                    </w:rPr>
                    <w:t>符合</w:t>
                  </w:r>
                </w:p>
              </w:tc>
            </w:tr>
            <w:tr w14:paraId="773A8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continue"/>
                  <w:vAlign w:val="center"/>
                </w:tcPr>
                <w:p w14:paraId="581E47D9">
                  <w:pPr>
                    <w:autoSpaceDE w:val="0"/>
                    <w:autoSpaceDN w:val="0"/>
                    <w:adjustRightInd w:val="0"/>
                    <w:snapToGrid w:val="0"/>
                    <w:jc w:val="center"/>
                    <w:rPr>
                      <w:color w:val="auto"/>
                      <w:kern w:val="0"/>
                      <w:szCs w:val="21"/>
                    </w:rPr>
                  </w:pPr>
                </w:p>
              </w:tc>
              <w:tc>
                <w:tcPr>
                  <w:tcW w:w="3544" w:type="dxa"/>
                  <w:vAlign w:val="center"/>
                </w:tcPr>
                <w:p w14:paraId="1CB7471F">
                  <w:pPr>
                    <w:autoSpaceDE w:val="0"/>
                    <w:autoSpaceDN w:val="0"/>
                    <w:adjustRightInd w:val="0"/>
                    <w:snapToGrid w:val="0"/>
                    <w:rPr>
                      <w:color w:val="auto"/>
                      <w:kern w:val="0"/>
                      <w:szCs w:val="21"/>
                    </w:rPr>
                  </w:pPr>
                  <w:r>
                    <w:rPr>
                      <w:rFonts w:hint="eastAsia"/>
                      <w:color w:val="auto"/>
                      <w:kern w:val="0"/>
                      <w:szCs w:val="21"/>
                    </w:rPr>
                    <w:t>5.落实云南省碳达峰碳中和相关要求，处理好发展和减排、整体和局部、长远目标和短期目标、政府和市场的关系，坚定不移走生态优先、绿色低碳的高质量发展道路。</w:t>
                  </w:r>
                </w:p>
              </w:tc>
              <w:tc>
                <w:tcPr>
                  <w:tcW w:w="2803" w:type="dxa"/>
                  <w:vAlign w:val="center"/>
                </w:tcPr>
                <w:p w14:paraId="3E302A55">
                  <w:pPr>
                    <w:autoSpaceDE w:val="0"/>
                    <w:autoSpaceDN w:val="0"/>
                    <w:adjustRightInd w:val="0"/>
                    <w:snapToGrid w:val="0"/>
                    <w:jc w:val="center"/>
                    <w:rPr>
                      <w:color w:val="auto"/>
                      <w:kern w:val="0"/>
                      <w:szCs w:val="21"/>
                    </w:rPr>
                  </w:pPr>
                  <w:r>
                    <w:rPr>
                      <w:rFonts w:hint="eastAsia" w:hAnsi="Calibri"/>
                      <w:color w:val="auto"/>
                      <w:szCs w:val="21"/>
                    </w:rPr>
                    <w:t>本项目不涉及。</w:t>
                  </w:r>
                </w:p>
              </w:tc>
              <w:tc>
                <w:tcPr>
                  <w:tcW w:w="1209" w:type="dxa"/>
                  <w:vAlign w:val="center"/>
                </w:tcPr>
                <w:p w14:paraId="58D4CFF3">
                  <w:pPr>
                    <w:autoSpaceDE w:val="0"/>
                    <w:autoSpaceDN w:val="0"/>
                    <w:adjustRightInd w:val="0"/>
                    <w:snapToGrid w:val="0"/>
                    <w:jc w:val="center"/>
                    <w:rPr>
                      <w:color w:val="auto"/>
                      <w:kern w:val="0"/>
                      <w:szCs w:val="21"/>
                    </w:rPr>
                  </w:pPr>
                  <w:r>
                    <w:rPr>
                      <w:rFonts w:hAnsi="Calibri"/>
                      <w:color w:val="auto"/>
                      <w:szCs w:val="21"/>
                    </w:rPr>
                    <w:t>/</w:t>
                  </w:r>
                </w:p>
              </w:tc>
            </w:tr>
            <w:tr w14:paraId="270FF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restart"/>
                  <w:vAlign w:val="center"/>
                </w:tcPr>
                <w:p w14:paraId="3FCDE038">
                  <w:pPr>
                    <w:autoSpaceDE w:val="0"/>
                    <w:autoSpaceDN w:val="0"/>
                    <w:adjustRightInd w:val="0"/>
                    <w:snapToGrid w:val="0"/>
                    <w:jc w:val="center"/>
                    <w:rPr>
                      <w:color w:val="auto"/>
                      <w:kern w:val="0"/>
                      <w:szCs w:val="21"/>
                    </w:rPr>
                  </w:pPr>
                  <w:r>
                    <w:rPr>
                      <w:rFonts w:hint="eastAsia"/>
                      <w:color w:val="auto"/>
                      <w:kern w:val="0"/>
                      <w:szCs w:val="21"/>
                    </w:rPr>
                    <w:t>污染物排放管控</w:t>
                  </w:r>
                </w:p>
              </w:tc>
              <w:tc>
                <w:tcPr>
                  <w:tcW w:w="3544" w:type="dxa"/>
                  <w:vAlign w:val="center"/>
                </w:tcPr>
                <w:p w14:paraId="581F945E">
                  <w:pPr>
                    <w:autoSpaceDE w:val="0"/>
                    <w:autoSpaceDN w:val="0"/>
                    <w:adjustRightInd w:val="0"/>
                    <w:snapToGrid w:val="0"/>
                    <w:rPr>
                      <w:color w:val="auto"/>
                      <w:kern w:val="0"/>
                      <w:szCs w:val="21"/>
                    </w:rPr>
                  </w:pPr>
                  <w:r>
                    <w:rPr>
                      <w:rFonts w:hint="eastAsia"/>
                      <w:color w:val="auto"/>
                      <w:kern w:val="0"/>
                      <w:szCs w:val="21"/>
                    </w:rPr>
                    <w:t>1.严格落实强制性清洁生产审核要求，引导重点行业实施清洁生产改造，到2025年底，重点行业企业基本达到国内清洁生产先进水平。</w:t>
                  </w:r>
                </w:p>
              </w:tc>
              <w:tc>
                <w:tcPr>
                  <w:tcW w:w="2803" w:type="dxa"/>
                  <w:vAlign w:val="center"/>
                </w:tcPr>
                <w:p w14:paraId="4E8BB3B0">
                  <w:pPr>
                    <w:autoSpaceDE w:val="0"/>
                    <w:autoSpaceDN w:val="0"/>
                    <w:adjustRightInd w:val="0"/>
                    <w:snapToGrid w:val="0"/>
                    <w:jc w:val="center"/>
                    <w:rPr>
                      <w:color w:val="auto"/>
                      <w:kern w:val="0"/>
                      <w:szCs w:val="21"/>
                    </w:rPr>
                  </w:pPr>
                  <w:r>
                    <w:rPr>
                      <w:rFonts w:hint="eastAsia" w:hAnsi="Calibri"/>
                      <w:color w:val="auto"/>
                      <w:szCs w:val="21"/>
                    </w:rPr>
                    <w:t>本项目不涉及。</w:t>
                  </w:r>
                </w:p>
              </w:tc>
              <w:tc>
                <w:tcPr>
                  <w:tcW w:w="1209" w:type="dxa"/>
                  <w:vAlign w:val="center"/>
                </w:tcPr>
                <w:p w14:paraId="60794319">
                  <w:pPr>
                    <w:autoSpaceDE w:val="0"/>
                    <w:autoSpaceDN w:val="0"/>
                    <w:adjustRightInd w:val="0"/>
                    <w:snapToGrid w:val="0"/>
                    <w:jc w:val="center"/>
                    <w:rPr>
                      <w:color w:val="auto"/>
                      <w:kern w:val="0"/>
                      <w:szCs w:val="21"/>
                    </w:rPr>
                  </w:pPr>
                  <w:r>
                    <w:rPr>
                      <w:rFonts w:hAnsi="Calibri"/>
                      <w:color w:val="auto"/>
                      <w:szCs w:val="21"/>
                    </w:rPr>
                    <w:t>/</w:t>
                  </w:r>
                </w:p>
              </w:tc>
            </w:tr>
            <w:tr w14:paraId="7D3B8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continue"/>
                  <w:vAlign w:val="center"/>
                </w:tcPr>
                <w:p w14:paraId="3F325078">
                  <w:pPr>
                    <w:autoSpaceDE w:val="0"/>
                    <w:autoSpaceDN w:val="0"/>
                    <w:adjustRightInd w:val="0"/>
                    <w:snapToGrid w:val="0"/>
                    <w:jc w:val="center"/>
                    <w:rPr>
                      <w:color w:val="auto"/>
                      <w:kern w:val="0"/>
                      <w:szCs w:val="21"/>
                    </w:rPr>
                  </w:pPr>
                </w:p>
              </w:tc>
              <w:tc>
                <w:tcPr>
                  <w:tcW w:w="3544" w:type="dxa"/>
                  <w:vAlign w:val="center"/>
                </w:tcPr>
                <w:p w14:paraId="0845D75A">
                  <w:pPr>
                    <w:autoSpaceDE w:val="0"/>
                    <w:autoSpaceDN w:val="0"/>
                    <w:adjustRightInd w:val="0"/>
                    <w:snapToGrid w:val="0"/>
                    <w:rPr>
                      <w:color w:val="auto"/>
                      <w:kern w:val="0"/>
                      <w:szCs w:val="21"/>
                    </w:rPr>
                  </w:pPr>
                  <w:r>
                    <w:rPr>
                      <w:rFonts w:hint="eastAsia"/>
                      <w:color w:val="auto"/>
                      <w:kern w:val="0"/>
                      <w:szCs w:val="21"/>
                    </w:rPr>
                    <w:t>2.加大“三湖”（抚仙湖、星云湖、杞麓湖）及“两江”（南盘江干流、红河水系玉溪段）流域的保护和治理，推进流域环湖截污治污，加强湖泊内源污染风险防范，开展污水处理提质增效、农业面源污染治理、入河排污口整治、开发区污染治理、“三磷”和重金属行业排查等专项行动，建立水环境质量管理长效机制，持续巩固治理成效。持续打好城市黑臭水体治理攻坚战，有效控制入河污染物排放，强化溯源整治，推进城镇污水管网全覆盖。</w:t>
                  </w:r>
                </w:p>
              </w:tc>
              <w:tc>
                <w:tcPr>
                  <w:tcW w:w="2803" w:type="dxa"/>
                  <w:vAlign w:val="center"/>
                </w:tcPr>
                <w:p w14:paraId="7A633D4E">
                  <w:pPr>
                    <w:autoSpaceDE w:val="0"/>
                    <w:autoSpaceDN w:val="0"/>
                    <w:adjustRightInd w:val="0"/>
                    <w:snapToGrid w:val="0"/>
                    <w:jc w:val="center"/>
                    <w:rPr>
                      <w:color w:val="auto"/>
                      <w:kern w:val="0"/>
                      <w:szCs w:val="21"/>
                    </w:rPr>
                  </w:pPr>
                  <w:r>
                    <w:rPr>
                      <w:rFonts w:hint="eastAsia"/>
                      <w:color w:val="auto"/>
                      <w:kern w:val="0"/>
                      <w:szCs w:val="21"/>
                    </w:rPr>
                    <w:t>项目生产废水循环使用不外排，项目生活污水经化粪池预处理后，由罐车运至纳古镇污水处理站处理。</w:t>
                  </w:r>
                </w:p>
              </w:tc>
              <w:tc>
                <w:tcPr>
                  <w:tcW w:w="1209" w:type="dxa"/>
                  <w:vAlign w:val="center"/>
                </w:tcPr>
                <w:p w14:paraId="4C33E095">
                  <w:pPr>
                    <w:autoSpaceDE w:val="0"/>
                    <w:autoSpaceDN w:val="0"/>
                    <w:adjustRightInd w:val="0"/>
                    <w:snapToGrid w:val="0"/>
                    <w:jc w:val="center"/>
                    <w:rPr>
                      <w:color w:val="auto"/>
                      <w:kern w:val="0"/>
                      <w:szCs w:val="21"/>
                    </w:rPr>
                  </w:pPr>
                  <w:r>
                    <w:rPr>
                      <w:rFonts w:hint="eastAsia"/>
                      <w:color w:val="auto"/>
                      <w:kern w:val="0"/>
                      <w:szCs w:val="21"/>
                    </w:rPr>
                    <w:t>符合</w:t>
                  </w:r>
                </w:p>
              </w:tc>
            </w:tr>
            <w:tr w14:paraId="2C6D0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continue"/>
                  <w:vAlign w:val="center"/>
                </w:tcPr>
                <w:p w14:paraId="22A0A20A">
                  <w:pPr>
                    <w:autoSpaceDE w:val="0"/>
                    <w:autoSpaceDN w:val="0"/>
                    <w:adjustRightInd w:val="0"/>
                    <w:snapToGrid w:val="0"/>
                    <w:jc w:val="center"/>
                    <w:rPr>
                      <w:color w:val="auto"/>
                      <w:kern w:val="0"/>
                      <w:szCs w:val="21"/>
                    </w:rPr>
                  </w:pPr>
                </w:p>
              </w:tc>
              <w:tc>
                <w:tcPr>
                  <w:tcW w:w="3544" w:type="dxa"/>
                  <w:vAlign w:val="center"/>
                </w:tcPr>
                <w:p w14:paraId="07752AEF">
                  <w:pPr>
                    <w:autoSpaceDE w:val="0"/>
                    <w:autoSpaceDN w:val="0"/>
                    <w:adjustRightInd w:val="0"/>
                    <w:snapToGrid w:val="0"/>
                    <w:rPr>
                      <w:color w:val="auto"/>
                      <w:kern w:val="0"/>
                      <w:szCs w:val="21"/>
                    </w:rPr>
                  </w:pPr>
                  <w:r>
                    <w:rPr>
                      <w:rFonts w:hint="eastAsia"/>
                      <w:color w:val="auto"/>
                      <w:kern w:val="0"/>
                      <w:szCs w:val="21"/>
                    </w:rPr>
                    <w:t>3.严格保护城乡饮用水水源地，整治饮用水水源保护区内的污染源，确保饮水安全。</w:t>
                  </w:r>
                </w:p>
              </w:tc>
              <w:tc>
                <w:tcPr>
                  <w:tcW w:w="2803" w:type="dxa"/>
                  <w:vAlign w:val="center"/>
                </w:tcPr>
                <w:p w14:paraId="34FCC95F">
                  <w:pPr>
                    <w:autoSpaceDE w:val="0"/>
                    <w:autoSpaceDN w:val="0"/>
                    <w:adjustRightInd w:val="0"/>
                    <w:snapToGrid w:val="0"/>
                    <w:jc w:val="center"/>
                    <w:rPr>
                      <w:color w:val="auto"/>
                      <w:kern w:val="0"/>
                      <w:szCs w:val="21"/>
                    </w:rPr>
                  </w:pPr>
                  <w:r>
                    <w:rPr>
                      <w:rFonts w:hint="eastAsia" w:hAnsi="Calibri"/>
                      <w:color w:val="auto"/>
                      <w:szCs w:val="21"/>
                    </w:rPr>
                    <w:t>本项目不涉及。</w:t>
                  </w:r>
                </w:p>
              </w:tc>
              <w:tc>
                <w:tcPr>
                  <w:tcW w:w="1209" w:type="dxa"/>
                  <w:vAlign w:val="center"/>
                </w:tcPr>
                <w:p w14:paraId="60C62457">
                  <w:pPr>
                    <w:autoSpaceDE w:val="0"/>
                    <w:autoSpaceDN w:val="0"/>
                    <w:adjustRightInd w:val="0"/>
                    <w:snapToGrid w:val="0"/>
                    <w:jc w:val="center"/>
                    <w:rPr>
                      <w:color w:val="auto"/>
                      <w:kern w:val="0"/>
                      <w:szCs w:val="21"/>
                    </w:rPr>
                  </w:pPr>
                  <w:r>
                    <w:rPr>
                      <w:rFonts w:hAnsi="Calibri"/>
                      <w:color w:val="auto"/>
                      <w:szCs w:val="21"/>
                    </w:rPr>
                    <w:t>/</w:t>
                  </w:r>
                </w:p>
              </w:tc>
            </w:tr>
            <w:tr w14:paraId="1A9E5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continue"/>
                  <w:vAlign w:val="center"/>
                </w:tcPr>
                <w:p w14:paraId="34E0E6B8">
                  <w:pPr>
                    <w:autoSpaceDE w:val="0"/>
                    <w:autoSpaceDN w:val="0"/>
                    <w:adjustRightInd w:val="0"/>
                    <w:snapToGrid w:val="0"/>
                    <w:jc w:val="center"/>
                    <w:rPr>
                      <w:color w:val="auto"/>
                      <w:kern w:val="0"/>
                      <w:szCs w:val="21"/>
                    </w:rPr>
                  </w:pPr>
                </w:p>
              </w:tc>
              <w:tc>
                <w:tcPr>
                  <w:tcW w:w="3544" w:type="dxa"/>
                  <w:vAlign w:val="center"/>
                </w:tcPr>
                <w:p w14:paraId="3300004E">
                  <w:pPr>
                    <w:autoSpaceDE w:val="0"/>
                    <w:autoSpaceDN w:val="0"/>
                    <w:adjustRightInd w:val="0"/>
                    <w:snapToGrid w:val="0"/>
                    <w:rPr>
                      <w:color w:val="auto"/>
                      <w:kern w:val="0"/>
                      <w:szCs w:val="21"/>
                    </w:rPr>
                  </w:pPr>
                  <w:r>
                    <w:rPr>
                      <w:rFonts w:hint="eastAsia"/>
                      <w:color w:val="auto"/>
                      <w:kern w:val="0"/>
                      <w:szCs w:val="21"/>
                    </w:rPr>
                    <w:t>4.开展细颗粒物和臭氧协同控制、挥发性有机物和氮氧化物协同减排。石化、化工、包装印刷、工业涂装等VOCs排放重点源，纳入重点排污单位名录，推进挥发性有机物综合治理，实施原辅材料和产品源头替代工程，排污口安装自动监控设施。推进运输结构调整，开展清洁柴油车（机）、清洁油品、车用尿素等专项行动，开展建筑施工工地扬尘专项治理；加大餐饮油烟污染、恶臭异味治理力度，强化秸秆综合利用和禁烧管控。推动有色金属、钢铁、磷化工、建材等重点行业节能降碳升级改造，淘汰落后工艺技术和生产装置，实施煤电、水泥、焦化企业超低排放改造，到2025年，钢铁行业全面完成超低排放改造。</w:t>
                  </w:r>
                </w:p>
              </w:tc>
              <w:tc>
                <w:tcPr>
                  <w:tcW w:w="2803" w:type="dxa"/>
                  <w:vAlign w:val="center"/>
                </w:tcPr>
                <w:p w14:paraId="2218738C">
                  <w:pPr>
                    <w:autoSpaceDE w:val="0"/>
                    <w:autoSpaceDN w:val="0"/>
                    <w:adjustRightInd w:val="0"/>
                    <w:snapToGrid w:val="0"/>
                    <w:jc w:val="center"/>
                    <w:rPr>
                      <w:color w:val="auto"/>
                      <w:kern w:val="0"/>
                      <w:szCs w:val="21"/>
                    </w:rPr>
                  </w:pPr>
                  <w:r>
                    <w:rPr>
                      <w:rFonts w:hint="eastAsia" w:hAnsi="Calibri"/>
                      <w:color w:val="auto"/>
                      <w:szCs w:val="21"/>
                    </w:rPr>
                    <w:t>本项目不涉及。</w:t>
                  </w:r>
                </w:p>
              </w:tc>
              <w:tc>
                <w:tcPr>
                  <w:tcW w:w="1209" w:type="dxa"/>
                  <w:vAlign w:val="center"/>
                </w:tcPr>
                <w:p w14:paraId="1F159914">
                  <w:pPr>
                    <w:autoSpaceDE w:val="0"/>
                    <w:autoSpaceDN w:val="0"/>
                    <w:adjustRightInd w:val="0"/>
                    <w:snapToGrid w:val="0"/>
                    <w:jc w:val="center"/>
                    <w:rPr>
                      <w:color w:val="auto"/>
                      <w:kern w:val="0"/>
                      <w:szCs w:val="21"/>
                    </w:rPr>
                  </w:pPr>
                  <w:r>
                    <w:rPr>
                      <w:rFonts w:hAnsi="Calibri"/>
                      <w:color w:val="auto"/>
                      <w:szCs w:val="21"/>
                    </w:rPr>
                    <w:t>/</w:t>
                  </w:r>
                </w:p>
              </w:tc>
            </w:tr>
            <w:tr w14:paraId="18D44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continue"/>
                  <w:vAlign w:val="center"/>
                </w:tcPr>
                <w:p w14:paraId="77996751">
                  <w:pPr>
                    <w:autoSpaceDE w:val="0"/>
                    <w:autoSpaceDN w:val="0"/>
                    <w:adjustRightInd w:val="0"/>
                    <w:snapToGrid w:val="0"/>
                    <w:jc w:val="center"/>
                    <w:rPr>
                      <w:color w:val="auto"/>
                      <w:kern w:val="0"/>
                      <w:szCs w:val="21"/>
                    </w:rPr>
                  </w:pPr>
                </w:p>
              </w:tc>
              <w:tc>
                <w:tcPr>
                  <w:tcW w:w="3544" w:type="dxa"/>
                  <w:vAlign w:val="center"/>
                </w:tcPr>
                <w:p w14:paraId="531D8BC8">
                  <w:pPr>
                    <w:autoSpaceDE w:val="0"/>
                    <w:autoSpaceDN w:val="0"/>
                    <w:adjustRightInd w:val="0"/>
                    <w:snapToGrid w:val="0"/>
                    <w:rPr>
                      <w:color w:val="auto"/>
                      <w:kern w:val="0"/>
                      <w:szCs w:val="21"/>
                    </w:rPr>
                  </w:pPr>
                  <w:r>
                    <w:rPr>
                      <w:rFonts w:hint="eastAsia"/>
                      <w:color w:val="auto"/>
                      <w:kern w:val="0"/>
                      <w:szCs w:val="21"/>
                    </w:rPr>
                    <w:t>5.加大环境污染物减排力度，到2025年，实现氮氧化物减排1224吨，挥发性有机物减排1393吨，化学需氧量减排2461吨，氨氮减排230吨。</w:t>
                  </w:r>
                </w:p>
              </w:tc>
              <w:tc>
                <w:tcPr>
                  <w:tcW w:w="2803" w:type="dxa"/>
                  <w:vAlign w:val="center"/>
                </w:tcPr>
                <w:p w14:paraId="2F884D27">
                  <w:pPr>
                    <w:autoSpaceDE w:val="0"/>
                    <w:autoSpaceDN w:val="0"/>
                    <w:adjustRightInd w:val="0"/>
                    <w:snapToGrid w:val="0"/>
                    <w:jc w:val="center"/>
                    <w:rPr>
                      <w:color w:val="auto"/>
                      <w:kern w:val="0"/>
                      <w:szCs w:val="21"/>
                    </w:rPr>
                  </w:pPr>
                  <w:r>
                    <w:rPr>
                      <w:rFonts w:hint="eastAsia" w:hAnsi="Calibri"/>
                      <w:color w:val="auto"/>
                      <w:szCs w:val="21"/>
                    </w:rPr>
                    <w:t>本项目不涉及。</w:t>
                  </w:r>
                </w:p>
              </w:tc>
              <w:tc>
                <w:tcPr>
                  <w:tcW w:w="1209" w:type="dxa"/>
                  <w:vAlign w:val="center"/>
                </w:tcPr>
                <w:p w14:paraId="1B048E50">
                  <w:pPr>
                    <w:autoSpaceDE w:val="0"/>
                    <w:autoSpaceDN w:val="0"/>
                    <w:adjustRightInd w:val="0"/>
                    <w:snapToGrid w:val="0"/>
                    <w:jc w:val="center"/>
                    <w:rPr>
                      <w:color w:val="auto"/>
                      <w:kern w:val="0"/>
                      <w:szCs w:val="21"/>
                    </w:rPr>
                  </w:pPr>
                  <w:r>
                    <w:rPr>
                      <w:rFonts w:hAnsi="Calibri"/>
                      <w:color w:val="auto"/>
                      <w:szCs w:val="21"/>
                    </w:rPr>
                    <w:t>/</w:t>
                  </w:r>
                </w:p>
              </w:tc>
            </w:tr>
            <w:tr w14:paraId="56A7B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continue"/>
                  <w:vAlign w:val="center"/>
                </w:tcPr>
                <w:p w14:paraId="6DE7721F">
                  <w:pPr>
                    <w:autoSpaceDE w:val="0"/>
                    <w:autoSpaceDN w:val="0"/>
                    <w:adjustRightInd w:val="0"/>
                    <w:snapToGrid w:val="0"/>
                    <w:jc w:val="center"/>
                    <w:rPr>
                      <w:color w:val="auto"/>
                      <w:kern w:val="0"/>
                      <w:szCs w:val="21"/>
                    </w:rPr>
                  </w:pPr>
                </w:p>
              </w:tc>
              <w:tc>
                <w:tcPr>
                  <w:tcW w:w="3544" w:type="dxa"/>
                  <w:vAlign w:val="center"/>
                </w:tcPr>
                <w:p w14:paraId="6311FC48">
                  <w:pPr>
                    <w:autoSpaceDE w:val="0"/>
                    <w:autoSpaceDN w:val="0"/>
                    <w:adjustRightInd w:val="0"/>
                    <w:snapToGrid w:val="0"/>
                    <w:rPr>
                      <w:color w:val="auto"/>
                      <w:kern w:val="0"/>
                      <w:szCs w:val="21"/>
                    </w:rPr>
                  </w:pPr>
                  <w:r>
                    <w:rPr>
                      <w:rFonts w:hint="eastAsia"/>
                      <w:color w:val="auto"/>
                      <w:kern w:val="0"/>
                      <w:szCs w:val="21"/>
                    </w:rPr>
                    <w:t>6.严格管控农用地，不得在特定农产品禁止生产区域种植食用农产品；安全利用农用地，制定受污染耕地安全利用方案，降低农产品超标风险。合理规划污染地块土地用途，从严管控农药、化工、有色金属等行业企业重度污染地块开发利用，对列入建设用地土壤污染风险管控和修复名录的地块不得作为住宅、公共管理与公共服务用地，不得办理土地征收、收回、收购、土地供应以及改变土地用途等手续，应当依法开展土壤污染状况调查、治理与修复，并符合相应规划用地土壤环境质量要求后，方可进入用地程序。</w:t>
                  </w:r>
                </w:p>
              </w:tc>
              <w:tc>
                <w:tcPr>
                  <w:tcW w:w="2803" w:type="dxa"/>
                  <w:vAlign w:val="center"/>
                </w:tcPr>
                <w:p w14:paraId="44083B16">
                  <w:pPr>
                    <w:autoSpaceDE w:val="0"/>
                    <w:autoSpaceDN w:val="0"/>
                    <w:adjustRightInd w:val="0"/>
                    <w:snapToGrid w:val="0"/>
                    <w:jc w:val="center"/>
                    <w:rPr>
                      <w:color w:val="auto"/>
                      <w:kern w:val="0"/>
                      <w:szCs w:val="21"/>
                    </w:rPr>
                  </w:pPr>
                  <w:r>
                    <w:rPr>
                      <w:rFonts w:hint="eastAsia" w:hAnsi="Calibri"/>
                      <w:color w:val="auto"/>
                      <w:szCs w:val="21"/>
                    </w:rPr>
                    <w:t>本项目不涉及。</w:t>
                  </w:r>
                </w:p>
              </w:tc>
              <w:tc>
                <w:tcPr>
                  <w:tcW w:w="1209" w:type="dxa"/>
                  <w:vAlign w:val="center"/>
                </w:tcPr>
                <w:p w14:paraId="0ACF882C">
                  <w:pPr>
                    <w:autoSpaceDE w:val="0"/>
                    <w:autoSpaceDN w:val="0"/>
                    <w:adjustRightInd w:val="0"/>
                    <w:snapToGrid w:val="0"/>
                    <w:jc w:val="center"/>
                    <w:rPr>
                      <w:color w:val="auto"/>
                      <w:kern w:val="0"/>
                      <w:szCs w:val="21"/>
                    </w:rPr>
                  </w:pPr>
                  <w:r>
                    <w:rPr>
                      <w:rFonts w:hAnsi="Calibri"/>
                      <w:color w:val="auto"/>
                      <w:szCs w:val="21"/>
                    </w:rPr>
                    <w:t>/</w:t>
                  </w:r>
                </w:p>
              </w:tc>
            </w:tr>
            <w:tr w14:paraId="11B48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continue"/>
                  <w:vAlign w:val="center"/>
                </w:tcPr>
                <w:p w14:paraId="1F4230D6">
                  <w:pPr>
                    <w:autoSpaceDE w:val="0"/>
                    <w:autoSpaceDN w:val="0"/>
                    <w:adjustRightInd w:val="0"/>
                    <w:snapToGrid w:val="0"/>
                    <w:jc w:val="center"/>
                    <w:rPr>
                      <w:color w:val="auto"/>
                      <w:kern w:val="0"/>
                      <w:szCs w:val="21"/>
                    </w:rPr>
                  </w:pPr>
                </w:p>
              </w:tc>
              <w:tc>
                <w:tcPr>
                  <w:tcW w:w="3544" w:type="dxa"/>
                  <w:vAlign w:val="center"/>
                </w:tcPr>
                <w:p w14:paraId="49584614">
                  <w:pPr>
                    <w:autoSpaceDE w:val="0"/>
                    <w:autoSpaceDN w:val="0"/>
                    <w:adjustRightInd w:val="0"/>
                    <w:snapToGrid w:val="0"/>
                    <w:rPr>
                      <w:color w:val="auto"/>
                      <w:kern w:val="0"/>
                      <w:szCs w:val="21"/>
                    </w:rPr>
                  </w:pPr>
                  <w:r>
                    <w:rPr>
                      <w:rFonts w:hint="eastAsia"/>
                      <w:color w:val="auto"/>
                      <w:kern w:val="0"/>
                      <w:szCs w:val="21"/>
                    </w:rPr>
                    <w:t>7.加快“无废城市”建设，产生工业固体废物的单位应当建立健全工业固体废物产生、收集、贮存、运输、利用、处置全过程的污染环境防治责任制度，按照国家有关规定建立工业固体废物管理台账，加强重金属污染物排放管理，落实区域“减量替代”和“等量替代”要求，重金属污染物排放量2025年比2020年削减4%。</w:t>
                  </w:r>
                </w:p>
              </w:tc>
              <w:tc>
                <w:tcPr>
                  <w:tcW w:w="2803" w:type="dxa"/>
                  <w:vAlign w:val="center"/>
                </w:tcPr>
                <w:p w14:paraId="5A8539EA">
                  <w:pPr>
                    <w:autoSpaceDE w:val="0"/>
                    <w:autoSpaceDN w:val="0"/>
                    <w:adjustRightInd w:val="0"/>
                    <w:snapToGrid w:val="0"/>
                    <w:jc w:val="center"/>
                    <w:rPr>
                      <w:color w:val="auto"/>
                      <w:kern w:val="0"/>
                      <w:szCs w:val="21"/>
                    </w:rPr>
                  </w:pPr>
                  <w:r>
                    <w:rPr>
                      <w:rFonts w:hint="eastAsia"/>
                      <w:color w:val="auto"/>
                      <w:kern w:val="0"/>
                      <w:szCs w:val="21"/>
                    </w:rPr>
                    <w:t>项目一般固废经收集后暂存于一般固废暂存间，外售处置。危险废物分类收集暂存于危废暂存间，</w:t>
                  </w:r>
                  <w:r>
                    <w:rPr>
                      <w:color w:val="auto"/>
                      <w:kern w:val="0"/>
                      <w:szCs w:val="21"/>
                    </w:rPr>
                    <w:t>废机油用于厂区内机械设备擦拭润滑，其余危险废物委托有资质单位处置</w:t>
                  </w:r>
                  <w:r>
                    <w:rPr>
                      <w:rFonts w:hint="eastAsia"/>
                      <w:color w:val="auto"/>
                      <w:kern w:val="0"/>
                      <w:szCs w:val="21"/>
                    </w:rPr>
                    <w:t>。项目建立工业固体废物管理台账。项目</w:t>
                  </w:r>
                  <w:r>
                    <w:rPr>
                      <w:rFonts w:hint="eastAsia" w:hAnsi="Calibri"/>
                      <w:color w:val="auto"/>
                      <w:szCs w:val="21"/>
                    </w:rPr>
                    <w:t>采取收集、贮存、运输、利用、处置全过程的污染环境防治责任制度，建立工业固体废物管理台账。</w:t>
                  </w:r>
                  <w:r>
                    <w:rPr>
                      <w:rFonts w:hint="eastAsia"/>
                      <w:color w:val="auto"/>
                      <w:kern w:val="0"/>
                      <w:szCs w:val="21"/>
                    </w:rPr>
                    <w:t>不涉及重金属污染物排放。</w:t>
                  </w:r>
                </w:p>
              </w:tc>
              <w:tc>
                <w:tcPr>
                  <w:tcW w:w="1209" w:type="dxa"/>
                  <w:vAlign w:val="center"/>
                </w:tcPr>
                <w:p w14:paraId="440BBF3E">
                  <w:pPr>
                    <w:autoSpaceDE w:val="0"/>
                    <w:autoSpaceDN w:val="0"/>
                    <w:adjustRightInd w:val="0"/>
                    <w:snapToGrid w:val="0"/>
                    <w:jc w:val="center"/>
                    <w:rPr>
                      <w:color w:val="auto"/>
                      <w:kern w:val="0"/>
                      <w:szCs w:val="21"/>
                    </w:rPr>
                  </w:pPr>
                  <w:r>
                    <w:rPr>
                      <w:rFonts w:hint="eastAsia"/>
                      <w:color w:val="auto"/>
                      <w:kern w:val="0"/>
                      <w:szCs w:val="21"/>
                    </w:rPr>
                    <w:t>符合</w:t>
                  </w:r>
                </w:p>
              </w:tc>
            </w:tr>
            <w:tr w14:paraId="05A65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continue"/>
                  <w:vAlign w:val="center"/>
                </w:tcPr>
                <w:p w14:paraId="2D89753B">
                  <w:pPr>
                    <w:autoSpaceDE w:val="0"/>
                    <w:autoSpaceDN w:val="0"/>
                    <w:adjustRightInd w:val="0"/>
                    <w:snapToGrid w:val="0"/>
                    <w:jc w:val="center"/>
                    <w:rPr>
                      <w:color w:val="auto"/>
                      <w:kern w:val="0"/>
                      <w:szCs w:val="21"/>
                    </w:rPr>
                  </w:pPr>
                </w:p>
              </w:tc>
              <w:tc>
                <w:tcPr>
                  <w:tcW w:w="3544" w:type="dxa"/>
                  <w:vAlign w:val="center"/>
                </w:tcPr>
                <w:p w14:paraId="0D6327DC">
                  <w:pPr>
                    <w:autoSpaceDE w:val="0"/>
                    <w:autoSpaceDN w:val="0"/>
                    <w:adjustRightInd w:val="0"/>
                    <w:snapToGrid w:val="0"/>
                    <w:rPr>
                      <w:color w:val="auto"/>
                      <w:kern w:val="0"/>
                      <w:szCs w:val="21"/>
                    </w:rPr>
                  </w:pPr>
                  <w:r>
                    <w:rPr>
                      <w:rFonts w:hint="eastAsia"/>
                      <w:color w:val="auto"/>
                      <w:kern w:val="0"/>
                      <w:szCs w:val="21"/>
                    </w:rPr>
                    <w:t>8.到2025年，中心城区细颗粒物（PM2.5）平均浓度控制在21微克/立方米以内，城市空气质量优良天数比率达到98.5%以上，坚决防范重度及以上污染天气发生，全市地表水国控断面优良水体比例达80%，消除城市黑臭水体，消除劣Ⅴ类水体。</w:t>
                  </w:r>
                </w:p>
              </w:tc>
              <w:tc>
                <w:tcPr>
                  <w:tcW w:w="2803" w:type="dxa"/>
                  <w:vAlign w:val="center"/>
                </w:tcPr>
                <w:p w14:paraId="2FFCEB14">
                  <w:pPr>
                    <w:autoSpaceDE w:val="0"/>
                    <w:autoSpaceDN w:val="0"/>
                    <w:adjustRightInd w:val="0"/>
                    <w:snapToGrid w:val="0"/>
                    <w:jc w:val="center"/>
                    <w:rPr>
                      <w:color w:val="auto"/>
                      <w:kern w:val="0"/>
                      <w:szCs w:val="21"/>
                    </w:rPr>
                  </w:pPr>
                  <w:r>
                    <w:rPr>
                      <w:rFonts w:hint="eastAsia" w:hAnsi="Calibri"/>
                      <w:color w:val="auto"/>
                      <w:szCs w:val="21"/>
                    </w:rPr>
                    <w:t>本项目不涉及。</w:t>
                  </w:r>
                </w:p>
              </w:tc>
              <w:tc>
                <w:tcPr>
                  <w:tcW w:w="1209" w:type="dxa"/>
                  <w:vAlign w:val="center"/>
                </w:tcPr>
                <w:p w14:paraId="14D33509">
                  <w:pPr>
                    <w:autoSpaceDE w:val="0"/>
                    <w:autoSpaceDN w:val="0"/>
                    <w:adjustRightInd w:val="0"/>
                    <w:snapToGrid w:val="0"/>
                    <w:jc w:val="center"/>
                    <w:rPr>
                      <w:color w:val="auto"/>
                      <w:kern w:val="0"/>
                      <w:szCs w:val="21"/>
                    </w:rPr>
                  </w:pPr>
                  <w:r>
                    <w:rPr>
                      <w:rFonts w:hAnsi="Calibri"/>
                      <w:color w:val="auto"/>
                      <w:szCs w:val="21"/>
                    </w:rPr>
                    <w:t>/</w:t>
                  </w:r>
                </w:p>
              </w:tc>
            </w:tr>
            <w:tr w14:paraId="3B55A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restart"/>
                  <w:vAlign w:val="center"/>
                </w:tcPr>
                <w:p w14:paraId="45BDAC8D">
                  <w:pPr>
                    <w:autoSpaceDE w:val="0"/>
                    <w:autoSpaceDN w:val="0"/>
                    <w:adjustRightInd w:val="0"/>
                    <w:snapToGrid w:val="0"/>
                    <w:jc w:val="center"/>
                    <w:rPr>
                      <w:color w:val="auto"/>
                      <w:kern w:val="0"/>
                      <w:szCs w:val="21"/>
                    </w:rPr>
                  </w:pPr>
                  <w:r>
                    <w:rPr>
                      <w:rFonts w:hint="eastAsia"/>
                      <w:color w:val="auto"/>
                      <w:kern w:val="0"/>
                      <w:szCs w:val="21"/>
                    </w:rPr>
                    <w:t>环境风险防控</w:t>
                  </w:r>
                </w:p>
              </w:tc>
              <w:tc>
                <w:tcPr>
                  <w:tcW w:w="3544" w:type="dxa"/>
                  <w:vAlign w:val="center"/>
                </w:tcPr>
                <w:p w14:paraId="18916AC7">
                  <w:pPr>
                    <w:autoSpaceDE w:val="0"/>
                    <w:autoSpaceDN w:val="0"/>
                    <w:adjustRightInd w:val="0"/>
                    <w:snapToGrid w:val="0"/>
                    <w:rPr>
                      <w:color w:val="auto"/>
                      <w:kern w:val="0"/>
                      <w:szCs w:val="21"/>
                    </w:rPr>
                  </w:pPr>
                  <w:r>
                    <w:rPr>
                      <w:rFonts w:hint="eastAsia"/>
                      <w:color w:val="auto"/>
                      <w:kern w:val="0"/>
                      <w:szCs w:val="21"/>
                    </w:rPr>
                    <w:t>1.强化与其他滇中城市的大气、水污染防治联防联控协作机制，加强区域内重污染天气和跨界水体风险应急联动。</w:t>
                  </w:r>
                </w:p>
              </w:tc>
              <w:tc>
                <w:tcPr>
                  <w:tcW w:w="2803" w:type="dxa"/>
                  <w:vAlign w:val="center"/>
                </w:tcPr>
                <w:p w14:paraId="1DBA07B2">
                  <w:pPr>
                    <w:autoSpaceDE w:val="0"/>
                    <w:autoSpaceDN w:val="0"/>
                    <w:adjustRightInd w:val="0"/>
                    <w:snapToGrid w:val="0"/>
                    <w:jc w:val="center"/>
                    <w:rPr>
                      <w:color w:val="auto"/>
                      <w:kern w:val="0"/>
                      <w:szCs w:val="21"/>
                    </w:rPr>
                  </w:pPr>
                  <w:r>
                    <w:rPr>
                      <w:rFonts w:hint="eastAsia" w:hAnsi="Calibri"/>
                      <w:color w:val="auto"/>
                      <w:szCs w:val="21"/>
                    </w:rPr>
                    <w:t>本项目不涉及。</w:t>
                  </w:r>
                </w:p>
              </w:tc>
              <w:tc>
                <w:tcPr>
                  <w:tcW w:w="1209" w:type="dxa"/>
                  <w:vAlign w:val="center"/>
                </w:tcPr>
                <w:p w14:paraId="04C6025F">
                  <w:pPr>
                    <w:autoSpaceDE w:val="0"/>
                    <w:autoSpaceDN w:val="0"/>
                    <w:adjustRightInd w:val="0"/>
                    <w:snapToGrid w:val="0"/>
                    <w:jc w:val="center"/>
                    <w:rPr>
                      <w:color w:val="auto"/>
                      <w:kern w:val="0"/>
                      <w:szCs w:val="21"/>
                    </w:rPr>
                  </w:pPr>
                  <w:r>
                    <w:rPr>
                      <w:rFonts w:hAnsi="Calibri"/>
                      <w:color w:val="auto"/>
                      <w:szCs w:val="21"/>
                    </w:rPr>
                    <w:t>/</w:t>
                  </w:r>
                </w:p>
              </w:tc>
            </w:tr>
            <w:tr w14:paraId="0191B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continue"/>
                  <w:vAlign w:val="center"/>
                </w:tcPr>
                <w:p w14:paraId="5708EEA4">
                  <w:pPr>
                    <w:autoSpaceDE w:val="0"/>
                    <w:autoSpaceDN w:val="0"/>
                    <w:adjustRightInd w:val="0"/>
                    <w:snapToGrid w:val="0"/>
                    <w:jc w:val="center"/>
                    <w:rPr>
                      <w:color w:val="auto"/>
                      <w:kern w:val="0"/>
                      <w:szCs w:val="21"/>
                    </w:rPr>
                  </w:pPr>
                </w:p>
              </w:tc>
              <w:tc>
                <w:tcPr>
                  <w:tcW w:w="3544" w:type="dxa"/>
                  <w:vAlign w:val="center"/>
                </w:tcPr>
                <w:p w14:paraId="0CB7F986">
                  <w:pPr>
                    <w:autoSpaceDE w:val="0"/>
                    <w:autoSpaceDN w:val="0"/>
                    <w:adjustRightInd w:val="0"/>
                    <w:snapToGrid w:val="0"/>
                    <w:rPr>
                      <w:color w:val="auto"/>
                      <w:kern w:val="0"/>
                      <w:szCs w:val="21"/>
                    </w:rPr>
                  </w:pPr>
                  <w:r>
                    <w:rPr>
                      <w:rFonts w:hint="eastAsia"/>
                      <w:color w:val="auto"/>
                      <w:kern w:val="0"/>
                      <w:szCs w:val="21"/>
                    </w:rPr>
                    <w:t>2.开展涉危险废物涉重金属企业、化工园区等重点领域环境风险调查评估，加强危险化学品运输全链条安全监管。完善环境应急管理体系，提升市县两级环境应急响应能力，推进应急物资库建设。开展涉铊企业排查整治行动。建立“平战结合”医疗废物应急处置体系。</w:t>
                  </w:r>
                </w:p>
              </w:tc>
              <w:tc>
                <w:tcPr>
                  <w:tcW w:w="2803" w:type="dxa"/>
                  <w:vAlign w:val="center"/>
                </w:tcPr>
                <w:p w14:paraId="08EC4B65">
                  <w:pPr>
                    <w:autoSpaceDE w:val="0"/>
                    <w:autoSpaceDN w:val="0"/>
                    <w:adjustRightInd w:val="0"/>
                    <w:snapToGrid w:val="0"/>
                    <w:jc w:val="center"/>
                    <w:rPr>
                      <w:color w:val="auto"/>
                      <w:kern w:val="0"/>
                      <w:szCs w:val="21"/>
                    </w:rPr>
                  </w:pPr>
                  <w:r>
                    <w:rPr>
                      <w:rFonts w:hint="eastAsia" w:hAnsi="Calibri"/>
                      <w:color w:val="auto"/>
                      <w:szCs w:val="21"/>
                    </w:rPr>
                    <w:t>本项目不涉及。</w:t>
                  </w:r>
                </w:p>
              </w:tc>
              <w:tc>
                <w:tcPr>
                  <w:tcW w:w="1209" w:type="dxa"/>
                  <w:vAlign w:val="center"/>
                </w:tcPr>
                <w:p w14:paraId="6C1520A1">
                  <w:pPr>
                    <w:autoSpaceDE w:val="0"/>
                    <w:autoSpaceDN w:val="0"/>
                    <w:adjustRightInd w:val="0"/>
                    <w:snapToGrid w:val="0"/>
                    <w:jc w:val="center"/>
                    <w:rPr>
                      <w:color w:val="auto"/>
                      <w:kern w:val="0"/>
                      <w:szCs w:val="21"/>
                    </w:rPr>
                  </w:pPr>
                  <w:r>
                    <w:rPr>
                      <w:rFonts w:hAnsi="Calibri"/>
                      <w:color w:val="auto"/>
                      <w:szCs w:val="21"/>
                    </w:rPr>
                    <w:t>/</w:t>
                  </w:r>
                </w:p>
              </w:tc>
            </w:tr>
            <w:tr w14:paraId="714EA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restart"/>
                  <w:vAlign w:val="center"/>
                </w:tcPr>
                <w:p w14:paraId="1C8901B9">
                  <w:pPr>
                    <w:autoSpaceDE w:val="0"/>
                    <w:autoSpaceDN w:val="0"/>
                    <w:adjustRightInd w:val="0"/>
                    <w:snapToGrid w:val="0"/>
                    <w:jc w:val="center"/>
                    <w:rPr>
                      <w:color w:val="auto"/>
                      <w:kern w:val="0"/>
                      <w:szCs w:val="21"/>
                    </w:rPr>
                  </w:pPr>
                  <w:r>
                    <w:rPr>
                      <w:rFonts w:hint="eastAsia"/>
                      <w:color w:val="auto"/>
                      <w:kern w:val="0"/>
                      <w:szCs w:val="21"/>
                    </w:rPr>
                    <w:t>资源开发利用效率</w:t>
                  </w:r>
                </w:p>
              </w:tc>
              <w:tc>
                <w:tcPr>
                  <w:tcW w:w="3544" w:type="dxa"/>
                  <w:vAlign w:val="center"/>
                </w:tcPr>
                <w:p w14:paraId="4F13C878">
                  <w:pPr>
                    <w:autoSpaceDE w:val="0"/>
                    <w:autoSpaceDN w:val="0"/>
                    <w:adjustRightInd w:val="0"/>
                    <w:snapToGrid w:val="0"/>
                    <w:rPr>
                      <w:color w:val="auto"/>
                      <w:kern w:val="0"/>
                      <w:szCs w:val="21"/>
                    </w:rPr>
                  </w:pPr>
                  <w:r>
                    <w:rPr>
                      <w:rFonts w:hint="eastAsia"/>
                      <w:color w:val="auto"/>
                      <w:kern w:val="0"/>
                      <w:szCs w:val="21"/>
                    </w:rPr>
                    <w:t>1.降低水、土地、能源、矿产资源消耗强度，强化约束性指标管理。</w:t>
                  </w:r>
                </w:p>
              </w:tc>
              <w:tc>
                <w:tcPr>
                  <w:tcW w:w="2803" w:type="dxa"/>
                  <w:vAlign w:val="center"/>
                </w:tcPr>
                <w:p w14:paraId="44FE93D6">
                  <w:pPr>
                    <w:autoSpaceDE w:val="0"/>
                    <w:autoSpaceDN w:val="0"/>
                    <w:adjustRightInd w:val="0"/>
                    <w:snapToGrid w:val="0"/>
                    <w:jc w:val="center"/>
                    <w:rPr>
                      <w:color w:val="auto"/>
                      <w:kern w:val="0"/>
                      <w:szCs w:val="21"/>
                    </w:rPr>
                  </w:pPr>
                  <w:r>
                    <w:rPr>
                      <w:rFonts w:hint="eastAsia" w:hAnsi="Calibri"/>
                      <w:color w:val="auto"/>
                      <w:szCs w:val="21"/>
                    </w:rPr>
                    <w:t>项目用水仅为职工生活用水、循环冷却水补充水和绿化用水，用水量低；占地面积小，用电量低，不涉及矿产资源消耗。</w:t>
                  </w:r>
                </w:p>
              </w:tc>
              <w:tc>
                <w:tcPr>
                  <w:tcW w:w="1209" w:type="dxa"/>
                  <w:vAlign w:val="center"/>
                </w:tcPr>
                <w:p w14:paraId="757A5653">
                  <w:pPr>
                    <w:autoSpaceDE w:val="0"/>
                    <w:autoSpaceDN w:val="0"/>
                    <w:adjustRightInd w:val="0"/>
                    <w:snapToGrid w:val="0"/>
                    <w:jc w:val="center"/>
                    <w:rPr>
                      <w:color w:val="auto"/>
                      <w:kern w:val="0"/>
                      <w:szCs w:val="21"/>
                    </w:rPr>
                  </w:pPr>
                  <w:r>
                    <w:rPr>
                      <w:rFonts w:hAnsi="Calibri"/>
                      <w:color w:val="auto"/>
                      <w:szCs w:val="21"/>
                    </w:rPr>
                    <w:t>/</w:t>
                  </w:r>
                </w:p>
              </w:tc>
            </w:tr>
            <w:tr w14:paraId="2522B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continue"/>
                  <w:vAlign w:val="center"/>
                </w:tcPr>
                <w:p w14:paraId="26E76A9D">
                  <w:pPr>
                    <w:autoSpaceDE w:val="0"/>
                    <w:autoSpaceDN w:val="0"/>
                    <w:adjustRightInd w:val="0"/>
                    <w:snapToGrid w:val="0"/>
                    <w:jc w:val="center"/>
                    <w:rPr>
                      <w:color w:val="auto"/>
                      <w:kern w:val="0"/>
                      <w:szCs w:val="21"/>
                    </w:rPr>
                  </w:pPr>
                </w:p>
              </w:tc>
              <w:tc>
                <w:tcPr>
                  <w:tcW w:w="3544" w:type="dxa"/>
                  <w:vAlign w:val="center"/>
                </w:tcPr>
                <w:p w14:paraId="16F1DC6F">
                  <w:pPr>
                    <w:autoSpaceDE w:val="0"/>
                    <w:autoSpaceDN w:val="0"/>
                    <w:adjustRightInd w:val="0"/>
                    <w:snapToGrid w:val="0"/>
                    <w:rPr>
                      <w:color w:val="auto"/>
                      <w:kern w:val="0"/>
                      <w:szCs w:val="21"/>
                    </w:rPr>
                  </w:pPr>
                  <w:r>
                    <w:rPr>
                      <w:rFonts w:hint="eastAsia"/>
                      <w:color w:val="auto"/>
                      <w:kern w:val="0"/>
                      <w:szCs w:val="21"/>
                    </w:rPr>
                    <w:t>2.实行最严格的水资源管理制度，严格用水总量、强度指标管理，严格取水管控，建立重点监控取水单位名录，强化重点监控取水单位管理。全市年用水总量、万元工业增加值用水量降幅等指标达到省考核要求。</w:t>
                  </w:r>
                </w:p>
              </w:tc>
              <w:tc>
                <w:tcPr>
                  <w:tcW w:w="2803" w:type="dxa"/>
                  <w:vAlign w:val="center"/>
                </w:tcPr>
                <w:p w14:paraId="57A2482B">
                  <w:pPr>
                    <w:autoSpaceDE w:val="0"/>
                    <w:autoSpaceDN w:val="0"/>
                    <w:adjustRightInd w:val="0"/>
                    <w:snapToGrid w:val="0"/>
                    <w:jc w:val="center"/>
                    <w:rPr>
                      <w:color w:val="auto"/>
                      <w:kern w:val="0"/>
                      <w:szCs w:val="21"/>
                    </w:rPr>
                  </w:pPr>
                  <w:r>
                    <w:rPr>
                      <w:rFonts w:hAnsi="Calibri"/>
                      <w:color w:val="auto"/>
                      <w:szCs w:val="21"/>
                    </w:rPr>
                    <w:t>项目用水</w:t>
                  </w:r>
                  <w:r>
                    <w:rPr>
                      <w:rFonts w:hint="eastAsia" w:hAnsi="Calibri"/>
                      <w:color w:val="auto"/>
                      <w:szCs w:val="21"/>
                    </w:rPr>
                    <w:t>主要为自来水，不涉及自行取水，且项目用水</w:t>
                  </w:r>
                  <w:r>
                    <w:rPr>
                      <w:rFonts w:hAnsi="Calibri"/>
                      <w:color w:val="auto"/>
                      <w:szCs w:val="21"/>
                    </w:rPr>
                    <w:t>仅为职工生活用水、循环冷却水补充水和绿化用水，用水量低</w:t>
                  </w:r>
                  <w:r>
                    <w:rPr>
                      <w:rFonts w:hint="eastAsia" w:hAnsi="Calibri"/>
                      <w:color w:val="auto"/>
                      <w:szCs w:val="21"/>
                    </w:rPr>
                    <w:t>。</w:t>
                  </w:r>
                </w:p>
              </w:tc>
              <w:tc>
                <w:tcPr>
                  <w:tcW w:w="1209" w:type="dxa"/>
                  <w:vAlign w:val="center"/>
                </w:tcPr>
                <w:p w14:paraId="07B77C28">
                  <w:pPr>
                    <w:autoSpaceDE w:val="0"/>
                    <w:autoSpaceDN w:val="0"/>
                    <w:adjustRightInd w:val="0"/>
                    <w:snapToGrid w:val="0"/>
                    <w:jc w:val="center"/>
                    <w:rPr>
                      <w:color w:val="auto"/>
                      <w:kern w:val="0"/>
                      <w:szCs w:val="21"/>
                    </w:rPr>
                  </w:pPr>
                  <w:r>
                    <w:rPr>
                      <w:rFonts w:hAnsi="Calibri"/>
                      <w:color w:val="auto"/>
                      <w:szCs w:val="21"/>
                    </w:rPr>
                    <w:t>/</w:t>
                  </w:r>
                </w:p>
              </w:tc>
            </w:tr>
            <w:tr w14:paraId="27226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continue"/>
                  <w:vAlign w:val="center"/>
                </w:tcPr>
                <w:p w14:paraId="444520A2">
                  <w:pPr>
                    <w:autoSpaceDE w:val="0"/>
                    <w:autoSpaceDN w:val="0"/>
                    <w:adjustRightInd w:val="0"/>
                    <w:snapToGrid w:val="0"/>
                    <w:jc w:val="center"/>
                    <w:rPr>
                      <w:color w:val="auto"/>
                      <w:kern w:val="0"/>
                      <w:szCs w:val="21"/>
                    </w:rPr>
                  </w:pPr>
                </w:p>
              </w:tc>
              <w:tc>
                <w:tcPr>
                  <w:tcW w:w="3544" w:type="dxa"/>
                  <w:vAlign w:val="center"/>
                </w:tcPr>
                <w:p w14:paraId="2B01B501">
                  <w:pPr>
                    <w:autoSpaceDE w:val="0"/>
                    <w:autoSpaceDN w:val="0"/>
                    <w:adjustRightInd w:val="0"/>
                    <w:snapToGrid w:val="0"/>
                    <w:rPr>
                      <w:color w:val="auto"/>
                      <w:kern w:val="0"/>
                      <w:szCs w:val="21"/>
                    </w:rPr>
                  </w:pPr>
                  <w:r>
                    <w:rPr>
                      <w:rFonts w:hint="eastAsia"/>
                      <w:color w:val="auto"/>
                      <w:kern w:val="0"/>
                      <w:szCs w:val="21"/>
                    </w:rPr>
                    <w:t>3.坚持最严格的耕地保护制度，守住耕地保护红线。坚持节约用地，严格执行耕地占补平衡等制度，提高土地投资强度和单位面积产出水平。</w:t>
                  </w:r>
                </w:p>
              </w:tc>
              <w:tc>
                <w:tcPr>
                  <w:tcW w:w="2803" w:type="dxa"/>
                  <w:vAlign w:val="center"/>
                </w:tcPr>
                <w:p w14:paraId="7B89AC25">
                  <w:pPr>
                    <w:autoSpaceDE w:val="0"/>
                    <w:autoSpaceDN w:val="0"/>
                    <w:adjustRightInd w:val="0"/>
                    <w:snapToGrid w:val="0"/>
                    <w:jc w:val="center"/>
                    <w:rPr>
                      <w:color w:val="auto"/>
                      <w:kern w:val="0"/>
                      <w:szCs w:val="21"/>
                    </w:rPr>
                  </w:pPr>
                  <w:r>
                    <w:rPr>
                      <w:rFonts w:hint="eastAsia" w:hAnsi="Calibri"/>
                      <w:color w:val="auto"/>
                      <w:szCs w:val="21"/>
                    </w:rPr>
                    <w:t>本项目不涉及。</w:t>
                  </w:r>
                </w:p>
              </w:tc>
              <w:tc>
                <w:tcPr>
                  <w:tcW w:w="1209" w:type="dxa"/>
                  <w:vAlign w:val="center"/>
                </w:tcPr>
                <w:p w14:paraId="6B9DFDE7">
                  <w:pPr>
                    <w:autoSpaceDE w:val="0"/>
                    <w:autoSpaceDN w:val="0"/>
                    <w:adjustRightInd w:val="0"/>
                    <w:snapToGrid w:val="0"/>
                    <w:jc w:val="center"/>
                    <w:rPr>
                      <w:color w:val="auto"/>
                      <w:kern w:val="0"/>
                      <w:szCs w:val="21"/>
                    </w:rPr>
                  </w:pPr>
                  <w:r>
                    <w:rPr>
                      <w:rFonts w:hAnsi="Calibri"/>
                      <w:color w:val="auto"/>
                      <w:szCs w:val="21"/>
                    </w:rPr>
                    <w:t>/</w:t>
                  </w:r>
                </w:p>
              </w:tc>
            </w:tr>
            <w:tr w14:paraId="52D38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15" w:type="dxa"/>
                  <w:vMerge w:val="continue"/>
                  <w:vAlign w:val="center"/>
                </w:tcPr>
                <w:p w14:paraId="57AE5D8E">
                  <w:pPr>
                    <w:autoSpaceDE w:val="0"/>
                    <w:autoSpaceDN w:val="0"/>
                    <w:adjustRightInd w:val="0"/>
                    <w:snapToGrid w:val="0"/>
                    <w:jc w:val="center"/>
                    <w:rPr>
                      <w:color w:val="auto"/>
                      <w:kern w:val="0"/>
                      <w:szCs w:val="21"/>
                    </w:rPr>
                  </w:pPr>
                </w:p>
              </w:tc>
              <w:tc>
                <w:tcPr>
                  <w:tcW w:w="3544" w:type="dxa"/>
                  <w:vAlign w:val="center"/>
                </w:tcPr>
                <w:p w14:paraId="5747EBFF">
                  <w:pPr>
                    <w:autoSpaceDE w:val="0"/>
                    <w:autoSpaceDN w:val="0"/>
                    <w:adjustRightInd w:val="0"/>
                    <w:snapToGrid w:val="0"/>
                    <w:rPr>
                      <w:color w:val="auto"/>
                      <w:kern w:val="0"/>
                      <w:szCs w:val="21"/>
                    </w:rPr>
                  </w:pPr>
                  <w:r>
                    <w:rPr>
                      <w:rFonts w:hint="eastAsia"/>
                      <w:color w:val="auto"/>
                      <w:kern w:val="0"/>
                      <w:szCs w:val="21"/>
                    </w:rPr>
                    <w:t>4.全市单位GDP二氧化碳排放累计下降率完成云南省下达的指标；单位GDP能耗持续下降，到2025年，全市单位GDP能耗累计下降率14%。</w:t>
                  </w:r>
                </w:p>
              </w:tc>
              <w:tc>
                <w:tcPr>
                  <w:tcW w:w="2803" w:type="dxa"/>
                  <w:vAlign w:val="center"/>
                </w:tcPr>
                <w:p w14:paraId="7D35868D">
                  <w:pPr>
                    <w:autoSpaceDE w:val="0"/>
                    <w:autoSpaceDN w:val="0"/>
                    <w:adjustRightInd w:val="0"/>
                    <w:snapToGrid w:val="0"/>
                    <w:jc w:val="center"/>
                    <w:rPr>
                      <w:color w:val="auto"/>
                      <w:kern w:val="0"/>
                      <w:szCs w:val="21"/>
                    </w:rPr>
                  </w:pPr>
                  <w:r>
                    <w:rPr>
                      <w:rFonts w:hint="eastAsia" w:hAnsi="Calibri"/>
                      <w:color w:val="auto"/>
                      <w:szCs w:val="21"/>
                    </w:rPr>
                    <w:t>本项目不涉及。</w:t>
                  </w:r>
                </w:p>
              </w:tc>
              <w:tc>
                <w:tcPr>
                  <w:tcW w:w="1209" w:type="dxa"/>
                  <w:vAlign w:val="center"/>
                </w:tcPr>
                <w:p w14:paraId="0977C52A">
                  <w:pPr>
                    <w:autoSpaceDE w:val="0"/>
                    <w:autoSpaceDN w:val="0"/>
                    <w:adjustRightInd w:val="0"/>
                    <w:snapToGrid w:val="0"/>
                    <w:jc w:val="center"/>
                    <w:rPr>
                      <w:color w:val="auto"/>
                      <w:kern w:val="0"/>
                      <w:szCs w:val="21"/>
                    </w:rPr>
                  </w:pPr>
                  <w:r>
                    <w:rPr>
                      <w:rFonts w:hAnsi="Calibri"/>
                      <w:color w:val="auto"/>
                      <w:szCs w:val="21"/>
                    </w:rPr>
                    <w:t>/</w:t>
                  </w:r>
                </w:p>
              </w:tc>
            </w:tr>
            <w:tr w14:paraId="59A0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continue"/>
                  <w:vAlign w:val="center"/>
                </w:tcPr>
                <w:p w14:paraId="43618A8B">
                  <w:pPr>
                    <w:autoSpaceDE w:val="0"/>
                    <w:autoSpaceDN w:val="0"/>
                    <w:adjustRightInd w:val="0"/>
                    <w:snapToGrid w:val="0"/>
                    <w:jc w:val="center"/>
                    <w:rPr>
                      <w:color w:val="auto"/>
                      <w:kern w:val="0"/>
                      <w:szCs w:val="21"/>
                    </w:rPr>
                  </w:pPr>
                </w:p>
              </w:tc>
              <w:tc>
                <w:tcPr>
                  <w:tcW w:w="3544" w:type="dxa"/>
                  <w:vAlign w:val="center"/>
                </w:tcPr>
                <w:p w14:paraId="100CCA32">
                  <w:pPr>
                    <w:autoSpaceDE w:val="0"/>
                    <w:autoSpaceDN w:val="0"/>
                    <w:adjustRightInd w:val="0"/>
                    <w:snapToGrid w:val="0"/>
                    <w:rPr>
                      <w:color w:val="auto"/>
                      <w:kern w:val="0"/>
                      <w:szCs w:val="21"/>
                    </w:rPr>
                  </w:pPr>
                  <w:r>
                    <w:rPr>
                      <w:rFonts w:hint="eastAsia"/>
                      <w:color w:val="auto"/>
                      <w:kern w:val="0"/>
                      <w:szCs w:val="21"/>
                    </w:rPr>
                    <w:t>5.高污染燃料禁燃区按照《高污染燃料目录》及当地有关禁燃区管理规定执行。</w:t>
                  </w:r>
                </w:p>
              </w:tc>
              <w:tc>
                <w:tcPr>
                  <w:tcW w:w="2803" w:type="dxa"/>
                  <w:vAlign w:val="center"/>
                </w:tcPr>
                <w:p w14:paraId="55B58F85">
                  <w:pPr>
                    <w:autoSpaceDE w:val="0"/>
                    <w:autoSpaceDN w:val="0"/>
                    <w:adjustRightInd w:val="0"/>
                    <w:snapToGrid w:val="0"/>
                    <w:jc w:val="center"/>
                    <w:rPr>
                      <w:color w:val="auto"/>
                      <w:kern w:val="0"/>
                      <w:szCs w:val="21"/>
                    </w:rPr>
                  </w:pPr>
                  <w:r>
                    <w:rPr>
                      <w:rFonts w:hAnsi="Calibri"/>
                      <w:color w:val="auto"/>
                      <w:szCs w:val="21"/>
                    </w:rPr>
                    <w:t>本项目使用电能，不涉及使用高污染燃料</w:t>
                  </w:r>
                  <w:r>
                    <w:rPr>
                      <w:rFonts w:hint="eastAsia" w:hAnsi="Calibri"/>
                      <w:color w:val="auto"/>
                      <w:szCs w:val="21"/>
                    </w:rPr>
                    <w:t>。</w:t>
                  </w:r>
                </w:p>
              </w:tc>
              <w:tc>
                <w:tcPr>
                  <w:tcW w:w="1209" w:type="dxa"/>
                  <w:vAlign w:val="center"/>
                </w:tcPr>
                <w:p w14:paraId="314FB35D">
                  <w:pPr>
                    <w:autoSpaceDE w:val="0"/>
                    <w:autoSpaceDN w:val="0"/>
                    <w:adjustRightInd w:val="0"/>
                    <w:snapToGrid w:val="0"/>
                    <w:jc w:val="center"/>
                    <w:rPr>
                      <w:color w:val="auto"/>
                      <w:kern w:val="0"/>
                      <w:szCs w:val="21"/>
                    </w:rPr>
                  </w:pPr>
                  <w:r>
                    <w:rPr>
                      <w:rFonts w:hAnsi="Calibri"/>
                      <w:color w:val="auto"/>
                      <w:szCs w:val="21"/>
                    </w:rPr>
                    <w:t>/</w:t>
                  </w:r>
                </w:p>
              </w:tc>
            </w:tr>
            <w:tr w14:paraId="1D266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continue"/>
                  <w:vAlign w:val="center"/>
                </w:tcPr>
                <w:p w14:paraId="6006BF3D">
                  <w:pPr>
                    <w:autoSpaceDE w:val="0"/>
                    <w:autoSpaceDN w:val="0"/>
                    <w:adjustRightInd w:val="0"/>
                    <w:snapToGrid w:val="0"/>
                    <w:jc w:val="center"/>
                    <w:rPr>
                      <w:color w:val="auto"/>
                      <w:kern w:val="0"/>
                      <w:szCs w:val="21"/>
                    </w:rPr>
                  </w:pPr>
                </w:p>
              </w:tc>
              <w:tc>
                <w:tcPr>
                  <w:tcW w:w="3544" w:type="dxa"/>
                  <w:vAlign w:val="center"/>
                </w:tcPr>
                <w:p w14:paraId="7DE35F6C">
                  <w:pPr>
                    <w:autoSpaceDE w:val="0"/>
                    <w:autoSpaceDN w:val="0"/>
                    <w:adjustRightInd w:val="0"/>
                    <w:snapToGrid w:val="0"/>
                    <w:rPr>
                      <w:color w:val="auto"/>
                      <w:kern w:val="0"/>
                      <w:szCs w:val="21"/>
                    </w:rPr>
                  </w:pPr>
                  <w:r>
                    <w:rPr>
                      <w:rFonts w:hint="eastAsia"/>
                      <w:color w:val="auto"/>
                      <w:kern w:val="0"/>
                      <w:szCs w:val="21"/>
                    </w:rPr>
                    <w:t>6.实施高效节水灌溉工程，大力推广高效节水灌溉措施，到2025年，农田灌溉水有效利用系数达到0.55。</w:t>
                  </w:r>
                </w:p>
              </w:tc>
              <w:tc>
                <w:tcPr>
                  <w:tcW w:w="2803" w:type="dxa"/>
                  <w:vAlign w:val="center"/>
                </w:tcPr>
                <w:p w14:paraId="16D0B164">
                  <w:pPr>
                    <w:autoSpaceDE w:val="0"/>
                    <w:autoSpaceDN w:val="0"/>
                    <w:adjustRightInd w:val="0"/>
                    <w:snapToGrid w:val="0"/>
                    <w:jc w:val="center"/>
                    <w:rPr>
                      <w:color w:val="auto"/>
                      <w:kern w:val="0"/>
                      <w:szCs w:val="21"/>
                    </w:rPr>
                  </w:pPr>
                  <w:r>
                    <w:rPr>
                      <w:rFonts w:hint="eastAsia" w:hAnsi="Calibri"/>
                      <w:color w:val="auto"/>
                      <w:szCs w:val="21"/>
                    </w:rPr>
                    <w:t>本项目不涉及。</w:t>
                  </w:r>
                </w:p>
              </w:tc>
              <w:tc>
                <w:tcPr>
                  <w:tcW w:w="1209" w:type="dxa"/>
                  <w:vAlign w:val="center"/>
                </w:tcPr>
                <w:p w14:paraId="5F32063E">
                  <w:pPr>
                    <w:autoSpaceDE w:val="0"/>
                    <w:autoSpaceDN w:val="0"/>
                    <w:adjustRightInd w:val="0"/>
                    <w:snapToGrid w:val="0"/>
                    <w:jc w:val="center"/>
                    <w:rPr>
                      <w:color w:val="auto"/>
                      <w:kern w:val="0"/>
                      <w:szCs w:val="21"/>
                    </w:rPr>
                  </w:pPr>
                  <w:r>
                    <w:rPr>
                      <w:rFonts w:hAnsi="Calibri"/>
                      <w:color w:val="auto"/>
                      <w:szCs w:val="21"/>
                    </w:rPr>
                    <w:t>/</w:t>
                  </w:r>
                </w:p>
              </w:tc>
            </w:tr>
            <w:tr w14:paraId="2E159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1" w:type="dxa"/>
                  <w:gridSpan w:val="4"/>
                  <w:vAlign w:val="center"/>
                </w:tcPr>
                <w:p w14:paraId="3425ED83">
                  <w:pPr>
                    <w:autoSpaceDE w:val="0"/>
                    <w:autoSpaceDN w:val="0"/>
                    <w:adjustRightInd w:val="0"/>
                    <w:snapToGrid w:val="0"/>
                    <w:jc w:val="center"/>
                    <w:rPr>
                      <w:color w:val="auto"/>
                      <w:kern w:val="0"/>
                      <w:szCs w:val="21"/>
                    </w:rPr>
                  </w:pPr>
                  <w:r>
                    <w:rPr>
                      <w:color w:val="auto"/>
                      <w:szCs w:val="21"/>
                    </w:rPr>
                    <w:t>2、</w:t>
                  </w:r>
                  <w:r>
                    <w:rPr>
                      <w:rFonts w:hint="eastAsia"/>
                      <w:color w:val="auto"/>
                      <w:szCs w:val="21"/>
                    </w:rPr>
                    <w:t>通海县</w:t>
                  </w:r>
                  <w:r>
                    <w:rPr>
                      <w:color w:val="auto"/>
                      <w:szCs w:val="21"/>
                    </w:rPr>
                    <w:t>生态环境准入清单（</w:t>
                  </w:r>
                  <w:r>
                    <w:rPr>
                      <w:rFonts w:hint="eastAsia"/>
                      <w:color w:val="auto"/>
                      <w:kern w:val="0"/>
                      <w:szCs w:val="21"/>
                    </w:rPr>
                    <w:t>通海县乡镇生活污染重点管控单元</w:t>
                  </w:r>
                  <w:r>
                    <w:rPr>
                      <w:color w:val="auto"/>
                      <w:szCs w:val="21"/>
                    </w:rPr>
                    <w:t>）</w:t>
                  </w:r>
                </w:p>
              </w:tc>
            </w:tr>
            <w:tr w14:paraId="23A44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Align w:val="center"/>
                </w:tcPr>
                <w:p w14:paraId="0BAE1A93">
                  <w:pPr>
                    <w:autoSpaceDE w:val="0"/>
                    <w:autoSpaceDN w:val="0"/>
                    <w:adjustRightInd w:val="0"/>
                    <w:snapToGrid w:val="0"/>
                    <w:jc w:val="left"/>
                    <w:rPr>
                      <w:color w:val="auto"/>
                      <w:szCs w:val="21"/>
                    </w:rPr>
                  </w:pPr>
                  <w:r>
                    <w:rPr>
                      <w:rFonts w:hint="eastAsia"/>
                      <w:color w:val="auto"/>
                      <w:kern w:val="0"/>
                      <w:szCs w:val="21"/>
                    </w:rPr>
                    <w:t>管控领域</w:t>
                  </w:r>
                </w:p>
              </w:tc>
              <w:tc>
                <w:tcPr>
                  <w:tcW w:w="3544" w:type="dxa"/>
                  <w:vAlign w:val="center"/>
                </w:tcPr>
                <w:p w14:paraId="313E2B4E">
                  <w:pPr>
                    <w:autoSpaceDE w:val="0"/>
                    <w:autoSpaceDN w:val="0"/>
                    <w:adjustRightInd w:val="0"/>
                    <w:snapToGrid w:val="0"/>
                    <w:jc w:val="center"/>
                    <w:rPr>
                      <w:color w:val="auto"/>
                      <w:kern w:val="0"/>
                      <w:szCs w:val="21"/>
                    </w:rPr>
                  </w:pPr>
                  <w:r>
                    <w:rPr>
                      <w:rFonts w:hint="eastAsia"/>
                      <w:color w:val="auto"/>
                      <w:kern w:val="0"/>
                      <w:szCs w:val="21"/>
                    </w:rPr>
                    <w:t>管控要求</w:t>
                  </w:r>
                </w:p>
              </w:tc>
              <w:tc>
                <w:tcPr>
                  <w:tcW w:w="2803" w:type="dxa"/>
                  <w:vAlign w:val="center"/>
                </w:tcPr>
                <w:p w14:paraId="39102820">
                  <w:pPr>
                    <w:autoSpaceDE w:val="0"/>
                    <w:autoSpaceDN w:val="0"/>
                    <w:adjustRightInd w:val="0"/>
                    <w:snapToGrid w:val="0"/>
                    <w:jc w:val="center"/>
                    <w:rPr>
                      <w:color w:val="auto"/>
                      <w:szCs w:val="21"/>
                    </w:rPr>
                  </w:pPr>
                  <w:r>
                    <w:rPr>
                      <w:color w:val="auto"/>
                      <w:kern w:val="0"/>
                      <w:szCs w:val="21"/>
                    </w:rPr>
                    <w:t>项目情况</w:t>
                  </w:r>
                </w:p>
              </w:tc>
              <w:tc>
                <w:tcPr>
                  <w:tcW w:w="1209" w:type="dxa"/>
                  <w:vAlign w:val="center"/>
                </w:tcPr>
                <w:p w14:paraId="3BE036D5">
                  <w:pPr>
                    <w:autoSpaceDE w:val="0"/>
                    <w:autoSpaceDN w:val="0"/>
                    <w:adjustRightInd w:val="0"/>
                    <w:snapToGrid w:val="0"/>
                    <w:jc w:val="center"/>
                    <w:rPr>
                      <w:color w:val="auto"/>
                      <w:szCs w:val="21"/>
                    </w:rPr>
                  </w:pPr>
                  <w:r>
                    <w:rPr>
                      <w:color w:val="auto"/>
                      <w:kern w:val="0"/>
                      <w:szCs w:val="21"/>
                    </w:rPr>
                    <w:t>符合情况</w:t>
                  </w:r>
                </w:p>
              </w:tc>
            </w:tr>
            <w:tr w14:paraId="311B2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restart"/>
                  <w:vAlign w:val="center"/>
                </w:tcPr>
                <w:p w14:paraId="0CEC11A3">
                  <w:pPr>
                    <w:autoSpaceDE w:val="0"/>
                    <w:autoSpaceDN w:val="0"/>
                    <w:adjustRightInd w:val="0"/>
                    <w:snapToGrid w:val="0"/>
                    <w:jc w:val="left"/>
                    <w:rPr>
                      <w:color w:val="auto"/>
                      <w:kern w:val="0"/>
                      <w:szCs w:val="21"/>
                    </w:rPr>
                  </w:pPr>
                  <w:r>
                    <w:rPr>
                      <w:color w:val="auto"/>
                      <w:szCs w:val="21"/>
                    </w:rPr>
                    <w:t>空间布局约束</w:t>
                  </w:r>
                </w:p>
              </w:tc>
              <w:tc>
                <w:tcPr>
                  <w:tcW w:w="3544" w:type="dxa"/>
                  <w:vAlign w:val="center"/>
                </w:tcPr>
                <w:p w14:paraId="576D4D3D">
                  <w:pPr>
                    <w:autoSpaceDE w:val="0"/>
                    <w:autoSpaceDN w:val="0"/>
                    <w:adjustRightInd w:val="0"/>
                    <w:snapToGrid w:val="0"/>
                    <w:jc w:val="left"/>
                    <w:rPr>
                      <w:color w:val="auto"/>
                      <w:kern w:val="0"/>
                      <w:szCs w:val="21"/>
                    </w:rPr>
                  </w:pPr>
                  <w:r>
                    <w:rPr>
                      <w:color w:val="auto"/>
                      <w:kern w:val="0"/>
                      <w:szCs w:val="21"/>
                    </w:rPr>
                    <w:t>1.</w:t>
                  </w:r>
                  <w:r>
                    <w:rPr>
                      <w:rFonts w:hint="eastAsia"/>
                      <w:color w:val="auto"/>
                      <w:kern w:val="0"/>
                      <w:szCs w:val="21"/>
                    </w:rPr>
                    <w:t>河西镇根据《河西历史文化名镇保护规划》进行保护。纳古镇严格执行《云南省杞麓湖保护条例》要求。</w:t>
                  </w:r>
                </w:p>
              </w:tc>
              <w:tc>
                <w:tcPr>
                  <w:tcW w:w="2803" w:type="dxa"/>
                  <w:vAlign w:val="center"/>
                </w:tcPr>
                <w:p w14:paraId="173911C0">
                  <w:pPr>
                    <w:autoSpaceDE w:val="0"/>
                    <w:autoSpaceDN w:val="0"/>
                    <w:adjustRightInd w:val="0"/>
                    <w:snapToGrid w:val="0"/>
                    <w:jc w:val="center"/>
                    <w:rPr>
                      <w:color w:val="auto"/>
                      <w:kern w:val="0"/>
                      <w:szCs w:val="21"/>
                    </w:rPr>
                  </w:pPr>
                  <w:r>
                    <w:rPr>
                      <w:color w:val="auto"/>
                      <w:szCs w:val="21"/>
                    </w:rPr>
                    <w:t>本项目位于杞麓湖绿色发展区，已取得杞麓湖管理局选址意见，项目符合《云南省杞麓湖保护条例》要求</w:t>
                  </w:r>
                </w:p>
              </w:tc>
              <w:tc>
                <w:tcPr>
                  <w:tcW w:w="1209" w:type="dxa"/>
                  <w:vAlign w:val="center"/>
                </w:tcPr>
                <w:p w14:paraId="036ABE82">
                  <w:pPr>
                    <w:autoSpaceDE w:val="0"/>
                    <w:autoSpaceDN w:val="0"/>
                    <w:adjustRightInd w:val="0"/>
                    <w:snapToGrid w:val="0"/>
                    <w:jc w:val="center"/>
                    <w:rPr>
                      <w:color w:val="auto"/>
                      <w:kern w:val="0"/>
                      <w:szCs w:val="21"/>
                    </w:rPr>
                  </w:pPr>
                  <w:r>
                    <w:rPr>
                      <w:color w:val="auto"/>
                      <w:szCs w:val="21"/>
                    </w:rPr>
                    <w:t>/</w:t>
                  </w:r>
                </w:p>
              </w:tc>
            </w:tr>
            <w:tr w14:paraId="02B19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continue"/>
                  <w:vAlign w:val="center"/>
                </w:tcPr>
                <w:p w14:paraId="79ADE6FC">
                  <w:pPr>
                    <w:autoSpaceDE w:val="0"/>
                    <w:autoSpaceDN w:val="0"/>
                    <w:adjustRightInd w:val="0"/>
                    <w:snapToGrid w:val="0"/>
                    <w:jc w:val="left"/>
                    <w:rPr>
                      <w:color w:val="auto"/>
                      <w:kern w:val="0"/>
                      <w:szCs w:val="21"/>
                    </w:rPr>
                  </w:pPr>
                </w:p>
              </w:tc>
              <w:tc>
                <w:tcPr>
                  <w:tcW w:w="3544" w:type="dxa"/>
                  <w:vAlign w:val="center"/>
                </w:tcPr>
                <w:p w14:paraId="1F834C6E">
                  <w:pPr>
                    <w:autoSpaceDE w:val="0"/>
                    <w:autoSpaceDN w:val="0"/>
                    <w:adjustRightInd w:val="0"/>
                    <w:snapToGrid w:val="0"/>
                    <w:jc w:val="left"/>
                    <w:rPr>
                      <w:color w:val="auto"/>
                      <w:kern w:val="0"/>
                      <w:szCs w:val="21"/>
                    </w:rPr>
                  </w:pPr>
                  <w:r>
                    <w:rPr>
                      <w:color w:val="auto"/>
                      <w:kern w:val="0"/>
                      <w:szCs w:val="21"/>
                    </w:rPr>
                    <w:t>2.</w:t>
                  </w:r>
                  <w:r>
                    <w:rPr>
                      <w:rFonts w:hint="eastAsia"/>
                      <w:color w:val="auto"/>
                      <w:kern w:val="0"/>
                      <w:szCs w:val="21"/>
                    </w:rPr>
                    <w:t>优化产业空间布局，对不符合准入要求的既有项目，依法依规实施整改、退出等分类治理方案，促进企业向园区集中，产业向园区集聚，资源集约利用。</w:t>
                  </w:r>
                </w:p>
              </w:tc>
              <w:tc>
                <w:tcPr>
                  <w:tcW w:w="2803" w:type="dxa"/>
                  <w:vAlign w:val="center"/>
                </w:tcPr>
                <w:p w14:paraId="0B17ED9C">
                  <w:pPr>
                    <w:autoSpaceDE w:val="0"/>
                    <w:autoSpaceDN w:val="0"/>
                    <w:adjustRightInd w:val="0"/>
                    <w:snapToGrid w:val="0"/>
                    <w:jc w:val="center"/>
                    <w:rPr>
                      <w:color w:val="auto"/>
                      <w:kern w:val="0"/>
                      <w:szCs w:val="21"/>
                    </w:rPr>
                  </w:pPr>
                  <w:r>
                    <w:rPr>
                      <w:color w:val="auto"/>
                      <w:kern w:val="0"/>
                      <w:szCs w:val="21"/>
                    </w:rPr>
                    <w:t>项目属于</w:t>
                  </w:r>
                  <w:r>
                    <w:rPr>
                      <w:rFonts w:hint="eastAsia"/>
                      <w:color w:val="auto"/>
                      <w:kern w:val="0"/>
                      <w:szCs w:val="21"/>
                    </w:rPr>
                    <w:t>钢压延加工</w:t>
                  </w:r>
                  <w:r>
                    <w:rPr>
                      <w:color w:val="auto"/>
                      <w:kern w:val="0"/>
                      <w:szCs w:val="21"/>
                    </w:rPr>
                    <w:t>项目，用地性质为工业用地，符合《玉溪市通海县纳古镇集镇区国土空间详细规划（2单元）》，</w:t>
                  </w:r>
                  <w:r>
                    <w:rPr>
                      <w:rFonts w:hint="eastAsia"/>
                      <w:color w:val="auto"/>
                      <w:kern w:val="0"/>
                      <w:szCs w:val="21"/>
                    </w:rPr>
                    <w:t>已</w:t>
                  </w:r>
                  <w:r>
                    <w:rPr>
                      <w:color w:val="auto"/>
                      <w:kern w:val="0"/>
                      <w:szCs w:val="21"/>
                    </w:rPr>
                    <w:t>取得乡镇及杞麓湖管理局意见；符合产业空间布局</w:t>
                  </w:r>
                  <w:r>
                    <w:rPr>
                      <w:rFonts w:hint="eastAsia"/>
                      <w:color w:val="auto"/>
                      <w:kern w:val="0"/>
                      <w:szCs w:val="21"/>
                    </w:rPr>
                    <w:t>。</w:t>
                  </w:r>
                </w:p>
              </w:tc>
              <w:tc>
                <w:tcPr>
                  <w:tcW w:w="1209" w:type="dxa"/>
                  <w:vAlign w:val="center"/>
                </w:tcPr>
                <w:p w14:paraId="30031E63">
                  <w:pPr>
                    <w:autoSpaceDE w:val="0"/>
                    <w:autoSpaceDN w:val="0"/>
                    <w:adjustRightInd w:val="0"/>
                    <w:snapToGrid w:val="0"/>
                    <w:jc w:val="center"/>
                    <w:rPr>
                      <w:color w:val="auto"/>
                      <w:kern w:val="0"/>
                      <w:szCs w:val="21"/>
                    </w:rPr>
                  </w:pPr>
                  <w:r>
                    <w:rPr>
                      <w:rFonts w:hint="eastAsia"/>
                      <w:color w:val="auto"/>
                      <w:szCs w:val="21"/>
                    </w:rPr>
                    <w:t>符合</w:t>
                  </w:r>
                </w:p>
              </w:tc>
            </w:tr>
            <w:tr w14:paraId="35086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restart"/>
                  <w:vAlign w:val="center"/>
                </w:tcPr>
                <w:p w14:paraId="71D2913F">
                  <w:pPr>
                    <w:autoSpaceDE w:val="0"/>
                    <w:autoSpaceDN w:val="0"/>
                    <w:adjustRightInd w:val="0"/>
                    <w:snapToGrid w:val="0"/>
                    <w:jc w:val="left"/>
                    <w:rPr>
                      <w:color w:val="auto"/>
                      <w:kern w:val="0"/>
                      <w:szCs w:val="21"/>
                    </w:rPr>
                  </w:pPr>
                  <w:r>
                    <w:rPr>
                      <w:rFonts w:hint="eastAsia"/>
                      <w:color w:val="auto"/>
                      <w:kern w:val="0"/>
                      <w:szCs w:val="21"/>
                    </w:rPr>
                    <w:t>污染物排放管控</w:t>
                  </w:r>
                </w:p>
              </w:tc>
              <w:tc>
                <w:tcPr>
                  <w:tcW w:w="3544" w:type="dxa"/>
                  <w:vAlign w:val="center"/>
                </w:tcPr>
                <w:p w14:paraId="361B1567">
                  <w:pPr>
                    <w:autoSpaceDE w:val="0"/>
                    <w:autoSpaceDN w:val="0"/>
                    <w:adjustRightInd w:val="0"/>
                    <w:snapToGrid w:val="0"/>
                    <w:jc w:val="left"/>
                    <w:rPr>
                      <w:color w:val="auto"/>
                      <w:kern w:val="0"/>
                      <w:szCs w:val="21"/>
                    </w:rPr>
                  </w:pPr>
                  <w:r>
                    <w:rPr>
                      <w:color w:val="auto"/>
                      <w:kern w:val="0"/>
                      <w:szCs w:val="21"/>
                    </w:rPr>
                    <w:t>1.</w:t>
                  </w:r>
                  <w:r>
                    <w:rPr>
                      <w:rFonts w:hint="eastAsia"/>
                      <w:color w:val="auto"/>
                      <w:kern w:val="0"/>
                      <w:szCs w:val="21"/>
                    </w:rPr>
                    <w:t>临杞麓湖区域严格落实禁养、限养措施，退出高耗水、耗肥、耗药作物，实施农业高效节水减排工程，重点发展优质水稻、豆类、烤烟、油菜、离地花卉、莲藕等种植，注重生态复绿与休耕，发展休闲观光农业。</w:t>
                  </w:r>
                </w:p>
              </w:tc>
              <w:tc>
                <w:tcPr>
                  <w:tcW w:w="2803" w:type="dxa"/>
                  <w:vAlign w:val="center"/>
                </w:tcPr>
                <w:p w14:paraId="4810D008">
                  <w:pPr>
                    <w:autoSpaceDE w:val="0"/>
                    <w:autoSpaceDN w:val="0"/>
                    <w:adjustRightInd w:val="0"/>
                    <w:snapToGrid w:val="0"/>
                    <w:jc w:val="center"/>
                    <w:rPr>
                      <w:color w:val="auto"/>
                      <w:kern w:val="0"/>
                      <w:szCs w:val="21"/>
                    </w:rPr>
                  </w:pPr>
                  <w:r>
                    <w:rPr>
                      <w:rFonts w:hint="eastAsia"/>
                      <w:color w:val="auto"/>
                      <w:szCs w:val="21"/>
                    </w:rPr>
                    <w:t>本</w:t>
                  </w:r>
                  <w:r>
                    <w:rPr>
                      <w:color w:val="auto"/>
                      <w:szCs w:val="21"/>
                    </w:rPr>
                    <w:t>项目不涉及</w:t>
                  </w:r>
                  <w:r>
                    <w:rPr>
                      <w:rFonts w:hint="eastAsia"/>
                      <w:color w:val="auto"/>
                      <w:szCs w:val="21"/>
                    </w:rPr>
                    <w:t>。</w:t>
                  </w:r>
                </w:p>
              </w:tc>
              <w:tc>
                <w:tcPr>
                  <w:tcW w:w="1209" w:type="dxa"/>
                  <w:vAlign w:val="center"/>
                </w:tcPr>
                <w:p w14:paraId="4809A4EA">
                  <w:pPr>
                    <w:autoSpaceDE w:val="0"/>
                    <w:autoSpaceDN w:val="0"/>
                    <w:adjustRightInd w:val="0"/>
                    <w:snapToGrid w:val="0"/>
                    <w:jc w:val="center"/>
                    <w:rPr>
                      <w:color w:val="auto"/>
                      <w:kern w:val="0"/>
                      <w:szCs w:val="21"/>
                    </w:rPr>
                  </w:pPr>
                  <w:r>
                    <w:rPr>
                      <w:color w:val="auto"/>
                      <w:szCs w:val="21"/>
                    </w:rPr>
                    <w:t>/</w:t>
                  </w:r>
                </w:p>
              </w:tc>
            </w:tr>
            <w:tr w14:paraId="0F2F5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continue"/>
                  <w:vAlign w:val="center"/>
                </w:tcPr>
                <w:p w14:paraId="1F95B7EC">
                  <w:pPr>
                    <w:autoSpaceDE w:val="0"/>
                    <w:autoSpaceDN w:val="0"/>
                    <w:adjustRightInd w:val="0"/>
                    <w:snapToGrid w:val="0"/>
                    <w:jc w:val="left"/>
                    <w:rPr>
                      <w:color w:val="auto"/>
                      <w:kern w:val="0"/>
                      <w:szCs w:val="21"/>
                    </w:rPr>
                  </w:pPr>
                </w:p>
              </w:tc>
              <w:tc>
                <w:tcPr>
                  <w:tcW w:w="3544" w:type="dxa"/>
                  <w:vAlign w:val="center"/>
                </w:tcPr>
                <w:p w14:paraId="4DBDA96E">
                  <w:pPr>
                    <w:autoSpaceDE w:val="0"/>
                    <w:autoSpaceDN w:val="0"/>
                    <w:adjustRightInd w:val="0"/>
                    <w:snapToGrid w:val="0"/>
                    <w:jc w:val="left"/>
                    <w:rPr>
                      <w:color w:val="auto"/>
                      <w:kern w:val="0"/>
                      <w:szCs w:val="21"/>
                    </w:rPr>
                  </w:pPr>
                  <w:r>
                    <w:rPr>
                      <w:color w:val="auto"/>
                      <w:kern w:val="0"/>
                      <w:szCs w:val="21"/>
                    </w:rPr>
                    <w:t>2.</w:t>
                  </w:r>
                  <w:r>
                    <w:rPr>
                      <w:rFonts w:hint="eastAsia"/>
                      <w:color w:val="auto"/>
                      <w:kern w:val="0"/>
                      <w:szCs w:val="21"/>
                    </w:rPr>
                    <w:t>向城镇污水集中处理设施排放水污染物，应当符合国家或者地方规定的水污染物排放标准。 </w:t>
                  </w:r>
                </w:p>
              </w:tc>
              <w:tc>
                <w:tcPr>
                  <w:tcW w:w="2803" w:type="dxa"/>
                  <w:vAlign w:val="center"/>
                </w:tcPr>
                <w:p w14:paraId="0019D2DB">
                  <w:pPr>
                    <w:autoSpaceDE w:val="0"/>
                    <w:autoSpaceDN w:val="0"/>
                    <w:adjustRightInd w:val="0"/>
                    <w:snapToGrid w:val="0"/>
                    <w:jc w:val="center"/>
                    <w:rPr>
                      <w:color w:val="auto"/>
                      <w:kern w:val="0"/>
                      <w:szCs w:val="21"/>
                    </w:rPr>
                  </w:pPr>
                  <w:r>
                    <w:rPr>
                      <w:rFonts w:hint="eastAsia"/>
                      <w:color w:val="auto"/>
                      <w:kern w:val="0"/>
                      <w:szCs w:val="21"/>
                    </w:rPr>
                    <w:t>项目生产废水循环使用不外排，项目生活污水经化粪池预处理后，由罐车运至纳古镇污水处理站处理</w:t>
                  </w:r>
                  <w:r>
                    <w:rPr>
                      <w:rFonts w:hint="eastAsia"/>
                      <w:color w:val="auto"/>
                      <w:szCs w:val="21"/>
                    </w:rPr>
                    <w:t>。</w:t>
                  </w:r>
                </w:p>
              </w:tc>
              <w:tc>
                <w:tcPr>
                  <w:tcW w:w="1209" w:type="dxa"/>
                  <w:vAlign w:val="center"/>
                </w:tcPr>
                <w:p w14:paraId="79BAD2A1">
                  <w:pPr>
                    <w:autoSpaceDE w:val="0"/>
                    <w:autoSpaceDN w:val="0"/>
                    <w:adjustRightInd w:val="0"/>
                    <w:snapToGrid w:val="0"/>
                    <w:jc w:val="center"/>
                    <w:rPr>
                      <w:color w:val="auto"/>
                      <w:kern w:val="0"/>
                      <w:szCs w:val="21"/>
                    </w:rPr>
                  </w:pPr>
                  <w:r>
                    <w:rPr>
                      <w:rFonts w:hint="eastAsia"/>
                      <w:color w:val="auto"/>
                      <w:szCs w:val="21"/>
                    </w:rPr>
                    <w:t>符合</w:t>
                  </w:r>
                </w:p>
              </w:tc>
            </w:tr>
            <w:tr w14:paraId="6A746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continue"/>
                  <w:vAlign w:val="center"/>
                </w:tcPr>
                <w:p w14:paraId="2645A87B">
                  <w:pPr>
                    <w:autoSpaceDE w:val="0"/>
                    <w:autoSpaceDN w:val="0"/>
                    <w:adjustRightInd w:val="0"/>
                    <w:snapToGrid w:val="0"/>
                    <w:jc w:val="left"/>
                    <w:rPr>
                      <w:color w:val="auto"/>
                      <w:kern w:val="0"/>
                      <w:szCs w:val="21"/>
                    </w:rPr>
                  </w:pPr>
                </w:p>
              </w:tc>
              <w:tc>
                <w:tcPr>
                  <w:tcW w:w="3544" w:type="dxa"/>
                  <w:vAlign w:val="center"/>
                </w:tcPr>
                <w:p w14:paraId="595D40B6">
                  <w:pPr>
                    <w:autoSpaceDE w:val="0"/>
                    <w:autoSpaceDN w:val="0"/>
                    <w:adjustRightInd w:val="0"/>
                    <w:snapToGrid w:val="0"/>
                    <w:jc w:val="left"/>
                    <w:rPr>
                      <w:color w:val="auto"/>
                      <w:kern w:val="0"/>
                      <w:szCs w:val="21"/>
                    </w:rPr>
                  </w:pPr>
                  <w:r>
                    <w:rPr>
                      <w:color w:val="auto"/>
                      <w:kern w:val="0"/>
                      <w:szCs w:val="21"/>
                    </w:rPr>
                    <w:t>3.</w:t>
                  </w:r>
                  <w:r>
                    <w:rPr>
                      <w:rFonts w:hint="eastAsia"/>
                      <w:color w:val="auto"/>
                      <w:kern w:val="0"/>
                      <w:szCs w:val="21"/>
                    </w:rPr>
                    <w:t>加强城镇生活污水收集处理设施建设和提标改造，城镇驻地逐步实现雨污分流。  </w:t>
                  </w:r>
                </w:p>
              </w:tc>
              <w:tc>
                <w:tcPr>
                  <w:tcW w:w="2803" w:type="dxa"/>
                  <w:vAlign w:val="center"/>
                </w:tcPr>
                <w:p w14:paraId="698871A3">
                  <w:pPr>
                    <w:autoSpaceDE w:val="0"/>
                    <w:autoSpaceDN w:val="0"/>
                    <w:adjustRightInd w:val="0"/>
                    <w:snapToGrid w:val="0"/>
                    <w:jc w:val="center"/>
                    <w:rPr>
                      <w:color w:val="auto"/>
                      <w:kern w:val="0"/>
                      <w:szCs w:val="21"/>
                    </w:rPr>
                  </w:pPr>
                  <w:r>
                    <w:rPr>
                      <w:rFonts w:hint="eastAsia"/>
                      <w:color w:val="auto"/>
                      <w:szCs w:val="21"/>
                    </w:rPr>
                    <w:t>本</w:t>
                  </w:r>
                  <w:r>
                    <w:rPr>
                      <w:color w:val="auto"/>
                      <w:szCs w:val="21"/>
                    </w:rPr>
                    <w:t>项目不涉及</w:t>
                  </w:r>
                  <w:r>
                    <w:rPr>
                      <w:rFonts w:hint="eastAsia"/>
                      <w:color w:val="auto"/>
                      <w:szCs w:val="21"/>
                    </w:rPr>
                    <w:t>。</w:t>
                  </w:r>
                </w:p>
              </w:tc>
              <w:tc>
                <w:tcPr>
                  <w:tcW w:w="1209" w:type="dxa"/>
                  <w:vAlign w:val="center"/>
                </w:tcPr>
                <w:p w14:paraId="327C6D28">
                  <w:pPr>
                    <w:autoSpaceDE w:val="0"/>
                    <w:autoSpaceDN w:val="0"/>
                    <w:adjustRightInd w:val="0"/>
                    <w:snapToGrid w:val="0"/>
                    <w:jc w:val="center"/>
                    <w:rPr>
                      <w:color w:val="auto"/>
                      <w:kern w:val="0"/>
                      <w:szCs w:val="21"/>
                    </w:rPr>
                  </w:pPr>
                  <w:r>
                    <w:rPr>
                      <w:color w:val="auto"/>
                      <w:szCs w:val="21"/>
                    </w:rPr>
                    <w:t>/</w:t>
                  </w:r>
                </w:p>
              </w:tc>
            </w:tr>
            <w:tr w14:paraId="01B01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Merge w:val="continue"/>
                  <w:vAlign w:val="center"/>
                </w:tcPr>
                <w:p w14:paraId="0E17733E">
                  <w:pPr>
                    <w:autoSpaceDE w:val="0"/>
                    <w:autoSpaceDN w:val="0"/>
                    <w:adjustRightInd w:val="0"/>
                    <w:snapToGrid w:val="0"/>
                    <w:jc w:val="left"/>
                    <w:rPr>
                      <w:color w:val="auto"/>
                      <w:kern w:val="0"/>
                      <w:szCs w:val="21"/>
                    </w:rPr>
                  </w:pPr>
                </w:p>
              </w:tc>
              <w:tc>
                <w:tcPr>
                  <w:tcW w:w="3544" w:type="dxa"/>
                  <w:vAlign w:val="center"/>
                </w:tcPr>
                <w:p w14:paraId="34ACC3CD">
                  <w:pPr>
                    <w:autoSpaceDE w:val="0"/>
                    <w:autoSpaceDN w:val="0"/>
                    <w:adjustRightInd w:val="0"/>
                    <w:snapToGrid w:val="0"/>
                    <w:jc w:val="left"/>
                    <w:rPr>
                      <w:color w:val="auto"/>
                      <w:kern w:val="0"/>
                      <w:szCs w:val="21"/>
                    </w:rPr>
                  </w:pPr>
                  <w:r>
                    <w:rPr>
                      <w:color w:val="auto"/>
                      <w:kern w:val="0"/>
                      <w:szCs w:val="21"/>
                    </w:rPr>
                    <w:t>4.</w:t>
                  </w:r>
                  <w:r>
                    <w:rPr>
                      <w:rFonts w:hint="eastAsia"/>
                      <w:color w:val="auto"/>
                      <w:kern w:val="0"/>
                      <w:szCs w:val="21"/>
                    </w:rPr>
                    <w:t>大力推进生活垃圾分类回收利用，建立分类投放、收集、运输、处理的生活垃圾收运处理系统。</w:t>
                  </w:r>
                </w:p>
              </w:tc>
              <w:tc>
                <w:tcPr>
                  <w:tcW w:w="2803" w:type="dxa"/>
                  <w:vAlign w:val="center"/>
                </w:tcPr>
                <w:p w14:paraId="62E064BD">
                  <w:pPr>
                    <w:autoSpaceDE w:val="0"/>
                    <w:autoSpaceDN w:val="0"/>
                    <w:adjustRightInd w:val="0"/>
                    <w:snapToGrid w:val="0"/>
                    <w:jc w:val="center"/>
                    <w:rPr>
                      <w:color w:val="auto"/>
                      <w:kern w:val="0"/>
                      <w:szCs w:val="21"/>
                    </w:rPr>
                  </w:pPr>
                  <w:r>
                    <w:rPr>
                      <w:rFonts w:hint="eastAsia"/>
                      <w:color w:val="auto"/>
                      <w:szCs w:val="21"/>
                    </w:rPr>
                    <w:t>本</w:t>
                  </w:r>
                  <w:r>
                    <w:rPr>
                      <w:color w:val="auto"/>
                      <w:szCs w:val="21"/>
                    </w:rPr>
                    <w:t>项目不涉及</w:t>
                  </w:r>
                  <w:r>
                    <w:rPr>
                      <w:rFonts w:hint="eastAsia"/>
                      <w:color w:val="auto"/>
                      <w:szCs w:val="21"/>
                    </w:rPr>
                    <w:t>。</w:t>
                  </w:r>
                </w:p>
              </w:tc>
              <w:tc>
                <w:tcPr>
                  <w:tcW w:w="1209" w:type="dxa"/>
                  <w:vAlign w:val="center"/>
                </w:tcPr>
                <w:p w14:paraId="55859B9F">
                  <w:pPr>
                    <w:autoSpaceDE w:val="0"/>
                    <w:autoSpaceDN w:val="0"/>
                    <w:adjustRightInd w:val="0"/>
                    <w:snapToGrid w:val="0"/>
                    <w:jc w:val="center"/>
                    <w:rPr>
                      <w:color w:val="auto"/>
                      <w:kern w:val="0"/>
                      <w:szCs w:val="21"/>
                    </w:rPr>
                  </w:pPr>
                  <w:r>
                    <w:rPr>
                      <w:color w:val="auto"/>
                      <w:szCs w:val="21"/>
                    </w:rPr>
                    <w:t>/</w:t>
                  </w:r>
                </w:p>
              </w:tc>
            </w:tr>
            <w:tr w14:paraId="79C38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1" w:type="dxa"/>
                  <w:gridSpan w:val="4"/>
                  <w:vAlign w:val="center"/>
                </w:tcPr>
                <w:p w14:paraId="332A531E">
                  <w:pPr>
                    <w:autoSpaceDE w:val="0"/>
                    <w:autoSpaceDN w:val="0"/>
                    <w:adjustRightInd w:val="0"/>
                    <w:snapToGrid w:val="0"/>
                    <w:jc w:val="center"/>
                    <w:rPr>
                      <w:color w:val="auto"/>
                      <w:kern w:val="0"/>
                      <w:szCs w:val="21"/>
                    </w:rPr>
                  </w:pPr>
                  <w:r>
                    <w:rPr>
                      <w:rFonts w:hint="eastAsia"/>
                      <w:color w:val="auto"/>
                      <w:szCs w:val="21"/>
                    </w:rPr>
                    <w:t>3</w:t>
                  </w:r>
                  <w:r>
                    <w:rPr>
                      <w:color w:val="auto"/>
                      <w:szCs w:val="21"/>
                    </w:rPr>
                    <w:t>、</w:t>
                  </w:r>
                  <w:r>
                    <w:rPr>
                      <w:rFonts w:hint="eastAsia"/>
                      <w:color w:val="auto"/>
                      <w:szCs w:val="21"/>
                    </w:rPr>
                    <w:t>通海县</w:t>
                  </w:r>
                  <w:r>
                    <w:rPr>
                      <w:color w:val="auto"/>
                      <w:szCs w:val="21"/>
                    </w:rPr>
                    <w:t>生态环境准入清单（</w:t>
                  </w:r>
                  <w:r>
                    <w:rPr>
                      <w:color w:val="auto"/>
                      <w:kern w:val="0"/>
                      <w:szCs w:val="21"/>
                    </w:rPr>
                    <w:t>通海县农业农村面源污染重点管控单元</w:t>
                  </w:r>
                  <w:r>
                    <w:rPr>
                      <w:color w:val="auto"/>
                      <w:szCs w:val="21"/>
                    </w:rPr>
                    <w:t>）</w:t>
                  </w:r>
                </w:p>
              </w:tc>
            </w:tr>
            <w:tr w14:paraId="2FC95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Align w:val="center"/>
                </w:tcPr>
                <w:p w14:paraId="5D21FAA8">
                  <w:pPr>
                    <w:autoSpaceDE w:val="0"/>
                    <w:autoSpaceDN w:val="0"/>
                    <w:adjustRightInd w:val="0"/>
                    <w:snapToGrid w:val="0"/>
                    <w:jc w:val="left"/>
                    <w:rPr>
                      <w:color w:val="auto"/>
                      <w:szCs w:val="21"/>
                    </w:rPr>
                  </w:pPr>
                  <w:r>
                    <w:rPr>
                      <w:rFonts w:hint="eastAsia"/>
                      <w:color w:val="auto"/>
                      <w:kern w:val="0"/>
                      <w:szCs w:val="21"/>
                    </w:rPr>
                    <w:t>管控领域</w:t>
                  </w:r>
                </w:p>
              </w:tc>
              <w:tc>
                <w:tcPr>
                  <w:tcW w:w="3544" w:type="dxa"/>
                  <w:vAlign w:val="center"/>
                </w:tcPr>
                <w:p w14:paraId="7B99EA8D">
                  <w:pPr>
                    <w:autoSpaceDE w:val="0"/>
                    <w:autoSpaceDN w:val="0"/>
                    <w:adjustRightInd w:val="0"/>
                    <w:snapToGrid w:val="0"/>
                    <w:jc w:val="center"/>
                    <w:rPr>
                      <w:color w:val="auto"/>
                      <w:kern w:val="0"/>
                      <w:szCs w:val="21"/>
                    </w:rPr>
                  </w:pPr>
                  <w:r>
                    <w:rPr>
                      <w:rFonts w:hint="eastAsia"/>
                      <w:color w:val="auto"/>
                      <w:kern w:val="0"/>
                      <w:szCs w:val="21"/>
                    </w:rPr>
                    <w:t>管控要求</w:t>
                  </w:r>
                </w:p>
              </w:tc>
              <w:tc>
                <w:tcPr>
                  <w:tcW w:w="2803" w:type="dxa"/>
                  <w:vAlign w:val="center"/>
                </w:tcPr>
                <w:p w14:paraId="5AC81629">
                  <w:pPr>
                    <w:autoSpaceDE w:val="0"/>
                    <w:autoSpaceDN w:val="0"/>
                    <w:adjustRightInd w:val="0"/>
                    <w:snapToGrid w:val="0"/>
                    <w:jc w:val="center"/>
                    <w:rPr>
                      <w:color w:val="auto"/>
                      <w:szCs w:val="21"/>
                    </w:rPr>
                  </w:pPr>
                  <w:r>
                    <w:rPr>
                      <w:color w:val="auto"/>
                      <w:kern w:val="0"/>
                      <w:szCs w:val="21"/>
                    </w:rPr>
                    <w:t>项目情况</w:t>
                  </w:r>
                </w:p>
              </w:tc>
              <w:tc>
                <w:tcPr>
                  <w:tcW w:w="1209" w:type="dxa"/>
                  <w:vAlign w:val="center"/>
                </w:tcPr>
                <w:p w14:paraId="4907154F">
                  <w:pPr>
                    <w:autoSpaceDE w:val="0"/>
                    <w:autoSpaceDN w:val="0"/>
                    <w:adjustRightInd w:val="0"/>
                    <w:snapToGrid w:val="0"/>
                    <w:jc w:val="center"/>
                    <w:rPr>
                      <w:color w:val="auto"/>
                      <w:szCs w:val="21"/>
                    </w:rPr>
                  </w:pPr>
                  <w:r>
                    <w:rPr>
                      <w:color w:val="auto"/>
                      <w:kern w:val="0"/>
                      <w:szCs w:val="21"/>
                    </w:rPr>
                    <w:t>符合情况</w:t>
                  </w:r>
                </w:p>
              </w:tc>
            </w:tr>
            <w:tr w14:paraId="4B1CA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Align w:val="center"/>
                </w:tcPr>
                <w:p w14:paraId="5B63749F">
                  <w:pPr>
                    <w:autoSpaceDE w:val="0"/>
                    <w:autoSpaceDN w:val="0"/>
                    <w:adjustRightInd w:val="0"/>
                    <w:snapToGrid w:val="0"/>
                    <w:jc w:val="left"/>
                    <w:rPr>
                      <w:color w:val="auto"/>
                      <w:kern w:val="0"/>
                      <w:szCs w:val="21"/>
                    </w:rPr>
                  </w:pPr>
                  <w:r>
                    <w:rPr>
                      <w:color w:val="auto"/>
                      <w:szCs w:val="21"/>
                    </w:rPr>
                    <w:t>空间布局约束</w:t>
                  </w:r>
                </w:p>
              </w:tc>
              <w:tc>
                <w:tcPr>
                  <w:tcW w:w="3544" w:type="dxa"/>
                  <w:vAlign w:val="center"/>
                </w:tcPr>
                <w:p w14:paraId="48C5DB20">
                  <w:pPr>
                    <w:autoSpaceDE w:val="0"/>
                    <w:autoSpaceDN w:val="0"/>
                    <w:adjustRightInd w:val="0"/>
                    <w:snapToGrid w:val="0"/>
                    <w:jc w:val="left"/>
                    <w:rPr>
                      <w:color w:val="auto"/>
                      <w:kern w:val="0"/>
                      <w:szCs w:val="21"/>
                    </w:rPr>
                  </w:pPr>
                  <w:r>
                    <w:rPr>
                      <w:color w:val="auto"/>
                      <w:kern w:val="0"/>
                      <w:szCs w:val="21"/>
                    </w:rPr>
                    <w:t>1.杞麓湖流域内开发建设活动必须严格遵守《云南省杞麓湖保护条例》要求。</w:t>
                  </w:r>
                </w:p>
                <w:p w14:paraId="707C661E">
                  <w:pPr>
                    <w:autoSpaceDE w:val="0"/>
                    <w:autoSpaceDN w:val="0"/>
                    <w:adjustRightInd w:val="0"/>
                    <w:snapToGrid w:val="0"/>
                    <w:jc w:val="left"/>
                    <w:rPr>
                      <w:color w:val="auto"/>
                      <w:kern w:val="0"/>
                      <w:szCs w:val="21"/>
                    </w:rPr>
                  </w:pPr>
                  <w:r>
                    <w:rPr>
                      <w:color w:val="auto"/>
                      <w:kern w:val="0"/>
                      <w:szCs w:val="21"/>
                    </w:rPr>
                    <w:t>2.严禁以任何形式围垦河湖、违法占用河湖水域，严格实施杞麓湖“四退三还”。</w:t>
                  </w:r>
                </w:p>
                <w:p w14:paraId="42C66B5D">
                  <w:pPr>
                    <w:autoSpaceDE w:val="0"/>
                    <w:autoSpaceDN w:val="0"/>
                    <w:adjustRightInd w:val="0"/>
                    <w:snapToGrid w:val="0"/>
                    <w:jc w:val="left"/>
                    <w:rPr>
                      <w:color w:val="auto"/>
                      <w:kern w:val="0"/>
                      <w:szCs w:val="21"/>
                    </w:rPr>
                  </w:pPr>
                  <w:r>
                    <w:rPr>
                      <w:color w:val="auto"/>
                      <w:kern w:val="0"/>
                      <w:szCs w:val="21"/>
                    </w:rPr>
                    <w:t>3.严格执行杞麓湖流域内畜禽养殖禁养限养规定。</w:t>
                  </w:r>
                </w:p>
                <w:p w14:paraId="117DCDC8">
                  <w:pPr>
                    <w:autoSpaceDE w:val="0"/>
                    <w:autoSpaceDN w:val="0"/>
                    <w:adjustRightInd w:val="0"/>
                    <w:snapToGrid w:val="0"/>
                    <w:jc w:val="left"/>
                    <w:rPr>
                      <w:color w:val="auto"/>
                      <w:kern w:val="0"/>
                      <w:szCs w:val="21"/>
                    </w:rPr>
                  </w:pPr>
                  <w:r>
                    <w:rPr>
                      <w:color w:val="auto"/>
                      <w:kern w:val="0"/>
                      <w:szCs w:val="21"/>
                    </w:rPr>
                    <w:t>4.调整种植结构，推进水旱轮作，压缩蔬菜种植面积。</w:t>
                  </w:r>
                </w:p>
              </w:tc>
              <w:tc>
                <w:tcPr>
                  <w:tcW w:w="2803" w:type="dxa"/>
                  <w:vAlign w:val="center"/>
                </w:tcPr>
                <w:p w14:paraId="234CF269">
                  <w:pPr>
                    <w:autoSpaceDE w:val="0"/>
                    <w:autoSpaceDN w:val="0"/>
                    <w:adjustRightInd w:val="0"/>
                    <w:snapToGrid w:val="0"/>
                    <w:jc w:val="center"/>
                    <w:rPr>
                      <w:color w:val="auto"/>
                      <w:szCs w:val="21"/>
                    </w:rPr>
                  </w:pPr>
                  <w:r>
                    <w:rPr>
                      <w:rFonts w:hint="eastAsia"/>
                      <w:color w:val="auto"/>
                      <w:szCs w:val="21"/>
                    </w:rPr>
                    <w:t>1.项目建设不违背《云南省杞麓湖保护条例》规定的要求。</w:t>
                  </w:r>
                </w:p>
                <w:p w14:paraId="224C3937">
                  <w:pPr>
                    <w:autoSpaceDE w:val="0"/>
                    <w:autoSpaceDN w:val="0"/>
                    <w:adjustRightInd w:val="0"/>
                    <w:snapToGrid w:val="0"/>
                    <w:jc w:val="center"/>
                    <w:rPr>
                      <w:color w:val="auto"/>
                      <w:kern w:val="0"/>
                      <w:szCs w:val="21"/>
                    </w:rPr>
                  </w:pPr>
                  <w:r>
                    <w:rPr>
                      <w:rFonts w:hint="eastAsia"/>
                      <w:color w:val="auto"/>
                      <w:szCs w:val="21"/>
                    </w:rPr>
                    <w:t>2.3.4.本</w:t>
                  </w:r>
                  <w:r>
                    <w:rPr>
                      <w:color w:val="auto"/>
                      <w:szCs w:val="21"/>
                    </w:rPr>
                    <w:t>项目不涉及</w:t>
                  </w:r>
                  <w:r>
                    <w:rPr>
                      <w:rFonts w:hint="eastAsia"/>
                      <w:color w:val="auto"/>
                      <w:szCs w:val="21"/>
                    </w:rPr>
                    <w:t>。</w:t>
                  </w:r>
                </w:p>
              </w:tc>
              <w:tc>
                <w:tcPr>
                  <w:tcW w:w="1209" w:type="dxa"/>
                  <w:vAlign w:val="center"/>
                </w:tcPr>
                <w:p w14:paraId="613BB85D">
                  <w:pPr>
                    <w:autoSpaceDE w:val="0"/>
                    <w:autoSpaceDN w:val="0"/>
                    <w:adjustRightInd w:val="0"/>
                    <w:snapToGrid w:val="0"/>
                    <w:jc w:val="center"/>
                    <w:rPr>
                      <w:color w:val="auto"/>
                      <w:kern w:val="0"/>
                      <w:szCs w:val="21"/>
                    </w:rPr>
                  </w:pPr>
                  <w:r>
                    <w:rPr>
                      <w:color w:val="auto"/>
                      <w:szCs w:val="21"/>
                    </w:rPr>
                    <w:t>/</w:t>
                  </w:r>
                </w:p>
              </w:tc>
            </w:tr>
            <w:tr w14:paraId="4E41E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Align w:val="center"/>
                </w:tcPr>
                <w:p w14:paraId="475560A0">
                  <w:pPr>
                    <w:autoSpaceDE w:val="0"/>
                    <w:autoSpaceDN w:val="0"/>
                    <w:adjustRightInd w:val="0"/>
                    <w:snapToGrid w:val="0"/>
                    <w:jc w:val="left"/>
                    <w:rPr>
                      <w:color w:val="auto"/>
                      <w:kern w:val="0"/>
                      <w:szCs w:val="21"/>
                    </w:rPr>
                  </w:pPr>
                  <w:r>
                    <w:rPr>
                      <w:rFonts w:hint="eastAsia"/>
                      <w:color w:val="auto"/>
                      <w:kern w:val="0"/>
                      <w:szCs w:val="21"/>
                    </w:rPr>
                    <w:t>污染物排放管控</w:t>
                  </w:r>
                </w:p>
              </w:tc>
              <w:tc>
                <w:tcPr>
                  <w:tcW w:w="3544" w:type="dxa"/>
                  <w:vAlign w:val="center"/>
                </w:tcPr>
                <w:p w14:paraId="71CFA82B">
                  <w:pPr>
                    <w:autoSpaceDE w:val="0"/>
                    <w:autoSpaceDN w:val="0"/>
                    <w:adjustRightInd w:val="0"/>
                    <w:snapToGrid w:val="0"/>
                    <w:jc w:val="left"/>
                    <w:rPr>
                      <w:color w:val="auto"/>
                      <w:kern w:val="0"/>
                      <w:szCs w:val="21"/>
                    </w:rPr>
                  </w:pPr>
                  <w:r>
                    <w:rPr>
                      <w:color w:val="auto"/>
                      <w:kern w:val="0"/>
                      <w:szCs w:val="21"/>
                    </w:rPr>
                    <w:t>1.在杞麓湖实施退地减水，从源头控制农业面源入湖污染负荷。</w:t>
                  </w:r>
                </w:p>
                <w:p w14:paraId="41D43F3D">
                  <w:pPr>
                    <w:autoSpaceDE w:val="0"/>
                    <w:autoSpaceDN w:val="0"/>
                    <w:adjustRightInd w:val="0"/>
                    <w:snapToGrid w:val="0"/>
                    <w:jc w:val="left"/>
                    <w:rPr>
                      <w:color w:val="auto"/>
                      <w:kern w:val="0"/>
                      <w:szCs w:val="21"/>
                    </w:rPr>
                  </w:pPr>
                  <w:r>
                    <w:rPr>
                      <w:color w:val="auto"/>
                      <w:kern w:val="0"/>
                      <w:szCs w:val="21"/>
                    </w:rPr>
                    <w:t>2.加强农村人居环境整治，垃圾及生活污水治理水平稳步提升，完成非正规垃圾堆放点整治，到2025年，农村生活污水治理率达95.71%。</w:t>
                  </w:r>
                </w:p>
                <w:p w14:paraId="67D60057">
                  <w:pPr>
                    <w:autoSpaceDE w:val="0"/>
                    <w:autoSpaceDN w:val="0"/>
                    <w:adjustRightInd w:val="0"/>
                    <w:snapToGrid w:val="0"/>
                    <w:jc w:val="left"/>
                    <w:rPr>
                      <w:color w:val="auto"/>
                      <w:kern w:val="0"/>
                      <w:szCs w:val="21"/>
                    </w:rPr>
                  </w:pPr>
                  <w:r>
                    <w:rPr>
                      <w:color w:val="auto"/>
                      <w:kern w:val="0"/>
                      <w:szCs w:val="21"/>
                    </w:rPr>
                    <w:t>3.严禁未经处理或处理后未达标的农田尾水、养殖废水直接排入河道。严格执行禁养区制度，合理确定限养区内养殖总量。完善粪污资源化利用设施设备建设，实现粪污无害化处理，至2025年，畜禽粪便资源化利用率达到90%及以上。</w:t>
                  </w:r>
                </w:p>
                <w:p w14:paraId="3168B5B0">
                  <w:pPr>
                    <w:autoSpaceDE w:val="0"/>
                    <w:autoSpaceDN w:val="0"/>
                    <w:adjustRightInd w:val="0"/>
                    <w:snapToGrid w:val="0"/>
                    <w:jc w:val="left"/>
                    <w:rPr>
                      <w:color w:val="auto"/>
                      <w:kern w:val="0"/>
                      <w:szCs w:val="21"/>
                    </w:rPr>
                  </w:pPr>
                  <w:r>
                    <w:rPr>
                      <w:color w:val="auto"/>
                      <w:kern w:val="0"/>
                      <w:szCs w:val="21"/>
                    </w:rPr>
                    <w:t>4.不使用含磷洗涤用品，减少化肥农药施用量，主要农作物化肥农药使用量实现负增长，2025化肥施用量年比2020年减少10%以上。</w:t>
                  </w:r>
                </w:p>
              </w:tc>
              <w:tc>
                <w:tcPr>
                  <w:tcW w:w="2803" w:type="dxa"/>
                  <w:vAlign w:val="center"/>
                </w:tcPr>
                <w:p w14:paraId="190EF96E">
                  <w:pPr>
                    <w:autoSpaceDE w:val="0"/>
                    <w:autoSpaceDN w:val="0"/>
                    <w:adjustRightInd w:val="0"/>
                    <w:snapToGrid w:val="0"/>
                    <w:jc w:val="center"/>
                    <w:rPr>
                      <w:color w:val="auto"/>
                      <w:kern w:val="0"/>
                      <w:szCs w:val="21"/>
                    </w:rPr>
                  </w:pPr>
                  <w:r>
                    <w:rPr>
                      <w:rFonts w:hint="eastAsia"/>
                      <w:color w:val="auto"/>
                      <w:szCs w:val="21"/>
                    </w:rPr>
                    <w:t>1.2.3.4本</w:t>
                  </w:r>
                  <w:r>
                    <w:rPr>
                      <w:color w:val="auto"/>
                      <w:szCs w:val="21"/>
                    </w:rPr>
                    <w:t>项目不涉及</w:t>
                  </w:r>
                  <w:r>
                    <w:rPr>
                      <w:rFonts w:hint="eastAsia"/>
                      <w:color w:val="auto"/>
                      <w:szCs w:val="21"/>
                    </w:rPr>
                    <w:t>。</w:t>
                  </w:r>
                </w:p>
              </w:tc>
              <w:tc>
                <w:tcPr>
                  <w:tcW w:w="1209" w:type="dxa"/>
                  <w:vAlign w:val="center"/>
                </w:tcPr>
                <w:p w14:paraId="6E83B84A">
                  <w:pPr>
                    <w:autoSpaceDE w:val="0"/>
                    <w:autoSpaceDN w:val="0"/>
                    <w:adjustRightInd w:val="0"/>
                    <w:snapToGrid w:val="0"/>
                    <w:jc w:val="center"/>
                    <w:rPr>
                      <w:color w:val="auto"/>
                      <w:kern w:val="0"/>
                      <w:szCs w:val="21"/>
                    </w:rPr>
                  </w:pPr>
                  <w:r>
                    <w:rPr>
                      <w:color w:val="auto"/>
                      <w:szCs w:val="21"/>
                    </w:rPr>
                    <w:t>/</w:t>
                  </w:r>
                </w:p>
              </w:tc>
            </w:tr>
            <w:tr w14:paraId="6C135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Align w:val="center"/>
                </w:tcPr>
                <w:p w14:paraId="194FB6AD">
                  <w:pPr>
                    <w:autoSpaceDE w:val="0"/>
                    <w:autoSpaceDN w:val="0"/>
                    <w:adjustRightInd w:val="0"/>
                    <w:snapToGrid w:val="0"/>
                    <w:jc w:val="left"/>
                    <w:rPr>
                      <w:color w:val="auto"/>
                      <w:kern w:val="0"/>
                      <w:szCs w:val="21"/>
                    </w:rPr>
                  </w:pPr>
                  <w:r>
                    <w:rPr>
                      <w:color w:val="auto"/>
                      <w:kern w:val="0"/>
                      <w:szCs w:val="21"/>
                    </w:rPr>
                    <w:t>环境风险防控</w:t>
                  </w:r>
                </w:p>
              </w:tc>
              <w:tc>
                <w:tcPr>
                  <w:tcW w:w="3544" w:type="dxa"/>
                  <w:vAlign w:val="center"/>
                </w:tcPr>
                <w:p w14:paraId="040611F8">
                  <w:pPr>
                    <w:autoSpaceDE w:val="0"/>
                    <w:autoSpaceDN w:val="0"/>
                    <w:adjustRightInd w:val="0"/>
                    <w:snapToGrid w:val="0"/>
                    <w:jc w:val="left"/>
                    <w:rPr>
                      <w:color w:val="auto"/>
                      <w:kern w:val="0"/>
                      <w:szCs w:val="21"/>
                    </w:rPr>
                  </w:pPr>
                  <w:r>
                    <w:rPr>
                      <w:color w:val="auto"/>
                      <w:kern w:val="0"/>
                      <w:szCs w:val="21"/>
                    </w:rPr>
                    <w:t>1.建立杞麓湖蓝藻水华和底泥防控体系。</w:t>
                  </w:r>
                </w:p>
                <w:p w14:paraId="0C92375A">
                  <w:pPr>
                    <w:autoSpaceDE w:val="0"/>
                    <w:autoSpaceDN w:val="0"/>
                    <w:adjustRightInd w:val="0"/>
                    <w:snapToGrid w:val="0"/>
                    <w:jc w:val="left"/>
                    <w:rPr>
                      <w:color w:val="auto"/>
                      <w:kern w:val="0"/>
                      <w:szCs w:val="21"/>
                    </w:rPr>
                  </w:pPr>
                  <w:r>
                    <w:rPr>
                      <w:color w:val="auto"/>
                      <w:kern w:val="0"/>
                      <w:szCs w:val="21"/>
                    </w:rPr>
                    <w:t>2.禁止向农田灌溉渠道排放工业废水或者医疗污水。</w:t>
                  </w:r>
                </w:p>
                <w:p w14:paraId="1DF22C0A">
                  <w:pPr>
                    <w:autoSpaceDE w:val="0"/>
                    <w:autoSpaceDN w:val="0"/>
                    <w:adjustRightInd w:val="0"/>
                    <w:snapToGrid w:val="0"/>
                    <w:jc w:val="left"/>
                    <w:rPr>
                      <w:color w:val="auto"/>
                      <w:kern w:val="0"/>
                      <w:szCs w:val="21"/>
                    </w:rPr>
                  </w:pPr>
                  <w:r>
                    <w:rPr>
                      <w:color w:val="auto"/>
                      <w:kern w:val="0"/>
                      <w:szCs w:val="21"/>
                    </w:rPr>
                    <w:t>3.农田灌溉用水应当符合相应的水质标准，防止土壤、地下水和农产品污染。</w:t>
                  </w:r>
                </w:p>
                <w:p w14:paraId="44EE8506">
                  <w:pPr>
                    <w:autoSpaceDE w:val="0"/>
                    <w:autoSpaceDN w:val="0"/>
                    <w:adjustRightInd w:val="0"/>
                    <w:snapToGrid w:val="0"/>
                    <w:jc w:val="left"/>
                    <w:rPr>
                      <w:color w:val="auto"/>
                      <w:kern w:val="0"/>
                      <w:szCs w:val="21"/>
                    </w:rPr>
                  </w:pPr>
                  <w:r>
                    <w:rPr>
                      <w:color w:val="auto"/>
                      <w:kern w:val="0"/>
                      <w:szCs w:val="21"/>
                    </w:rPr>
                    <w:t>4.实施农作物秸秆资源化利用，严防因秸秆露天焚烧造成区域性重污染天气。</w:t>
                  </w:r>
                </w:p>
                <w:p w14:paraId="7605D86A">
                  <w:pPr>
                    <w:autoSpaceDE w:val="0"/>
                    <w:autoSpaceDN w:val="0"/>
                    <w:adjustRightInd w:val="0"/>
                    <w:snapToGrid w:val="0"/>
                    <w:jc w:val="left"/>
                    <w:rPr>
                      <w:color w:val="auto"/>
                      <w:kern w:val="0"/>
                      <w:szCs w:val="21"/>
                    </w:rPr>
                  </w:pPr>
                  <w:r>
                    <w:rPr>
                      <w:color w:val="auto"/>
                      <w:kern w:val="0"/>
                      <w:szCs w:val="21"/>
                    </w:rPr>
                    <w:t>5.禁止生产、销售、使用国家明令禁止的农业投入品，开展农用地土壤污染防治宣传和技术培训活动，扶持农业生产专业化服务，指导农业生产者合理使用农药、兽药、肥料、饲料、农用薄膜等农业投入品，控制农药、兽药、化肥等的使用量。</w:t>
                  </w:r>
                </w:p>
                <w:p w14:paraId="221FCEF6">
                  <w:pPr>
                    <w:autoSpaceDE w:val="0"/>
                    <w:autoSpaceDN w:val="0"/>
                    <w:adjustRightInd w:val="0"/>
                    <w:snapToGrid w:val="0"/>
                    <w:jc w:val="left"/>
                    <w:rPr>
                      <w:color w:val="auto"/>
                      <w:kern w:val="0"/>
                      <w:szCs w:val="21"/>
                    </w:rPr>
                  </w:pPr>
                  <w:r>
                    <w:rPr>
                      <w:color w:val="auto"/>
                      <w:kern w:val="0"/>
                      <w:szCs w:val="21"/>
                    </w:rPr>
                    <w:t>6.增强废弃菜叶应急处置能力，防止废弃菜叶资源化工程二次污染。</w:t>
                  </w:r>
                </w:p>
              </w:tc>
              <w:tc>
                <w:tcPr>
                  <w:tcW w:w="2803" w:type="dxa"/>
                  <w:vAlign w:val="center"/>
                </w:tcPr>
                <w:p w14:paraId="3C840A7A">
                  <w:pPr>
                    <w:autoSpaceDE w:val="0"/>
                    <w:autoSpaceDN w:val="0"/>
                    <w:adjustRightInd w:val="0"/>
                    <w:snapToGrid w:val="0"/>
                    <w:jc w:val="center"/>
                    <w:rPr>
                      <w:color w:val="auto"/>
                      <w:szCs w:val="21"/>
                    </w:rPr>
                  </w:pPr>
                  <w:r>
                    <w:rPr>
                      <w:rFonts w:hint="eastAsia"/>
                      <w:color w:val="auto"/>
                      <w:szCs w:val="21"/>
                    </w:rPr>
                    <w:t>2.本项目生产废水循环使用不外排；项目生活污水经化粪池预处理后，由罐车运至纳古镇污水处理站处理。</w:t>
                  </w:r>
                </w:p>
                <w:p w14:paraId="39536B1D">
                  <w:pPr>
                    <w:autoSpaceDE w:val="0"/>
                    <w:autoSpaceDN w:val="0"/>
                    <w:adjustRightInd w:val="0"/>
                    <w:snapToGrid w:val="0"/>
                    <w:jc w:val="center"/>
                    <w:rPr>
                      <w:color w:val="auto"/>
                      <w:szCs w:val="21"/>
                    </w:rPr>
                  </w:pPr>
                  <w:r>
                    <w:rPr>
                      <w:rFonts w:hint="eastAsia"/>
                      <w:color w:val="auto"/>
                      <w:szCs w:val="21"/>
                    </w:rPr>
                    <w:t>1.3.4.5.6本项目不涉及。</w:t>
                  </w:r>
                </w:p>
              </w:tc>
              <w:tc>
                <w:tcPr>
                  <w:tcW w:w="1209" w:type="dxa"/>
                  <w:vAlign w:val="center"/>
                </w:tcPr>
                <w:p w14:paraId="504116C5">
                  <w:pPr>
                    <w:autoSpaceDE w:val="0"/>
                    <w:autoSpaceDN w:val="0"/>
                    <w:adjustRightInd w:val="0"/>
                    <w:snapToGrid w:val="0"/>
                    <w:jc w:val="center"/>
                    <w:rPr>
                      <w:color w:val="auto"/>
                      <w:szCs w:val="21"/>
                    </w:rPr>
                  </w:pPr>
                  <w:r>
                    <w:rPr>
                      <w:rFonts w:hint="eastAsia"/>
                      <w:color w:val="auto"/>
                      <w:szCs w:val="21"/>
                    </w:rPr>
                    <w:t>/</w:t>
                  </w:r>
                </w:p>
              </w:tc>
            </w:tr>
            <w:tr w14:paraId="0FE87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Align w:val="center"/>
                </w:tcPr>
                <w:p w14:paraId="4041F646">
                  <w:pPr>
                    <w:autoSpaceDE w:val="0"/>
                    <w:autoSpaceDN w:val="0"/>
                    <w:adjustRightInd w:val="0"/>
                    <w:snapToGrid w:val="0"/>
                    <w:jc w:val="left"/>
                    <w:rPr>
                      <w:color w:val="auto"/>
                      <w:kern w:val="0"/>
                      <w:szCs w:val="21"/>
                    </w:rPr>
                  </w:pPr>
                  <w:r>
                    <w:rPr>
                      <w:color w:val="auto"/>
                      <w:kern w:val="0"/>
                      <w:szCs w:val="21"/>
                    </w:rPr>
                    <w:t>资源开发效率要求</w:t>
                  </w:r>
                </w:p>
              </w:tc>
              <w:tc>
                <w:tcPr>
                  <w:tcW w:w="3544" w:type="dxa"/>
                  <w:vAlign w:val="center"/>
                </w:tcPr>
                <w:p w14:paraId="3D91C12F">
                  <w:pPr>
                    <w:autoSpaceDE w:val="0"/>
                    <w:autoSpaceDN w:val="0"/>
                    <w:adjustRightInd w:val="0"/>
                    <w:snapToGrid w:val="0"/>
                    <w:jc w:val="left"/>
                    <w:rPr>
                      <w:color w:val="auto"/>
                      <w:kern w:val="0"/>
                      <w:szCs w:val="21"/>
                    </w:rPr>
                  </w:pPr>
                  <w:r>
                    <w:rPr>
                      <w:color w:val="auto"/>
                      <w:kern w:val="0"/>
                      <w:szCs w:val="21"/>
                    </w:rPr>
                    <w:t>1.严控农业杞麓湖取水量，截留后的雨水经适度处理后通过水资源的循环利用于农田灌溉，农田灌溉水有效利用系数达到0.52以上。</w:t>
                  </w:r>
                  <w:r>
                    <w:rPr>
                      <w:color w:val="auto"/>
                      <w:kern w:val="0"/>
                      <w:szCs w:val="21"/>
                    </w:rPr>
                    <w:br w:type="textWrapping"/>
                  </w:r>
                  <w:r>
                    <w:rPr>
                      <w:color w:val="auto"/>
                      <w:kern w:val="0"/>
                      <w:szCs w:val="21"/>
                    </w:rPr>
                    <w:t>2.畜禽粪污综合利用率达到90%以上，畜禽规模养殖场粪污处理设施装备配套率达100%。</w:t>
                  </w:r>
                  <w:r>
                    <w:rPr>
                      <w:color w:val="auto"/>
                      <w:kern w:val="0"/>
                      <w:szCs w:val="21"/>
                    </w:rPr>
                    <w:br w:type="textWrapping"/>
                  </w:r>
                  <w:r>
                    <w:rPr>
                      <w:color w:val="auto"/>
                      <w:kern w:val="0"/>
                      <w:szCs w:val="21"/>
                    </w:rPr>
                    <w:t>3.利用沤肥池，加强废弃菜叶资源化利用。</w:t>
                  </w:r>
                </w:p>
              </w:tc>
              <w:tc>
                <w:tcPr>
                  <w:tcW w:w="2803" w:type="dxa"/>
                  <w:vAlign w:val="center"/>
                </w:tcPr>
                <w:p w14:paraId="1BACF52E">
                  <w:pPr>
                    <w:autoSpaceDE w:val="0"/>
                    <w:autoSpaceDN w:val="0"/>
                    <w:adjustRightInd w:val="0"/>
                    <w:snapToGrid w:val="0"/>
                    <w:jc w:val="center"/>
                    <w:rPr>
                      <w:color w:val="auto"/>
                      <w:szCs w:val="21"/>
                    </w:rPr>
                  </w:pPr>
                  <w:r>
                    <w:rPr>
                      <w:rFonts w:hint="eastAsia"/>
                      <w:color w:val="auto"/>
                      <w:szCs w:val="21"/>
                    </w:rPr>
                    <w:t>1.2.3本项目不涉及</w:t>
                  </w:r>
                </w:p>
              </w:tc>
              <w:tc>
                <w:tcPr>
                  <w:tcW w:w="1209" w:type="dxa"/>
                  <w:vAlign w:val="center"/>
                </w:tcPr>
                <w:p w14:paraId="554695AA">
                  <w:pPr>
                    <w:autoSpaceDE w:val="0"/>
                    <w:autoSpaceDN w:val="0"/>
                    <w:adjustRightInd w:val="0"/>
                    <w:snapToGrid w:val="0"/>
                    <w:jc w:val="center"/>
                    <w:rPr>
                      <w:color w:val="auto"/>
                      <w:szCs w:val="21"/>
                    </w:rPr>
                  </w:pPr>
                  <w:r>
                    <w:rPr>
                      <w:rFonts w:hint="eastAsia"/>
                      <w:color w:val="auto"/>
                      <w:szCs w:val="21"/>
                    </w:rPr>
                    <w:t>/</w:t>
                  </w:r>
                </w:p>
              </w:tc>
            </w:tr>
            <w:tr w14:paraId="7A1AF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1" w:type="dxa"/>
                  <w:gridSpan w:val="4"/>
                  <w:vAlign w:val="center"/>
                </w:tcPr>
                <w:p w14:paraId="03D41449">
                  <w:pPr>
                    <w:autoSpaceDE w:val="0"/>
                    <w:autoSpaceDN w:val="0"/>
                    <w:adjustRightInd w:val="0"/>
                    <w:snapToGrid w:val="0"/>
                    <w:jc w:val="center"/>
                    <w:rPr>
                      <w:color w:val="auto"/>
                      <w:kern w:val="0"/>
                      <w:szCs w:val="21"/>
                    </w:rPr>
                  </w:pPr>
                  <w:r>
                    <w:rPr>
                      <w:rFonts w:hint="eastAsia"/>
                      <w:color w:val="auto"/>
                      <w:szCs w:val="21"/>
                    </w:rPr>
                    <w:t>4</w:t>
                  </w:r>
                  <w:r>
                    <w:rPr>
                      <w:color w:val="auto"/>
                      <w:szCs w:val="21"/>
                    </w:rPr>
                    <w:t>、</w:t>
                  </w:r>
                  <w:r>
                    <w:rPr>
                      <w:rFonts w:hint="eastAsia"/>
                      <w:color w:val="auto"/>
                      <w:szCs w:val="21"/>
                    </w:rPr>
                    <w:t>通海县</w:t>
                  </w:r>
                  <w:r>
                    <w:rPr>
                      <w:color w:val="auto"/>
                      <w:szCs w:val="21"/>
                    </w:rPr>
                    <w:t>生态环境准入清单（</w:t>
                  </w:r>
                  <w:r>
                    <w:rPr>
                      <w:color w:val="auto"/>
                      <w:kern w:val="0"/>
                      <w:szCs w:val="21"/>
                    </w:rPr>
                    <w:t>通海县</w:t>
                  </w:r>
                  <w:r>
                    <w:rPr>
                      <w:rFonts w:hint="eastAsia"/>
                      <w:color w:val="auto"/>
                      <w:kern w:val="0"/>
                      <w:szCs w:val="21"/>
                    </w:rPr>
                    <w:t>一般管控</w:t>
                  </w:r>
                  <w:r>
                    <w:rPr>
                      <w:color w:val="auto"/>
                      <w:kern w:val="0"/>
                      <w:szCs w:val="21"/>
                    </w:rPr>
                    <w:t>单元</w:t>
                  </w:r>
                  <w:r>
                    <w:rPr>
                      <w:color w:val="auto"/>
                      <w:szCs w:val="21"/>
                    </w:rPr>
                    <w:t>）</w:t>
                  </w:r>
                </w:p>
              </w:tc>
            </w:tr>
            <w:tr w14:paraId="0CB85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Align w:val="center"/>
                </w:tcPr>
                <w:p w14:paraId="77AA17A1">
                  <w:pPr>
                    <w:autoSpaceDE w:val="0"/>
                    <w:autoSpaceDN w:val="0"/>
                    <w:adjustRightInd w:val="0"/>
                    <w:snapToGrid w:val="0"/>
                    <w:jc w:val="left"/>
                    <w:rPr>
                      <w:color w:val="auto"/>
                      <w:szCs w:val="21"/>
                    </w:rPr>
                  </w:pPr>
                  <w:r>
                    <w:rPr>
                      <w:rFonts w:hint="eastAsia"/>
                      <w:color w:val="auto"/>
                      <w:kern w:val="0"/>
                      <w:szCs w:val="21"/>
                    </w:rPr>
                    <w:t>管控领域</w:t>
                  </w:r>
                </w:p>
              </w:tc>
              <w:tc>
                <w:tcPr>
                  <w:tcW w:w="3544" w:type="dxa"/>
                  <w:vAlign w:val="center"/>
                </w:tcPr>
                <w:p w14:paraId="53597BB1">
                  <w:pPr>
                    <w:autoSpaceDE w:val="0"/>
                    <w:autoSpaceDN w:val="0"/>
                    <w:adjustRightInd w:val="0"/>
                    <w:snapToGrid w:val="0"/>
                    <w:jc w:val="center"/>
                    <w:rPr>
                      <w:color w:val="auto"/>
                      <w:kern w:val="0"/>
                      <w:szCs w:val="21"/>
                    </w:rPr>
                  </w:pPr>
                  <w:r>
                    <w:rPr>
                      <w:rFonts w:hint="eastAsia"/>
                      <w:color w:val="auto"/>
                      <w:kern w:val="0"/>
                      <w:szCs w:val="21"/>
                    </w:rPr>
                    <w:t>管控要求</w:t>
                  </w:r>
                </w:p>
              </w:tc>
              <w:tc>
                <w:tcPr>
                  <w:tcW w:w="2803" w:type="dxa"/>
                  <w:vAlign w:val="center"/>
                </w:tcPr>
                <w:p w14:paraId="2AEB070D">
                  <w:pPr>
                    <w:autoSpaceDE w:val="0"/>
                    <w:autoSpaceDN w:val="0"/>
                    <w:adjustRightInd w:val="0"/>
                    <w:snapToGrid w:val="0"/>
                    <w:jc w:val="center"/>
                    <w:rPr>
                      <w:color w:val="auto"/>
                      <w:szCs w:val="21"/>
                    </w:rPr>
                  </w:pPr>
                  <w:r>
                    <w:rPr>
                      <w:color w:val="auto"/>
                      <w:kern w:val="0"/>
                      <w:szCs w:val="21"/>
                    </w:rPr>
                    <w:t>项目情况</w:t>
                  </w:r>
                </w:p>
              </w:tc>
              <w:tc>
                <w:tcPr>
                  <w:tcW w:w="1209" w:type="dxa"/>
                  <w:vAlign w:val="center"/>
                </w:tcPr>
                <w:p w14:paraId="157A37B8">
                  <w:pPr>
                    <w:autoSpaceDE w:val="0"/>
                    <w:autoSpaceDN w:val="0"/>
                    <w:adjustRightInd w:val="0"/>
                    <w:snapToGrid w:val="0"/>
                    <w:jc w:val="center"/>
                    <w:rPr>
                      <w:color w:val="auto"/>
                      <w:szCs w:val="21"/>
                    </w:rPr>
                  </w:pPr>
                  <w:r>
                    <w:rPr>
                      <w:color w:val="auto"/>
                      <w:kern w:val="0"/>
                      <w:szCs w:val="21"/>
                    </w:rPr>
                    <w:t>符合情况</w:t>
                  </w:r>
                </w:p>
              </w:tc>
            </w:tr>
            <w:tr w14:paraId="26302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Align w:val="center"/>
                </w:tcPr>
                <w:p w14:paraId="1712D168">
                  <w:pPr>
                    <w:autoSpaceDE w:val="0"/>
                    <w:autoSpaceDN w:val="0"/>
                    <w:adjustRightInd w:val="0"/>
                    <w:snapToGrid w:val="0"/>
                    <w:jc w:val="left"/>
                    <w:rPr>
                      <w:color w:val="auto"/>
                      <w:kern w:val="0"/>
                      <w:szCs w:val="21"/>
                    </w:rPr>
                  </w:pPr>
                  <w:r>
                    <w:rPr>
                      <w:color w:val="auto"/>
                      <w:szCs w:val="21"/>
                    </w:rPr>
                    <w:t>空间布局约束</w:t>
                  </w:r>
                </w:p>
              </w:tc>
              <w:tc>
                <w:tcPr>
                  <w:tcW w:w="3544" w:type="dxa"/>
                  <w:vAlign w:val="center"/>
                </w:tcPr>
                <w:p w14:paraId="144793AB">
                  <w:pPr>
                    <w:autoSpaceDE w:val="0"/>
                    <w:autoSpaceDN w:val="0"/>
                    <w:adjustRightInd w:val="0"/>
                    <w:snapToGrid w:val="0"/>
                    <w:jc w:val="left"/>
                    <w:rPr>
                      <w:color w:val="auto"/>
                      <w:kern w:val="0"/>
                      <w:szCs w:val="21"/>
                    </w:rPr>
                  </w:pPr>
                  <w:r>
                    <w:rPr>
                      <w:color w:val="auto"/>
                      <w:kern w:val="0"/>
                      <w:szCs w:val="21"/>
                    </w:rPr>
                    <w:t>落实生态环境保护基本要求，项目建设和运行应满足产业准入、污染物削减、污染物排放标准等管理规定和国家法律法规要求。</w:t>
                  </w:r>
                </w:p>
              </w:tc>
              <w:tc>
                <w:tcPr>
                  <w:tcW w:w="2803" w:type="dxa"/>
                  <w:vMerge w:val="restart"/>
                  <w:vAlign w:val="center"/>
                </w:tcPr>
                <w:p w14:paraId="134B1CC5">
                  <w:pPr>
                    <w:autoSpaceDE w:val="0"/>
                    <w:autoSpaceDN w:val="0"/>
                    <w:adjustRightInd w:val="0"/>
                    <w:snapToGrid w:val="0"/>
                    <w:jc w:val="center"/>
                    <w:rPr>
                      <w:color w:val="auto"/>
                      <w:kern w:val="0"/>
                      <w:szCs w:val="21"/>
                    </w:rPr>
                  </w:pPr>
                  <w:r>
                    <w:rPr>
                      <w:rFonts w:hint="eastAsia"/>
                      <w:color w:val="auto"/>
                      <w:kern w:val="0"/>
                      <w:szCs w:val="21"/>
                    </w:rPr>
                    <w:t>1、本项目属于符合准入要求的项目。</w:t>
                  </w:r>
                </w:p>
                <w:p w14:paraId="3096AF14">
                  <w:pPr>
                    <w:autoSpaceDE w:val="0"/>
                    <w:autoSpaceDN w:val="0"/>
                    <w:adjustRightInd w:val="0"/>
                    <w:snapToGrid w:val="0"/>
                    <w:jc w:val="center"/>
                    <w:rPr>
                      <w:color w:val="auto"/>
                      <w:kern w:val="0"/>
                      <w:szCs w:val="21"/>
                    </w:rPr>
                  </w:pPr>
                  <w:r>
                    <w:rPr>
                      <w:rFonts w:hint="eastAsia"/>
                      <w:color w:val="auto"/>
                      <w:kern w:val="0"/>
                      <w:szCs w:val="21"/>
                    </w:rPr>
                    <w:t>2、项目车间高频焊接产生焊接烟尘，经各条生产线焊接工段配套的</w:t>
                  </w:r>
                  <w:r>
                    <w:rPr>
                      <w:color w:val="auto"/>
                      <w:kern w:val="0"/>
                      <w:szCs w:val="21"/>
                    </w:rPr>
                    <w:t>2</w:t>
                  </w:r>
                  <w:r>
                    <w:rPr>
                      <w:rFonts w:hint="eastAsia"/>
                      <w:color w:val="auto"/>
                      <w:kern w:val="0"/>
                      <w:szCs w:val="21"/>
                    </w:rPr>
                    <w:t>套集气罩+布袋除尘器（TA001~TA002）收集处理后，经管道引入</w:t>
                  </w:r>
                  <w:r>
                    <w:rPr>
                      <w:color w:val="auto"/>
                      <w:kern w:val="0"/>
                      <w:szCs w:val="21"/>
                    </w:rPr>
                    <w:t>15</w:t>
                  </w:r>
                  <w:r>
                    <w:rPr>
                      <w:rFonts w:hint="eastAsia"/>
                      <w:color w:val="auto"/>
                      <w:kern w:val="0"/>
                      <w:szCs w:val="21"/>
                    </w:rPr>
                    <w:t>m高排气筒排放（DA001~DA003）。</w:t>
                  </w:r>
                </w:p>
                <w:p w14:paraId="276F21B8">
                  <w:pPr>
                    <w:autoSpaceDE w:val="0"/>
                    <w:autoSpaceDN w:val="0"/>
                    <w:adjustRightInd w:val="0"/>
                    <w:snapToGrid w:val="0"/>
                    <w:jc w:val="center"/>
                    <w:rPr>
                      <w:color w:val="auto"/>
                      <w:kern w:val="0"/>
                      <w:szCs w:val="21"/>
                    </w:rPr>
                  </w:pPr>
                  <w:r>
                    <w:rPr>
                      <w:rFonts w:hint="eastAsia"/>
                      <w:color w:val="auto"/>
                      <w:kern w:val="0"/>
                      <w:szCs w:val="21"/>
                    </w:rPr>
                    <w:t>3、项目生活污水经化粪池预处理达《污水综合排放标准》（GB8978-1996）表4三级标准和《污水排入城镇下水道水质标准》（GB/T31962-2015）表1B等级标准限值后由槽罐车运至纳古镇污水处理站处理。</w:t>
                  </w:r>
                </w:p>
                <w:p w14:paraId="18B3D5EA">
                  <w:pPr>
                    <w:autoSpaceDE w:val="0"/>
                    <w:autoSpaceDN w:val="0"/>
                    <w:adjustRightInd w:val="0"/>
                    <w:snapToGrid w:val="0"/>
                    <w:jc w:val="center"/>
                    <w:rPr>
                      <w:color w:val="auto"/>
                      <w:kern w:val="0"/>
                      <w:szCs w:val="21"/>
                    </w:rPr>
                  </w:pPr>
                  <w:r>
                    <w:rPr>
                      <w:rFonts w:hint="eastAsia"/>
                      <w:color w:val="auto"/>
                      <w:kern w:val="0"/>
                      <w:szCs w:val="21"/>
                    </w:rPr>
                    <w:t>4、</w:t>
                  </w:r>
                  <w:bookmarkStart w:id="14" w:name="OLE_LINK39"/>
                  <w:r>
                    <w:rPr>
                      <w:rFonts w:hint="eastAsia"/>
                      <w:color w:val="auto"/>
                      <w:kern w:val="0"/>
                      <w:szCs w:val="21"/>
                    </w:rPr>
                    <w:t>项目一般固废经收集后暂存于一般固废暂存间，外售处置。危险废物分类收集暂存于危废暂存间，</w:t>
                  </w:r>
                  <w:r>
                    <w:rPr>
                      <w:color w:val="auto"/>
                      <w:kern w:val="0"/>
                      <w:szCs w:val="21"/>
                    </w:rPr>
                    <w:t>废机油用于厂区内机械设备擦拭润滑，其余危险废物委托有资质单位处置</w:t>
                  </w:r>
                  <w:r>
                    <w:rPr>
                      <w:rFonts w:hint="eastAsia"/>
                      <w:color w:val="auto"/>
                      <w:kern w:val="0"/>
                      <w:szCs w:val="21"/>
                    </w:rPr>
                    <w:t>。</w:t>
                  </w:r>
                  <w:bookmarkEnd w:id="14"/>
                </w:p>
              </w:tc>
              <w:tc>
                <w:tcPr>
                  <w:tcW w:w="1209" w:type="dxa"/>
                  <w:vAlign w:val="center"/>
                </w:tcPr>
                <w:p w14:paraId="46221FF0">
                  <w:pPr>
                    <w:autoSpaceDE w:val="0"/>
                    <w:autoSpaceDN w:val="0"/>
                    <w:adjustRightInd w:val="0"/>
                    <w:snapToGrid w:val="0"/>
                    <w:jc w:val="center"/>
                    <w:rPr>
                      <w:color w:val="auto"/>
                      <w:kern w:val="0"/>
                      <w:szCs w:val="21"/>
                    </w:rPr>
                  </w:pPr>
                  <w:r>
                    <w:rPr>
                      <w:rFonts w:hint="eastAsia"/>
                      <w:color w:val="auto"/>
                      <w:kern w:val="0"/>
                      <w:szCs w:val="21"/>
                    </w:rPr>
                    <w:t>符合</w:t>
                  </w:r>
                </w:p>
              </w:tc>
            </w:tr>
            <w:tr w14:paraId="2ADCE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Align w:val="center"/>
                </w:tcPr>
                <w:p w14:paraId="1F79EB54">
                  <w:pPr>
                    <w:autoSpaceDE w:val="0"/>
                    <w:autoSpaceDN w:val="0"/>
                    <w:adjustRightInd w:val="0"/>
                    <w:snapToGrid w:val="0"/>
                    <w:jc w:val="left"/>
                    <w:rPr>
                      <w:color w:val="auto"/>
                      <w:kern w:val="0"/>
                      <w:szCs w:val="21"/>
                    </w:rPr>
                  </w:pPr>
                  <w:r>
                    <w:rPr>
                      <w:rFonts w:hint="eastAsia"/>
                      <w:color w:val="auto"/>
                      <w:kern w:val="0"/>
                      <w:szCs w:val="21"/>
                    </w:rPr>
                    <w:t>污染物排放管控</w:t>
                  </w:r>
                </w:p>
              </w:tc>
              <w:tc>
                <w:tcPr>
                  <w:tcW w:w="3544" w:type="dxa"/>
                  <w:vAlign w:val="center"/>
                </w:tcPr>
                <w:p w14:paraId="7909E5EC">
                  <w:pPr>
                    <w:autoSpaceDE w:val="0"/>
                    <w:autoSpaceDN w:val="0"/>
                    <w:adjustRightInd w:val="0"/>
                    <w:snapToGrid w:val="0"/>
                    <w:jc w:val="left"/>
                    <w:rPr>
                      <w:color w:val="auto"/>
                      <w:kern w:val="0"/>
                      <w:szCs w:val="21"/>
                    </w:rPr>
                  </w:pPr>
                  <w:r>
                    <w:rPr>
                      <w:color w:val="auto"/>
                      <w:kern w:val="0"/>
                      <w:szCs w:val="21"/>
                    </w:rPr>
                    <w:t>落实生态环境保护基本要求，项目建设和运行应满足产业准入、污染物削减、污染物排放标准等管理规定和国家法律法规要求。</w:t>
                  </w:r>
                </w:p>
              </w:tc>
              <w:tc>
                <w:tcPr>
                  <w:tcW w:w="2803" w:type="dxa"/>
                  <w:vMerge w:val="continue"/>
                  <w:vAlign w:val="center"/>
                </w:tcPr>
                <w:p w14:paraId="0BC68846">
                  <w:pPr>
                    <w:autoSpaceDE w:val="0"/>
                    <w:autoSpaceDN w:val="0"/>
                    <w:adjustRightInd w:val="0"/>
                    <w:snapToGrid w:val="0"/>
                    <w:jc w:val="center"/>
                    <w:rPr>
                      <w:color w:val="auto"/>
                      <w:kern w:val="0"/>
                      <w:szCs w:val="21"/>
                    </w:rPr>
                  </w:pPr>
                </w:p>
              </w:tc>
              <w:tc>
                <w:tcPr>
                  <w:tcW w:w="1209" w:type="dxa"/>
                  <w:vAlign w:val="center"/>
                </w:tcPr>
                <w:p w14:paraId="5A668A85">
                  <w:pPr>
                    <w:autoSpaceDE w:val="0"/>
                    <w:autoSpaceDN w:val="0"/>
                    <w:adjustRightInd w:val="0"/>
                    <w:snapToGrid w:val="0"/>
                    <w:jc w:val="center"/>
                    <w:rPr>
                      <w:color w:val="auto"/>
                      <w:kern w:val="0"/>
                      <w:szCs w:val="21"/>
                    </w:rPr>
                  </w:pPr>
                  <w:r>
                    <w:rPr>
                      <w:rFonts w:hint="eastAsia"/>
                      <w:color w:val="auto"/>
                      <w:kern w:val="0"/>
                      <w:szCs w:val="21"/>
                    </w:rPr>
                    <w:t>符合</w:t>
                  </w:r>
                </w:p>
              </w:tc>
            </w:tr>
            <w:tr w14:paraId="7D6AD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Align w:val="center"/>
                </w:tcPr>
                <w:p w14:paraId="778E7805">
                  <w:pPr>
                    <w:autoSpaceDE w:val="0"/>
                    <w:autoSpaceDN w:val="0"/>
                    <w:adjustRightInd w:val="0"/>
                    <w:snapToGrid w:val="0"/>
                    <w:jc w:val="left"/>
                    <w:rPr>
                      <w:color w:val="auto"/>
                      <w:kern w:val="0"/>
                      <w:szCs w:val="21"/>
                    </w:rPr>
                  </w:pPr>
                  <w:r>
                    <w:rPr>
                      <w:color w:val="auto"/>
                      <w:kern w:val="0"/>
                      <w:szCs w:val="21"/>
                    </w:rPr>
                    <w:t>环境风险防控</w:t>
                  </w:r>
                </w:p>
              </w:tc>
              <w:tc>
                <w:tcPr>
                  <w:tcW w:w="3544" w:type="dxa"/>
                  <w:vAlign w:val="center"/>
                </w:tcPr>
                <w:p w14:paraId="54933504">
                  <w:pPr>
                    <w:autoSpaceDE w:val="0"/>
                    <w:autoSpaceDN w:val="0"/>
                    <w:adjustRightInd w:val="0"/>
                    <w:snapToGrid w:val="0"/>
                    <w:jc w:val="left"/>
                    <w:rPr>
                      <w:color w:val="auto"/>
                      <w:kern w:val="0"/>
                      <w:szCs w:val="21"/>
                    </w:rPr>
                  </w:pPr>
                  <w:r>
                    <w:rPr>
                      <w:color w:val="auto"/>
                      <w:kern w:val="0"/>
                      <w:szCs w:val="21"/>
                    </w:rPr>
                    <w:t>落实生态环境保护基本要求，项目建设和运行应满足产业准入、污染物削减、污染物排放标准等管理规定和国家法律法规要求。</w:t>
                  </w:r>
                </w:p>
              </w:tc>
              <w:tc>
                <w:tcPr>
                  <w:tcW w:w="2803" w:type="dxa"/>
                  <w:vMerge w:val="continue"/>
                  <w:vAlign w:val="center"/>
                </w:tcPr>
                <w:p w14:paraId="1265C905">
                  <w:pPr>
                    <w:autoSpaceDE w:val="0"/>
                    <w:autoSpaceDN w:val="0"/>
                    <w:adjustRightInd w:val="0"/>
                    <w:snapToGrid w:val="0"/>
                    <w:jc w:val="center"/>
                    <w:rPr>
                      <w:color w:val="auto"/>
                      <w:szCs w:val="21"/>
                    </w:rPr>
                  </w:pPr>
                </w:p>
              </w:tc>
              <w:tc>
                <w:tcPr>
                  <w:tcW w:w="1209" w:type="dxa"/>
                  <w:vAlign w:val="center"/>
                </w:tcPr>
                <w:p w14:paraId="65DD7F55">
                  <w:pPr>
                    <w:autoSpaceDE w:val="0"/>
                    <w:autoSpaceDN w:val="0"/>
                    <w:adjustRightInd w:val="0"/>
                    <w:snapToGrid w:val="0"/>
                    <w:jc w:val="center"/>
                    <w:rPr>
                      <w:color w:val="auto"/>
                      <w:szCs w:val="21"/>
                    </w:rPr>
                  </w:pPr>
                  <w:r>
                    <w:rPr>
                      <w:rFonts w:hint="eastAsia"/>
                      <w:color w:val="auto"/>
                      <w:szCs w:val="21"/>
                    </w:rPr>
                    <w:t>符合</w:t>
                  </w:r>
                </w:p>
              </w:tc>
            </w:tr>
            <w:tr w14:paraId="08129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dxa"/>
                  <w:vAlign w:val="center"/>
                </w:tcPr>
                <w:p w14:paraId="0757407D">
                  <w:pPr>
                    <w:autoSpaceDE w:val="0"/>
                    <w:autoSpaceDN w:val="0"/>
                    <w:adjustRightInd w:val="0"/>
                    <w:snapToGrid w:val="0"/>
                    <w:jc w:val="left"/>
                    <w:rPr>
                      <w:color w:val="auto"/>
                      <w:kern w:val="0"/>
                      <w:szCs w:val="21"/>
                    </w:rPr>
                  </w:pPr>
                  <w:r>
                    <w:rPr>
                      <w:color w:val="auto"/>
                      <w:kern w:val="0"/>
                      <w:szCs w:val="21"/>
                    </w:rPr>
                    <w:t>资源开发效率要求</w:t>
                  </w:r>
                </w:p>
              </w:tc>
              <w:tc>
                <w:tcPr>
                  <w:tcW w:w="3544" w:type="dxa"/>
                  <w:vAlign w:val="center"/>
                </w:tcPr>
                <w:p w14:paraId="3951A033">
                  <w:pPr>
                    <w:autoSpaceDE w:val="0"/>
                    <w:autoSpaceDN w:val="0"/>
                    <w:adjustRightInd w:val="0"/>
                    <w:snapToGrid w:val="0"/>
                    <w:jc w:val="left"/>
                    <w:rPr>
                      <w:color w:val="auto"/>
                      <w:kern w:val="0"/>
                      <w:szCs w:val="21"/>
                    </w:rPr>
                  </w:pPr>
                  <w:r>
                    <w:rPr>
                      <w:color w:val="auto"/>
                      <w:kern w:val="0"/>
                      <w:szCs w:val="21"/>
                    </w:rPr>
                    <w:t>落实生态环境保护基本要求，项目建设和运行应满足产业准入、污染物削减、污染物排放标准等管理规定和国家法律法规要求。</w:t>
                  </w:r>
                </w:p>
              </w:tc>
              <w:tc>
                <w:tcPr>
                  <w:tcW w:w="2803" w:type="dxa"/>
                  <w:vMerge w:val="continue"/>
                  <w:vAlign w:val="center"/>
                </w:tcPr>
                <w:p w14:paraId="0B7BA57D">
                  <w:pPr>
                    <w:autoSpaceDE w:val="0"/>
                    <w:autoSpaceDN w:val="0"/>
                    <w:adjustRightInd w:val="0"/>
                    <w:snapToGrid w:val="0"/>
                    <w:jc w:val="center"/>
                    <w:rPr>
                      <w:color w:val="auto"/>
                      <w:szCs w:val="21"/>
                    </w:rPr>
                  </w:pPr>
                </w:p>
              </w:tc>
              <w:tc>
                <w:tcPr>
                  <w:tcW w:w="1209" w:type="dxa"/>
                  <w:vAlign w:val="center"/>
                </w:tcPr>
                <w:p w14:paraId="21886189">
                  <w:pPr>
                    <w:autoSpaceDE w:val="0"/>
                    <w:autoSpaceDN w:val="0"/>
                    <w:adjustRightInd w:val="0"/>
                    <w:snapToGrid w:val="0"/>
                    <w:jc w:val="center"/>
                    <w:rPr>
                      <w:color w:val="auto"/>
                      <w:szCs w:val="21"/>
                    </w:rPr>
                  </w:pPr>
                  <w:r>
                    <w:rPr>
                      <w:rFonts w:hint="eastAsia"/>
                      <w:color w:val="auto"/>
                      <w:szCs w:val="21"/>
                    </w:rPr>
                    <w:t>符合</w:t>
                  </w:r>
                </w:p>
              </w:tc>
            </w:tr>
          </w:tbl>
          <w:p w14:paraId="1D2C05BC">
            <w:pPr>
              <w:autoSpaceDE w:val="0"/>
              <w:autoSpaceDN w:val="0"/>
              <w:adjustRightInd w:val="0"/>
              <w:snapToGrid w:val="0"/>
              <w:spacing w:line="360" w:lineRule="auto"/>
              <w:ind w:firstLine="480" w:firstLineChars="200"/>
              <w:jc w:val="left"/>
              <w:rPr>
                <w:rFonts w:eastAsiaTheme="minorEastAsia"/>
                <w:color w:val="auto"/>
                <w:kern w:val="0"/>
                <w:sz w:val="24"/>
              </w:rPr>
            </w:pPr>
            <w:r>
              <w:rPr>
                <w:rFonts w:hint="eastAsia" w:eastAsiaTheme="minorEastAsia"/>
                <w:color w:val="auto"/>
                <w:kern w:val="0"/>
                <w:sz w:val="24"/>
              </w:rPr>
              <w:t>经对照分析，项目符合所在地生态环境分区管控中与本项目有关的相关要求。</w:t>
            </w:r>
          </w:p>
          <w:p w14:paraId="0BB02369">
            <w:pPr>
              <w:autoSpaceDE w:val="0"/>
              <w:autoSpaceDN w:val="0"/>
              <w:adjustRightInd w:val="0"/>
              <w:snapToGrid w:val="0"/>
              <w:spacing w:line="360" w:lineRule="auto"/>
              <w:jc w:val="left"/>
              <w:rPr>
                <w:b/>
                <w:bCs/>
                <w:color w:val="auto"/>
                <w:kern w:val="0"/>
                <w:sz w:val="24"/>
              </w:rPr>
            </w:pPr>
            <w:r>
              <w:rPr>
                <w:rFonts w:hint="eastAsia"/>
                <w:b/>
                <w:color w:val="auto"/>
                <w:kern w:val="0"/>
                <w:sz w:val="24"/>
              </w:rPr>
              <w:t>（二）建设项目与相关生态环境保护法律法规政策、生态环境保护规划</w:t>
            </w:r>
            <w:r>
              <w:rPr>
                <w:rFonts w:hint="eastAsia"/>
                <w:b/>
                <w:bCs/>
                <w:color w:val="auto"/>
                <w:kern w:val="0"/>
                <w:sz w:val="24"/>
              </w:rPr>
              <w:t>符合性分析</w:t>
            </w:r>
          </w:p>
          <w:p w14:paraId="7F4B203F">
            <w:pPr>
              <w:autoSpaceDE w:val="0"/>
              <w:autoSpaceDN w:val="0"/>
              <w:adjustRightInd w:val="0"/>
              <w:snapToGrid w:val="0"/>
              <w:spacing w:line="360" w:lineRule="auto"/>
              <w:ind w:firstLine="482" w:firstLineChars="200"/>
              <w:jc w:val="left"/>
              <w:rPr>
                <w:b/>
                <w:bCs/>
                <w:color w:val="auto"/>
                <w:kern w:val="0"/>
                <w:sz w:val="24"/>
              </w:rPr>
            </w:pPr>
            <w:r>
              <w:rPr>
                <w:b/>
                <w:bCs/>
                <w:color w:val="auto"/>
                <w:kern w:val="0"/>
                <w:sz w:val="24"/>
              </w:rPr>
              <w:t>1</w:t>
            </w:r>
            <w:r>
              <w:rPr>
                <w:rFonts w:hint="eastAsia"/>
                <w:b/>
                <w:bCs/>
                <w:color w:val="auto"/>
                <w:kern w:val="0"/>
                <w:sz w:val="24"/>
              </w:rPr>
              <w:t>、与《中华人民共和国大气污染防治法》（2</w:t>
            </w:r>
            <w:r>
              <w:rPr>
                <w:b/>
                <w:bCs/>
                <w:color w:val="auto"/>
                <w:kern w:val="0"/>
                <w:sz w:val="24"/>
              </w:rPr>
              <w:t>018</w:t>
            </w:r>
            <w:r>
              <w:rPr>
                <w:rFonts w:hint="eastAsia"/>
                <w:b/>
                <w:bCs/>
                <w:color w:val="auto"/>
                <w:kern w:val="0"/>
                <w:sz w:val="24"/>
              </w:rPr>
              <w:t>年1</w:t>
            </w:r>
            <w:r>
              <w:rPr>
                <w:b/>
                <w:bCs/>
                <w:color w:val="auto"/>
                <w:kern w:val="0"/>
                <w:sz w:val="24"/>
              </w:rPr>
              <w:t>0</w:t>
            </w:r>
            <w:r>
              <w:rPr>
                <w:rFonts w:hint="eastAsia"/>
                <w:b/>
                <w:bCs/>
                <w:color w:val="auto"/>
                <w:kern w:val="0"/>
                <w:sz w:val="24"/>
              </w:rPr>
              <w:t>月2</w:t>
            </w:r>
            <w:r>
              <w:rPr>
                <w:b/>
                <w:bCs/>
                <w:color w:val="auto"/>
                <w:kern w:val="0"/>
                <w:sz w:val="24"/>
              </w:rPr>
              <w:t>6</w:t>
            </w:r>
            <w:r>
              <w:rPr>
                <w:rFonts w:hint="eastAsia"/>
                <w:b/>
                <w:bCs/>
                <w:color w:val="auto"/>
                <w:kern w:val="0"/>
                <w:sz w:val="24"/>
              </w:rPr>
              <w:t>日）符合性分析</w:t>
            </w:r>
          </w:p>
          <w:p w14:paraId="00211E6E">
            <w:pPr>
              <w:autoSpaceDE w:val="0"/>
              <w:autoSpaceDN w:val="0"/>
              <w:adjustRightInd w:val="0"/>
              <w:snapToGrid w:val="0"/>
              <w:spacing w:line="360" w:lineRule="auto"/>
              <w:ind w:firstLine="482" w:firstLineChars="200"/>
              <w:jc w:val="center"/>
              <w:rPr>
                <w:b/>
                <w:bCs/>
                <w:color w:val="auto"/>
                <w:kern w:val="0"/>
                <w:sz w:val="24"/>
              </w:rPr>
            </w:pPr>
            <w:r>
              <w:rPr>
                <w:b/>
                <w:bCs/>
                <w:color w:val="auto"/>
                <w:kern w:val="0"/>
                <w:sz w:val="24"/>
              </w:rPr>
              <w:t xml:space="preserve">表 </w:t>
            </w:r>
            <w:r>
              <w:rPr>
                <w:rFonts w:hint="eastAsia"/>
                <w:b/>
                <w:bCs/>
                <w:color w:val="auto"/>
                <w:kern w:val="0"/>
                <w:sz w:val="24"/>
              </w:rPr>
              <w:t>1-</w:t>
            </w:r>
            <w:r>
              <w:rPr>
                <w:b/>
                <w:bCs/>
                <w:color w:val="auto"/>
                <w:kern w:val="0"/>
                <w:sz w:val="24"/>
              </w:rPr>
              <w:t>3</w:t>
            </w:r>
            <w:r>
              <w:rPr>
                <w:b/>
                <w:bCs/>
                <w:color w:val="auto"/>
                <w:kern w:val="0"/>
                <w:sz w:val="24"/>
              </w:rPr>
              <w:tab/>
            </w:r>
            <w:r>
              <w:rPr>
                <w:b/>
                <w:bCs/>
                <w:color w:val="auto"/>
                <w:kern w:val="0"/>
                <w:sz w:val="24"/>
              </w:rPr>
              <w:t>与</w:t>
            </w:r>
            <w:r>
              <w:rPr>
                <w:rFonts w:hint="eastAsia"/>
                <w:b/>
                <w:bCs/>
                <w:color w:val="auto"/>
                <w:kern w:val="0"/>
                <w:sz w:val="24"/>
              </w:rPr>
              <w:t>《中华人民共和国大气污染防治法》</w:t>
            </w:r>
            <w:r>
              <w:rPr>
                <w:b/>
                <w:bCs/>
                <w:color w:val="auto"/>
                <w:kern w:val="0"/>
                <w:sz w:val="24"/>
              </w:rPr>
              <w:t>符合性分析一览表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38"/>
              <w:gridCol w:w="2980"/>
              <w:gridCol w:w="1153"/>
            </w:tblGrid>
            <w:tr w14:paraId="1ED6A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47841F29">
                  <w:pPr>
                    <w:adjustRightInd w:val="0"/>
                    <w:jc w:val="center"/>
                    <w:rPr>
                      <w:rFonts w:hAnsi="Calibri"/>
                      <w:b/>
                      <w:bCs/>
                      <w:color w:val="auto"/>
                      <w:szCs w:val="21"/>
                    </w:rPr>
                  </w:pPr>
                  <w:r>
                    <w:rPr>
                      <w:rFonts w:hint="eastAsia" w:hAnsi="Calibri"/>
                      <w:b/>
                      <w:bCs/>
                      <w:color w:val="auto"/>
                      <w:szCs w:val="21"/>
                    </w:rPr>
                    <w:t>与本项目相关的法律条文</w:t>
                  </w:r>
                </w:p>
              </w:tc>
              <w:tc>
                <w:tcPr>
                  <w:tcW w:w="1699" w:type="pct"/>
                  <w:vAlign w:val="center"/>
                </w:tcPr>
                <w:p w14:paraId="32AC31ED">
                  <w:pPr>
                    <w:adjustRightInd w:val="0"/>
                    <w:jc w:val="center"/>
                    <w:rPr>
                      <w:rFonts w:hAnsi="Calibri"/>
                      <w:b/>
                      <w:bCs/>
                      <w:color w:val="auto"/>
                      <w:szCs w:val="21"/>
                    </w:rPr>
                  </w:pPr>
                  <w:r>
                    <w:rPr>
                      <w:rFonts w:hint="eastAsia" w:hAnsi="Calibri"/>
                      <w:b/>
                      <w:bCs/>
                      <w:color w:val="auto"/>
                      <w:szCs w:val="21"/>
                    </w:rPr>
                    <w:t>项目情况</w:t>
                  </w:r>
                </w:p>
              </w:tc>
              <w:tc>
                <w:tcPr>
                  <w:tcW w:w="657" w:type="pct"/>
                  <w:vAlign w:val="center"/>
                </w:tcPr>
                <w:p w14:paraId="13041642">
                  <w:pPr>
                    <w:adjustRightInd w:val="0"/>
                    <w:jc w:val="center"/>
                    <w:rPr>
                      <w:rFonts w:hAnsi="Calibri"/>
                      <w:b/>
                      <w:bCs/>
                      <w:color w:val="auto"/>
                      <w:szCs w:val="21"/>
                    </w:rPr>
                  </w:pPr>
                  <w:r>
                    <w:rPr>
                      <w:rFonts w:hint="eastAsia" w:hAnsi="Calibri"/>
                      <w:b/>
                      <w:bCs/>
                      <w:color w:val="auto"/>
                      <w:szCs w:val="21"/>
                    </w:rPr>
                    <w:t>符合情况</w:t>
                  </w:r>
                </w:p>
              </w:tc>
            </w:tr>
            <w:tr w14:paraId="189FD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2CF3497D">
                  <w:pPr>
                    <w:adjustRightInd w:val="0"/>
                    <w:jc w:val="center"/>
                    <w:rPr>
                      <w:rFonts w:hAnsi="Calibri"/>
                      <w:b/>
                      <w:bCs/>
                      <w:color w:val="auto"/>
                      <w:szCs w:val="21"/>
                    </w:rPr>
                  </w:pPr>
                  <w:r>
                    <w:rPr>
                      <w:rFonts w:hint="eastAsia" w:hAnsi="Calibri"/>
                      <w:color w:val="auto"/>
                      <w:szCs w:val="21"/>
                    </w:rPr>
                    <w:t>第七条 企业事业单位和其他生产经营者应当采取有效措施，防止、减少大气污染，对所造成的损害依法承担责任。</w:t>
                  </w:r>
                </w:p>
              </w:tc>
              <w:tc>
                <w:tcPr>
                  <w:tcW w:w="1699" w:type="pct"/>
                  <w:vAlign w:val="center"/>
                </w:tcPr>
                <w:p w14:paraId="0C571A54">
                  <w:pPr>
                    <w:adjustRightInd w:val="0"/>
                    <w:jc w:val="center"/>
                    <w:rPr>
                      <w:rFonts w:hAnsi="Calibri"/>
                      <w:color w:val="auto"/>
                      <w:szCs w:val="21"/>
                    </w:rPr>
                  </w:pPr>
                  <w:r>
                    <w:rPr>
                      <w:rFonts w:hint="eastAsia" w:hAnsi="Calibri"/>
                      <w:color w:val="auto"/>
                      <w:szCs w:val="21"/>
                    </w:rPr>
                    <w:t>本项目废气主要为焊接、补焊缝烟尘，采取布袋除尘器收集处理，减少了大气污染物排放。</w:t>
                  </w:r>
                </w:p>
              </w:tc>
              <w:tc>
                <w:tcPr>
                  <w:tcW w:w="657" w:type="pct"/>
                  <w:vAlign w:val="center"/>
                </w:tcPr>
                <w:p w14:paraId="0499BACC">
                  <w:pPr>
                    <w:adjustRightInd w:val="0"/>
                    <w:jc w:val="center"/>
                    <w:rPr>
                      <w:rFonts w:hAnsi="Calibri"/>
                      <w:color w:val="auto"/>
                      <w:szCs w:val="21"/>
                    </w:rPr>
                  </w:pPr>
                  <w:r>
                    <w:rPr>
                      <w:rFonts w:hint="eastAsia" w:hAnsi="Calibri"/>
                      <w:color w:val="auto"/>
                      <w:szCs w:val="21"/>
                    </w:rPr>
                    <w:t>符合</w:t>
                  </w:r>
                </w:p>
              </w:tc>
            </w:tr>
            <w:tr w14:paraId="43FD5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466F0F0E">
                  <w:pPr>
                    <w:adjustRightInd w:val="0"/>
                    <w:jc w:val="center"/>
                    <w:rPr>
                      <w:rFonts w:hAnsi="Calibri"/>
                      <w:color w:val="auto"/>
                      <w:szCs w:val="21"/>
                    </w:rPr>
                  </w:pPr>
                  <w:r>
                    <w:rPr>
                      <w:rFonts w:hint="eastAsia" w:hAnsi="Calibri"/>
                      <w:color w:val="auto"/>
                      <w:szCs w:val="21"/>
                    </w:rPr>
                    <w:t>第十八条 企业事业单位和其他生产经营者建设对大气环境有影响的项目，应当依法进行环境影响评价、公开环境影响评价文件；向大气排放污染物的，应当符合大气污染物排放标准，遵守重点大气污染物排放总量控制要求。</w:t>
                  </w:r>
                </w:p>
              </w:tc>
              <w:tc>
                <w:tcPr>
                  <w:tcW w:w="1699" w:type="pct"/>
                  <w:vAlign w:val="center"/>
                </w:tcPr>
                <w:p w14:paraId="2DA15451">
                  <w:pPr>
                    <w:adjustRightInd w:val="0"/>
                    <w:jc w:val="center"/>
                    <w:rPr>
                      <w:rFonts w:hAnsi="Calibri"/>
                      <w:color w:val="auto"/>
                      <w:szCs w:val="21"/>
                    </w:rPr>
                  </w:pPr>
                  <w:r>
                    <w:rPr>
                      <w:rFonts w:hint="eastAsia" w:hAnsi="Calibri"/>
                      <w:color w:val="auto"/>
                      <w:szCs w:val="21"/>
                    </w:rPr>
                    <w:t>本项目依法进行环境影响评价，焊接废气经处理后满足《大气污染物综合排放标准》（GB16297-1996）表2中新污染源大气污染物排放限值。本项目无重点大气污染物排放总量控制要求。</w:t>
                  </w:r>
                </w:p>
              </w:tc>
              <w:tc>
                <w:tcPr>
                  <w:tcW w:w="657" w:type="pct"/>
                  <w:vAlign w:val="center"/>
                </w:tcPr>
                <w:p w14:paraId="212C852A">
                  <w:pPr>
                    <w:adjustRightInd w:val="0"/>
                    <w:jc w:val="center"/>
                    <w:rPr>
                      <w:rFonts w:hAnsi="Calibri"/>
                      <w:color w:val="auto"/>
                      <w:szCs w:val="21"/>
                    </w:rPr>
                  </w:pPr>
                  <w:r>
                    <w:rPr>
                      <w:rFonts w:hint="eastAsia" w:hAnsi="Calibri"/>
                      <w:color w:val="auto"/>
                      <w:szCs w:val="21"/>
                    </w:rPr>
                    <w:t>符合</w:t>
                  </w:r>
                </w:p>
              </w:tc>
            </w:tr>
            <w:tr w14:paraId="177B2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693EC194">
                  <w:pPr>
                    <w:adjustRightInd w:val="0"/>
                    <w:jc w:val="center"/>
                    <w:rPr>
                      <w:rFonts w:hAnsi="Calibri"/>
                      <w:color w:val="auto"/>
                      <w:szCs w:val="21"/>
                    </w:rPr>
                  </w:pPr>
                  <w:r>
                    <w:rPr>
                      <w:rFonts w:hint="eastAsia" w:hAnsi="Calibri"/>
                      <w:color w:val="auto"/>
                      <w:szCs w:val="21"/>
                    </w:rPr>
                    <w:t>第十九条 排放工业废气或者本法第七十八条规定名录中所列有毒有害大气污染物的企业事业单位、集中供热设施的燃煤热源生产运营单位以及其他依法实行排污许可管理的单位，应当取得排污许可证。排污许可的具体办法和实施步骤由国务院规定。</w:t>
                  </w:r>
                </w:p>
              </w:tc>
              <w:tc>
                <w:tcPr>
                  <w:tcW w:w="1699" w:type="pct"/>
                  <w:vAlign w:val="center"/>
                </w:tcPr>
                <w:p w14:paraId="27952C79">
                  <w:pPr>
                    <w:adjustRightInd w:val="0"/>
                    <w:jc w:val="center"/>
                    <w:rPr>
                      <w:rFonts w:hAnsi="Calibri"/>
                      <w:color w:val="auto"/>
                      <w:szCs w:val="21"/>
                    </w:rPr>
                  </w:pPr>
                  <w:r>
                    <w:rPr>
                      <w:rFonts w:hint="eastAsia" w:hAnsi="Calibri"/>
                      <w:color w:val="auto"/>
                      <w:szCs w:val="21"/>
                    </w:rPr>
                    <w:t>本项目属于排污许可登记管理，在启动生产设施或者发生实际排污之前依法办理排污许可证。</w:t>
                  </w:r>
                </w:p>
              </w:tc>
              <w:tc>
                <w:tcPr>
                  <w:tcW w:w="657" w:type="pct"/>
                  <w:vAlign w:val="center"/>
                </w:tcPr>
                <w:p w14:paraId="20D7F267">
                  <w:pPr>
                    <w:adjustRightInd w:val="0"/>
                    <w:jc w:val="center"/>
                    <w:rPr>
                      <w:rFonts w:hAnsi="Calibri"/>
                      <w:color w:val="auto"/>
                      <w:szCs w:val="21"/>
                    </w:rPr>
                  </w:pPr>
                  <w:r>
                    <w:rPr>
                      <w:rFonts w:hint="eastAsia" w:hAnsi="Calibri"/>
                      <w:color w:val="auto"/>
                      <w:szCs w:val="21"/>
                    </w:rPr>
                    <w:t>符合</w:t>
                  </w:r>
                </w:p>
              </w:tc>
            </w:tr>
            <w:tr w14:paraId="3B2B5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6ABDEFEA">
                  <w:pPr>
                    <w:adjustRightInd w:val="0"/>
                    <w:jc w:val="center"/>
                    <w:rPr>
                      <w:rFonts w:hAnsi="Calibri"/>
                      <w:color w:val="auto"/>
                      <w:szCs w:val="21"/>
                    </w:rPr>
                  </w:pPr>
                  <w:r>
                    <w:rPr>
                      <w:rFonts w:hint="eastAsia" w:hAnsi="Calibri"/>
                      <w:color w:val="auto"/>
                      <w:szCs w:val="21"/>
                    </w:rPr>
                    <w:t>第二十七条 国家对严重污染大气环境的工艺、设备和产品实行淘汰制度。</w:t>
                  </w:r>
                </w:p>
              </w:tc>
              <w:tc>
                <w:tcPr>
                  <w:tcW w:w="1699" w:type="pct"/>
                  <w:vAlign w:val="center"/>
                </w:tcPr>
                <w:p w14:paraId="13A9E3FD">
                  <w:pPr>
                    <w:adjustRightInd w:val="0"/>
                    <w:jc w:val="center"/>
                    <w:rPr>
                      <w:rFonts w:hAnsi="Calibri"/>
                      <w:color w:val="auto"/>
                      <w:szCs w:val="21"/>
                    </w:rPr>
                  </w:pPr>
                  <w:r>
                    <w:rPr>
                      <w:rFonts w:hint="eastAsia" w:hAnsi="Calibri"/>
                      <w:color w:val="auto"/>
                      <w:szCs w:val="21"/>
                    </w:rPr>
                    <w:t>根据《产业结构调整指导目录（2024年本）》，本项目不属于淘汰类、限制类。</w:t>
                  </w:r>
                </w:p>
              </w:tc>
              <w:tc>
                <w:tcPr>
                  <w:tcW w:w="657" w:type="pct"/>
                  <w:vAlign w:val="center"/>
                </w:tcPr>
                <w:p w14:paraId="779C1DAD">
                  <w:pPr>
                    <w:adjustRightInd w:val="0"/>
                    <w:jc w:val="center"/>
                    <w:rPr>
                      <w:rFonts w:hAnsi="Calibri"/>
                      <w:color w:val="auto"/>
                      <w:szCs w:val="21"/>
                    </w:rPr>
                  </w:pPr>
                  <w:r>
                    <w:rPr>
                      <w:rFonts w:hint="eastAsia" w:hAnsi="Calibri"/>
                      <w:color w:val="auto"/>
                      <w:szCs w:val="21"/>
                    </w:rPr>
                    <w:t>符合</w:t>
                  </w:r>
                </w:p>
              </w:tc>
            </w:tr>
            <w:tr w14:paraId="4E3E9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0965F033">
                  <w:pPr>
                    <w:adjustRightInd w:val="0"/>
                    <w:jc w:val="center"/>
                    <w:rPr>
                      <w:rFonts w:hAnsi="Calibri"/>
                      <w:color w:val="auto"/>
                      <w:szCs w:val="21"/>
                    </w:rPr>
                  </w:pPr>
                  <w:r>
                    <w:rPr>
                      <w:rFonts w:hint="eastAsia" w:hAnsi="Calibri"/>
                      <w:color w:val="auto"/>
                      <w:szCs w:val="21"/>
                    </w:rPr>
                    <w:t>第四十三条 钢铁、建材、有色金属、石油、化工等企业生产过程中排放粉尘、硫化物和氮氧化物的，应当采用清洁生产工艺，配套建设除尘、脱硫、脱硝等装置，或者采取技术改造等其他控制大气污染物排放的措施。</w:t>
                  </w:r>
                </w:p>
              </w:tc>
              <w:tc>
                <w:tcPr>
                  <w:tcW w:w="1699" w:type="pct"/>
                  <w:vAlign w:val="center"/>
                </w:tcPr>
                <w:p w14:paraId="26BC926C">
                  <w:pPr>
                    <w:adjustRightInd w:val="0"/>
                    <w:jc w:val="center"/>
                    <w:rPr>
                      <w:rFonts w:hAnsi="Calibri"/>
                      <w:color w:val="auto"/>
                      <w:szCs w:val="21"/>
                    </w:rPr>
                  </w:pPr>
                  <w:r>
                    <w:rPr>
                      <w:rFonts w:hint="eastAsia" w:hAnsi="Calibri"/>
                      <w:color w:val="auto"/>
                      <w:szCs w:val="21"/>
                    </w:rPr>
                    <w:t>本项目焊接废气采取布袋除尘器收集处理。</w:t>
                  </w:r>
                </w:p>
              </w:tc>
              <w:tc>
                <w:tcPr>
                  <w:tcW w:w="657" w:type="pct"/>
                  <w:vAlign w:val="center"/>
                </w:tcPr>
                <w:p w14:paraId="2B49EE0F">
                  <w:pPr>
                    <w:adjustRightInd w:val="0"/>
                    <w:jc w:val="center"/>
                    <w:rPr>
                      <w:rFonts w:hAnsi="Calibri"/>
                      <w:color w:val="auto"/>
                      <w:szCs w:val="21"/>
                    </w:rPr>
                  </w:pPr>
                  <w:r>
                    <w:rPr>
                      <w:rFonts w:hint="eastAsia" w:hAnsi="Calibri"/>
                      <w:color w:val="auto"/>
                      <w:szCs w:val="21"/>
                    </w:rPr>
                    <w:t>符合</w:t>
                  </w:r>
                </w:p>
              </w:tc>
            </w:tr>
          </w:tbl>
          <w:p w14:paraId="56BBFFC2">
            <w:pPr>
              <w:autoSpaceDE w:val="0"/>
              <w:autoSpaceDN w:val="0"/>
              <w:adjustRightInd w:val="0"/>
              <w:snapToGrid w:val="0"/>
              <w:spacing w:line="360" w:lineRule="auto"/>
              <w:ind w:firstLine="480" w:firstLineChars="200"/>
              <w:jc w:val="left"/>
              <w:rPr>
                <w:color w:val="auto"/>
                <w:kern w:val="0"/>
                <w:sz w:val="24"/>
              </w:rPr>
            </w:pPr>
            <w:r>
              <w:rPr>
                <w:rFonts w:hint="eastAsia"/>
                <w:color w:val="auto"/>
                <w:kern w:val="0"/>
                <w:sz w:val="24"/>
              </w:rPr>
              <w:t>综上，本项目符合《中华人民共和国大气污染防治法》（2</w:t>
            </w:r>
            <w:r>
              <w:rPr>
                <w:color w:val="auto"/>
                <w:kern w:val="0"/>
                <w:sz w:val="24"/>
              </w:rPr>
              <w:t>018</w:t>
            </w:r>
            <w:r>
              <w:rPr>
                <w:rFonts w:hint="eastAsia"/>
                <w:color w:val="auto"/>
                <w:kern w:val="0"/>
                <w:sz w:val="24"/>
              </w:rPr>
              <w:t>年1</w:t>
            </w:r>
            <w:r>
              <w:rPr>
                <w:color w:val="auto"/>
                <w:kern w:val="0"/>
                <w:sz w:val="24"/>
              </w:rPr>
              <w:t>0</w:t>
            </w:r>
            <w:r>
              <w:rPr>
                <w:rFonts w:hint="eastAsia"/>
                <w:color w:val="auto"/>
                <w:kern w:val="0"/>
                <w:sz w:val="24"/>
              </w:rPr>
              <w:t>月2</w:t>
            </w:r>
            <w:r>
              <w:rPr>
                <w:color w:val="auto"/>
                <w:kern w:val="0"/>
                <w:sz w:val="24"/>
              </w:rPr>
              <w:t>6</w:t>
            </w:r>
            <w:r>
              <w:rPr>
                <w:rFonts w:hint="eastAsia"/>
                <w:color w:val="auto"/>
                <w:kern w:val="0"/>
                <w:sz w:val="24"/>
              </w:rPr>
              <w:t>日）的相关规定。</w:t>
            </w:r>
          </w:p>
          <w:p w14:paraId="054FA187">
            <w:pPr>
              <w:autoSpaceDE w:val="0"/>
              <w:autoSpaceDN w:val="0"/>
              <w:adjustRightInd w:val="0"/>
              <w:snapToGrid w:val="0"/>
              <w:spacing w:line="360" w:lineRule="auto"/>
              <w:ind w:firstLine="482" w:firstLineChars="200"/>
              <w:jc w:val="left"/>
              <w:rPr>
                <w:b/>
                <w:bCs/>
                <w:color w:val="auto"/>
                <w:kern w:val="0"/>
                <w:sz w:val="24"/>
              </w:rPr>
            </w:pPr>
            <w:r>
              <w:rPr>
                <w:rFonts w:hint="eastAsia"/>
                <w:b/>
                <w:bCs/>
                <w:color w:val="auto"/>
                <w:kern w:val="0"/>
                <w:sz w:val="24"/>
              </w:rPr>
              <w:t>2、与《中华人民共和国水污染防治法》（2</w:t>
            </w:r>
            <w:r>
              <w:rPr>
                <w:b/>
                <w:bCs/>
                <w:color w:val="auto"/>
                <w:kern w:val="0"/>
                <w:sz w:val="24"/>
              </w:rPr>
              <w:t>018</w:t>
            </w:r>
            <w:r>
              <w:rPr>
                <w:rFonts w:hint="eastAsia"/>
                <w:b/>
                <w:bCs/>
                <w:color w:val="auto"/>
                <w:kern w:val="0"/>
                <w:sz w:val="24"/>
              </w:rPr>
              <w:t>年</w:t>
            </w:r>
            <w:r>
              <w:rPr>
                <w:b/>
                <w:bCs/>
                <w:color w:val="auto"/>
                <w:kern w:val="0"/>
                <w:sz w:val="24"/>
              </w:rPr>
              <w:t>1</w:t>
            </w:r>
            <w:r>
              <w:rPr>
                <w:rFonts w:hint="eastAsia"/>
                <w:b/>
                <w:bCs/>
                <w:color w:val="auto"/>
                <w:kern w:val="0"/>
                <w:sz w:val="24"/>
              </w:rPr>
              <w:t>月</w:t>
            </w:r>
            <w:r>
              <w:rPr>
                <w:b/>
                <w:bCs/>
                <w:color w:val="auto"/>
                <w:kern w:val="0"/>
                <w:sz w:val="24"/>
              </w:rPr>
              <w:t>1</w:t>
            </w:r>
            <w:r>
              <w:rPr>
                <w:rFonts w:hint="eastAsia"/>
                <w:b/>
                <w:bCs/>
                <w:color w:val="auto"/>
                <w:kern w:val="0"/>
                <w:sz w:val="24"/>
              </w:rPr>
              <w:t>日）符合性分析</w:t>
            </w:r>
          </w:p>
          <w:p w14:paraId="5AF468AC">
            <w:pPr>
              <w:autoSpaceDE w:val="0"/>
              <w:autoSpaceDN w:val="0"/>
              <w:adjustRightInd w:val="0"/>
              <w:snapToGrid w:val="0"/>
              <w:spacing w:line="360" w:lineRule="auto"/>
              <w:ind w:firstLine="482" w:firstLineChars="200"/>
              <w:jc w:val="center"/>
              <w:rPr>
                <w:b/>
                <w:bCs/>
                <w:color w:val="auto"/>
                <w:kern w:val="0"/>
                <w:sz w:val="24"/>
              </w:rPr>
            </w:pPr>
            <w:r>
              <w:rPr>
                <w:b/>
                <w:bCs/>
                <w:color w:val="auto"/>
                <w:kern w:val="0"/>
                <w:sz w:val="24"/>
              </w:rPr>
              <w:t xml:space="preserve">表 </w:t>
            </w:r>
            <w:r>
              <w:rPr>
                <w:rFonts w:hint="eastAsia"/>
                <w:b/>
                <w:bCs/>
                <w:color w:val="auto"/>
                <w:kern w:val="0"/>
                <w:sz w:val="24"/>
              </w:rPr>
              <w:t>1-</w:t>
            </w:r>
            <w:r>
              <w:rPr>
                <w:b/>
                <w:bCs/>
                <w:color w:val="auto"/>
                <w:kern w:val="0"/>
                <w:sz w:val="24"/>
              </w:rPr>
              <w:t>4</w:t>
            </w:r>
            <w:r>
              <w:rPr>
                <w:b/>
                <w:bCs/>
                <w:color w:val="auto"/>
                <w:kern w:val="0"/>
                <w:sz w:val="24"/>
              </w:rPr>
              <w:tab/>
            </w:r>
            <w:r>
              <w:rPr>
                <w:b/>
                <w:bCs/>
                <w:color w:val="auto"/>
                <w:kern w:val="0"/>
                <w:sz w:val="24"/>
              </w:rPr>
              <w:t>与</w:t>
            </w:r>
            <w:r>
              <w:rPr>
                <w:rFonts w:hint="eastAsia"/>
                <w:b/>
                <w:bCs/>
                <w:color w:val="auto"/>
                <w:kern w:val="0"/>
                <w:sz w:val="24"/>
              </w:rPr>
              <w:t>《中华人民共和国水污染防治法》</w:t>
            </w:r>
            <w:r>
              <w:rPr>
                <w:b/>
                <w:bCs/>
                <w:color w:val="auto"/>
                <w:kern w:val="0"/>
                <w:sz w:val="24"/>
              </w:rPr>
              <w:t>符合性分析一览表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38"/>
              <w:gridCol w:w="2980"/>
              <w:gridCol w:w="1153"/>
            </w:tblGrid>
            <w:tr w14:paraId="68658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6D6063E6">
                  <w:pPr>
                    <w:adjustRightInd w:val="0"/>
                    <w:jc w:val="center"/>
                    <w:rPr>
                      <w:rFonts w:hAnsi="Calibri"/>
                      <w:b/>
                      <w:bCs/>
                      <w:color w:val="auto"/>
                      <w:szCs w:val="21"/>
                    </w:rPr>
                  </w:pPr>
                  <w:r>
                    <w:rPr>
                      <w:rFonts w:hint="eastAsia" w:hAnsi="Calibri"/>
                      <w:b/>
                      <w:bCs/>
                      <w:color w:val="auto"/>
                      <w:szCs w:val="21"/>
                    </w:rPr>
                    <w:t>与本项目相关的法律条文</w:t>
                  </w:r>
                </w:p>
              </w:tc>
              <w:tc>
                <w:tcPr>
                  <w:tcW w:w="1699" w:type="pct"/>
                  <w:vAlign w:val="center"/>
                </w:tcPr>
                <w:p w14:paraId="25E57175">
                  <w:pPr>
                    <w:adjustRightInd w:val="0"/>
                    <w:jc w:val="center"/>
                    <w:rPr>
                      <w:rFonts w:hAnsi="Calibri"/>
                      <w:b/>
                      <w:bCs/>
                      <w:color w:val="auto"/>
                      <w:szCs w:val="21"/>
                    </w:rPr>
                  </w:pPr>
                  <w:r>
                    <w:rPr>
                      <w:rFonts w:hint="eastAsia" w:hAnsi="Calibri"/>
                      <w:b/>
                      <w:bCs/>
                      <w:color w:val="auto"/>
                      <w:szCs w:val="21"/>
                    </w:rPr>
                    <w:t>项目情况</w:t>
                  </w:r>
                </w:p>
              </w:tc>
              <w:tc>
                <w:tcPr>
                  <w:tcW w:w="657" w:type="pct"/>
                  <w:vAlign w:val="center"/>
                </w:tcPr>
                <w:p w14:paraId="6E3E5591">
                  <w:pPr>
                    <w:adjustRightInd w:val="0"/>
                    <w:jc w:val="center"/>
                    <w:rPr>
                      <w:rFonts w:hAnsi="Calibri"/>
                      <w:b/>
                      <w:bCs/>
                      <w:color w:val="auto"/>
                      <w:szCs w:val="21"/>
                    </w:rPr>
                  </w:pPr>
                  <w:r>
                    <w:rPr>
                      <w:rFonts w:hint="eastAsia" w:hAnsi="Calibri"/>
                      <w:b/>
                      <w:bCs/>
                      <w:color w:val="auto"/>
                      <w:szCs w:val="21"/>
                    </w:rPr>
                    <w:t>符合情况</w:t>
                  </w:r>
                </w:p>
              </w:tc>
            </w:tr>
            <w:tr w14:paraId="09EC6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1917A6BB">
                  <w:pPr>
                    <w:adjustRightInd w:val="0"/>
                    <w:jc w:val="center"/>
                    <w:rPr>
                      <w:rFonts w:hAnsi="Calibri"/>
                      <w:color w:val="auto"/>
                      <w:szCs w:val="21"/>
                    </w:rPr>
                  </w:pPr>
                  <w:r>
                    <w:rPr>
                      <w:rFonts w:hint="eastAsia" w:hAnsi="Calibri"/>
                      <w:color w:val="auto"/>
                      <w:szCs w:val="21"/>
                    </w:rPr>
                    <w:t>第十条 排放水污染物，不得超过国家或者地方规定的水污染物排放标准和重点水污染物排放总量控制指标。</w:t>
                  </w:r>
                </w:p>
              </w:tc>
              <w:tc>
                <w:tcPr>
                  <w:tcW w:w="1699" w:type="pct"/>
                  <w:vAlign w:val="center"/>
                </w:tcPr>
                <w:p w14:paraId="3B64224F">
                  <w:pPr>
                    <w:adjustRightInd w:val="0"/>
                    <w:jc w:val="center"/>
                    <w:rPr>
                      <w:rFonts w:hAnsi="Calibri"/>
                      <w:color w:val="auto"/>
                      <w:szCs w:val="21"/>
                    </w:rPr>
                  </w:pPr>
                  <w:r>
                    <w:rPr>
                      <w:rFonts w:hint="eastAsia"/>
                      <w:color w:val="auto"/>
                      <w:kern w:val="0"/>
                      <w:szCs w:val="21"/>
                    </w:rPr>
                    <w:t>项目生产废水循环使用不外排，项目生活污水经化粪池预处理后，采用罐车运至纳古镇污水处理站处理。</w:t>
                  </w:r>
                </w:p>
              </w:tc>
              <w:tc>
                <w:tcPr>
                  <w:tcW w:w="657" w:type="pct"/>
                  <w:vAlign w:val="center"/>
                </w:tcPr>
                <w:p w14:paraId="0B850A64">
                  <w:pPr>
                    <w:adjustRightInd w:val="0"/>
                    <w:jc w:val="center"/>
                    <w:rPr>
                      <w:rFonts w:hAnsi="Calibri"/>
                      <w:color w:val="auto"/>
                      <w:szCs w:val="21"/>
                    </w:rPr>
                  </w:pPr>
                  <w:r>
                    <w:rPr>
                      <w:rFonts w:hint="eastAsia" w:hAnsi="Calibri"/>
                      <w:color w:val="auto"/>
                      <w:szCs w:val="21"/>
                    </w:rPr>
                    <w:t>符合</w:t>
                  </w:r>
                </w:p>
              </w:tc>
            </w:tr>
            <w:tr w14:paraId="5E438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4C7AE172">
                  <w:pPr>
                    <w:adjustRightInd w:val="0"/>
                    <w:jc w:val="center"/>
                    <w:rPr>
                      <w:rFonts w:hAnsi="Calibri"/>
                      <w:color w:val="auto"/>
                      <w:szCs w:val="21"/>
                    </w:rPr>
                  </w:pPr>
                  <w:r>
                    <w:rPr>
                      <w:rFonts w:hint="eastAsia" w:hAnsi="Calibri"/>
                      <w:color w:val="auto"/>
                      <w:szCs w:val="21"/>
                    </w:rPr>
                    <w:t>第十九条 新建、改建、扩建直接或者间接向水体排放污染物的建设项目和其他水上设施，应当依法进行环境影响评价。建设单位在江河、湖泊新建、改建、扩建排污口的，应当取得水行政主管部门或者流域管理机构同意；涉及通航、渔业水域的，环境保护主管部门在审批环境影响评价文件时，应当征求交通、渔业主管部门的意见。建设项目的水污染防治设施，应当与主体工程同时设计、同时施工、同时投入使用。水污染防治设施应当符合经批准或者备案的环境影响评价文件的要求。</w:t>
                  </w:r>
                </w:p>
              </w:tc>
              <w:tc>
                <w:tcPr>
                  <w:tcW w:w="1699" w:type="pct"/>
                  <w:vAlign w:val="center"/>
                </w:tcPr>
                <w:p w14:paraId="21279FE4">
                  <w:pPr>
                    <w:adjustRightInd w:val="0"/>
                    <w:jc w:val="center"/>
                    <w:rPr>
                      <w:rFonts w:hAnsi="Calibri"/>
                      <w:color w:val="auto"/>
                      <w:szCs w:val="21"/>
                    </w:rPr>
                  </w:pPr>
                  <w:r>
                    <w:rPr>
                      <w:rFonts w:hint="eastAsia" w:hAnsi="Calibri"/>
                      <w:color w:val="auto"/>
                      <w:szCs w:val="21"/>
                    </w:rPr>
                    <w:t>本项目依法进行环境影响评价，</w:t>
                  </w:r>
                  <w:r>
                    <w:rPr>
                      <w:rFonts w:hint="eastAsia"/>
                      <w:color w:val="auto"/>
                      <w:kern w:val="0"/>
                      <w:szCs w:val="21"/>
                    </w:rPr>
                    <w:t>项目生产废水循环使用不外排，项目生活污水经化粪池预处理后，采用罐车运至纳古镇污水处理站处理。</w:t>
                  </w:r>
                </w:p>
              </w:tc>
              <w:tc>
                <w:tcPr>
                  <w:tcW w:w="657" w:type="pct"/>
                  <w:vAlign w:val="center"/>
                </w:tcPr>
                <w:p w14:paraId="082DC0A1">
                  <w:pPr>
                    <w:adjustRightInd w:val="0"/>
                    <w:jc w:val="center"/>
                    <w:rPr>
                      <w:rFonts w:hAnsi="Calibri"/>
                      <w:color w:val="auto"/>
                      <w:szCs w:val="21"/>
                    </w:rPr>
                  </w:pPr>
                  <w:r>
                    <w:rPr>
                      <w:rFonts w:hint="eastAsia" w:hAnsi="Calibri"/>
                      <w:color w:val="auto"/>
                      <w:szCs w:val="21"/>
                    </w:rPr>
                    <w:t>符合</w:t>
                  </w:r>
                </w:p>
              </w:tc>
            </w:tr>
            <w:tr w14:paraId="1A0CD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5FE9AF69">
                  <w:pPr>
                    <w:adjustRightInd w:val="0"/>
                    <w:jc w:val="center"/>
                    <w:rPr>
                      <w:rFonts w:hAnsi="Calibri"/>
                      <w:color w:val="auto"/>
                      <w:szCs w:val="21"/>
                    </w:rPr>
                  </w:pPr>
                  <w:r>
                    <w:rPr>
                      <w:rFonts w:hint="eastAsia" w:hAnsi="Calibri"/>
                      <w:color w:val="auto"/>
                      <w:szCs w:val="21"/>
                    </w:rPr>
                    <w:t>第二十条 国家对重点水污染物排放实施总量控制制度。</w:t>
                  </w:r>
                </w:p>
              </w:tc>
              <w:tc>
                <w:tcPr>
                  <w:tcW w:w="1699" w:type="pct"/>
                  <w:vAlign w:val="center"/>
                </w:tcPr>
                <w:p w14:paraId="22FB46E2">
                  <w:pPr>
                    <w:adjustRightInd w:val="0"/>
                    <w:jc w:val="center"/>
                    <w:rPr>
                      <w:rFonts w:hAnsi="Calibri"/>
                      <w:color w:val="auto"/>
                      <w:szCs w:val="21"/>
                    </w:rPr>
                  </w:pPr>
                  <w:r>
                    <w:rPr>
                      <w:rFonts w:hint="eastAsia" w:hAnsi="Calibri"/>
                      <w:color w:val="auto"/>
                      <w:szCs w:val="21"/>
                    </w:rPr>
                    <w:t>本项目不涉及</w:t>
                  </w:r>
                </w:p>
              </w:tc>
              <w:tc>
                <w:tcPr>
                  <w:tcW w:w="657" w:type="pct"/>
                  <w:vAlign w:val="center"/>
                </w:tcPr>
                <w:p w14:paraId="1CDB099F">
                  <w:pPr>
                    <w:adjustRightInd w:val="0"/>
                    <w:jc w:val="center"/>
                    <w:rPr>
                      <w:rFonts w:hAnsi="Calibri"/>
                      <w:color w:val="auto"/>
                      <w:szCs w:val="21"/>
                    </w:rPr>
                  </w:pPr>
                  <w:r>
                    <w:rPr>
                      <w:rFonts w:hint="eastAsia" w:hAnsi="Calibri"/>
                      <w:color w:val="auto"/>
                      <w:szCs w:val="21"/>
                    </w:rPr>
                    <w:t>/</w:t>
                  </w:r>
                </w:p>
              </w:tc>
            </w:tr>
            <w:tr w14:paraId="17F00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78BEE96C">
                  <w:pPr>
                    <w:adjustRightInd w:val="0"/>
                    <w:jc w:val="center"/>
                    <w:rPr>
                      <w:rFonts w:hAnsi="Calibri"/>
                      <w:color w:val="auto"/>
                      <w:szCs w:val="21"/>
                    </w:rPr>
                  </w:pPr>
                  <w:r>
                    <w:rPr>
                      <w:rFonts w:hint="eastAsia" w:hAnsi="Calibri"/>
                      <w:color w:val="auto"/>
                      <w:szCs w:val="21"/>
                    </w:rPr>
                    <w:t>第二十一条 直接或者间接向水体排放工业废水和医疗污水以及其他按照规定应当取得排污许可证方可排放的废水、污水的企业事业单位和其他生产经营者，应当取得排污许可证；城镇污水集中处理设施的运营单位，也应当取得排污许可证。排污许可证应当明确排放水污染物的种类、浓度、总量和排放去向等要求。排污许可的具体办法由国务院规定。禁止企业事业单位和其他生产经营者无排污许可证或者违反排污许可证的规定向水体排放前款规定的废水、污水。</w:t>
                  </w:r>
                </w:p>
              </w:tc>
              <w:tc>
                <w:tcPr>
                  <w:tcW w:w="1699" w:type="pct"/>
                  <w:vAlign w:val="center"/>
                </w:tcPr>
                <w:p w14:paraId="4F0DD4A9">
                  <w:pPr>
                    <w:adjustRightInd w:val="0"/>
                    <w:jc w:val="center"/>
                    <w:rPr>
                      <w:rFonts w:hAnsi="Calibri"/>
                      <w:color w:val="auto"/>
                      <w:szCs w:val="21"/>
                    </w:rPr>
                  </w:pPr>
                  <w:r>
                    <w:rPr>
                      <w:rFonts w:hint="eastAsia"/>
                      <w:color w:val="auto"/>
                      <w:kern w:val="0"/>
                      <w:szCs w:val="21"/>
                    </w:rPr>
                    <w:t>项目生产废水循环使用不外排，项目生活污水经化粪池预处理后，采用罐车运至纳古镇污水处理站处理。</w:t>
                  </w:r>
                </w:p>
              </w:tc>
              <w:tc>
                <w:tcPr>
                  <w:tcW w:w="657" w:type="pct"/>
                  <w:vAlign w:val="center"/>
                </w:tcPr>
                <w:p w14:paraId="60A43E1F">
                  <w:pPr>
                    <w:adjustRightInd w:val="0"/>
                    <w:jc w:val="center"/>
                    <w:rPr>
                      <w:rFonts w:hAnsi="Calibri"/>
                      <w:color w:val="auto"/>
                      <w:szCs w:val="21"/>
                    </w:rPr>
                  </w:pPr>
                  <w:r>
                    <w:rPr>
                      <w:rFonts w:hint="eastAsia" w:hAnsi="Calibri"/>
                      <w:color w:val="auto"/>
                      <w:szCs w:val="21"/>
                    </w:rPr>
                    <w:t>符合</w:t>
                  </w:r>
                </w:p>
              </w:tc>
            </w:tr>
            <w:tr w14:paraId="41028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6E2BA62D">
                  <w:pPr>
                    <w:adjustRightInd w:val="0"/>
                    <w:jc w:val="center"/>
                    <w:rPr>
                      <w:rFonts w:hAnsi="Calibri"/>
                      <w:color w:val="auto"/>
                      <w:szCs w:val="21"/>
                    </w:rPr>
                  </w:pPr>
                  <w:r>
                    <w:rPr>
                      <w:rFonts w:hint="eastAsia" w:hAnsi="Calibri"/>
                      <w:color w:val="auto"/>
                      <w:szCs w:val="21"/>
                    </w:rPr>
                    <w:t>第二十二条 向水体排放污染物的企业事业单位和其他生产经营者，应当按照法律、行政法规和国务院环境保护主管部门的规定设置排污口；在江河、湖泊设置排污口的，还应当遵守国务院水行政主管部门的规定。</w:t>
                  </w:r>
                </w:p>
              </w:tc>
              <w:tc>
                <w:tcPr>
                  <w:tcW w:w="1699" w:type="pct"/>
                  <w:vAlign w:val="center"/>
                </w:tcPr>
                <w:p w14:paraId="1B92F4A6">
                  <w:pPr>
                    <w:adjustRightInd w:val="0"/>
                    <w:jc w:val="center"/>
                    <w:rPr>
                      <w:color w:val="auto"/>
                      <w:kern w:val="0"/>
                      <w:szCs w:val="21"/>
                    </w:rPr>
                  </w:pPr>
                  <w:r>
                    <w:rPr>
                      <w:rFonts w:hint="eastAsia"/>
                      <w:color w:val="auto"/>
                      <w:kern w:val="0"/>
                      <w:szCs w:val="21"/>
                    </w:rPr>
                    <w:t>项目生产废水循环使用不外排，项目生活污水经化粪池预处理后，采用罐车运至纳古镇污水处理站处理。</w:t>
                  </w:r>
                </w:p>
              </w:tc>
              <w:tc>
                <w:tcPr>
                  <w:tcW w:w="657" w:type="pct"/>
                  <w:vAlign w:val="center"/>
                </w:tcPr>
                <w:p w14:paraId="6FC05826">
                  <w:pPr>
                    <w:adjustRightInd w:val="0"/>
                    <w:jc w:val="center"/>
                    <w:rPr>
                      <w:rFonts w:hAnsi="Calibri"/>
                      <w:color w:val="auto"/>
                      <w:szCs w:val="21"/>
                    </w:rPr>
                  </w:pPr>
                  <w:r>
                    <w:rPr>
                      <w:rFonts w:hint="eastAsia" w:hAnsi="Calibri"/>
                      <w:color w:val="auto"/>
                      <w:szCs w:val="21"/>
                    </w:rPr>
                    <w:t>符合</w:t>
                  </w:r>
                </w:p>
              </w:tc>
            </w:tr>
            <w:tr w14:paraId="60600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19F9B1D3">
                  <w:pPr>
                    <w:adjustRightInd w:val="0"/>
                    <w:jc w:val="center"/>
                    <w:rPr>
                      <w:rFonts w:hAnsi="Calibri"/>
                      <w:color w:val="auto"/>
                      <w:szCs w:val="21"/>
                    </w:rPr>
                  </w:pPr>
                  <w:r>
                    <w:rPr>
                      <w:rFonts w:hint="eastAsia" w:hAnsi="Calibri"/>
                      <w:color w:val="auto"/>
                      <w:szCs w:val="21"/>
                    </w:rPr>
                    <w:t>第四十五条 排放工业废水的企业应当采取有效措施，收集和处理产生的全部废水，防止污染环境。含有毒有害水污染物的工业废水应当分类收集和处理，不得稀释排放。工业集聚区应当配套建设相应的污水集中处理设施，安装自动监测设备，与环境保护主管部门的监控设备联网，并保证监测设备正常运行。向污水集中处理设施排放工业废水的，应当按照国家有关规定进行预处理，达到集中处理设施处理工艺要求后方可排放。</w:t>
                  </w:r>
                </w:p>
              </w:tc>
              <w:tc>
                <w:tcPr>
                  <w:tcW w:w="1699" w:type="pct"/>
                  <w:vAlign w:val="center"/>
                </w:tcPr>
                <w:p w14:paraId="1B27A9D8">
                  <w:pPr>
                    <w:adjustRightInd w:val="0"/>
                    <w:jc w:val="center"/>
                    <w:rPr>
                      <w:color w:val="auto"/>
                      <w:kern w:val="0"/>
                      <w:szCs w:val="21"/>
                    </w:rPr>
                  </w:pPr>
                  <w:r>
                    <w:rPr>
                      <w:rFonts w:hint="eastAsia"/>
                      <w:color w:val="auto"/>
                      <w:kern w:val="0"/>
                      <w:szCs w:val="21"/>
                    </w:rPr>
                    <w:t>项目生产废水循环使用不外排，项目生活污水经化粪池预处理后，采用罐车运至纳古镇污水处理站处理。</w:t>
                  </w:r>
                </w:p>
              </w:tc>
              <w:tc>
                <w:tcPr>
                  <w:tcW w:w="657" w:type="pct"/>
                  <w:vAlign w:val="center"/>
                </w:tcPr>
                <w:p w14:paraId="5BAB942A">
                  <w:pPr>
                    <w:adjustRightInd w:val="0"/>
                    <w:jc w:val="center"/>
                    <w:rPr>
                      <w:rFonts w:hAnsi="Calibri"/>
                      <w:color w:val="auto"/>
                      <w:szCs w:val="21"/>
                    </w:rPr>
                  </w:pPr>
                  <w:r>
                    <w:rPr>
                      <w:rFonts w:hint="eastAsia" w:hAnsi="Calibri"/>
                      <w:color w:val="auto"/>
                      <w:szCs w:val="21"/>
                    </w:rPr>
                    <w:t>符合</w:t>
                  </w:r>
                </w:p>
              </w:tc>
            </w:tr>
            <w:tr w14:paraId="3CB8B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5E18EC3D">
                  <w:pPr>
                    <w:adjustRightInd w:val="0"/>
                    <w:jc w:val="center"/>
                    <w:rPr>
                      <w:rFonts w:hAnsi="Calibri"/>
                      <w:color w:val="auto"/>
                      <w:szCs w:val="21"/>
                    </w:rPr>
                  </w:pPr>
                  <w:r>
                    <w:rPr>
                      <w:rFonts w:hint="eastAsia" w:hAnsi="Calibri"/>
                      <w:color w:val="auto"/>
                      <w:szCs w:val="21"/>
                    </w:rPr>
                    <w:t>第四十六条 国家对严重污染水环境的落后工艺和设备实行淘汰制度。</w:t>
                  </w:r>
                </w:p>
              </w:tc>
              <w:tc>
                <w:tcPr>
                  <w:tcW w:w="1699" w:type="pct"/>
                  <w:vAlign w:val="center"/>
                </w:tcPr>
                <w:p w14:paraId="7D2BCD67">
                  <w:pPr>
                    <w:adjustRightInd w:val="0"/>
                    <w:jc w:val="center"/>
                    <w:rPr>
                      <w:rFonts w:hAnsi="Calibri"/>
                      <w:color w:val="auto"/>
                      <w:szCs w:val="21"/>
                    </w:rPr>
                  </w:pPr>
                  <w:r>
                    <w:rPr>
                      <w:rFonts w:hint="eastAsia" w:hAnsi="Calibri"/>
                      <w:color w:val="auto"/>
                      <w:szCs w:val="21"/>
                    </w:rPr>
                    <w:t>根据《产业结构调整指导目录（2024年本）》，本项目不属于淘汰类、限制类。</w:t>
                  </w:r>
                </w:p>
              </w:tc>
              <w:tc>
                <w:tcPr>
                  <w:tcW w:w="657" w:type="pct"/>
                  <w:vAlign w:val="center"/>
                </w:tcPr>
                <w:p w14:paraId="1473E22E">
                  <w:pPr>
                    <w:adjustRightInd w:val="0"/>
                    <w:jc w:val="center"/>
                    <w:rPr>
                      <w:rFonts w:hAnsi="Calibri"/>
                      <w:color w:val="auto"/>
                      <w:szCs w:val="21"/>
                    </w:rPr>
                  </w:pPr>
                  <w:r>
                    <w:rPr>
                      <w:rFonts w:hint="eastAsia" w:hAnsi="Calibri"/>
                      <w:color w:val="auto"/>
                      <w:szCs w:val="21"/>
                    </w:rPr>
                    <w:t>符合</w:t>
                  </w:r>
                </w:p>
              </w:tc>
            </w:tr>
            <w:tr w14:paraId="1AD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158FE1FD">
                  <w:pPr>
                    <w:adjustRightInd w:val="0"/>
                    <w:jc w:val="center"/>
                    <w:rPr>
                      <w:rFonts w:hAnsi="Calibri"/>
                      <w:color w:val="auto"/>
                      <w:szCs w:val="21"/>
                    </w:rPr>
                  </w:pPr>
                  <w:r>
                    <w:rPr>
                      <w:rFonts w:hint="eastAsia" w:hAnsi="Calibri"/>
                      <w:color w:val="auto"/>
                      <w:szCs w:val="21"/>
                    </w:rPr>
                    <w:t>第四十七条 国家禁止新建不符合国家产业政策的小型造纸、制革、印染、染料、炼焦、炼硫、炼砷、炼汞、炼油、电镀、农药、石棉、水泥、玻璃、钢铁、火电以及其他严重污染水环境的生产项目。</w:t>
                  </w:r>
                </w:p>
              </w:tc>
              <w:tc>
                <w:tcPr>
                  <w:tcW w:w="1699" w:type="pct"/>
                  <w:vAlign w:val="center"/>
                </w:tcPr>
                <w:p w14:paraId="4BDD7728">
                  <w:pPr>
                    <w:adjustRightInd w:val="0"/>
                    <w:jc w:val="center"/>
                    <w:rPr>
                      <w:rFonts w:hAnsi="Calibri"/>
                      <w:color w:val="auto"/>
                      <w:szCs w:val="21"/>
                    </w:rPr>
                  </w:pPr>
                  <w:r>
                    <w:rPr>
                      <w:rFonts w:hint="eastAsia" w:hAnsi="Calibri"/>
                      <w:color w:val="auto"/>
                      <w:szCs w:val="21"/>
                    </w:rPr>
                    <w:t>本项目不属于禁止新建不符合国家产业政策的生产项目。</w:t>
                  </w:r>
                </w:p>
              </w:tc>
              <w:tc>
                <w:tcPr>
                  <w:tcW w:w="657" w:type="pct"/>
                  <w:vAlign w:val="center"/>
                </w:tcPr>
                <w:p w14:paraId="0A3127FB">
                  <w:pPr>
                    <w:adjustRightInd w:val="0"/>
                    <w:jc w:val="center"/>
                    <w:rPr>
                      <w:rFonts w:hAnsi="Calibri"/>
                      <w:color w:val="auto"/>
                      <w:szCs w:val="21"/>
                    </w:rPr>
                  </w:pPr>
                  <w:r>
                    <w:rPr>
                      <w:rFonts w:hint="eastAsia" w:hAnsi="Calibri"/>
                      <w:color w:val="auto"/>
                      <w:szCs w:val="21"/>
                    </w:rPr>
                    <w:t>符合</w:t>
                  </w:r>
                </w:p>
              </w:tc>
            </w:tr>
          </w:tbl>
          <w:p w14:paraId="562EA565">
            <w:pPr>
              <w:autoSpaceDE w:val="0"/>
              <w:autoSpaceDN w:val="0"/>
              <w:adjustRightInd w:val="0"/>
              <w:snapToGrid w:val="0"/>
              <w:spacing w:line="360" w:lineRule="auto"/>
              <w:ind w:firstLine="480" w:firstLineChars="200"/>
              <w:jc w:val="left"/>
              <w:rPr>
                <w:color w:val="auto"/>
                <w:kern w:val="0"/>
                <w:sz w:val="24"/>
              </w:rPr>
            </w:pPr>
            <w:r>
              <w:rPr>
                <w:rFonts w:hint="eastAsia"/>
                <w:color w:val="auto"/>
                <w:kern w:val="0"/>
                <w:sz w:val="24"/>
              </w:rPr>
              <w:t>综上，本项目符合《中华人民共和国水污染防治法》》（2</w:t>
            </w:r>
            <w:r>
              <w:rPr>
                <w:color w:val="auto"/>
                <w:kern w:val="0"/>
                <w:sz w:val="24"/>
              </w:rPr>
              <w:t>018</w:t>
            </w:r>
            <w:r>
              <w:rPr>
                <w:rFonts w:hint="eastAsia"/>
                <w:color w:val="auto"/>
                <w:kern w:val="0"/>
                <w:sz w:val="24"/>
              </w:rPr>
              <w:t>年</w:t>
            </w:r>
            <w:r>
              <w:rPr>
                <w:color w:val="auto"/>
                <w:kern w:val="0"/>
                <w:sz w:val="24"/>
              </w:rPr>
              <w:t>1</w:t>
            </w:r>
            <w:r>
              <w:rPr>
                <w:rFonts w:hint="eastAsia"/>
                <w:color w:val="auto"/>
                <w:kern w:val="0"/>
                <w:sz w:val="24"/>
              </w:rPr>
              <w:t>月</w:t>
            </w:r>
            <w:r>
              <w:rPr>
                <w:color w:val="auto"/>
                <w:kern w:val="0"/>
                <w:sz w:val="24"/>
              </w:rPr>
              <w:t>1</w:t>
            </w:r>
            <w:r>
              <w:rPr>
                <w:rFonts w:hint="eastAsia"/>
                <w:color w:val="auto"/>
                <w:kern w:val="0"/>
                <w:sz w:val="24"/>
              </w:rPr>
              <w:t>日）的相关规定。</w:t>
            </w:r>
          </w:p>
          <w:p w14:paraId="5650ECD6">
            <w:pPr>
              <w:autoSpaceDE w:val="0"/>
              <w:autoSpaceDN w:val="0"/>
              <w:adjustRightInd w:val="0"/>
              <w:snapToGrid w:val="0"/>
              <w:spacing w:line="360" w:lineRule="auto"/>
              <w:ind w:firstLine="482" w:firstLineChars="200"/>
              <w:jc w:val="left"/>
              <w:rPr>
                <w:b/>
                <w:bCs/>
                <w:color w:val="auto"/>
                <w:kern w:val="0"/>
                <w:sz w:val="24"/>
              </w:rPr>
            </w:pPr>
            <w:r>
              <w:rPr>
                <w:rFonts w:hint="eastAsia"/>
                <w:b/>
                <w:bCs/>
                <w:color w:val="auto"/>
                <w:kern w:val="0"/>
                <w:sz w:val="24"/>
              </w:rPr>
              <w:t>3、与《云南省长江经济带发展负面清单指南实施细则（试行）（试行，2022年版）》符合性分析</w:t>
            </w:r>
          </w:p>
          <w:p w14:paraId="799AC22D">
            <w:pPr>
              <w:autoSpaceDE w:val="0"/>
              <w:autoSpaceDN w:val="0"/>
              <w:adjustRightInd w:val="0"/>
              <w:snapToGrid w:val="0"/>
              <w:spacing w:line="360" w:lineRule="auto"/>
              <w:ind w:firstLine="241" w:firstLineChars="100"/>
              <w:rPr>
                <w:b/>
                <w:bCs/>
                <w:color w:val="auto"/>
                <w:kern w:val="0"/>
                <w:sz w:val="24"/>
              </w:rPr>
            </w:pPr>
            <w:r>
              <w:rPr>
                <w:b/>
                <w:bCs/>
                <w:color w:val="auto"/>
                <w:kern w:val="0"/>
                <w:sz w:val="24"/>
              </w:rPr>
              <w:t>表</w:t>
            </w:r>
            <w:r>
              <w:rPr>
                <w:rFonts w:hint="eastAsia"/>
                <w:b/>
                <w:bCs/>
                <w:color w:val="auto"/>
                <w:kern w:val="0"/>
                <w:sz w:val="24"/>
              </w:rPr>
              <w:t>1-5</w:t>
            </w:r>
            <w:r>
              <w:rPr>
                <w:b/>
                <w:bCs/>
                <w:color w:val="auto"/>
                <w:kern w:val="0"/>
                <w:sz w:val="24"/>
              </w:rPr>
              <w:t xml:space="preserve"> 与</w:t>
            </w:r>
            <w:r>
              <w:rPr>
                <w:rFonts w:hint="eastAsia"/>
                <w:b/>
                <w:bCs/>
                <w:color w:val="auto"/>
                <w:kern w:val="0"/>
                <w:sz w:val="24"/>
              </w:rPr>
              <w:t>《云南省长江经济带发展负面清单指南实施细则（试行）（试行，2022年版）》</w:t>
            </w:r>
            <w:r>
              <w:rPr>
                <w:b/>
                <w:bCs/>
                <w:color w:val="auto"/>
                <w:kern w:val="0"/>
                <w:sz w:val="24"/>
              </w:rPr>
              <w:t>符合性分析</w:t>
            </w:r>
          </w:p>
          <w:tbl>
            <w:tblPr>
              <w:tblStyle w:val="32"/>
              <w:tblW w:w="87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5177"/>
              <w:gridCol w:w="1946"/>
              <w:gridCol w:w="870"/>
            </w:tblGrid>
            <w:tr w14:paraId="29FB9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Align w:val="center"/>
                </w:tcPr>
                <w:p w14:paraId="411842E4">
                  <w:pPr>
                    <w:jc w:val="center"/>
                    <w:rPr>
                      <w:bCs/>
                      <w:color w:val="auto"/>
                      <w:kern w:val="28"/>
                      <w:szCs w:val="21"/>
                    </w:rPr>
                  </w:pPr>
                  <w:r>
                    <w:rPr>
                      <w:rFonts w:hint="eastAsia"/>
                      <w:bCs/>
                      <w:color w:val="auto"/>
                      <w:kern w:val="28"/>
                      <w:szCs w:val="21"/>
                    </w:rPr>
                    <w:t>序号</w:t>
                  </w:r>
                </w:p>
              </w:tc>
              <w:tc>
                <w:tcPr>
                  <w:tcW w:w="5177" w:type="dxa"/>
                  <w:vAlign w:val="center"/>
                </w:tcPr>
                <w:p w14:paraId="5ACAF91F">
                  <w:pPr>
                    <w:jc w:val="center"/>
                    <w:rPr>
                      <w:bCs/>
                      <w:color w:val="auto"/>
                      <w:kern w:val="28"/>
                      <w:szCs w:val="21"/>
                    </w:rPr>
                  </w:pPr>
                  <w:r>
                    <w:rPr>
                      <w:rFonts w:hint="eastAsia"/>
                      <w:bCs/>
                      <w:color w:val="auto"/>
                      <w:kern w:val="28"/>
                      <w:szCs w:val="21"/>
                    </w:rPr>
                    <w:t>相关规定</w:t>
                  </w:r>
                </w:p>
              </w:tc>
              <w:tc>
                <w:tcPr>
                  <w:tcW w:w="1946" w:type="dxa"/>
                  <w:vAlign w:val="center"/>
                </w:tcPr>
                <w:p w14:paraId="37C4015D">
                  <w:pPr>
                    <w:jc w:val="center"/>
                    <w:rPr>
                      <w:bCs/>
                      <w:color w:val="auto"/>
                      <w:kern w:val="28"/>
                      <w:szCs w:val="21"/>
                    </w:rPr>
                  </w:pPr>
                  <w:r>
                    <w:rPr>
                      <w:rFonts w:hint="eastAsia"/>
                      <w:bCs/>
                      <w:color w:val="auto"/>
                      <w:kern w:val="28"/>
                      <w:szCs w:val="21"/>
                    </w:rPr>
                    <w:t>本项目</w:t>
                  </w:r>
                </w:p>
              </w:tc>
              <w:tc>
                <w:tcPr>
                  <w:tcW w:w="870" w:type="dxa"/>
                  <w:vAlign w:val="center"/>
                </w:tcPr>
                <w:p w14:paraId="75752439">
                  <w:pPr>
                    <w:jc w:val="center"/>
                    <w:rPr>
                      <w:bCs/>
                      <w:color w:val="auto"/>
                      <w:kern w:val="28"/>
                      <w:szCs w:val="21"/>
                    </w:rPr>
                  </w:pPr>
                  <w:r>
                    <w:rPr>
                      <w:rFonts w:hint="eastAsia"/>
                      <w:bCs/>
                      <w:color w:val="auto"/>
                      <w:kern w:val="28"/>
                      <w:szCs w:val="21"/>
                    </w:rPr>
                    <w:t>符合性</w:t>
                  </w:r>
                </w:p>
              </w:tc>
            </w:tr>
            <w:tr w14:paraId="0F6F7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Align w:val="center"/>
                </w:tcPr>
                <w:p w14:paraId="34E6C426">
                  <w:pPr>
                    <w:jc w:val="center"/>
                    <w:rPr>
                      <w:bCs/>
                      <w:color w:val="auto"/>
                      <w:kern w:val="28"/>
                      <w:szCs w:val="21"/>
                    </w:rPr>
                  </w:pPr>
                  <w:r>
                    <w:rPr>
                      <w:rFonts w:hint="eastAsia"/>
                      <w:bCs/>
                      <w:color w:val="auto"/>
                      <w:kern w:val="28"/>
                      <w:szCs w:val="21"/>
                    </w:rPr>
                    <w:t>1</w:t>
                  </w:r>
                </w:p>
              </w:tc>
              <w:tc>
                <w:tcPr>
                  <w:tcW w:w="5177" w:type="dxa"/>
                  <w:vAlign w:val="center"/>
                </w:tcPr>
                <w:p w14:paraId="13FFB5FB">
                  <w:pPr>
                    <w:jc w:val="center"/>
                    <w:rPr>
                      <w:bCs/>
                      <w:color w:val="auto"/>
                      <w:kern w:val="28"/>
                      <w:szCs w:val="21"/>
                    </w:rPr>
                  </w:pPr>
                  <w:r>
                    <w:rPr>
                      <w:bCs/>
                      <w:color w:val="auto"/>
                      <w:szCs w:val="21"/>
                    </w:rPr>
                    <w:t>禁止新建、改建和扩建不符合《全国内河航道与港口布局规划》等全国港口规划和《昭通市港口码头岸线规划（金沙江段2019年-2035年）》、《景洪港总体规划（2019-2035年）》等州（市）级以上港口布局规划以及港口总体规划的码头项目。</w:t>
                  </w:r>
                </w:p>
              </w:tc>
              <w:tc>
                <w:tcPr>
                  <w:tcW w:w="1946" w:type="dxa"/>
                  <w:vAlign w:val="center"/>
                </w:tcPr>
                <w:p w14:paraId="53F51F4C">
                  <w:pPr>
                    <w:jc w:val="center"/>
                    <w:rPr>
                      <w:bCs/>
                      <w:color w:val="auto"/>
                      <w:kern w:val="28"/>
                      <w:szCs w:val="21"/>
                    </w:rPr>
                  </w:pPr>
                  <w:r>
                    <w:rPr>
                      <w:bCs/>
                      <w:color w:val="auto"/>
                      <w:szCs w:val="21"/>
                    </w:rPr>
                    <w:t>本项目不属于码头及过长江通道项目。</w:t>
                  </w:r>
                </w:p>
              </w:tc>
              <w:tc>
                <w:tcPr>
                  <w:tcW w:w="870" w:type="dxa"/>
                  <w:vAlign w:val="center"/>
                </w:tcPr>
                <w:p w14:paraId="7DBE7A87">
                  <w:pPr>
                    <w:jc w:val="center"/>
                    <w:rPr>
                      <w:bCs/>
                      <w:color w:val="auto"/>
                      <w:kern w:val="28"/>
                      <w:szCs w:val="21"/>
                    </w:rPr>
                  </w:pPr>
                  <w:r>
                    <w:rPr>
                      <w:bCs/>
                      <w:color w:val="auto"/>
                      <w:szCs w:val="21"/>
                    </w:rPr>
                    <w:t>符合</w:t>
                  </w:r>
                </w:p>
              </w:tc>
            </w:tr>
            <w:tr w14:paraId="26C38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Align w:val="center"/>
                </w:tcPr>
                <w:p w14:paraId="424EA0E1">
                  <w:pPr>
                    <w:jc w:val="center"/>
                    <w:rPr>
                      <w:bCs/>
                      <w:color w:val="auto"/>
                      <w:kern w:val="28"/>
                      <w:szCs w:val="21"/>
                    </w:rPr>
                  </w:pPr>
                  <w:r>
                    <w:rPr>
                      <w:rFonts w:hint="eastAsia"/>
                      <w:bCs/>
                      <w:color w:val="auto"/>
                      <w:kern w:val="28"/>
                      <w:szCs w:val="21"/>
                    </w:rPr>
                    <w:t>2</w:t>
                  </w:r>
                </w:p>
              </w:tc>
              <w:tc>
                <w:tcPr>
                  <w:tcW w:w="5177" w:type="dxa"/>
                  <w:vAlign w:val="center"/>
                </w:tcPr>
                <w:p w14:paraId="5D7EB5B2">
                  <w:pPr>
                    <w:jc w:val="center"/>
                    <w:rPr>
                      <w:bCs/>
                      <w:color w:val="auto"/>
                      <w:szCs w:val="21"/>
                    </w:rPr>
                  </w:pPr>
                  <w:r>
                    <w:rPr>
                      <w:rFonts w:hint="eastAsia"/>
                      <w:bCs/>
                      <w:color w:val="auto"/>
                      <w:szCs w:val="21"/>
                    </w:rPr>
                    <w:t>禁止在自然保护区核心区、缓冲区的岸线和河段范围内投资建设旅游和生产经营项目。禁止建设与自然保护区保护方向不一致的旅游项目。禁止在自然保护区内进行开矿、采石、 挖沙等活动。禁止在自然保护区的核心区和缓冲区内建设任何生产设施，禁止在自然保护区的实验区内建设污染环境、破坏资源或者景观的生产设施。</w:t>
                  </w:r>
                </w:p>
              </w:tc>
              <w:tc>
                <w:tcPr>
                  <w:tcW w:w="1946" w:type="dxa"/>
                  <w:vAlign w:val="center"/>
                </w:tcPr>
                <w:p w14:paraId="610D6553">
                  <w:pPr>
                    <w:jc w:val="center"/>
                    <w:rPr>
                      <w:bCs/>
                      <w:color w:val="auto"/>
                      <w:szCs w:val="21"/>
                    </w:rPr>
                  </w:pPr>
                  <w:r>
                    <w:rPr>
                      <w:rFonts w:hint="eastAsia"/>
                      <w:bCs/>
                      <w:color w:val="auto"/>
                      <w:kern w:val="28"/>
                      <w:szCs w:val="21"/>
                    </w:rPr>
                    <w:t>本项目用地不涉及自然保护区核心区、缓冲区的岸线和河段范围。</w:t>
                  </w:r>
                </w:p>
              </w:tc>
              <w:tc>
                <w:tcPr>
                  <w:tcW w:w="870" w:type="dxa"/>
                  <w:vAlign w:val="center"/>
                </w:tcPr>
                <w:p w14:paraId="59F4FE10">
                  <w:pPr>
                    <w:jc w:val="center"/>
                    <w:rPr>
                      <w:bCs/>
                      <w:color w:val="auto"/>
                      <w:szCs w:val="21"/>
                    </w:rPr>
                  </w:pPr>
                  <w:r>
                    <w:rPr>
                      <w:bCs/>
                      <w:color w:val="auto"/>
                      <w:szCs w:val="21"/>
                    </w:rPr>
                    <w:t>符合</w:t>
                  </w:r>
                </w:p>
              </w:tc>
            </w:tr>
            <w:tr w14:paraId="04F6B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Align w:val="center"/>
                </w:tcPr>
                <w:p w14:paraId="374419D2">
                  <w:pPr>
                    <w:jc w:val="center"/>
                    <w:rPr>
                      <w:bCs/>
                      <w:color w:val="auto"/>
                      <w:kern w:val="28"/>
                      <w:szCs w:val="21"/>
                    </w:rPr>
                  </w:pPr>
                  <w:r>
                    <w:rPr>
                      <w:rFonts w:hint="eastAsia"/>
                      <w:bCs/>
                      <w:color w:val="auto"/>
                      <w:kern w:val="28"/>
                      <w:szCs w:val="21"/>
                    </w:rPr>
                    <w:t>3</w:t>
                  </w:r>
                </w:p>
              </w:tc>
              <w:tc>
                <w:tcPr>
                  <w:tcW w:w="5177" w:type="dxa"/>
                  <w:vAlign w:val="center"/>
                </w:tcPr>
                <w:p w14:paraId="4A9F6AE0">
                  <w:pPr>
                    <w:jc w:val="center"/>
                    <w:rPr>
                      <w:bCs/>
                      <w:color w:val="auto"/>
                      <w:szCs w:val="21"/>
                    </w:rPr>
                  </w:pPr>
                  <w:r>
                    <w:rPr>
                      <w:rFonts w:hint="eastAsia"/>
                      <w:bCs/>
                      <w:color w:val="auto"/>
                      <w:szCs w:val="21"/>
                    </w:rPr>
                    <w:t>禁止在风景名胜区核心景区的岸线和河段范围内投资建设与风景名胜资源保护无关的项目。禁止在风景名胜区内进行开山、采石、开矿、开荒、修坟立碑等破坏景观、植被和地形地貌的活动以及修建储存爆炸性、易燃性、放射性、毒害性、 腐蚀性物品的设施；禁止在风景名胜区内设立开发区和在核心景区内建设宾馆、会所、培训中心、疗养院以及与风景名胜资源保护无关的投资建设项目。</w:t>
                  </w:r>
                </w:p>
              </w:tc>
              <w:tc>
                <w:tcPr>
                  <w:tcW w:w="1946" w:type="dxa"/>
                  <w:vAlign w:val="center"/>
                </w:tcPr>
                <w:p w14:paraId="60D3E831">
                  <w:pPr>
                    <w:jc w:val="center"/>
                    <w:rPr>
                      <w:bCs/>
                      <w:color w:val="auto"/>
                      <w:kern w:val="28"/>
                      <w:szCs w:val="21"/>
                    </w:rPr>
                  </w:pPr>
                  <w:r>
                    <w:rPr>
                      <w:rFonts w:hint="eastAsia"/>
                      <w:bCs/>
                      <w:color w:val="auto"/>
                      <w:kern w:val="28"/>
                      <w:szCs w:val="21"/>
                    </w:rPr>
                    <w:t>本项目用地不涉及风景名胜区核心景区的岸线和河段范围。</w:t>
                  </w:r>
                </w:p>
              </w:tc>
              <w:tc>
                <w:tcPr>
                  <w:tcW w:w="870" w:type="dxa"/>
                  <w:vAlign w:val="center"/>
                </w:tcPr>
                <w:p w14:paraId="3C7F9151">
                  <w:pPr>
                    <w:jc w:val="center"/>
                    <w:rPr>
                      <w:bCs/>
                      <w:color w:val="auto"/>
                      <w:szCs w:val="21"/>
                    </w:rPr>
                  </w:pPr>
                  <w:r>
                    <w:rPr>
                      <w:bCs/>
                      <w:color w:val="auto"/>
                      <w:szCs w:val="21"/>
                    </w:rPr>
                    <w:t>符合</w:t>
                  </w:r>
                </w:p>
              </w:tc>
            </w:tr>
            <w:tr w14:paraId="76EC5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Align w:val="center"/>
                </w:tcPr>
                <w:p w14:paraId="06FFD818">
                  <w:pPr>
                    <w:jc w:val="center"/>
                    <w:rPr>
                      <w:bCs/>
                      <w:color w:val="auto"/>
                      <w:kern w:val="28"/>
                      <w:szCs w:val="21"/>
                    </w:rPr>
                  </w:pPr>
                  <w:r>
                    <w:rPr>
                      <w:rFonts w:hint="eastAsia"/>
                      <w:bCs/>
                      <w:color w:val="auto"/>
                      <w:kern w:val="28"/>
                      <w:szCs w:val="21"/>
                    </w:rPr>
                    <w:t>4</w:t>
                  </w:r>
                </w:p>
              </w:tc>
              <w:tc>
                <w:tcPr>
                  <w:tcW w:w="5177" w:type="dxa"/>
                  <w:vAlign w:val="center"/>
                </w:tcPr>
                <w:p w14:paraId="2011BBE1">
                  <w:pPr>
                    <w:jc w:val="center"/>
                    <w:rPr>
                      <w:bCs/>
                      <w:color w:val="auto"/>
                      <w:szCs w:val="21"/>
                    </w:rPr>
                  </w:pPr>
                  <w:r>
                    <w:rPr>
                      <w:rFonts w:hint="eastAsia"/>
                      <w:bCs/>
                      <w:color w:val="auto"/>
                      <w:szCs w:val="21"/>
                    </w:rPr>
                    <w:t>禁止在饮用水水源一级保护区的岸线和河段范围内新建、改建、扩建与供水设施和保护水源无关的投资建设项目， 以及网箱养殖、畜禽养殖、旅游等可能污染饮用水水体的投资建设项目。禁止在饮用水水源二级保护区的岸线和河段范围内新 建、改建、扩建排放污染物的投资建设项目。</w:t>
                  </w:r>
                </w:p>
              </w:tc>
              <w:tc>
                <w:tcPr>
                  <w:tcW w:w="1946" w:type="dxa"/>
                  <w:vAlign w:val="center"/>
                </w:tcPr>
                <w:p w14:paraId="63617230">
                  <w:pPr>
                    <w:jc w:val="center"/>
                    <w:rPr>
                      <w:bCs/>
                      <w:color w:val="auto"/>
                      <w:kern w:val="28"/>
                      <w:szCs w:val="21"/>
                    </w:rPr>
                  </w:pPr>
                  <w:r>
                    <w:rPr>
                      <w:rFonts w:hint="eastAsia"/>
                      <w:bCs/>
                      <w:color w:val="auto"/>
                      <w:kern w:val="28"/>
                      <w:szCs w:val="21"/>
                    </w:rPr>
                    <w:t>本项目用地不涉及饮用水水源一级、二级保护区的岸线和河段范围。</w:t>
                  </w:r>
                </w:p>
              </w:tc>
              <w:tc>
                <w:tcPr>
                  <w:tcW w:w="870" w:type="dxa"/>
                  <w:vAlign w:val="center"/>
                </w:tcPr>
                <w:p w14:paraId="2C669845">
                  <w:pPr>
                    <w:jc w:val="center"/>
                    <w:rPr>
                      <w:bCs/>
                      <w:color w:val="auto"/>
                      <w:szCs w:val="21"/>
                    </w:rPr>
                  </w:pPr>
                  <w:r>
                    <w:rPr>
                      <w:bCs/>
                      <w:color w:val="auto"/>
                      <w:szCs w:val="21"/>
                    </w:rPr>
                    <w:t>符合</w:t>
                  </w:r>
                </w:p>
              </w:tc>
            </w:tr>
            <w:tr w14:paraId="49DBB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Align w:val="center"/>
                </w:tcPr>
                <w:p w14:paraId="6448378F">
                  <w:pPr>
                    <w:jc w:val="center"/>
                    <w:rPr>
                      <w:bCs/>
                      <w:color w:val="auto"/>
                      <w:kern w:val="28"/>
                      <w:szCs w:val="21"/>
                    </w:rPr>
                  </w:pPr>
                  <w:r>
                    <w:rPr>
                      <w:rFonts w:hint="eastAsia"/>
                      <w:bCs/>
                      <w:color w:val="auto"/>
                      <w:kern w:val="28"/>
                      <w:szCs w:val="21"/>
                    </w:rPr>
                    <w:t>5</w:t>
                  </w:r>
                </w:p>
              </w:tc>
              <w:tc>
                <w:tcPr>
                  <w:tcW w:w="5177" w:type="dxa"/>
                  <w:vAlign w:val="center"/>
                </w:tcPr>
                <w:p w14:paraId="41884CAE">
                  <w:pPr>
                    <w:jc w:val="center"/>
                    <w:rPr>
                      <w:bCs/>
                      <w:color w:val="auto"/>
                      <w:szCs w:val="21"/>
                    </w:rPr>
                  </w:pPr>
                  <w:r>
                    <w:rPr>
                      <w:rFonts w:hint="eastAsia"/>
                      <w:bCs/>
                      <w:color w:val="auto"/>
                      <w:szCs w:val="21"/>
                    </w:rPr>
                    <w:t>禁止在水产种质资源保护区的岸线和河段范围内新建围湖造田、围湖造地或围填海等投资建设项目。禁止擅自征 收、占用国家湿地公园的土地；禁止在国家湿地公园内挖沙、采 矿，以及建设度假村、高尔夫球场等任何不符合主体功能定位的 投资建设项目。</w:t>
                  </w:r>
                </w:p>
              </w:tc>
              <w:tc>
                <w:tcPr>
                  <w:tcW w:w="1946" w:type="dxa"/>
                  <w:vAlign w:val="center"/>
                </w:tcPr>
                <w:p w14:paraId="24F27FFC">
                  <w:pPr>
                    <w:jc w:val="center"/>
                    <w:rPr>
                      <w:bCs/>
                      <w:color w:val="auto"/>
                      <w:kern w:val="28"/>
                      <w:szCs w:val="21"/>
                    </w:rPr>
                  </w:pPr>
                  <w:r>
                    <w:rPr>
                      <w:rFonts w:hint="eastAsia"/>
                      <w:bCs/>
                      <w:color w:val="auto"/>
                      <w:kern w:val="28"/>
                      <w:szCs w:val="21"/>
                    </w:rPr>
                    <w:t>本项目用地不涉及水产种质资源保护区的岸线和河段范围。</w:t>
                  </w:r>
                </w:p>
              </w:tc>
              <w:tc>
                <w:tcPr>
                  <w:tcW w:w="870" w:type="dxa"/>
                  <w:vAlign w:val="center"/>
                </w:tcPr>
                <w:p w14:paraId="0624B90C">
                  <w:pPr>
                    <w:jc w:val="center"/>
                    <w:rPr>
                      <w:bCs/>
                      <w:color w:val="auto"/>
                      <w:szCs w:val="21"/>
                    </w:rPr>
                  </w:pPr>
                  <w:r>
                    <w:rPr>
                      <w:bCs/>
                      <w:color w:val="auto"/>
                      <w:szCs w:val="21"/>
                    </w:rPr>
                    <w:t>符合</w:t>
                  </w:r>
                </w:p>
              </w:tc>
            </w:tr>
            <w:tr w14:paraId="5B37B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Align w:val="center"/>
                </w:tcPr>
                <w:p w14:paraId="0CA12853">
                  <w:pPr>
                    <w:jc w:val="center"/>
                    <w:rPr>
                      <w:bCs/>
                      <w:color w:val="auto"/>
                      <w:kern w:val="28"/>
                      <w:szCs w:val="21"/>
                    </w:rPr>
                  </w:pPr>
                  <w:r>
                    <w:rPr>
                      <w:rFonts w:hint="eastAsia"/>
                      <w:bCs/>
                      <w:color w:val="auto"/>
                      <w:kern w:val="28"/>
                      <w:szCs w:val="21"/>
                    </w:rPr>
                    <w:t>6</w:t>
                  </w:r>
                </w:p>
              </w:tc>
              <w:tc>
                <w:tcPr>
                  <w:tcW w:w="5177" w:type="dxa"/>
                  <w:vAlign w:val="center"/>
                </w:tcPr>
                <w:p w14:paraId="1D94A1AA">
                  <w:pPr>
                    <w:jc w:val="center"/>
                    <w:rPr>
                      <w:bCs/>
                      <w:color w:val="auto"/>
                      <w:szCs w:val="21"/>
                    </w:rPr>
                  </w:pPr>
                  <w:r>
                    <w:rPr>
                      <w:rFonts w:hint="eastAsia"/>
                      <w:bCs/>
                      <w:color w:val="auto"/>
                      <w:szCs w:val="21"/>
                    </w:rPr>
                    <w:t>禁止违法利用、 占用长江流域河湖岸线。禁止在金沙江岸线保护区和保留区内投资建设除事关公共安全及公众利益的防洪护岸、河道治理、供水、生态环境保护、航道整治、国家重要基础设施以外的项目。禁止在金沙江干流、九大高原湖泊保护区、保留区内投资建设不利于水资源及自然生态保护的项目。</w:t>
                  </w:r>
                </w:p>
              </w:tc>
              <w:tc>
                <w:tcPr>
                  <w:tcW w:w="1946" w:type="dxa"/>
                  <w:vAlign w:val="center"/>
                </w:tcPr>
                <w:p w14:paraId="6A0AC25C">
                  <w:pPr>
                    <w:jc w:val="center"/>
                    <w:rPr>
                      <w:bCs/>
                      <w:color w:val="auto"/>
                      <w:kern w:val="28"/>
                      <w:szCs w:val="21"/>
                    </w:rPr>
                  </w:pPr>
                  <w:r>
                    <w:rPr>
                      <w:rFonts w:hint="eastAsia"/>
                      <w:bCs/>
                      <w:color w:val="auto"/>
                      <w:kern w:val="28"/>
                      <w:szCs w:val="21"/>
                    </w:rPr>
                    <w:t>本项目用地不涉及利用、占用长江流域河湖岸线，同时不涉及占用金沙江干流、九大高原湖泊保护区、保留区。</w:t>
                  </w:r>
                </w:p>
              </w:tc>
              <w:tc>
                <w:tcPr>
                  <w:tcW w:w="870" w:type="dxa"/>
                  <w:vAlign w:val="center"/>
                </w:tcPr>
                <w:p w14:paraId="39CF27D4">
                  <w:pPr>
                    <w:jc w:val="center"/>
                    <w:rPr>
                      <w:bCs/>
                      <w:color w:val="auto"/>
                      <w:szCs w:val="21"/>
                    </w:rPr>
                  </w:pPr>
                  <w:r>
                    <w:rPr>
                      <w:bCs/>
                      <w:color w:val="auto"/>
                      <w:szCs w:val="21"/>
                    </w:rPr>
                    <w:t>符合</w:t>
                  </w:r>
                </w:p>
              </w:tc>
            </w:tr>
            <w:tr w14:paraId="7E82A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Align w:val="center"/>
                </w:tcPr>
                <w:p w14:paraId="02D25011">
                  <w:pPr>
                    <w:jc w:val="center"/>
                    <w:rPr>
                      <w:bCs/>
                      <w:color w:val="auto"/>
                      <w:kern w:val="28"/>
                      <w:szCs w:val="21"/>
                    </w:rPr>
                  </w:pPr>
                  <w:r>
                    <w:rPr>
                      <w:rFonts w:hint="eastAsia"/>
                      <w:bCs/>
                      <w:color w:val="auto"/>
                      <w:kern w:val="28"/>
                      <w:szCs w:val="21"/>
                    </w:rPr>
                    <w:t>7</w:t>
                  </w:r>
                </w:p>
              </w:tc>
              <w:tc>
                <w:tcPr>
                  <w:tcW w:w="5177" w:type="dxa"/>
                  <w:vAlign w:val="center"/>
                </w:tcPr>
                <w:p w14:paraId="5956527F">
                  <w:pPr>
                    <w:jc w:val="center"/>
                    <w:rPr>
                      <w:bCs/>
                      <w:color w:val="auto"/>
                      <w:szCs w:val="21"/>
                    </w:rPr>
                  </w:pPr>
                  <w:r>
                    <w:rPr>
                      <w:rFonts w:hint="eastAsia"/>
                      <w:bCs/>
                      <w:color w:val="auto"/>
                      <w:szCs w:val="21"/>
                    </w:rPr>
                    <w:t>禁止在金沙江干流、长江一级支流建设除党中央、国务院、国家投资主管部门、省级有关部门批复同意以外的过江基础设施项目；禁止未经许可在金沙江干流、长江一级支流、九大高原湖泊流域新设、改设或扩大排污口。</w:t>
                  </w:r>
                </w:p>
              </w:tc>
              <w:tc>
                <w:tcPr>
                  <w:tcW w:w="1946" w:type="dxa"/>
                  <w:vAlign w:val="center"/>
                </w:tcPr>
                <w:p w14:paraId="5FA7C66D">
                  <w:pPr>
                    <w:jc w:val="center"/>
                    <w:rPr>
                      <w:bCs/>
                      <w:color w:val="auto"/>
                      <w:kern w:val="28"/>
                      <w:szCs w:val="21"/>
                    </w:rPr>
                  </w:pPr>
                  <w:r>
                    <w:rPr>
                      <w:rFonts w:hint="eastAsia"/>
                      <w:bCs/>
                      <w:color w:val="auto"/>
                      <w:kern w:val="28"/>
                      <w:szCs w:val="21"/>
                    </w:rPr>
                    <w:t>本项目用地不涉及金沙江干流、长江一级支流范围内。</w:t>
                  </w:r>
                </w:p>
              </w:tc>
              <w:tc>
                <w:tcPr>
                  <w:tcW w:w="870" w:type="dxa"/>
                  <w:vAlign w:val="center"/>
                </w:tcPr>
                <w:p w14:paraId="427430D8">
                  <w:pPr>
                    <w:jc w:val="center"/>
                    <w:rPr>
                      <w:bCs/>
                      <w:color w:val="auto"/>
                      <w:szCs w:val="21"/>
                    </w:rPr>
                  </w:pPr>
                  <w:r>
                    <w:rPr>
                      <w:bCs/>
                      <w:color w:val="auto"/>
                      <w:szCs w:val="21"/>
                    </w:rPr>
                    <w:t>符合</w:t>
                  </w:r>
                </w:p>
              </w:tc>
            </w:tr>
            <w:tr w14:paraId="0089B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Align w:val="center"/>
                </w:tcPr>
                <w:p w14:paraId="74887B7D">
                  <w:pPr>
                    <w:jc w:val="center"/>
                    <w:rPr>
                      <w:bCs/>
                      <w:color w:val="auto"/>
                      <w:kern w:val="28"/>
                      <w:szCs w:val="21"/>
                    </w:rPr>
                  </w:pPr>
                  <w:r>
                    <w:rPr>
                      <w:rFonts w:hint="eastAsia"/>
                      <w:bCs/>
                      <w:color w:val="auto"/>
                      <w:kern w:val="28"/>
                      <w:szCs w:val="21"/>
                    </w:rPr>
                    <w:t>8</w:t>
                  </w:r>
                </w:p>
              </w:tc>
              <w:tc>
                <w:tcPr>
                  <w:tcW w:w="5177" w:type="dxa"/>
                  <w:vAlign w:val="center"/>
                </w:tcPr>
                <w:p w14:paraId="32F6734E">
                  <w:pPr>
                    <w:jc w:val="center"/>
                    <w:rPr>
                      <w:bCs/>
                      <w:color w:val="auto"/>
                      <w:szCs w:val="21"/>
                    </w:rPr>
                  </w:pPr>
                  <w:r>
                    <w:rPr>
                      <w:rFonts w:hint="eastAsia"/>
                      <w:bCs/>
                      <w:color w:val="auto"/>
                      <w:szCs w:val="21"/>
                    </w:rPr>
                    <w:t>禁止在金沙江干流、长江一级支流、水生生物保护区和长江流域禁捕水域开展天然渔业资源生产性捕捞。</w:t>
                  </w:r>
                </w:p>
              </w:tc>
              <w:tc>
                <w:tcPr>
                  <w:tcW w:w="1946" w:type="dxa"/>
                  <w:vAlign w:val="center"/>
                </w:tcPr>
                <w:p w14:paraId="33B24BC8">
                  <w:pPr>
                    <w:jc w:val="center"/>
                    <w:rPr>
                      <w:bCs/>
                      <w:color w:val="auto"/>
                      <w:kern w:val="28"/>
                      <w:szCs w:val="21"/>
                    </w:rPr>
                  </w:pPr>
                  <w:r>
                    <w:rPr>
                      <w:rFonts w:hint="eastAsia"/>
                      <w:bCs/>
                      <w:color w:val="auto"/>
                      <w:kern w:val="28"/>
                      <w:szCs w:val="21"/>
                    </w:rPr>
                    <w:t>本项目用地不涉及金沙江干流、长江一级支流、水生生物保护区和长江流域内，不涉及捕捞。</w:t>
                  </w:r>
                </w:p>
              </w:tc>
              <w:tc>
                <w:tcPr>
                  <w:tcW w:w="870" w:type="dxa"/>
                  <w:vAlign w:val="center"/>
                </w:tcPr>
                <w:p w14:paraId="5A120654">
                  <w:pPr>
                    <w:jc w:val="center"/>
                    <w:rPr>
                      <w:bCs/>
                      <w:color w:val="auto"/>
                      <w:szCs w:val="21"/>
                    </w:rPr>
                  </w:pPr>
                  <w:r>
                    <w:rPr>
                      <w:bCs/>
                      <w:color w:val="auto"/>
                      <w:szCs w:val="21"/>
                    </w:rPr>
                    <w:t>符合</w:t>
                  </w:r>
                </w:p>
              </w:tc>
            </w:tr>
            <w:tr w14:paraId="35CA5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Align w:val="center"/>
                </w:tcPr>
                <w:p w14:paraId="3EB46AE1">
                  <w:pPr>
                    <w:jc w:val="center"/>
                    <w:rPr>
                      <w:bCs/>
                      <w:color w:val="auto"/>
                      <w:kern w:val="28"/>
                      <w:szCs w:val="21"/>
                    </w:rPr>
                  </w:pPr>
                  <w:r>
                    <w:rPr>
                      <w:rFonts w:hint="eastAsia"/>
                      <w:bCs/>
                      <w:color w:val="auto"/>
                      <w:kern w:val="28"/>
                      <w:szCs w:val="21"/>
                    </w:rPr>
                    <w:t>9</w:t>
                  </w:r>
                </w:p>
              </w:tc>
              <w:tc>
                <w:tcPr>
                  <w:tcW w:w="5177" w:type="dxa"/>
                  <w:vAlign w:val="center"/>
                </w:tcPr>
                <w:p w14:paraId="2A751CDF">
                  <w:pPr>
                    <w:jc w:val="center"/>
                    <w:rPr>
                      <w:bCs/>
                      <w:color w:val="auto"/>
                      <w:szCs w:val="21"/>
                    </w:rPr>
                  </w:pPr>
                  <w:r>
                    <w:rPr>
                      <w:rFonts w:hint="eastAsia"/>
                      <w:bCs/>
                      <w:color w:val="auto"/>
                      <w:szCs w:val="21"/>
                    </w:rPr>
                    <w:t>禁止在金沙江干流，长江一级支流和九大高原湖泊岸线一公里范围内新建、扩建化工园区和化工项目。禁止在金沙江干流岸线三公里范围内和长江一级支流岸线一公里范围内新建、改建、扩建尾矿库、冶炼渣库和磷石膏库，以提升安全、生态环境保护水平为目的的改建除外。</w:t>
                  </w:r>
                </w:p>
              </w:tc>
              <w:tc>
                <w:tcPr>
                  <w:tcW w:w="1946" w:type="dxa"/>
                  <w:vAlign w:val="center"/>
                </w:tcPr>
                <w:p w14:paraId="69E161DD">
                  <w:pPr>
                    <w:jc w:val="center"/>
                    <w:rPr>
                      <w:bCs/>
                      <w:color w:val="auto"/>
                      <w:kern w:val="28"/>
                      <w:szCs w:val="21"/>
                    </w:rPr>
                  </w:pPr>
                  <w:r>
                    <w:rPr>
                      <w:rFonts w:hint="eastAsia"/>
                      <w:bCs/>
                      <w:color w:val="auto"/>
                      <w:kern w:val="28"/>
                      <w:szCs w:val="21"/>
                    </w:rPr>
                    <w:t>本项目用地不涉及</w:t>
                  </w:r>
                  <w:r>
                    <w:rPr>
                      <w:rFonts w:hint="eastAsia"/>
                      <w:bCs/>
                      <w:color w:val="auto"/>
                      <w:szCs w:val="21"/>
                    </w:rPr>
                    <w:t>金沙江干流岸线三公里范围内和长江一级支流岸线一公里范围内。</w:t>
                  </w:r>
                </w:p>
              </w:tc>
              <w:tc>
                <w:tcPr>
                  <w:tcW w:w="870" w:type="dxa"/>
                  <w:vAlign w:val="center"/>
                </w:tcPr>
                <w:p w14:paraId="067446BC">
                  <w:pPr>
                    <w:jc w:val="center"/>
                    <w:rPr>
                      <w:bCs/>
                      <w:color w:val="auto"/>
                      <w:szCs w:val="21"/>
                    </w:rPr>
                  </w:pPr>
                  <w:r>
                    <w:rPr>
                      <w:bCs/>
                      <w:color w:val="auto"/>
                      <w:szCs w:val="21"/>
                    </w:rPr>
                    <w:t>符合</w:t>
                  </w:r>
                </w:p>
              </w:tc>
            </w:tr>
            <w:tr w14:paraId="4E029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Align w:val="center"/>
                </w:tcPr>
                <w:p w14:paraId="2FCE174E">
                  <w:pPr>
                    <w:jc w:val="center"/>
                    <w:rPr>
                      <w:bCs/>
                      <w:color w:val="auto"/>
                      <w:kern w:val="28"/>
                      <w:szCs w:val="21"/>
                    </w:rPr>
                  </w:pPr>
                  <w:r>
                    <w:rPr>
                      <w:rFonts w:hint="eastAsia"/>
                      <w:bCs/>
                      <w:color w:val="auto"/>
                      <w:kern w:val="28"/>
                      <w:szCs w:val="21"/>
                    </w:rPr>
                    <w:t>1</w:t>
                  </w:r>
                  <w:r>
                    <w:rPr>
                      <w:bCs/>
                      <w:color w:val="auto"/>
                      <w:kern w:val="28"/>
                      <w:szCs w:val="21"/>
                    </w:rPr>
                    <w:t>0</w:t>
                  </w:r>
                </w:p>
              </w:tc>
              <w:tc>
                <w:tcPr>
                  <w:tcW w:w="5177" w:type="dxa"/>
                  <w:vAlign w:val="center"/>
                </w:tcPr>
                <w:p w14:paraId="1060E4E1">
                  <w:pPr>
                    <w:jc w:val="center"/>
                    <w:rPr>
                      <w:bCs/>
                      <w:color w:val="auto"/>
                      <w:szCs w:val="21"/>
                    </w:rPr>
                  </w:pPr>
                  <w:r>
                    <w:rPr>
                      <w:rFonts w:hint="eastAsia"/>
                      <w:bCs/>
                      <w:color w:val="auto"/>
                      <w:szCs w:val="21"/>
                    </w:rPr>
                    <w:t>禁止在合规园区外新建、扩建钢铁、石化、化工、焦化、建材、有色、制浆造纸行业中的高污染项目。</w:t>
                  </w:r>
                </w:p>
              </w:tc>
              <w:tc>
                <w:tcPr>
                  <w:tcW w:w="1946" w:type="dxa"/>
                  <w:vAlign w:val="center"/>
                </w:tcPr>
                <w:p w14:paraId="70394189">
                  <w:pPr>
                    <w:jc w:val="center"/>
                    <w:rPr>
                      <w:bCs/>
                      <w:color w:val="auto"/>
                      <w:kern w:val="28"/>
                      <w:szCs w:val="21"/>
                    </w:rPr>
                  </w:pPr>
                  <w:r>
                    <w:rPr>
                      <w:rFonts w:hint="eastAsia"/>
                      <w:bCs/>
                      <w:color w:val="auto"/>
                      <w:kern w:val="28"/>
                      <w:szCs w:val="21"/>
                    </w:rPr>
                    <w:t>本项目不属于钢铁、石化、化工、焦化、建材、有色、制浆造纸行业中的高污染项目。</w:t>
                  </w:r>
                </w:p>
              </w:tc>
              <w:tc>
                <w:tcPr>
                  <w:tcW w:w="870" w:type="dxa"/>
                  <w:vAlign w:val="center"/>
                </w:tcPr>
                <w:p w14:paraId="5F940EA4">
                  <w:pPr>
                    <w:jc w:val="center"/>
                    <w:rPr>
                      <w:bCs/>
                      <w:color w:val="auto"/>
                      <w:szCs w:val="21"/>
                    </w:rPr>
                  </w:pPr>
                  <w:r>
                    <w:rPr>
                      <w:bCs/>
                      <w:color w:val="auto"/>
                      <w:szCs w:val="21"/>
                    </w:rPr>
                    <w:t>符合</w:t>
                  </w:r>
                </w:p>
              </w:tc>
            </w:tr>
            <w:tr w14:paraId="02F08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Align w:val="center"/>
                </w:tcPr>
                <w:p w14:paraId="554405D4">
                  <w:pPr>
                    <w:jc w:val="center"/>
                    <w:rPr>
                      <w:bCs/>
                      <w:color w:val="auto"/>
                      <w:kern w:val="28"/>
                      <w:szCs w:val="21"/>
                    </w:rPr>
                  </w:pPr>
                  <w:r>
                    <w:rPr>
                      <w:rFonts w:hint="eastAsia"/>
                      <w:bCs/>
                      <w:color w:val="auto"/>
                      <w:kern w:val="28"/>
                      <w:szCs w:val="21"/>
                    </w:rPr>
                    <w:t>1</w:t>
                  </w:r>
                  <w:r>
                    <w:rPr>
                      <w:bCs/>
                      <w:color w:val="auto"/>
                      <w:kern w:val="28"/>
                      <w:szCs w:val="21"/>
                    </w:rPr>
                    <w:t>1</w:t>
                  </w:r>
                </w:p>
              </w:tc>
              <w:tc>
                <w:tcPr>
                  <w:tcW w:w="5177" w:type="dxa"/>
                  <w:vAlign w:val="center"/>
                </w:tcPr>
                <w:p w14:paraId="2DA089EE">
                  <w:pPr>
                    <w:jc w:val="center"/>
                    <w:rPr>
                      <w:bCs/>
                      <w:color w:val="auto"/>
                      <w:szCs w:val="21"/>
                    </w:rPr>
                  </w:pPr>
                  <w:r>
                    <w:rPr>
                      <w:rFonts w:hint="eastAsia"/>
                      <w:bCs/>
                      <w:color w:val="auto"/>
                      <w:szCs w:val="21"/>
                    </w:rPr>
                    <w:t>禁止新建、 扩建不符合国家石化、现代煤化工等产业布局规划的项目。禁止列入《云南省城镇人口密集区危险化学品生产企业搬迁改造名单》的搬迁改造企业在原址新建、扩建危险化学品生产项目。</w:t>
                  </w:r>
                </w:p>
              </w:tc>
              <w:tc>
                <w:tcPr>
                  <w:tcW w:w="1946" w:type="dxa"/>
                  <w:vAlign w:val="center"/>
                </w:tcPr>
                <w:p w14:paraId="02D8493B">
                  <w:pPr>
                    <w:jc w:val="center"/>
                    <w:rPr>
                      <w:bCs/>
                      <w:color w:val="auto"/>
                      <w:kern w:val="28"/>
                      <w:szCs w:val="21"/>
                    </w:rPr>
                  </w:pPr>
                  <w:r>
                    <w:rPr>
                      <w:bCs/>
                      <w:color w:val="auto"/>
                      <w:szCs w:val="21"/>
                    </w:rPr>
                    <w:t>本项目</w:t>
                  </w:r>
                  <w:r>
                    <w:rPr>
                      <w:rFonts w:hint="eastAsia"/>
                      <w:bCs/>
                      <w:color w:val="auto"/>
                      <w:szCs w:val="21"/>
                    </w:rPr>
                    <w:t>不涉及。</w:t>
                  </w:r>
                </w:p>
              </w:tc>
              <w:tc>
                <w:tcPr>
                  <w:tcW w:w="870" w:type="dxa"/>
                  <w:vAlign w:val="center"/>
                </w:tcPr>
                <w:p w14:paraId="3E7E00C6">
                  <w:pPr>
                    <w:jc w:val="center"/>
                    <w:rPr>
                      <w:bCs/>
                      <w:color w:val="auto"/>
                      <w:szCs w:val="21"/>
                    </w:rPr>
                  </w:pPr>
                  <w:r>
                    <w:rPr>
                      <w:rFonts w:hint="eastAsia"/>
                      <w:bCs/>
                      <w:color w:val="auto"/>
                      <w:szCs w:val="21"/>
                    </w:rPr>
                    <w:t>/</w:t>
                  </w:r>
                </w:p>
              </w:tc>
            </w:tr>
            <w:tr w14:paraId="36136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Align w:val="center"/>
                </w:tcPr>
                <w:p w14:paraId="60D598E7">
                  <w:pPr>
                    <w:jc w:val="center"/>
                    <w:rPr>
                      <w:bCs/>
                      <w:color w:val="auto"/>
                      <w:kern w:val="28"/>
                      <w:szCs w:val="21"/>
                    </w:rPr>
                  </w:pPr>
                  <w:r>
                    <w:rPr>
                      <w:rFonts w:hint="eastAsia"/>
                      <w:bCs/>
                      <w:color w:val="auto"/>
                      <w:kern w:val="28"/>
                      <w:szCs w:val="21"/>
                    </w:rPr>
                    <w:t>1</w:t>
                  </w:r>
                  <w:r>
                    <w:rPr>
                      <w:bCs/>
                      <w:color w:val="auto"/>
                      <w:kern w:val="28"/>
                      <w:szCs w:val="21"/>
                    </w:rPr>
                    <w:t>2</w:t>
                  </w:r>
                </w:p>
              </w:tc>
              <w:tc>
                <w:tcPr>
                  <w:tcW w:w="5177" w:type="dxa"/>
                  <w:vAlign w:val="center"/>
                </w:tcPr>
                <w:p w14:paraId="7D57C27D">
                  <w:pPr>
                    <w:jc w:val="center"/>
                    <w:rPr>
                      <w:bCs/>
                      <w:color w:val="auto"/>
                      <w:szCs w:val="21"/>
                    </w:rPr>
                  </w:pPr>
                  <w:r>
                    <w:rPr>
                      <w:rFonts w:hint="eastAsia"/>
                      <w:bCs/>
                      <w:color w:val="auto"/>
                      <w:szCs w:val="21"/>
                    </w:rPr>
                    <w:t>禁止新建、扩建法律法规和相关政策明令禁止的落后产能项目，依法依规关停退出能耗、环保、质量、安全不达标产能和技术落后产能。禁止新建、扩建不符合国家产能置换要求的过剩产能行业的项目。禁止新建、扩建不符合要求的高耗能、高排放项目，推动退出重点高耗能行业“限制类”产能。禁止建设高毒高残留以及对环境影响大的农药原药生产装置，严控尿素、磷铵、电石、焦炭、黄磷、烧碱、纯碱、聚氯乙烯等行业新增产能。</w:t>
                  </w:r>
                </w:p>
              </w:tc>
              <w:tc>
                <w:tcPr>
                  <w:tcW w:w="1946" w:type="dxa"/>
                  <w:vAlign w:val="center"/>
                </w:tcPr>
                <w:p w14:paraId="2ACD2DD2">
                  <w:pPr>
                    <w:jc w:val="center"/>
                    <w:rPr>
                      <w:bCs/>
                      <w:color w:val="auto"/>
                      <w:kern w:val="28"/>
                      <w:szCs w:val="21"/>
                    </w:rPr>
                  </w:pPr>
                  <w:r>
                    <w:rPr>
                      <w:bCs/>
                      <w:color w:val="auto"/>
                      <w:szCs w:val="21"/>
                    </w:rPr>
                    <w:t>本项目不属于</w:t>
                  </w:r>
                  <w:r>
                    <w:rPr>
                      <w:rFonts w:hint="eastAsia"/>
                      <w:bCs/>
                      <w:color w:val="auto"/>
                      <w:szCs w:val="21"/>
                    </w:rPr>
                    <w:t>明令禁止的落后产能项目，</w:t>
                  </w:r>
                  <w:r>
                    <w:rPr>
                      <w:bCs/>
                      <w:color w:val="auto"/>
                      <w:szCs w:val="21"/>
                    </w:rPr>
                    <w:t>不属于</w:t>
                  </w:r>
                  <w:r>
                    <w:rPr>
                      <w:rFonts w:hint="eastAsia"/>
                      <w:bCs/>
                      <w:color w:val="auto"/>
                      <w:szCs w:val="21"/>
                    </w:rPr>
                    <w:t>过剩产能行业项目，</w:t>
                  </w:r>
                  <w:r>
                    <w:rPr>
                      <w:bCs/>
                      <w:color w:val="auto"/>
                      <w:szCs w:val="21"/>
                    </w:rPr>
                    <w:t>不属于</w:t>
                  </w:r>
                  <w:r>
                    <w:rPr>
                      <w:rFonts w:hint="eastAsia"/>
                      <w:bCs/>
                      <w:color w:val="auto"/>
                      <w:szCs w:val="21"/>
                    </w:rPr>
                    <w:t>不符合要求的高耗能、高排放项目，</w:t>
                  </w:r>
                  <w:r>
                    <w:rPr>
                      <w:bCs/>
                      <w:color w:val="auto"/>
                      <w:szCs w:val="21"/>
                    </w:rPr>
                    <w:t>不属于</w:t>
                  </w:r>
                  <w:r>
                    <w:rPr>
                      <w:rFonts w:hint="eastAsia"/>
                      <w:bCs/>
                      <w:color w:val="auto"/>
                      <w:szCs w:val="21"/>
                    </w:rPr>
                    <w:t>高毒高残留以及对环境影响大的项目。</w:t>
                  </w:r>
                </w:p>
              </w:tc>
              <w:tc>
                <w:tcPr>
                  <w:tcW w:w="870" w:type="dxa"/>
                  <w:vAlign w:val="center"/>
                </w:tcPr>
                <w:p w14:paraId="1C63A73C">
                  <w:pPr>
                    <w:jc w:val="center"/>
                    <w:rPr>
                      <w:bCs/>
                      <w:color w:val="auto"/>
                      <w:szCs w:val="21"/>
                    </w:rPr>
                  </w:pPr>
                  <w:r>
                    <w:rPr>
                      <w:rFonts w:hint="eastAsia"/>
                      <w:bCs/>
                      <w:color w:val="auto"/>
                      <w:kern w:val="28"/>
                      <w:szCs w:val="21"/>
                    </w:rPr>
                    <w:t>符合</w:t>
                  </w:r>
                </w:p>
              </w:tc>
            </w:tr>
          </w:tbl>
          <w:p w14:paraId="21BEC479">
            <w:pPr>
              <w:autoSpaceDE w:val="0"/>
              <w:autoSpaceDN w:val="0"/>
              <w:adjustRightInd w:val="0"/>
              <w:snapToGrid w:val="0"/>
              <w:spacing w:line="360" w:lineRule="auto"/>
              <w:ind w:firstLine="480" w:firstLineChars="200"/>
              <w:jc w:val="left"/>
              <w:rPr>
                <w:color w:val="auto"/>
                <w:kern w:val="0"/>
                <w:sz w:val="24"/>
              </w:rPr>
            </w:pPr>
            <w:r>
              <w:rPr>
                <w:rFonts w:hint="eastAsia"/>
                <w:color w:val="auto"/>
                <w:kern w:val="0"/>
                <w:sz w:val="24"/>
              </w:rPr>
              <w:t>综上，本项目建设符合《云南省长江经济带发展负面清单指南实施细则（试行，2022年版）》中相关要求。</w:t>
            </w:r>
          </w:p>
          <w:p w14:paraId="2E8410B4">
            <w:pPr>
              <w:autoSpaceDE w:val="0"/>
              <w:autoSpaceDN w:val="0"/>
              <w:adjustRightInd w:val="0"/>
              <w:snapToGrid w:val="0"/>
              <w:spacing w:line="360" w:lineRule="auto"/>
              <w:ind w:firstLine="482" w:firstLineChars="200"/>
              <w:jc w:val="left"/>
              <w:rPr>
                <w:b/>
                <w:bCs/>
                <w:color w:val="auto"/>
                <w:kern w:val="0"/>
                <w:sz w:val="24"/>
              </w:rPr>
            </w:pPr>
            <w:r>
              <w:rPr>
                <w:rFonts w:hint="eastAsia"/>
                <w:b/>
                <w:bCs/>
                <w:color w:val="auto"/>
                <w:kern w:val="0"/>
                <w:sz w:val="24"/>
              </w:rPr>
              <w:t>4、</w:t>
            </w:r>
            <w:bookmarkStart w:id="15" w:name="OLE_LINK16"/>
            <w:r>
              <w:rPr>
                <w:rFonts w:hint="eastAsia"/>
                <w:b/>
                <w:bCs/>
                <w:color w:val="auto"/>
                <w:kern w:val="0"/>
                <w:sz w:val="24"/>
              </w:rPr>
              <w:t>与《云南省杞麓湖保护条例》（2024年1月1日起施行）</w:t>
            </w:r>
            <w:r>
              <w:rPr>
                <w:b/>
                <w:bCs/>
                <w:color w:val="auto"/>
                <w:kern w:val="0"/>
                <w:sz w:val="24"/>
              </w:rPr>
              <w:t>符合性分析</w:t>
            </w:r>
          </w:p>
          <w:p w14:paraId="1B818C74">
            <w:pPr>
              <w:autoSpaceDE w:val="0"/>
              <w:autoSpaceDN w:val="0"/>
              <w:adjustRightInd w:val="0"/>
              <w:snapToGrid w:val="0"/>
              <w:spacing w:line="360" w:lineRule="auto"/>
              <w:ind w:firstLine="480" w:firstLineChars="200"/>
              <w:jc w:val="left"/>
              <w:rPr>
                <w:bCs/>
                <w:color w:val="auto"/>
                <w:kern w:val="0"/>
                <w:sz w:val="24"/>
              </w:rPr>
            </w:pPr>
            <w:r>
              <w:rPr>
                <w:rFonts w:hint="eastAsia"/>
                <w:bCs/>
                <w:color w:val="auto"/>
                <w:kern w:val="0"/>
                <w:sz w:val="24"/>
              </w:rPr>
              <w:t>根据《云南省杞麓湖保护条例》（2024年1月1日起施行），</w:t>
            </w:r>
            <w:bookmarkStart w:id="16" w:name="OLE_LINK5"/>
            <w:r>
              <w:rPr>
                <w:rFonts w:hint="eastAsia"/>
                <w:bCs/>
                <w:color w:val="auto"/>
                <w:kern w:val="0"/>
                <w:sz w:val="24"/>
              </w:rPr>
              <w:t>本项目属于杞麓湖径流区，涉及杞麓湖绿色发展区</w:t>
            </w:r>
            <w:bookmarkEnd w:id="16"/>
            <w:r>
              <w:rPr>
                <w:rFonts w:hint="eastAsia"/>
                <w:bCs/>
                <w:color w:val="auto"/>
                <w:kern w:val="0"/>
                <w:sz w:val="24"/>
              </w:rPr>
              <w:t>，本项目与《云南省杞麓湖保护条例》规定的保护区禁止行为符合性详见下表。</w:t>
            </w:r>
          </w:p>
          <w:bookmarkEnd w:id="15"/>
          <w:p w14:paraId="53F6076B">
            <w:pPr>
              <w:autoSpaceDE w:val="0"/>
              <w:autoSpaceDN w:val="0"/>
              <w:adjustRightInd w:val="0"/>
              <w:snapToGrid w:val="0"/>
              <w:spacing w:line="360" w:lineRule="auto"/>
              <w:ind w:firstLine="482" w:firstLineChars="200"/>
              <w:jc w:val="center"/>
              <w:rPr>
                <w:b/>
                <w:bCs/>
                <w:color w:val="auto"/>
                <w:kern w:val="0"/>
                <w:sz w:val="24"/>
              </w:rPr>
            </w:pPr>
            <w:r>
              <w:rPr>
                <w:b/>
                <w:bCs/>
                <w:color w:val="auto"/>
                <w:kern w:val="0"/>
                <w:sz w:val="24"/>
              </w:rPr>
              <w:t xml:space="preserve">表 </w:t>
            </w:r>
            <w:r>
              <w:rPr>
                <w:rFonts w:hint="eastAsia"/>
                <w:b/>
                <w:bCs/>
                <w:color w:val="auto"/>
                <w:kern w:val="0"/>
                <w:sz w:val="24"/>
              </w:rPr>
              <w:t>1-6</w:t>
            </w:r>
            <w:r>
              <w:rPr>
                <w:b/>
                <w:bCs/>
                <w:color w:val="auto"/>
                <w:kern w:val="0"/>
                <w:sz w:val="24"/>
              </w:rPr>
              <w:tab/>
            </w:r>
            <w:r>
              <w:rPr>
                <w:b/>
                <w:bCs/>
                <w:color w:val="auto"/>
                <w:kern w:val="0"/>
                <w:sz w:val="24"/>
              </w:rPr>
              <w:t>与</w:t>
            </w:r>
            <w:r>
              <w:rPr>
                <w:rFonts w:hint="eastAsia"/>
                <w:b/>
                <w:bCs/>
                <w:color w:val="auto"/>
                <w:kern w:val="0"/>
                <w:sz w:val="24"/>
              </w:rPr>
              <w:t>《云南省杞麓湖保护条例》</w:t>
            </w:r>
            <w:r>
              <w:rPr>
                <w:b/>
                <w:bCs/>
                <w:color w:val="auto"/>
                <w:kern w:val="0"/>
                <w:sz w:val="24"/>
              </w:rPr>
              <w:t>符合性分析一览表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38"/>
              <w:gridCol w:w="2980"/>
              <w:gridCol w:w="1153"/>
            </w:tblGrid>
            <w:tr w14:paraId="7BE9F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20878670">
                  <w:pPr>
                    <w:adjustRightInd w:val="0"/>
                    <w:jc w:val="center"/>
                    <w:rPr>
                      <w:rFonts w:hAnsi="Calibri"/>
                      <w:b/>
                      <w:bCs/>
                      <w:color w:val="auto"/>
                      <w:szCs w:val="21"/>
                    </w:rPr>
                  </w:pPr>
                  <w:r>
                    <w:rPr>
                      <w:rFonts w:hint="eastAsia" w:hAnsi="Calibri"/>
                      <w:b/>
                      <w:bCs/>
                      <w:color w:val="auto"/>
                      <w:szCs w:val="21"/>
                    </w:rPr>
                    <w:t>云南省杞麓湖保护条例</w:t>
                  </w:r>
                </w:p>
              </w:tc>
              <w:tc>
                <w:tcPr>
                  <w:tcW w:w="1699" w:type="pct"/>
                  <w:vAlign w:val="center"/>
                </w:tcPr>
                <w:p w14:paraId="0A3D461D">
                  <w:pPr>
                    <w:adjustRightInd w:val="0"/>
                    <w:jc w:val="center"/>
                    <w:rPr>
                      <w:rFonts w:hAnsi="Calibri"/>
                      <w:b/>
                      <w:bCs/>
                      <w:color w:val="auto"/>
                      <w:szCs w:val="21"/>
                    </w:rPr>
                  </w:pPr>
                  <w:r>
                    <w:rPr>
                      <w:rFonts w:hint="eastAsia" w:hAnsi="Calibri"/>
                      <w:b/>
                      <w:bCs/>
                      <w:color w:val="auto"/>
                      <w:szCs w:val="21"/>
                    </w:rPr>
                    <w:t>项目情况</w:t>
                  </w:r>
                </w:p>
              </w:tc>
              <w:tc>
                <w:tcPr>
                  <w:tcW w:w="657" w:type="pct"/>
                  <w:vAlign w:val="center"/>
                </w:tcPr>
                <w:p w14:paraId="6BB78EB0">
                  <w:pPr>
                    <w:adjustRightInd w:val="0"/>
                    <w:jc w:val="center"/>
                    <w:rPr>
                      <w:rFonts w:hAnsi="Calibri"/>
                      <w:b/>
                      <w:bCs/>
                      <w:color w:val="auto"/>
                      <w:szCs w:val="21"/>
                    </w:rPr>
                  </w:pPr>
                  <w:r>
                    <w:rPr>
                      <w:rFonts w:hint="eastAsia" w:hAnsi="Calibri"/>
                      <w:b/>
                      <w:bCs/>
                      <w:color w:val="auto"/>
                      <w:szCs w:val="21"/>
                    </w:rPr>
                    <w:t>符合情况</w:t>
                  </w:r>
                </w:p>
              </w:tc>
            </w:tr>
            <w:tr w14:paraId="0ADA2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vAlign w:val="center"/>
                </w:tcPr>
                <w:p w14:paraId="591EBA33">
                  <w:pPr>
                    <w:adjustRightInd w:val="0"/>
                    <w:jc w:val="center"/>
                    <w:rPr>
                      <w:rFonts w:hAnsi="Calibri"/>
                      <w:color w:val="auto"/>
                      <w:szCs w:val="21"/>
                    </w:rPr>
                  </w:pPr>
                  <w:r>
                    <w:rPr>
                      <w:rFonts w:hint="eastAsia" w:hAnsi="Calibri"/>
                      <w:b/>
                      <w:bCs/>
                      <w:color w:val="auto"/>
                      <w:szCs w:val="21"/>
                    </w:rPr>
                    <w:t>绿色发展区</w:t>
                  </w:r>
                </w:p>
              </w:tc>
            </w:tr>
            <w:tr w14:paraId="4F7AC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6F0E05A4">
                  <w:pPr>
                    <w:adjustRightInd w:val="0"/>
                    <w:jc w:val="center"/>
                    <w:rPr>
                      <w:rFonts w:hAnsi="Calibri"/>
                      <w:b/>
                      <w:bCs/>
                      <w:color w:val="auto"/>
                      <w:szCs w:val="21"/>
                    </w:rPr>
                  </w:pPr>
                  <w:r>
                    <w:rPr>
                      <w:rFonts w:hint="eastAsia" w:hAnsi="Calibri"/>
                      <w:b/>
                      <w:bCs/>
                      <w:color w:val="auto"/>
                      <w:szCs w:val="21"/>
                    </w:rPr>
                    <w:t>第二十四条　</w:t>
                  </w:r>
                  <w:r>
                    <w:rPr>
                      <w:rFonts w:hint="eastAsia" w:hAnsi="Calibri"/>
                      <w:color w:val="auto"/>
                      <w:szCs w:val="21"/>
                    </w:rPr>
                    <w:t>绿色发展区应当科学确定人口和城镇建设规模，严格管控建设用地总规模。加快产业结构调整，淘汰落后产能，逐步退出高污染、高耗水、高耗能项目。</w:t>
                  </w:r>
                </w:p>
              </w:tc>
              <w:tc>
                <w:tcPr>
                  <w:tcW w:w="1699" w:type="pct"/>
                  <w:vAlign w:val="center"/>
                </w:tcPr>
                <w:p w14:paraId="07FB4A42">
                  <w:pPr>
                    <w:adjustRightInd w:val="0"/>
                    <w:jc w:val="center"/>
                    <w:rPr>
                      <w:rFonts w:hAnsi="Calibri"/>
                      <w:color w:val="auto"/>
                      <w:szCs w:val="21"/>
                    </w:rPr>
                  </w:pPr>
                  <w:r>
                    <w:rPr>
                      <w:rFonts w:hint="eastAsia" w:hAnsi="Calibri"/>
                      <w:color w:val="auto"/>
                      <w:szCs w:val="21"/>
                    </w:rPr>
                    <w:t>本项目租赁现有厂房进行建设，无新增建设用地。本项目不属于淘汰落后产能，不属于高污染、高耗水、高耗能项目。</w:t>
                  </w:r>
                </w:p>
              </w:tc>
              <w:tc>
                <w:tcPr>
                  <w:tcW w:w="657" w:type="pct"/>
                  <w:vAlign w:val="center"/>
                </w:tcPr>
                <w:p w14:paraId="4E5C8C2F">
                  <w:pPr>
                    <w:adjustRightInd w:val="0"/>
                    <w:jc w:val="center"/>
                    <w:rPr>
                      <w:rFonts w:hAnsi="Calibri"/>
                      <w:color w:val="auto"/>
                      <w:szCs w:val="21"/>
                    </w:rPr>
                  </w:pPr>
                  <w:r>
                    <w:rPr>
                      <w:rFonts w:hint="eastAsia" w:hAnsi="Calibri"/>
                      <w:color w:val="auto"/>
                      <w:szCs w:val="21"/>
                    </w:rPr>
                    <w:t>符合</w:t>
                  </w:r>
                </w:p>
              </w:tc>
            </w:tr>
            <w:tr w14:paraId="06DEE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3469F59E">
                  <w:pPr>
                    <w:adjustRightInd w:val="0"/>
                    <w:jc w:val="center"/>
                    <w:rPr>
                      <w:rFonts w:hAnsi="Calibri"/>
                      <w:b/>
                      <w:bCs/>
                      <w:color w:val="auto"/>
                      <w:szCs w:val="21"/>
                    </w:rPr>
                  </w:pPr>
                  <w:r>
                    <w:rPr>
                      <w:rFonts w:hint="eastAsia" w:hAnsi="Calibri"/>
                      <w:b/>
                      <w:bCs/>
                      <w:color w:val="auto"/>
                      <w:szCs w:val="21"/>
                    </w:rPr>
                    <w:t>第二十五条　绿色发展区禁止下列行为：</w:t>
                  </w:r>
                </w:p>
              </w:tc>
              <w:tc>
                <w:tcPr>
                  <w:tcW w:w="1699" w:type="pct"/>
                  <w:vAlign w:val="center"/>
                </w:tcPr>
                <w:p w14:paraId="60008D8E">
                  <w:pPr>
                    <w:adjustRightInd w:val="0"/>
                    <w:jc w:val="center"/>
                    <w:rPr>
                      <w:rFonts w:hAnsi="Calibri"/>
                      <w:color w:val="auto"/>
                      <w:szCs w:val="21"/>
                    </w:rPr>
                  </w:pPr>
                  <w:r>
                    <w:rPr>
                      <w:rFonts w:hint="eastAsia" w:hAnsi="Calibri"/>
                      <w:color w:val="auto"/>
                      <w:szCs w:val="21"/>
                    </w:rPr>
                    <w:t>/</w:t>
                  </w:r>
                </w:p>
              </w:tc>
              <w:tc>
                <w:tcPr>
                  <w:tcW w:w="657" w:type="pct"/>
                  <w:vAlign w:val="center"/>
                </w:tcPr>
                <w:p w14:paraId="104374A7">
                  <w:pPr>
                    <w:adjustRightInd w:val="0"/>
                    <w:jc w:val="center"/>
                    <w:rPr>
                      <w:rFonts w:hAnsi="Calibri"/>
                      <w:color w:val="auto"/>
                      <w:szCs w:val="21"/>
                    </w:rPr>
                  </w:pPr>
                  <w:r>
                    <w:rPr>
                      <w:rFonts w:hint="eastAsia" w:hAnsi="Calibri"/>
                      <w:color w:val="auto"/>
                      <w:szCs w:val="21"/>
                    </w:rPr>
                    <w:t>/</w:t>
                  </w:r>
                </w:p>
              </w:tc>
            </w:tr>
            <w:tr w14:paraId="01043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3110CB30">
                  <w:pPr>
                    <w:adjustRightInd w:val="0"/>
                    <w:jc w:val="center"/>
                    <w:rPr>
                      <w:rFonts w:hAnsi="Calibri"/>
                      <w:color w:val="auto"/>
                      <w:szCs w:val="21"/>
                    </w:rPr>
                  </w:pPr>
                  <w:r>
                    <w:rPr>
                      <w:rFonts w:hint="eastAsia" w:hAnsi="Calibri"/>
                      <w:color w:val="auto"/>
                      <w:szCs w:val="21"/>
                    </w:rPr>
                    <w:t>（一）新建、改建、扩建严重污染环境、破坏生态平衡和自然景观的项目；</w:t>
                  </w:r>
                </w:p>
              </w:tc>
              <w:tc>
                <w:tcPr>
                  <w:tcW w:w="1699" w:type="pct"/>
                  <w:vAlign w:val="center"/>
                </w:tcPr>
                <w:p w14:paraId="6C4FCEB2">
                  <w:pPr>
                    <w:adjustRightInd w:val="0"/>
                    <w:jc w:val="center"/>
                    <w:rPr>
                      <w:rFonts w:hAnsi="Calibri"/>
                      <w:color w:val="auto"/>
                      <w:szCs w:val="21"/>
                    </w:rPr>
                  </w:pPr>
                  <w:r>
                    <w:rPr>
                      <w:rFonts w:hint="eastAsia"/>
                      <w:bCs/>
                      <w:color w:val="auto"/>
                      <w:kern w:val="0"/>
                      <w:szCs w:val="21"/>
                    </w:rPr>
                    <w:t>本项不属于严重污染环境、破坏生态平衡和自然景观的项目。</w:t>
                  </w:r>
                </w:p>
              </w:tc>
              <w:tc>
                <w:tcPr>
                  <w:tcW w:w="657" w:type="pct"/>
                  <w:vAlign w:val="center"/>
                </w:tcPr>
                <w:p w14:paraId="4CB96FD6">
                  <w:pPr>
                    <w:adjustRightInd w:val="0"/>
                    <w:jc w:val="center"/>
                    <w:rPr>
                      <w:rFonts w:hAnsi="Calibri"/>
                      <w:color w:val="auto"/>
                      <w:szCs w:val="21"/>
                    </w:rPr>
                  </w:pPr>
                  <w:r>
                    <w:rPr>
                      <w:rFonts w:hint="eastAsia" w:hAnsi="Calibri"/>
                      <w:color w:val="auto"/>
                      <w:szCs w:val="21"/>
                    </w:rPr>
                    <w:t>符合</w:t>
                  </w:r>
                </w:p>
              </w:tc>
            </w:tr>
            <w:tr w14:paraId="24FCD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18E202D3">
                  <w:pPr>
                    <w:adjustRightInd w:val="0"/>
                    <w:jc w:val="center"/>
                    <w:rPr>
                      <w:rFonts w:hAnsi="Calibri"/>
                      <w:color w:val="auto"/>
                      <w:szCs w:val="21"/>
                    </w:rPr>
                  </w:pPr>
                  <w:r>
                    <w:rPr>
                      <w:rFonts w:hint="eastAsia" w:hAnsi="Calibri"/>
                      <w:color w:val="auto"/>
                      <w:szCs w:val="21"/>
                    </w:rPr>
                    <w:t>（二）开山、采石、挖砂、取土、毁林、毁草、挖树根等；</w:t>
                  </w:r>
                </w:p>
              </w:tc>
              <w:tc>
                <w:tcPr>
                  <w:tcW w:w="1699" w:type="pct"/>
                  <w:vAlign w:val="center"/>
                </w:tcPr>
                <w:p w14:paraId="31931054">
                  <w:pPr>
                    <w:adjustRightInd w:val="0"/>
                    <w:jc w:val="center"/>
                    <w:rPr>
                      <w:rFonts w:hAnsi="Calibri"/>
                      <w:color w:val="auto"/>
                      <w:szCs w:val="21"/>
                    </w:rPr>
                  </w:pPr>
                  <w:r>
                    <w:rPr>
                      <w:rFonts w:hint="eastAsia" w:hAnsi="Calibri"/>
                      <w:color w:val="auto"/>
                      <w:szCs w:val="21"/>
                    </w:rPr>
                    <w:t>本项目不涉及。</w:t>
                  </w:r>
                </w:p>
              </w:tc>
              <w:tc>
                <w:tcPr>
                  <w:tcW w:w="657" w:type="pct"/>
                  <w:vAlign w:val="center"/>
                </w:tcPr>
                <w:p w14:paraId="71E623EB">
                  <w:pPr>
                    <w:adjustRightInd w:val="0"/>
                    <w:jc w:val="center"/>
                    <w:rPr>
                      <w:rFonts w:hAnsi="Calibri"/>
                      <w:color w:val="auto"/>
                      <w:szCs w:val="21"/>
                    </w:rPr>
                  </w:pPr>
                  <w:r>
                    <w:rPr>
                      <w:rFonts w:hint="eastAsia" w:hAnsi="Calibri"/>
                      <w:color w:val="auto"/>
                      <w:szCs w:val="21"/>
                    </w:rPr>
                    <w:t>/</w:t>
                  </w:r>
                </w:p>
              </w:tc>
            </w:tr>
            <w:tr w14:paraId="30FCA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12A349EF">
                  <w:pPr>
                    <w:adjustRightInd w:val="0"/>
                    <w:jc w:val="center"/>
                    <w:rPr>
                      <w:rFonts w:hAnsi="Calibri"/>
                      <w:color w:val="auto"/>
                      <w:szCs w:val="21"/>
                    </w:rPr>
                  </w:pPr>
                  <w:r>
                    <w:rPr>
                      <w:rFonts w:hint="eastAsia" w:hAnsi="Calibri"/>
                      <w:color w:val="auto"/>
                      <w:szCs w:val="21"/>
                    </w:rPr>
                    <w:t>（三）采矿、选矿；</w:t>
                  </w:r>
                </w:p>
              </w:tc>
              <w:tc>
                <w:tcPr>
                  <w:tcW w:w="1699" w:type="pct"/>
                  <w:vAlign w:val="center"/>
                </w:tcPr>
                <w:p w14:paraId="1D58003C">
                  <w:pPr>
                    <w:adjustRightInd w:val="0"/>
                    <w:jc w:val="center"/>
                    <w:rPr>
                      <w:rFonts w:hAnsi="Calibri"/>
                      <w:color w:val="auto"/>
                      <w:szCs w:val="21"/>
                    </w:rPr>
                  </w:pPr>
                  <w:r>
                    <w:rPr>
                      <w:rFonts w:hint="eastAsia" w:hAnsi="Calibri"/>
                      <w:color w:val="auto"/>
                      <w:szCs w:val="21"/>
                    </w:rPr>
                    <w:t>本项目不涉及。</w:t>
                  </w:r>
                </w:p>
              </w:tc>
              <w:tc>
                <w:tcPr>
                  <w:tcW w:w="657" w:type="pct"/>
                  <w:vAlign w:val="center"/>
                </w:tcPr>
                <w:p w14:paraId="540DD04B">
                  <w:pPr>
                    <w:adjustRightInd w:val="0"/>
                    <w:jc w:val="center"/>
                    <w:rPr>
                      <w:rFonts w:hAnsi="Calibri"/>
                      <w:color w:val="auto"/>
                      <w:szCs w:val="21"/>
                    </w:rPr>
                  </w:pPr>
                  <w:r>
                    <w:rPr>
                      <w:rFonts w:hint="eastAsia" w:hAnsi="Calibri"/>
                      <w:color w:val="auto"/>
                      <w:szCs w:val="21"/>
                    </w:rPr>
                    <w:t>/</w:t>
                  </w:r>
                </w:p>
              </w:tc>
            </w:tr>
            <w:tr w14:paraId="152CA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678EA991">
                  <w:pPr>
                    <w:adjustRightInd w:val="0"/>
                    <w:jc w:val="center"/>
                    <w:rPr>
                      <w:rFonts w:hAnsi="Calibri"/>
                      <w:color w:val="auto"/>
                      <w:szCs w:val="21"/>
                    </w:rPr>
                  </w:pPr>
                  <w:r>
                    <w:rPr>
                      <w:rFonts w:hint="eastAsia" w:hAnsi="Calibri"/>
                      <w:color w:val="auto"/>
                      <w:szCs w:val="21"/>
                    </w:rPr>
                    <w:t>（四）侵占河堤、护岸，损毁或者擅自移动防汛、水文、水利、科研、气象、测量、环境监测、杞麓湖保护相关标牌、环卫等设施；</w:t>
                  </w:r>
                </w:p>
              </w:tc>
              <w:tc>
                <w:tcPr>
                  <w:tcW w:w="1699" w:type="pct"/>
                  <w:vAlign w:val="center"/>
                </w:tcPr>
                <w:p w14:paraId="670C15E9">
                  <w:pPr>
                    <w:adjustRightInd w:val="0"/>
                    <w:jc w:val="center"/>
                    <w:rPr>
                      <w:rFonts w:hAnsi="Calibri"/>
                      <w:color w:val="auto"/>
                      <w:szCs w:val="21"/>
                    </w:rPr>
                  </w:pPr>
                  <w:r>
                    <w:rPr>
                      <w:rFonts w:hint="eastAsia" w:hAnsi="Calibri"/>
                      <w:color w:val="auto"/>
                      <w:szCs w:val="21"/>
                    </w:rPr>
                    <w:t>本项目不涉及。</w:t>
                  </w:r>
                </w:p>
              </w:tc>
              <w:tc>
                <w:tcPr>
                  <w:tcW w:w="657" w:type="pct"/>
                  <w:vAlign w:val="center"/>
                </w:tcPr>
                <w:p w14:paraId="55B17D9C">
                  <w:pPr>
                    <w:adjustRightInd w:val="0"/>
                    <w:jc w:val="center"/>
                    <w:rPr>
                      <w:rFonts w:hAnsi="Calibri"/>
                      <w:color w:val="auto"/>
                      <w:szCs w:val="21"/>
                    </w:rPr>
                  </w:pPr>
                  <w:r>
                    <w:rPr>
                      <w:rFonts w:hint="eastAsia" w:hAnsi="Calibri"/>
                      <w:color w:val="auto"/>
                      <w:szCs w:val="21"/>
                    </w:rPr>
                    <w:t>/</w:t>
                  </w:r>
                </w:p>
              </w:tc>
            </w:tr>
            <w:tr w14:paraId="000BE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6E1EF806">
                  <w:pPr>
                    <w:adjustRightInd w:val="0"/>
                    <w:jc w:val="left"/>
                    <w:rPr>
                      <w:rFonts w:hAnsi="Calibri"/>
                      <w:color w:val="auto"/>
                      <w:szCs w:val="21"/>
                    </w:rPr>
                  </w:pPr>
                  <w:r>
                    <w:rPr>
                      <w:rFonts w:hint="eastAsia" w:hAnsi="Calibri"/>
                      <w:color w:val="auto"/>
                      <w:szCs w:val="21"/>
                    </w:rPr>
                    <w:t>（五）向入湖河道、沟渠、城镇排水管网排放超过国家、地方水污染排放标准或者超过重点水污染物排放总量控制指标的水污染物；</w:t>
                  </w:r>
                </w:p>
              </w:tc>
              <w:tc>
                <w:tcPr>
                  <w:tcW w:w="1699" w:type="pct"/>
                  <w:vAlign w:val="center"/>
                </w:tcPr>
                <w:p w14:paraId="351DF850">
                  <w:pPr>
                    <w:adjustRightInd w:val="0"/>
                    <w:jc w:val="center"/>
                    <w:rPr>
                      <w:rFonts w:hAnsi="Calibri"/>
                      <w:color w:val="auto"/>
                      <w:szCs w:val="21"/>
                    </w:rPr>
                  </w:pPr>
                  <w:r>
                    <w:rPr>
                      <w:rFonts w:hint="eastAsia"/>
                      <w:color w:val="auto"/>
                      <w:kern w:val="0"/>
                      <w:szCs w:val="21"/>
                    </w:rPr>
                    <w:t>项目生产废水循环使用不外排，项目生活污水经化粪池预处理后，采用罐车运至纳古镇污水处理站处理。</w:t>
                  </w:r>
                </w:p>
              </w:tc>
              <w:tc>
                <w:tcPr>
                  <w:tcW w:w="657" w:type="pct"/>
                  <w:vAlign w:val="center"/>
                </w:tcPr>
                <w:p w14:paraId="59CBF1E6">
                  <w:pPr>
                    <w:adjustRightInd w:val="0"/>
                    <w:jc w:val="center"/>
                    <w:rPr>
                      <w:rFonts w:hAnsi="Calibri"/>
                      <w:color w:val="auto"/>
                      <w:szCs w:val="21"/>
                    </w:rPr>
                  </w:pPr>
                  <w:r>
                    <w:rPr>
                      <w:rFonts w:hint="eastAsia" w:hAnsi="Calibri"/>
                      <w:color w:val="auto"/>
                      <w:szCs w:val="21"/>
                    </w:rPr>
                    <w:t>符合</w:t>
                  </w:r>
                </w:p>
              </w:tc>
            </w:tr>
            <w:tr w14:paraId="1CA16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62AD36DF">
                  <w:pPr>
                    <w:adjustRightInd w:val="0"/>
                    <w:jc w:val="left"/>
                    <w:rPr>
                      <w:rFonts w:hAnsi="Calibri"/>
                      <w:color w:val="auto"/>
                      <w:szCs w:val="21"/>
                    </w:rPr>
                  </w:pPr>
                  <w:r>
                    <w:rPr>
                      <w:rFonts w:hint="eastAsia" w:hAnsi="Calibri"/>
                      <w:color w:val="auto"/>
                      <w:szCs w:val="21"/>
                    </w:rPr>
                    <w:t>（六）向入湖河道、沟渠及河道岸坡排放、倾倒、填埋油类、酸液、碱液、剧毒废液（渣）等；</w:t>
                  </w:r>
                </w:p>
              </w:tc>
              <w:tc>
                <w:tcPr>
                  <w:tcW w:w="1699" w:type="pct"/>
                  <w:vAlign w:val="center"/>
                </w:tcPr>
                <w:p w14:paraId="2A1EE63A">
                  <w:pPr>
                    <w:adjustRightInd w:val="0"/>
                    <w:jc w:val="center"/>
                    <w:rPr>
                      <w:rFonts w:hAnsi="Calibri"/>
                      <w:color w:val="auto"/>
                      <w:szCs w:val="21"/>
                    </w:rPr>
                  </w:pPr>
                  <w:r>
                    <w:rPr>
                      <w:rFonts w:hint="eastAsia" w:hAnsi="Calibri"/>
                      <w:color w:val="auto"/>
                      <w:szCs w:val="21"/>
                    </w:rPr>
                    <w:t>本项目不涉及。</w:t>
                  </w:r>
                </w:p>
              </w:tc>
              <w:tc>
                <w:tcPr>
                  <w:tcW w:w="657" w:type="pct"/>
                  <w:vAlign w:val="center"/>
                </w:tcPr>
                <w:p w14:paraId="7E72FEAE">
                  <w:pPr>
                    <w:adjustRightInd w:val="0"/>
                    <w:jc w:val="center"/>
                    <w:rPr>
                      <w:rFonts w:hAnsi="Calibri"/>
                      <w:color w:val="auto"/>
                      <w:szCs w:val="21"/>
                    </w:rPr>
                  </w:pPr>
                  <w:r>
                    <w:rPr>
                      <w:rFonts w:hint="eastAsia" w:hAnsi="Calibri"/>
                      <w:color w:val="auto"/>
                      <w:szCs w:val="21"/>
                    </w:rPr>
                    <w:t>/</w:t>
                  </w:r>
                </w:p>
              </w:tc>
            </w:tr>
            <w:tr w14:paraId="0FC9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76295B15">
                  <w:pPr>
                    <w:adjustRightInd w:val="0"/>
                    <w:jc w:val="left"/>
                    <w:rPr>
                      <w:rFonts w:hAnsi="Calibri"/>
                      <w:color w:val="auto"/>
                      <w:szCs w:val="21"/>
                    </w:rPr>
                  </w:pPr>
                  <w:r>
                    <w:rPr>
                      <w:rFonts w:hint="eastAsia" w:hAnsi="Calibri"/>
                      <w:color w:val="auto"/>
                      <w:szCs w:val="21"/>
                    </w:rPr>
                    <w:t>（七）在入湖河道、沟渠、水库最高水位线以下的滩地、岸坡堆放、存贮固体废弃物或者其他污染物；</w:t>
                  </w:r>
                </w:p>
              </w:tc>
              <w:tc>
                <w:tcPr>
                  <w:tcW w:w="1699" w:type="pct"/>
                  <w:vAlign w:val="center"/>
                </w:tcPr>
                <w:p w14:paraId="2B98192F">
                  <w:pPr>
                    <w:adjustRightInd w:val="0"/>
                    <w:jc w:val="center"/>
                    <w:rPr>
                      <w:rFonts w:hAnsi="Calibri"/>
                      <w:color w:val="auto"/>
                      <w:szCs w:val="21"/>
                    </w:rPr>
                  </w:pPr>
                  <w:r>
                    <w:rPr>
                      <w:rFonts w:hint="eastAsia" w:hAnsi="Calibri"/>
                      <w:color w:val="auto"/>
                      <w:szCs w:val="21"/>
                    </w:rPr>
                    <w:t>本项目不涉及。</w:t>
                  </w:r>
                </w:p>
              </w:tc>
              <w:tc>
                <w:tcPr>
                  <w:tcW w:w="657" w:type="pct"/>
                  <w:vAlign w:val="center"/>
                </w:tcPr>
                <w:p w14:paraId="050AF0ED">
                  <w:pPr>
                    <w:adjustRightInd w:val="0"/>
                    <w:jc w:val="center"/>
                    <w:rPr>
                      <w:rFonts w:hAnsi="Calibri"/>
                      <w:color w:val="auto"/>
                      <w:szCs w:val="21"/>
                    </w:rPr>
                  </w:pPr>
                  <w:r>
                    <w:rPr>
                      <w:rFonts w:hint="eastAsia" w:hAnsi="Calibri"/>
                      <w:color w:val="auto"/>
                      <w:szCs w:val="21"/>
                    </w:rPr>
                    <w:t>/</w:t>
                  </w:r>
                </w:p>
              </w:tc>
            </w:tr>
            <w:tr w14:paraId="6F29C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3C88E4B9">
                  <w:pPr>
                    <w:adjustRightInd w:val="0"/>
                    <w:jc w:val="center"/>
                    <w:rPr>
                      <w:rFonts w:hAnsi="Calibri"/>
                      <w:color w:val="auto"/>
                      <w:szCs w:val="21"/>
                    </w:rPr>
                  </w:pPr>
                  <w:r>
                    <w:rPr>
                      <w:rFonts w:hint="eastAsia" w:hAnsi="Calibri"/>
                      <w:color w:val="auto"/>
                      <w:szCs w:val="21"/>
                    </w:rPr>
                    <w:t>（八）向入湖河道、沟渠、水库倾倒粪便、污水；</w:t>
                  </w:r>
                </w:p>
              </w:tc>
              <w:tc>
                <w:tcPr>
                  <w:tcW w:w="1699" w:type="pct"/>
                  <w:vAlign w:val="center"/>
                </w:tcPr>
                <w:p w14:paraId="6ABB54D6">
                  <w:pPr>
                    <w:adjustRightInd w:val="0"/>
                    <w:jc w:val="center"/>
                    <w:rPr>
                      <w:rFonts w:hAnsi="Calibri"/>
                      <w:color w:val="auto"/>
                      <w:szCs w:val="21"/>
                    </w:rPr>
                  </w:pPr>
                  <w:r>
                    <w:rPr>
                      <w:rFonts w:hint="eastAsia" w:hAnsi="Calibri"/>
                      <w:color w:val="auto"/>
                      <w:szCs w:val="21"/>
                    </w:rPr>
                    <w:t>本项目不涉及。</w:t>
                  </w:r>
                </w:p>
              </w:tc>
              <w:tc>
                <w:tcPr>
                  <w:tcW w:w="657" w:type="pct"/>
                  <w:vAlign w:val="center"/>
                </w:tcPr>
                <w:p w14:paraId="2FB28875">
                  <w:pPr>
                    <w:adjustRightInd w:val="0"/>
                    <w:jc w:val="center"/>
                    <w:rPr>
                      <w:rFonts w:hAnsi="Calibri"/>
                      <w:color w:val="auto"/>
                      <w:szCs w:val="21"/>
                    </w:rPr>
                  </w:pPr>
                  <w:r>
                    <w:rPr>
                      <w:rFonts w:hint="eastAsia" w:hAnsi="Calibri"/>
                      <w:color w:val="auto"/>
                      <w:szCs w:val="21"/>
                    </w:rPr>
                    <w:t>/</w:t>
                  </w:r>
                </w:p>
              </w:tc>
            </w:tr>
            <w:tr w14:paraId="0EA9D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31CB7D90">
                  <w:pPr>
                    <w:adjustRightInd w:val="0"/>
                    <w:jc w:val="center"/>
                    <w:rPr>
                      <w:rFonts w:hAnsi="Calibri"/>
                      <w:color w:val="auto"/>
                      <w:szCs w:val="21"/>
                    </w:rPr>
                  </w:pPr>
                  <w:r>
                    <w:rPr>
                      <w:rFonts w:hint="eastAsia" w:hAnsi="Calibri"/>
                      <w:color w:val="auto"/>
                      <w:szCs w:val="21"/>
                    </w:rPr>
                    <w:t>（九）在入湖河道、沟渠、水库内丢弃农药、农药包装物或者清洗施药器械；</w:t>
                  </w:r>
                </w:p>
              </w:tc>
              <w:tc>
                <w:tcPr>
                  <w:tcW w:w="1699" w:type="pct"/>
                  <w:vAlign w:val="center"/>
                </w:tcPr>
                <w:p w14:paraId="669CD4E7">
                  <w:pPr>
                    <w:adjustRightInd w:val="0"/>
                    <w:jc w:val="center"/>
                    <w:rPr>
                      <w:rFonts w:hAnsi="Calibri"/>
                      <w:color w:val="auto"/>
                      <w:szCs w:val="21"/>
                    </w:rPr>
                  </w:pPr>
                  <w:r>
                    <w:rPr>
                      <w:rFonts w:hint="eastAsia" w:hAnsi="Calibri"/>
                      <w:color w:val="auto"/>
                      <w:szCs w:val="21"/>
                    </w:rPr>
                    <w:t>本项目不涉及。</w:t>
                  </w:r>
                </w:p>
              </w:tc>
              <w:tc>
                <w:tcPr>
                  <w:tcW w:w="657" w:type="pct"/>
                  <w:vAlign w:val="center"/>
                </w:tcPr>
                <w:p w14:paraId="29A088B9">
                  <w:pPr>
                    <w:adjustRightInd w:val="0"/>
                    <w:jc w:val="center"/>
                    <w:rPr>
                      <w:rFonts w:hAnsi="Calibri"/>
                      <w:color w:val="auto"/>
                      <w:szCs w:val="21"/>
                    </w:rPr>
                  </w:pPr>
                  <w:r>
                    <w:rPr>
                      <w:rFonts w:hint="eastAsia" w:hAnsi="Calibri"/>
                      <w:color w:val="auto"/>
                      <w:szCs w:val="21"/>
                    </w:rPr>
                    <w:t>/</w:t>
                  </w:r>
                </w:p>
              </w:tc>
            </w:tr>
            <w:tr w14:paraId="0EC83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25878148">
                  <w:pPr>
                    <w:adjustRightInd w:val="0"/>
                    <w:jc w:val="center"/>
                    <w:rPr>
                      <w:rFonts w:hAnsi="Calibri"/>
                      <w:color w:val="auto"/>
                      <w:szCs w:val="21"/>
                    </w:rPr>
                  </w:pPr>
                  <w:r>
                    <w:rPr>
                      <w:rFonts w:hint="eastAsia" w:hAnsi="Calibri"/>
                      <w:color w:val="auto"/>
                      <w:szCs w:val="21"/>
                    </w:rPr>
                    <w:t>（十）随意倾倒垃圾、抛撒或者堆放泡沫、塑料餐饮具、塑料袋等；</w:t>
                  </w:r>
                </w:p>
              </w:tc>
              <w:tc>
                <w:tcPr>
                  <w:tcW w:w="1699" w:type="pct"/>
                  <w:vAlign w:val="center"/>
                </w:tcPr>
                <w:p w14:paraId="5A776977">
                  <w:pPr>
                    <w:adjustRightInd w:val="0"/>
                    <w:jc w:val="center"/>
                    <w:rPr>
                      <w:rFonts w:hAnsi="Calibri"/>
                      <w:color w:val="auto"/>
                      <w:szCs w:val="21"/>
                    </w:rPr>
                  </w:pPr>
                  <w:r>
                    <w:rPr>
                      <w:rFonts w:hint="eastAsia" w:hAnsi="Calibri"/>
                      <w:color w:val="auto"/>
                      <w:szCs w:val="21"/>
                    </w:rPr>
                    <w:t>本项目不涉及。</w:t>
                  </w:r>
                </w:p>
              </w:tc>
              <w:tc>
                <w:tcPr>
                  <w:tcW w:w="657" w:type="pct"/>
                  <w:vAlign w:val="center"/>
                </w:tcPr>
                <w:p w14:paraId="3215F0EB">
                  <w:pPr>
                    <w:adjustRightInd w:val="0"/>
                    <w:jc w:val="center"/>
                    <w:rPr>
                      <w:rFonts w:hAnsi="Calibri"/>
                      <w:color w:val="auto"/>
                      <w:szCs w:val="21"/>
                    </w:rPr>
                  </w:pPr>
                  <w:r>
                    <w:rPr>
                      <w:rFonts w:hint="eastAsia" w:hAnsi="Calibri"/>
                      <w:color w:val="auto"/>
                      <w:szCs w:val="21"/>
                    </w:rPr>
                    <w:t>/</w:t>
                  </w:r>
                </w:p>
              </w:tc>
            </w:tr>
            <w:tr w14:paraId="5B552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31DC98EA">
                  <w:pPr>
                    <w:adjustRightInd w:val="0"/>
                    <w:jc w:val="left"/>
                    <w:rPr>
                      <w:rFonts w:hAnsi="Calibri"/>
                      <w:color w:val="auto"/>
                      <w:szCs w:val="21"/>
                    </w:rPr>
                  </w:pPr>
                  <w:r>
                    <w:rPr>
                      <w:rFonts w:hint="eastAsia" w:hAnsi="Calibri"/>
                      <w:color w:val="auto"/>
                      <w:szCs w:val="21"/>
                    </w:rPr>
                    <w:t>（十一）随意倾倒、堆放、填埋废弃菜叶等农业废弃物；</w:t>
                  </w:r>
                </w:p>
              </w:tc>
              <w:tc>
                <w:tcPr>
                  <w:tcW w:w="1699" w:type="pct"/>
                  <w:vAlign w:val="center"/>
                </w:tcPr>
                <w:p w14:paraId="76E30E04">
                  <w:pPr>
                    <w:adjustRightInd w:val="0"/>
                    <w:jc w:val="center"/>
                    <w:rPr>
                      <w:rFonts w:hAnsi="Calibri"/>
                      <w:color w:val="auto"/>
                      <w:szCs w:val="21"/>
                    </w:rPr>
                  </w:pPr>
                  <w:r>
                    <w:rPr>
                      <w:rFonts w:hint="eastAsia" w:hAnsi="Calibri"/>
                      <w:color w:val="auto"/>
                      <w:szCs w:val="21"/>
                    </w:rPr>
                    <w:t>本项目不涉及。</w:t>
                  </w:r>
                </w:p>
              </w:tc>
              <w:tc>
                <w:tcPr>
                  <w:tcW w:w="657" w:type="pct"/>
                  <w:vAlign w:val="center"/>
                </w:tcPr>
                <w:p w14:paraId="7F9D9474">
                  <w:pPr>
                    <w:adjustRightInd w:val="0"/>
                    <w:jc w:val="center"/>
                    <w:rPr>
                      <w:rFonts w:hAnsi="Calibri"/>
                      <w:color w:val="auto"/>
                      <w:szCs w:val="21"/>
                    </w:rPr>
                  </w:pPr>
                  <w:r>
                    <w:rPr>
                      <w:rFonts w:hint="eastAsia" w:hAnsi="Calibri"/>
                      <w:color w:val="auto"/>
                      <w:szCs w:val="21"/>
                    </w:rPr>
                    <w:t>/</w:t>
                  </w:r>
                </w:p>
              </w:tc>
            </w:tr>
            <w:tr w14:paraId="35D82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6BD2598B">
                  <w:pPr>
                    <w:adjustRightInd w:val="0"/>
                    <w:jc w:val="left"/>
                    <w:rPr>
                      <w:rFonts w:hAnsi="Calibri"/>
                      <w:color w:val="auto"/>
                      <w:szCs w:val="21"/>
                    </w:rPr>
                  </w:pPr>
                  <w:r>
                    <w:rPr>
                      <w:rFonts w:hint="eastAsia" w:hAnsi="Calibri"/>
                      <w:color w:val="auto"/>
                      <w:szCs w:val="21"/>
                    </w:rPr>
                    <w:t>（十二）生产、销售、使用杀鼠剂以外的限制使用类农药和含磷洗涤用品；</w:t>
                  </w:r>
                </w:p>
              </w:tc>
              <w:tc>
                <w:tcPr>
                  <w:tcW w:w="1699" w:type="pct"/>
                  <w:vAlign w:val="center"/>
                </w:tcPr>
                <w:p w14:paraId="7FC21025">
                  <w:pPr>
                    <w:adjustRightInd w:val="0"/>
                    <w:jc w:val="center"/>
                    <w:rPr>
                      <w:rFonts w:hAnsi="Calibri"/>
                      <w:color w:val="auto"/>
                      <w:szCs w:val="21"/>
                    </w:rPr>
                  </w:pPr>
                  <w:r>
                    <w:rPr>
                      <w:rFonts w:hint="eastAsia" w:hAnsi="Calibri"/>
                      <w:color w:val="auto"/>
                      <w:szCs w:val="21"/>
                    </w:rPr>
                    <w:t>本项目不涉及。</w:t>
                  </w:r>
                </w:p>
              </w:tc>
              <w:tc>
                <w:tcPr>
                  <w:tcW w:w="657" w:type="pct"/>
                  <w:vAlign w:val="center"/>
                </w:tcPr>
                <w:p w14:paraId="52F255F3">
                  <w:pPr>
                    <w:adjustRightInd w:val="0"/>
                    <w:jc w:val="center"/>
                    <w:rPr>
                      <w:rFonts w:hAnsi="Calibri"/>
                      <w:color w:val="auto"/>
                      <w:szCs w:val="21"/>
                    </w:rPr>
                  </w:pPr>
                  <w:r>
                    <w:rPr>
                      <w:rFonts w:hint="eastAsia" w:hAnsi="Calibri"/>
                      <w:color w:val="auto"/>
                      <w:szCs w:val="21"/>
                    </w:rPr>
                    <w:t>/</w:t>
                  </w:r>
                </w:p>
              </w:tc>
            </w:tr>
            <w:tr w14:paraId="5A72F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3FFDC29B">
                  <w:pPr>
                    <w:adjustRightInd w:val="0"/>
                    <w:jc w:val="center"/>
                    <w:rPr>
                      <w:rFonts w:hAnsi="Calibri"/>
                      <w:color w:val="auto"/>
                      <w:szCs w:val="21"/>
                    </w:rPr>
                  </w:pPr>
                  <w:r>
                    <w:rPr>
                      <w:rFonts w:hint="eastAsia" w:hAnsi="Calibri"/>
                      <w:color w:val="auto"/>
                      <w:szCs w:val="21"/>
                    </w:rPr>
                    <w:t>（十三）擅自取水或者违反取水许可规定取水；</w:t>
                  </w:r>
                </w:p>
              </w:tc>
              <w:tc>
                <w:tcPr>
                  <w:tcW w:w="1699" w:type="pct"/>
                  <w:vAlign w:val="center"/>
                </w:tcPr>
                <w:p w14:paraId="051F884F">
                  <w:pPr>
                    <w:adjustRightInd w:val="0"/>
                    <w:jc w:val="center"/>
                    <w:rPr>
                      <w:rFonts w:hAnsi="Calibri"/>
                      <w:color w:val="auto"/>
                      <w:szCs w:val="21"/>
                    </w:rPr>
                  </w:pPr>
                  <w:r>
                    <w:rPr>
                      <w:rFonts w:hint="eastAsia" w:hAnsi="Calibri"/>
                      <w:color w:val="auto"/>
                      <w:szCs w:val="21"/>
                    </w:rPr>
                    <w:t>本项目不涉及。</w:t>
                  </w:r>
                </w:p>
              </w:tc>
              <w:tc>
                <w:tcPr>
                  <w:tcW w:w="657" w:type="pct"/>
                  <w:vAlign w:val="center"/>
                </w:tcPr>
                <w:p w14:paraId="25BCE391">
                  <w:pPr>
                    <w:adjustRightInd w:val="0"/>
                    <w:jc w:val="center"/>
                    <w:rPr>
                      <w:rFonts w:hAnsi="Calibri"/>
                      <w:color w:val="auto"/>
                      <w:szCs w:val="21"/>
                    </w:rPr>
                  </w:pPr>
                  <w:r>
                    <w:rPr>
                      <w:rFonts w:hint="eastAsia" w:hAnsi="Calibri"/>
                      <w:color w:val="auto"/>
                      <w:szCs w:val="21"/>
                    </w:rPr>
                    <w:t>/</w:t>
                  </w:r>
                </w:p>
              </w:tc>
            </w:tr>
            <w:tr w14:paraId="70D23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06EA4288">
                  <w:pPr>
                    <w:adjustRightInd w:val="0"/>
                    <w:jc w:val="center"/>
                    <w:rPr>
                      <w:rFonts w:hAnsi="Calibri"/>
                      <w:color w:val="auto"/>
                      <w:szCs w:val="21"/>
                    </w:rPr>
                  </w:pPr>
                  <w:r>
                    <w:rPr>
                      <w:rFonts w:hint="eastAsia" w:hAnsi="Calibri"/>
                      <w:color w:val="auto"/>
                      <w:szCs w:val="21"/>
                    </w:rPr>
                    <w:t>（十四）擅自释放或者丢弃外来物种；</w:t>
                  </w:r>
                </w:p>
              </w:tc>
              <w:tc>
                <w:tcPr>
                  <w:tcW w:w="1699" w:type="pct"/>
                  <w:vAlign w:val="center"/>
                </w:tcPr>
                <w:p w14:paraId="640706F0">
                  <w:pPr>
                    <w:adjustRightInd w:val="0"/>
                    <w:jc w:val="center"/>
                    <w:rPr>
                      <w:rFonts w:hAnsi="Calibri"/>
                      <w:color w:val="auto"/>
                      <w:szCs w:val="21"/>
                    </w:rPr>
                  </w:pPr>
                  <w:r>
                    <w:rPr>
                      <w:rFonts w:hint="eastAsia" w:hAnsi="Calibri"/>
                      <w:color w:val="auto"/>
                      <w:szCs w:val="21"/>
                    </w:rPr>
                    <w:t>本项目不涉及。</w:t>
                  </w:r>
                </w:p>
              </w:tc>
              <w:tc>
                <w:tcPr>
                  <w:tcW w:w="657" w:type="pct"/>
                  <w:vAlign w:val="center"/>
                </w:tcPr>
                <w:p w14:paraId="7CA2137B">
                  <w:pPr>
                    <w:adjustRightInd w:val="0"/>
                    <w:jc w:val="center"/>
                    <w:rPr>
                      <w:rFonts w:hAnsi="Calibri"/>
                      <w:color w:val="auto"/>
                      <w:szCs w:val="21"/>
                    </w:rPr>
                  </w:pPr>
                  <w:r>
                    <w:rPr>
                      <w:rFonts w:hint="eastAsia" w:hAnsi="Calibri"/>
                      <w:color w:val="auto"/>
                      <w:szCs w:val="21"/>
                    </w:rPr>
                    <w:t>/</w:t>
                  </w:r>
                </w:p>
              </w:tc>
            </w:tr>
            <w:tr w14:paraId="7B004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4C9DE098">
                  <w:pPr>
                    <w:adjustRightInd w:val="0"/>
                    <w:jc w:val="center"/>
                    <w:rPr>
                      <w:rFonts w:hAnsi="Calibri"/>
                      <w:color w:val="auto"/>
                      <w:szCs w:val="21"/>
                    </w:rPr>
                  </w:pPr>
                  <w:r>
                    <w:rPr>
                      <w:rFonts w:hint="eastAsia" w:hAnsi="Calibri"/>
                      <w:color w:val="auto"/>
                      <w:szCs w:val="21"/>
                    </w:rPr>
                    <w:t>（十五）违法猎捕、杀害、买卖野生动物；</w:t>
                  </w:r>
                </w:p>
              </w:tc>
              <w:tc>
                <w:tcPr>
                  <w:tcW w:w="1699" w:type="pct"/>
                  <w:vAlign w:val="center"/>
                </w:tcPr>
                <w:p w14:paraId="5FBE1609">
                  <w:pPr>
                    <w:adjustRightInd w:val="0"/>
                    <w:jc w:val="center"/>
                    <w:rPr>
                      <w:rFonts w:hAnsi="Calibri"/>
                      <w:color w:val="auto"/>
                      <w:szCs w:val="21"/>
                    </w:rPr>
                  </w:pPr>
                  <w:r>
                    <w:rPr>
                      <w:rFonts w:hint="eastAsia" w:hAnsi="Calibri"/>
                      <w:color w:val="auto"/>
                      <w:szCs w:val="21"/>
                    </w:rPr>
                    <w:t>本项目不涉及。</w:t>
                  </w:r>
                </w:p>
              </w:tc>
              <w:tc>
                <w:tcPr>
                  <w:tcW w:w="657" w:type="pct"/>
                  <w:vAlign w:val="center"/>
                </w:tcPr>
                <w:p w14:paraId="1A6049EA">
                  <w:pPr>
                    <w:adjustRightInd w:val="0"/>
                    <w:jc w:val="center"/>
                    <w:rPr>
                      <w:rFonts w:hAnsi="Calibri"/>
                      <w:color w:val="auto"/>
                      <w:szCs w:val="21"/>
                    </w:rPr>
                  </w:pPr>
                  <w:r>
                    <w:rPr>
                      <w:rFonts w:hint="eastAsia" w:hAnsi="Calibri"/>
                      <w:color w:val="auto"/>
                      <w:szCs w:val="21"/>
                    </w:rPr>
                    <w:t>/</w:t>
                  </w:r>
                </w:p>
              </w:tc>
            </w:tr>
            <w:tr w14:paraId="05BA7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548BB1AB">
                  <w:pPr>
                    <w:adjustRightInd w:val="0"/>
                    <w:jc w:val="center"/>
                    <w:rPr>
                      <w:rFonts w:hAnsi="Calibri"/>
                      <w:color w:val="auto"/>
                      <w:szCs w:val="21"/>
                    </w:rPr>
                  </w:pPr>
                  <w:r>
                    <w:rPr>
                      <w:rFonts w:hint="eastAsia" w:hAnsi="Calibri"/>
                      <w:color w:val="auto"/>
                      <w:szCs w:val="21"/>
                    </w:rPr>
                    <w:t>（十六）损毁或者擅自移动界桩、标识；</w:t>
                  </w:r>
                </w:p>
              </w:tc>
              <w:tc>
                <w:tcPr>
                  <w:tcW w:w="1699" w:type="pct"/>
                  <w:vAlign w:val="center"/>
                </w:tcPr>
                <w:p w14:paraId="0E2BC444">
                  <w:pPr>
                    <w:adjustRightInd w:val="0"/>
                    <w:jc w:val="center"/>
                    <w:rPr>
                      <w:rFonts w:hAnsi="Calibri"/>
                      <w:color w:val="auto"/>
                      <w:szCs w:val="21"/>
                    </w:rPr>
                  </w:pPr>
                  <w:r>
                    <w:rPr>
                      <w:rFonts w:hint="eastAsia" w:hAnsi="Calibri"/>
                      <w:color w:val="auto"/>
                      <w:szCs w:val="21"/>
                    </w:rPr>
                    <w:t>本项目不涉及。</w:t>
                  </w:r>
                </w:p>
              </w:tc>
              <w:tc>
                <w:tcPr>
                  <w:tcW w:w="657" w:type="pct"/>
                  <w:vAlign w:val="center"/>
                </w:tcPr>
                <w:p w14:paraId="401521B2">
                  <w:pPr>
                    <w:adjustRightInd w:val="0"/>
                    <w:jc w:val="center"/>
                    <w:rPr>
                      <w:rFonts w:hAnsi="Calibri"/>
                      <w:color w:val="auto"/>
                      <w:szCs w:val="21"/>
                    </w:rPr>
                  </w:pPr>
                  <w:r>
                    <w:rPr>
                      <w:rFonts w:hint="eastAsia" w:hAnsi="Calibri"/>
                      <w:color w:val="auto"/>
                      <w:szCs w:val="21"/>
                    </w:rPr>
                    <w:t>/</w:t>
                  </w:r>
                </w:p>
              </w:tc>
            </w:tr>
            <w:tr w14:paraId="36A45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4" w:type="pct"/>
                  <w:vAlign w:val="center"/>
                </w:tcPr>
                <w:p w14:paraId="5E7F071B">
                  <w:pPr>
                    <w:adjustRightInd w:val="0"/>
                    <w:jc w:val="center"/>
                    <w:rPr>
                      <w:rFonts w:hAnsi="Calibri"/>
                      <w:color w:val="auto"/>
                      <w:szCs w:val="21"/>
                    </w:rPr>
                  </w:pPr>
                  <w:bookmarkStart w:id="17" w:name="_Hlk218067232"/>
                  <w:r>
                    <w:rPr>
                      <w:rFonts w:hint="eastAsia" w:hAnsi="Calibri"/>
                      <w:color w:val="auto"/>
                      <w:szCs w:val="21"/>
                    </w:rPr>
                    <w:t>（十七）法律、法规禁止的其他行为。</w:t>
                  </w:r>
                </w:p>
              </w:tc>
              <w:tc>
                <w:tcPr>
                  <w:tcW w:w="1699" w:type="pct"/>
                  <w:vAlign w:val="center"/>
                </w:tcPr>
                <w:p w14:paraId="4A406E40">
                  <w:pPr>
                    <w:adjustRightInd w:val="0"/>
                    <w:jc w:val="center"/>
                    <w:rPr>
                      <w:rFonts w:hAnsi="Calibri"/>
                      <w:color w:val="auto"/>
                      <w:szCs w:val="21"/>
                    </w:rPr>
                  </w:pPr>
                  <w:r>
                    <w:rPr>
                      <w:rFonts w:hint="eastAsia" w:hAnsi="Calibri"/>
                      <w:color w:val="auto"/>
                      <w:szCs w:val="21"/>
                    </w:rPr>
                    <w:t>本项目不涉及。</w:t>
                  </w:r>
                </w:p>
              </w:tc>
              <w:tc>
                <w:tcPr>
                  <w:tcW w:w="657" w:type="pct"/>
                  <w:vAlign w:val="center"/>
                </w:tcPr>
                <w:p w14:paraId="24D2661E">
                  <w:pPr>
                    <w:adjustRightInd w:val="0"/>
                    <w:jc w:val="center"/>
                    <w:rPr>
                      <w:rFonts w:hAnsi="Calibri"/>
                      <w:color w:val="auto"/>
                      <w:szCs w:val="21"/>
                    </w:rPr>
                  </w:pPr>
                  <w:r>
                    <w:rPr>
                      <w:rFonts w:hint="eastAsia" w:hAnsi="Calibri"/>
                      <w:color w:val="auto"/>
                      <w:szCs w:val="21"/>
                    </w:rPr>
                    <w:t>/</w:t>
                  </w:r>
                </w:p>
              </w:tc>
            </w:tr>
            <w:bookmarkEnd w:id="17"/>
          </w:tbl>
          <w:p w14:paraId="58B9185A">
            <w:pPr>
              <w:autoSpaceDE w:val="0"/>
              <w:autoSpaceDN w:val="0"/>
              <w:adjustRightInd w:val="0"/>
              <w:snapToGrid w:val="0"/>
              <w:spacing w:line="360" w:lineRule="auto"/>
              <w:ind w:firstLine="480" w:firstLineChars="200"/>
              <w:jc w:val="left"/>
              <w:rPr>
                <w:color w:val="auto"/>
                <w:kern w:val="0"/>
                <w:sz w:val="24"/>
              </w:rPr>
            </w:pPr>
          </w:p>
          <w:p w14:paraId="4FE8246A">
            <w:pPr>
              <w:autoSpaceDE w:val="0"/>
              <w:autoSpaceDN w:val="0"/>
              <w:adjustRightInd w:val="0"/>
              <w:snapToGrid w:val="0"/>
              <w:spacing w:line="360" w:lineRule="auto"/>
              <w:ind w:firstLine="480" w:firstLineChars="200"/>
              <w:jc w:val="left"/>
              <w:rPr>
                <w:bCs/>
                <w:color w:val="auto"/>
                <w:kern w:val="0"/>
                <w:sz w:val="24"/>
              </w:rPr>
            </w:pPr>
            <w:r>
              <w:rPr>
                <w:rFonts w:hint="eastAsia"/>
                <w:color w:val="auto"/>
                <w:kern w:val="0"/>
                <w:sz w:val="24"/>
              </w:rPr>
              <w:t>综上</w:t>
            </w:r>
            <w:r>
              <w:rPr>
                <w:rFonts w:hint="eastAsia"/>
                <w:bCs/>
                <w:color w:val="auto"/>
                <w:kern w:val="0"/>
                <w:sz w:val="24"/>
              </w:rPr>
              <w:t>，本项目不涉及《云南省杞麓湖保护条例》中规定的禁止行为，因此本项目的建设符合《云南省杞麓湖保护条例》规定的要求。</w:t>
            </w:r>
          </w:p>
          <w:p w14:paraId="5A3A9CAE">
            <w:pPr>
              <w:autoSpaceDE w:val="0"/>
              <w:autoSpaceDN w:val="0"/>
              <w:adjustRightInd w:val="0"/>
              <w:snapToGrid w:val="0"/>
              <w:spacing w:line="360" w:lineRule="auto"/>
              <w:ind w:firstLine="482" w:firstLineChars="200"/>
              <w:jc w:val="left"/>
              <w:rPr>
                <w:b/>
                <w:bCs/>
                <w:color w:val="auto"/>
                <w:kern w:val="0"/>
                <w:sz w:val="24"/>
              </w:rPr>
            </w:pPr>
            <w:bookmarkStart w:id="18" w:name="OLE_LINK15"/>
            <w:r>
              <w:rPr>
                <w:b/>
                <w:bCs/>
                <w:color w:val="auto"/>
                <w:kern w:val="0"/>
                <w:sz w:val="24"/>
              </w:rPr>
              <w:t>5</w:t>
            </w:r>
            <w:r>
              <w:rPr>
                <w:rFonts w:hint="eastAsia"/>
                <w:b/>
                <w:bCs/>
                <w:color w:val="auto"/>
                <w:kern w:val="0"/>
                <w:sz w:val="24"/>
              </w:rPr>
              <w:t>、与</w:t>
            </w:r>
            <w:bookmarkStart w:id="19" w:name="OLE_LINK10"/>
            <w:r>
              <w:rPr>
                <w:rFonts w:hint="eastAsia"/>
                <w:b/>
                <w:bCs/>
                <w:color w:val="auto"/>
                <w:kern w:val="0"/>
                <w:sz w:val="24"/>
              </w:rPr>
              <w:t>《</w:t>
            </w:r>
            <w:bookmarkStart w:id="20" w:name="OLE_LINK4"/>
            <w:r>
              <w:rPr>
                <w:rFonts w:hint="eastAsia"/>
                <w:b/>
                <w:bCs/>
                <w:color w:val="auto"/>
                <w:kern w:val="0"/>
                <w:sz w:val="24"/>
              </w:rPr>
              <w:t>云南省人民政府关于九大高原湖泊“三区”管控的指导意见</w:t>
            </w:r>
            <w:bookmarkEnd w:id="20"/>
            <w:r>
              <w:rPr>
                <w:rFonts w:hint="eastAsia"/>
                <w:b/>
                <w:bCs/>
                <w:color w:val="auto"/>
                <w:kern w:val="0"/>
                <w:sz w:val="24"/>
              </w:rPr>
              <w:t>》（云政发〔2022〕25号）</w:t>
            </w:r>
            <w:bookmarkEnd w:id="19"/>
            <w:r>
              <w:rPr>
                <w:rFonts w:hint="eastAsia"/>
                <w:b/>
                <w:bCs/>
                <w:color w:val="auto"/>
                <w:kern w:val="0"/>
                <w:sz w:val="24"/>
              </w:rPr>
              <w:t>符合性分析</w:t>
            </w:r>
          </w:p>
          <w:bookmarkEnd w:id="18"/>
          <w:p w14:paraId="1599A005">
            <w:pPr>
              <w:pStyle w:val="69"/>
              <w:spacing w:beforeLines="0" w:afterLines="0" w:line="360" w:lineRule="auto"/>
              <w:ind w:firstLine="496" w:firstLineChars="200"/>
              <w:rPr>
                <w:color w:val="auto"/>
                <w:szCs w:val="24"/>
              </w:rPr>
            </w:pPr>
            <w:r>
              <w:rPr>
                <w:rFonts w:hint="eastAsia"/>
                <w:bCs/>
                <w:color w:val="auto"/>
                <w:szCs w:val="24"/>
              </w:rPr>
              <w:t>本项目位于杞麓湖径流区，涉及杞麓湖绿色发展区。</w:t>
            </w:r>
          </w:p>
          <w:p w14:paraId="419CAD5E">
            <w:pPr>
              <w:autoSpaceDE w:val="0"/>
              <w:autoSpaceDN w:val="0"/>
              <w:adjustRightInd w:val="0"/>
              <w:snapToGrid w:val="0"/>
              <w:spacing w:line="360" w:lineRule="auto"/>
              <w:ind w:firstLine="482" w:firstLineChars="200"/>
              <w:jc w:val="center"/>
              <w:rPr>
                <w:b/>
                <w:bCs/>
                <w:color w:val="auto"/>
                <w:kern w:val="0"/>
                <w:sz w:val="24"/>
              </w:rPr>
            </w:pPr>
            <w:r>
              <w:rPr>
                <w:b/>
                <w:bCs/>
                <w:color w:val="auto"/>
                <w:kern w:val="0"/>
                <w:sz w:val="24"/>
              </w:rPr>
              <w:t xml:space="preserve">表 </w:t>
            </w:r>
            <w:r>
              <w:rPr>
                <w:rFonts w:hint="eastAsia"/>
                <w:b/>
                <w:bCs/>
                <w:color w:val="auto"/>
                <w:kern w:val="0"/>
                <w:sz w:val="24"/>
              </w:rPr>
              <w:t>1-</w:t>
            </w:r>
            <w:r>
              <w:rPr>
                <w:b/>
                <w:bCs/>
                <w:color w:val="auto"/>
                <w:kern w:val="0"/>
                <w:sz w:val="24"/>
              </w:rPr>
              <w:t>7</w:t>
            </w:r>
            <w:r>
              <w:rPr>
                <w:b/>
                <w:bCs/>
                <w:color w:val="auto"/>
                <w:kern w:val="0"/>
                <w:sz w:val="24"/>
              </w:rPr>
              <w:tab/>
            </w:r>
            <w:r>
              <w:rPr>
                <w:b/>
                <w:bCs/>
                <w:color w:val="auto"/>
                <w:kern w:val="0"/>
                <w:sz w:val="24"/>
              </w:rPr>
              <w:t xml:space="preserve"> 与</w:t>
            </w:r>
            <w:r>
              <w:rPr>
                <w:rFonts w:hint="eastAsia"/>
                <w:b/>
                <w:bCs/>
                <w:color w:val="auto"/>
                <w:kern w:val="0"/>
                <w:sz w:val="24"/>
              </w:rPr>
              <w:t>《云南省人民政府关于九大高原湖泊“三区”管控的指导意见》</w:t>
            </w:r>
            <w:r>
              <w:rPr>
                <w:b/>
                <w:bCs/>
                <w:color w:val="auto"/>
                <w:kern w:val="0"/>
                <w:sz w:val="24"/>
              </w:rPr>
              <w:t>符合性分析一览表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32"/>
              <w:gridCol w:w="2286"/>
              <w:gridCol w:w="1153"/>
            </w:tblGrid>
            <w:tr w14:paraId="49F08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40" w:type="pct"/>
                  <w:vAlign w:val="center"/>
                </w:tcPr>
                <w:p w14:paraId="32B3C8EA">
                  <w:pPr>
                    <w:adjustRightInd w:val="0"/>
                    <w:jc w:val="center"/>
                    <w:rPr>
                      <w:rFonts w:hAnsi="Calibri"/>
                      <w:b/>
                      <w:bCs/>
                      <w:color w:val="auto"/>
                      <w:szCs w:val="21"/>
                    </w:rPr>
                  </w:pPr>
                  <w:r>
                    <w:rPr>
                      <w:rFonts w:hint="eastAsia" w:hAnsi="Calibri"/>
                      <w:b/>
                      <w:bCs/>
                      <w:color w:val="auto"/>
                      <w:szCs w:val="21"/>
                    </w:rPr>
                    <w:t>绿色发展区管控指导意见</w:t>
                  </w:r>
                </w:p>
              </w:tc>
              <w:tc>
                <w:tcPr>
                  <w:tcW w:w="1303" w:type="pct"/>
                  <w:vAlign w:val="center"/>
                </w:tcPr>
                <w:p w14:paraId="362F83B6">
                  <w:pPr>
                    <w:adjustRightInd w:val="0"/>
                    <w:jc w:val="center"/>
                    <w:rPr>
                      <w:rFonts w:hAnsi="Calibri"/>
                      <w:b/>
                      <w:bCs/>
                      <w:color w:val="auto"/>
                      <w:szCs w:val="21"/>
                    </w:rPr>
                  </w:pPr>
                  <w:r>
                    <w:rPr>
                      <w:rFonts w:hint="eastAsia" w:hAnsi="Calibri"/>
                      <w:b/>
                      <w:bCs/>
                      <w:color w:val="auto"/>
                      <w:szCs w:val="21"/>
                    </w:rPr>
                    <w:t>项目情况</w:t>
                  </w:r>
                </w:p>
              </w:tc>
              <w:tc>
                <w:tcPr>
                  <w:tcW w:w="657" w:type="pct"/>
                  <w:vAlign w:val="center"/>
                </w:tcPr>
                <w:p w14:paraId="57DCBAA0">
                  <w:pPr>
                    <w:adjustRightInd w:val="0"/>
                    <w:jc w:val="center"/>
                    <w:rPr>
                      <w:rFonts w:hAnsi="Calibri"/>
                      <w:b/>
                      <w:bCs/>
                      <w:color w:val="auto"/>
                      <w:szCs w:val="21"/>
                    </w:rPr>
                  </w:pPr>
                  <w:r>
                    <w:rPr>
                      <w:rFonts w:hint="eastAsia" w:hAnsi="Calibri"/>
                      <w:b/>
                      <w:bCs/>
                      <w:color w:val="auto"/>
                      <w:szCs w:val="21"/>
                    </w:rPr>
                    <w:t>符合情况</w:t>
                  </w:r>
                </w:p>
              </w:tc>
            </w:tr>
            <w:tr w14:paraId="36261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0" w:type="pct"/>
                  <w:vAlign w:val="center"/>
                </w:tcPr>
                <w:p w14:paraId="2A7858E2">
                  <w:pPr>
                    <w:adjustRightInd w:val="0"/>
                    <w:jc w:val="left"/>
                    <w:rPr>
                      <w:rFonts w:hAnsi="Calibri"/>
                      <w:color w:val="auto"/>
                      <w:szCs w:val="21"/>
                    </w:rPr>
                  </w:pPr>
                  <w:r>
                    <w:rPr>
                      <w:rFonts w:hint="eastAsia" w:hAnsi="Calibri"/>
                      <w:color w:val="auto"/>
                      <w:szCs w:val="21"/>
                    </w:rPr>
                    <w:t>21.科学确定人口和城镇建设规模。远湖布局、离湖发展，科学划定城镇开发边界，优先安排从生态保护核心区和生态保护缓冲区迁出的建设需求。按照湖泊保护需要，根据集约适度、绿色发展的原则，加快国土空间规划编制及管控。湖泊面山区域严禁连片房地产开发。</w:t>
                  </w:r>
                </w:p>
              </w:tc>
              <w:tc>
                <w:tcPr>
                  <w:tcW w:w="1303" w:type="pct"/>
                  <w:vAlign w:val="center"/>
                </w:tcPr>
                <w:p w14:paraId="65F69052">
                  <w:pPr>
                    <w:adjustRightInd w:val="0"/>
                    <w:jc w:val="center"/>
                    <w:rPr>
                      <w:color w:val="auto"/>
                      <w:kern w:val="0"/>
                      <w:szCs w:val="21"/>
                    </w:rPr>
                  </w:pPr>
                  <w:r>
                    <w:rPr>
                      <w:rFonts w:hint="eastAsia"/>
                      <w:color w:val="auto"/>
                      <w:kern w:val="21"/>
                      <w:szCs w:val="21"/>
                    </w:rPr>
                    <w:t>根据《通海县“三区三线”数据查询结果》，项目矢量范围内不涉及永久基本农田，不涉及生态保护红线，位于城镇开发边界内。</w:t>
                  </w:r>
                  <w:r>
                    <w:rPr>
                      <w:color w:val="auto"/>
                      <w:szCs w:val="21"/>
                    </w:rPr>
                    <w:t>建设项目与</w:t>
                  </w:r>
                  <w:r>
                    <w:rPr>
                      <w:rFonts w:hint="eastAsia"/>
                      <w:color w:val="auto"/>
                      <w:szCs w:val="21"/>
                    </w:rPr>
                    <w:t>《通海县国土空间总体规划（2021-2035年）》《玉溪市通海县纳古镇集镇区国土空间详细规划（2单元）》</w:t>
                  </w:r>
                  <w:r>
                    <w:rPr>
                      <w:rFonts w:hint="eastAsia"/>
                      <w:color w:val="auto"/>
                      <w:kern w:val="0"/>
                      <w:szCs w:val="21"/>
                    </w:rPr>
                    <w:t>相符。</w:t>
                  </w:r>
                </w:p>
              </w:tc>
              <w:tc>
                <w:tcPr>
                  <w:tcW w:w="657" w:type="pct"/>
                  <w:vAlign w:val="center"/>
                </w:tcPr>
                <w:p w14:paraId="3F0B78CC">
                  <w:pPr>
                    <w:adjustRightInd w:val="0"/>
                    <w:jc w:val="center"/>
                    <w:rPr>
                      <w:rFonts w:hAnsi="Calibri"/>
                      <w:color w:val="auto"/>
                      <w:szCs w:val="21"/>
                    </w:rPr>
                  </w:pPr>
                  <w:r>
                    <w:rPr>
                      <w:rFonts w:hint="eastAsia" w:hAnsi="Calibri"/>
                      <w:color w:val="auto"/>
                      <w:szCs w:val="21"/>
                    </w:rPr>
                    <w:t>符合</w:t>
                  </w:r>
                </w:p>
              </w:tc>
            </w:tr>
            <w:tr w14:paraId="1FE12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0" w:type="pct"/>
                  <w:vAlign w:val="center"/>
                </w:tcPr>
                <w:p w14:paraId="6D49BDBD">
                  <w:pPr>
                    <w:adjustRightInd w:val="0"/>
                    <w:jc w:val="left"/>
                    <w:rPr>
                      <w:rFonts w:hAnsi="Calibri"/>
                      <w:color w:val="auto"/>
                      <w:szCs w:val="21"/>
                    </w:rPr>
                  </w:pPr>
                  <w:r>
                    <w:rPr>
                      <w:rFonts w:hint="eastAsia" w:hAnsi="Calibri"/>
                      <w:color w:val="auto"/>
                      <w:szCs w:val="21"/>
                    </w:rPr>
                    <w:t>22.严格管控建设用地总规模。建设用地以挖掘存量用地潜力、高效利用为主，新增建设用地主要用于保障基础设施、公共服务设施等民生项目用地需求。对资源条件优越，旅游、休闲、康养等发展潜力较大的绿色产业，新增建设用地须严格论证。</w:t>
                  </w:r>
                </w:p>
              </w:tc>
              <w:tc>
                <w:tcPr>
                  <w:tcW w:w="1303" w:type="pct"/>
                  <w:vAlign w:val="center"/>
                </w:tcPr>
                <w:p w14:paraId="4100E3BC">
                  <w:pPr>
                    <w:adjustRightInd w:val="0"/>
                    <w:jc w:val="center"/>
                    <w:rPr>
                      <w:color w:val="auto"/>
                    </w:rPr>
                  </w:pPr>
                  <w:r>
                    <w:rPr>
                      <w:rFonts w:hint="eastAsia" w:hAnsi="Calibri"/>
                      <w:color w:val="auto"/>
                      <w:szCs w:val="21"/>
                    </w:rPr>
                    <w:t>本项目租赁现有厂房进行建设，无新增建设用地。</w:t>
                  </w:r>
                </w:p>
              </w:tc>
              <w:tc>
                <w:tcPr>
                  <w:tcW w:w="657" w:type="pct"/>
                  <w:vAlign w:val="center"/>
                </w:tcPr>
                <w:p w14:paraId="5A2D88AC">
                  <w:pPr>
                    <w:adjustRightInd w:val="0"/>
                    <w:jc w:val="center"/>
                    <w:rPr>
                      <w:rFonts w:hAnsi="Calibri"/>
                      <w:color w:val="auto"/>
                      <w:szCs w:val="21"/>
                    </w:rPr>
                  </w:pPr>
                  <w:bookmarkStart w:id="21" w:name="OLE_LINK9"/>
                  <w:r>
                    <w:rPr>
                      <w:rFonts w:hint="eastAsia" w:hAnsi="Calibri"/>
                      <w:color w:val="auto"/>
                      <w:szCs w:val="21"/>
                    </w:rPr>
                    <w:t>符合</w:t>
                  </w:r>
                  <w:bookmarkEnd w:id="21"/>
                </w:p>
              </w:tc>
            </w:tr>
            <w:tr w14:paraId="3FACC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0" w:type="pct"/>
                  <w:vAlign w:val="center"/>
                </w:tcPr>
                <w:p w14:paraId="1B675785">
                  <w:pPr>
                    <w:adjustRightInd w:val="0"/>
                    <w:jc w:val="left"/>
                    <w:rPr>
                      <w:rFonts w:hAnsi="Calibri"/>
                      <w:color w:val="auto"/>
                      <w:szCs w:val="21"/>
                    </w:rPr>
                  </w:pPr>
                  <w:r>
                    <w:rPr>
                      <w:rFonts w:hint="eastAsia" w:hAnsi="Calibri"/>
                      <w:color w:val="auto"/>
                      <w:szCs w:val="21"/>
                    </w:rPr>
                    <w:t>23.统筹加快“两污”治理。加快推进城镇污水处理厂扩容提标、雨污分流设施改造，加强农村生活污水治理与农村厕所革命有机衔接，积极推动农村生活污水、粪污无害化处理和资源化利用。加强垃圾收集、转运、处置等各类环境基础设施建设、运营和维护。2025年底前，完成流域内城镇雨污分流改造，城镇污水收集率达95%以上，农村生活污水收集处理率达75%以上，畜禽粪污综合利用率达90%以上，城市生活垃圾处理率达97%以上，实现农村生活垃圾分类投放、统一运输、集中处理。</w:t>
                  </w:r>
                </w:p>
              </w:tc>
              <w:tc>
                <w:tcPr>
                  <w:tcW w:w="1303" w:type="pct"/>
                  <w:vAlign w:val="center"/>
                </w:tcPr>
                <w:p w14:paraId="66954482">
                  <w:pPr>
                    <w:adjustRightInd w:val="0"/>
                    <w:jc w:val="center"/>
                    <w:rPr>
                      <w:color w:val="auto"/>
                    </w:rPr>
                  </w:pPr>
                  <w:r>
                    <w:rPr>
                      <w:rFonts w:hint="eastAsia"/>
                      <w:color w:val="auto"/>
                      <w:kern w:val="0"/>
                      <w:szCs w:val="21"/>
                    </w:rPr>
                    <w:t>项目生产废水循环使用不外排，项目生活污水经化粪池预处理后，采用罐车运至纳古镇污水处理站处理。</w:t>
                  </w:r>
                  <w:r>
                    <w:rPr>
                      <w:rFonts w:hint="eastAsia"/>
                      <w:color w:val="auto"/>
                    </w:rPr>
                    <w:t>项目生活垃圾委托环卫部门清运处置。</w:t>
                  </w:r>
                </w:p>
              </w:tc>
              <w:tc>
                <w:tcPr>
                  <w:tcW w:w="657" w:type="pct"/>
                  <w:vAlign w:val="center"/>
                </w:tcPr>
                <w:p w14:paraId="07721C1A">
                  <w:pPr>
                    <w:adjustRightInd w:val="0"/>
                    <w:jc w:val="center"/>
                    <w:rPr>
                      <w:rFonts w:hAnsi="Calibri"/>
                      <w:color w:val="auto"/>
                      <w:szCs w:val="21"/>
                    </w:rPr>
                  </w:pPr>
                  <w:r>
                    <w:rPr>
                      <w:rFonts w:hint="eastAsia" w:hAnsi="Calibri"/>
                      <w:color w:val="auto"/>
                      <w:szCs w:val="21"/>
                    </w:rPr>
                    <w:t>符合</w:t>
                  </w:r>
                </w:p>
              </w:tc>
            </w:tr>
            <w:tr w14:paraId="509B3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0" w:type="pct"/>
                  <w:vAlign w:val="center"/>
                </w:tcPr>
                <w:p w14:paraId="619B4873">
                  <w:pPr>
                    <w:adjustRightInd w:val="0"/>
                    <w:jc w:val="left"/>
                    <w:rPr>
                      <w:rFonts w:hAnsi="Calibri"/>
                      <w:color w:val="auto"/>
                      <w:szCs w:val="21"/>
                    </w:rPr>
                  </w:pPr>
                  <w:r>
                    <w:rPr>
                      <w:rFonts w:hint="eastAsia" w:hAnsi="Calibri"/>
                      <w:color w:val="auto"/>
                      <w:szCs w:val="21"/>
                    </w:rPr>
                    <w:t>24.全面提高用水效率。开展农业高效节水示范区建设，提高农田灌溉水有效利用系数。严格执行节水型企业标准、用水定额标准等，实施节水技术改造。加强再生水利用，鼓励将再生水优先用于工业生产、生态景观、建筑施工、城市杂用等。2025年底前，流域内万元GDP用水量和万元工业增加值用水量较2020年降幅均达16%以上。</w:t>
                  </w:r>
                </w:p>
              </w:tc>
              <w:tc>
                <w:tcPr>
                  <w:tcW w:w="1303" w:type="pct"/>
                  <w:vAlign w:val="center"/>
                </w:tcPr>
                <w:p w14:paraId="1D374470">
                  <w:pPr>
                    <w:adjustRightInd w:val="0"/>
                    <w:jc w:val="center"/>
                    <w:rPr>
                      <w:color w:val="auto"/>
                    </w:rPr>
                  </w:pPr>
                  <w:r>
                    <w:rPr>
                      <w:rFonts w:hint="eastAsia"/>
                      <w:color w:val="auto"/>
                    </w:rPr>
                    <w:t>项目产品冷却水经焊管车间循环水池冷却后循环使用，不外排。</w:t>
                  </w:r>
                </w:p>
              </w:tc>
              <w:tc>
                <w:tcPr>
                  <w:tcW w:w="657" w:type="pct"/>
                  <w:vAlign w:val="center"/>
                </w:tcPr>
                <w:p w14:paraId="6C493C4D">
                  <w:pPr>
                    <w:adjustRightInd w:val="0"/>
                    <w:jc w:val="center"/>
                    <w:rPr>
                      <w:rFonts w:hAnsi="Calibri"/>
                      <w:color w:val="auto"/>
                      <w:szCs w:val="21"/>
                    </w:rPr>
                  </w:pPr>
                  <w:r>
                    <w:rPr>
                      <w:rFonts w:hint="eastAsia" w:hAnsi="Calibri"/>
                      <w:color w:val="auto"/>
                      <w:szCs w:val="21"/>
                    </w:rPr>
                    <w:t>符合</w:t>
                  </w:r>
                </w:p>
              </w:tc>
            </w:tr>
            <w:tr w14:paraId="13C47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0" w:type="pct"/>
                  <w:vAlign w:val="center"/>
                </w:tcPr>
                <w:p w14:paraId="6DBF6223">
                  <w:pPr>
                    <w:adjustRightInd w:val="0"/>
                    <w:jc w:val="left"/>
                    <w:rPr>
                      <w:rFonts w:hAnsi="Calibri"/>
                      <w:color w:val="auto"/>
                      <w:szCs w:val="21"/>
                    </w:rPr>
                  </w:pPr>
                  <w:r>
                    <w:rPr>
                      <w:rFonts w:hint="eastAsia" w:hAnsi="Calibri"/>
                      <w:color w:val="auto"/>
                      <w:szCs w:val="21"/>
                    </w:rPr>
                    <w:t>25.加快开展面源污染治理。全面推进控肥增效、控药减害、控膜减量、控水降耗“四控行动”。在滇池、洱海、抚仙湖等湖泊开展初期雨水治理试点，探索初期雨水分质处理方式。</w:t>
                  </w:r>
                </w:p>
              </w:tc>
              <w:tc>
                <w:tcPr>
                  <w:tcW w:w="1303" w:type="pct"/>
                  <w:vAlign w:val="center"/>
                </w:tcPr>
                <w:p w14:paraId="6224BD44">
                  <w:pPr>
                    <w:adjustRightInd w:val="0"/>
                    <w:jc w:val="center"/>
                    <w:rPr>
                      <w:color w:val="auto"/>
                    </w:rPr>
                  </w:pPr>
                  <w:r>
                    <w:rPr>
                      <w:rFonts w:hint="eastAsia" w:hAnsi="Calibri"/>
                      <w:color w:val="auto"/>
                      <w:szCs w:val="21"/>
                    </w:rPr>
                    <w:t>本项目不涉及。</w:t>
                  </w:r>
                </w:p>
              </w:tc>
              <w:tc>
                <w:tcPr>
                  <w:tcW w:w="657" w:type="pct"/>
                  <w:vAlign w:val="center"/>
                </w:tcPr>
                <w:p w14:paraId="367DD0EA">
                  <w:pPr>
                    <w:adjustRightInd w:val="0"/>
                    <w:jc w:val="center"/>
                    <w:rPr>
                      <w:rFonts w:hAnsi="Calibri"/>
                      <w:color w:val="auto"/>
                      <w:szCs w:val="21"/>
                    </w:rPr>
                  </w:pPr>
                  <w:r>
                    <w:rPr>
                      <w:rFonts w:hint="eastAsia" w:hAnsi="Calibri"/>
                      <w:color w:val="auto"/>
                      <w:szCs w:val="21"/>
                    </w:rPr>
                    <w:t>/</w:t>
                  </w:r>
                </w:p>
              </w:tc>
            </w:tr>
            <w:tr w14:paraId="4FA5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0" w:type="pct"/>
                  <w:vAlign w:val="center"/>
                </w:tcPr>
                <w:p w14:paraId="739B4926">
                  <w:pPr>
                    <w:adjustRightInd w:val="0"/>
                    <w:jc w:val="left"/>
                    <w:rPr>
                      <w:rFonts w:hAnsi="Calibri"/>
                      <w:color w:val="auto"/>
                      <w:szCs w:val="21"/>
                    </w:rPr>
                  </w:pPr>
                  <w:r>
                    <w:rPr>
                      <w:rFonts w:hint="eastAsia" w:hAnsi="Calibri"/>
                      <w:color w:val="auto"/>
                      <w:szCs w:val="21"/>
                    </w:rPr>
                    <w:t>26.持续推进高标准农田建设。深入落实“藏粮于地、藏粮于技”战略，大力实施高标准农田建设工程，加快补齐农田基础设施短板，逐步实现土地平整、集中连片、机力畅通、灌排配套的现代农业格局。利用调蓄库塘、生态沟渠等措施，收集农田灌溉退水，加强循环利用。</w:t>
                  </w:r>
                </w:p>
              </w:tc>
              <w:tc>
                <w:tcPr>
                  <w:tcW w:w="1303" w:type="pct"/>
                  <w:vAlign w:val="center"/>
                </w:tcPr>
                <w:p w14:paraId="275224CD">
                  <w:pPr>
                    <w:adjustRightInd w:val="0"/>
                    <w:jc w:val="center"/>
                    <w:rPr>
                      <w:color w:val="auto"/>
                    </w:rPr>
                  </w:pPr>
                  <w:r>
                    <w:rPr>
                      <w:rFonts w:hint="eastAsia" w:hAnsi="Calibri"/>
                      <w:color w:val="auto"/>
                      <w:szCs w:val="21"/>
                    </w:rPr>
                    <w:t>本项目不涉及。</w:t>
                  </w:r>
                </w:p>
              </w:tc>
              <w:tc>
                <w:tcPr>
                  <w:tcW w:w="657" w:type="pct"/>
                  <w:vAlign w:val="center"/>
                </w:tcPr>
                <w:p w14:paraId="155A98D4">
                  <w:pPr>
                    <w:adjustRightInd w:val="0"/>
                    <w:jc w:val="center"/>
                    <w:rPr>
                      <w:rFonts w:hAnsi="Calibri"/>
                      <w:color w:val="auto"/>
                      <w:szCs w:val="21"/>
                    </w:rPr>
                  </w:pPr>
                  <w:r>
                    <w:rPr>
                      <w:rFonts w:hint="eastAsia" w:hAnsi="Calibri"/>
                      <w:color w:val="auto"/>
                      <w:szCs w:val="21"/>
                    </w:rPr>
                    <w:t>/</w:t>
                  </w:r>
                </w:p>
              </w:tc>
            </w:tr>
            <w:tr w14:paraId="26E3A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0" w:type="pct"/>
                  <w:vAlign w:val="center"/>
                </w:tcPr>
                <w:p w14:paraId="22F7BD5E">
                  <w:pPr>
                    <w:adjustRightInd w:val="0"/>
                    <w:jc w:val="left"/>
                    <w:rPr>
                      <w:rFonts w:hAnsi="Calibri"/>
                      <w:color w:val="auto"/>
                      <w:szCs w:val="21"/>
                    </w:rPr>
                  </w:pPr>
                  <w:r>
                    <w:rPr>
                      <w:rFonts w:hint="eastAsia" w:hAnsi="Calibri"/>
                      <w:color w:val="auto"/>
                      <w:szCs w:val="21"/>
                    </w:rPr>
                    <w:t>27.深入推进水权水价改革。建立水权交易机制，制定具体工作计划，明晰区域水资源管理权限，确定取用水总量控制指标，开展用水水权分配和有偿使用。推广农业用水计量收费，完善城镇居民阶梯水价和非居民用水超定额累进加价制度，充分发挥水价在水资源配置、水需求调节和水污染防治等方面的杠杆作用。</w:t>
                  </w:r>
                </w:p>
              </w:tc>
              <w:tc>
                <w:tcPr>
                  <w:tcW w:w="1303" w:type="pct"/>
                  <w:vAlign w:val="center"/>
                </w:tcPr>
                <w:p w14:paraId="152896AB">
                  <w:pPr>
                    <w:adjustRightInd w:val="0"/>
                    <w:jc w:val="center"/>
                    <w:rPr>
                      <w:color w:val="auto"/>
                    </w:rPr>
                  </w:pPr>
                  <w:r>
                    <w:rPr>
                      <w:rFonts w:hint="eastAsia" w:hAnsi="Calibri"/>
                      <w:color w:val="auto"/>
                      <w:szCs w:val="21"/>
                    </w:rPr>
                    <w:t>本项目不涉及。</w:t>
                  </w:r>
                </w:p>
              </w:tc>
              <w:tc>
                <w:tcPr>
                  <w:tcW w:w="657" w:type="pct"/>
                  <w:vAlign w:val="center"/>
                </w:tcPr>
                <w:p w14:paraId="5128D797">
                  <w:pPr>
                    <w:adjustRightInd w:val="0"/>
                    <w:jc w:val="center"/>
                    <w:rPr>
                      <w:rFonts w:hAnsi="Calibri"/>
                      <w:color w:val="auto"/>
                      <w:szCs w:val="21"/>
                    </w:rPr>
                  </w:pPr>
                  <w:r>
                    <w:rPr>
                      <w:rFonts w:hint="eastAsia" w:hAnsi="Calibri"/>
                      <w:color w:val="auto"/>
                      <w:szCs w:val="21"/>
                    </w:rPr>
                    <w:t>/</w:t>
                  </w:r>
                </w:p>
              </w:tc>
            </w:tr>
            <w:tr w14:paraId="6905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0" w:type="pct"/>
                  <w:vAlign w:val="center"/>
                </w:tcPr>
                <w:p w14:paraId="05C72A42">
                  <w:pPr>
                    <w:adjustRightInd w:val="0"/>
                    <w:jc w:val="left"/>
                    <w:rPr>
                      <w:rFonts w:hAnsi="Calibri"/>
                      <w:color w:val="auto"/>
                      <w:szCs w:val="21"/>
                    </w:rPr>
                  </w:pPr>
                  <w:r>
                    <w:rPr>
                      <w:rFonts w:hint="eastAsia" w:hAnsi="Calibri"/>
                      <w:color w:val="auto"/>
                      <w:szCs w:val="21"/>
                    </w:rPr>
                    <w:t>28.全力发展绿色低碳循环经济。优化种植业结构，推广绿色生态种植，鼓励耕地轮作。加快产业结构调整，淘汰落后产能，制定迁出计划，将现有“高污染、高耗水、高耗能”企业全部迁出流域外。鼓励文化创意、会议会展、运动休闲、康体养生、乡村度假、科研设计、总部经济等绿色高附加值服务业的发展。深入实施乡村振兴战略，大力发展生态农业、生态旅游业等生态友好型产业，推进文旅农融合发展。</w:t>
                  </w:r>
                </w:p>
              </w:tc>
              <w:tc>
                <w:tcPr>
                  <w:tcW w:w="1303" w:type="pct"/>
                  <w:vAlign w:val="center"/>
                </w:tcPr>
                <w:p w14:paraId="44ACEBCF">
                  <w:pPr>
                    <w:adjustRightInd w:val="0"/>
                    <w:jc w:val="center"/>
                    <w:rPr>
                      <w:color w:val="auto"/>
                    </w:rPr>
                  </w:pPr>
                  <w:r>
                    <w:rPr>
                      <w:rFonts w:hint="eastAsia" w:hAnsi="Calibri"/>
                      <w:color w:val="auto"/>
                      <w:szCs w:val="21"/>
                    </w:rPr>
                    <w:t>本项目不属于淘汰落后产能，不属于高污染、高耗水、高耗能项目。</w:t>
                  </w:r>
                </w:p>
              </w:tc>
              <w:tc>
                <w:tcPr>
                  <w:tcW w:w="657" w:type="pct"/>
                  <w:vAlign w:val="center"/>
                </w:tcPr>
                <w:p w14:paraId="38DF4921">
                  <w:pPr>
                    <w:adjustRightInd w:val="0"/>
                    <w:jc w:val="center"/>
                    <w:rPr>
                      <w:rFonts w:hAnsi="Calibri"/>
                      <w:color w:val="auto"/>
                      <w:szCs w:val="21"/>
                    </w:rPr>
                  </w:pPr>
                  <w:r>
                    <w:rPr>
                      <w:rFonts w:hint="eastAsia" w:hAnsi="Calibri"/>
                      <w:color w:val="auto"/>
                      <w:szCs w:val="21"/>
                    </w:rPr>
                    <w:t>符合</w:t>
                  </w:r>
                </w:p>
              </w:tc>
            </w:tr>
            <w:tr w14:paraId="05826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0" w:type="pct"/>
                  <w:vAlign w:val="center"/>
                </w:tcPr>
                <w:p w14:paraId="0A14DC8C">
                  <w:pPr>
                    <w:adjustRightInd w:val="0"/>
                    <w:jc w:val="left"/>
                    <w:rPr>
                      <w:rFonts w:hAnsi="Calibri"/>
                      <w:color w:val="auto"/>
                      <w:szCs w:val="21"/>
                    </w:rPr>
                  </w:pPr>
                  <w:r>
                    <w:rPr>
                      <w:rFonts w:hint="eastAsia" w:hAnsi="Calibri"/>
                      <w:color w:val="auto"/>
                      <w:szCs w:val="21"/>
                    </w:rPr>
                    <w:t>29.大力推进流域生态修复。2025年底前，洱海、泸沽湖、阳宗海主要入湖河道水质均在Ⅲ类及以上，其余湖泊主要入湖河道全面消除Ⅴ类、劣Ⅴ类水体。全面排查流域内矿山，按照自然保护地、生态保护红线管理要求分类处置，并按照宜林则林、宜耕则耕、宜草则草、宜景则景的原则进行生态修复，推进历史遗留矿山生态修复。积极推进国土绿化行动，加强湖泊面山绿化和生态修复，提高森林覆盖率，减少水土流失，涵养水源，提升森林、草原系统生态功能。加强入湖河道综合治理，常态化开展“乱占、乱采、乱堆、乱建”清理行动，促进河道生态修复。加强入湖河道管理，严格主要入湖河道管理范围内建设项目和活动的审批及监管。</w:t>
                  </w:r>
                </w:p>
              </w:tc>
              <w:tc>
                <w:tcPr>
                  <w:tcW w:w="1303" w:type="pct"/>
                  <w:vAlign w:val="center"/>
                </w:tcPr>
                <w:p w14:paraId="5D5D9FCE">
                  <w:pPr>
                    <w:adjustRightInd w:val="0"/>
                    <w:jc w:val="center"/>
                    <w:rPr>
                      <w:color w:val="auto"/>
                    </w:rPr>
                  </w:pPr>
                  <w:r>
                    <w:rPr>
                      <w:rFonts w:hint="eastAsia" w:hAnsi="Calibri"/>
                      <w:color w:val="auto"/>
                      <w:szCs w:val="21"/>
                    </w:rPr>
                    <w:t>本项目不涉及。</w:t>
                  </w:r>
                </w:p>
              </w:tc>
              <w:tc>
                <w:tcPr>
                  <w:tcW w:w="657" w:type="pct"/>
                  <w:vAlign w:val="center"/>
                </w:tcPr>
                <w:p w14:paraId="6BC87D79">
                  <w:pPr>
                    <w:adjustRightInd w:val="0"/>
                    <w:jc w:val="center"/>
                    <w:rPr>
                      <w:rFonts w:hAnsi="Calibri"/>
                      <w:color w:val="auto"/>
                      <w:szCs w:val="21"/>
                    </w:rPr>
                  </w:pPr>
                  <w:r>
                    <w:rPr>
                      <w:rFonts w:hint="eastAsia" w:hAnsi="Calibri"/>
                      <w:color w:val="auto"/>
                      <w:szCs w:val="21"/>
                    </w:rPr>
                    <w:t>/</w:t>
                  </w:r>
                </w:p>
              </w:tc>
            </w:tr>
            <w:tr w14:paraId="2D942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0" w:type="pct"/>
                  <w:vAlign w:val="center"/>
                </w:tcPr>
                <w:p w14:paraId="77394E3B">
                  <w:pPr>
                    <w:adjustRightInd w:val="0"/>
                    <w:jc w:val="left"/>
                    <w:rPr>
                      <w:rFonts w:hAnsi="Calibri"/>
                      <w:color w:val="auto"/>
                      <w:szCs w:val="21"/>
                    </w:rPr>
                  </w:pPr>
                  <w:r>
                    <w:rPr>
                      <w:rFonts w:hint="eastAsia" w:hAnsi="Calibri"/>
                      <w:color w:val="auto"/>
                      <w:szCs w:val="21"/>
                    </w:rPr>
                    <w:t>30.积极探索生态保护补偿机制。依托流域内现有产业布局和自然资源分布，制定工作计划，开展生态系统生产总值（GEP）核算。建立湖泊生态质量监测评价机制。科学制定补偿标准，探索实施森林、湿地、河道、种植结构调整等生态效益补偿机制。探索完善用能权、排污权、碳排放权交易制度。健全生态环境质量考核奖惩机制。</w:t>
                  </w:r>
                </w:p>
              </w:tc>
              <w:tc>
                <w:tcPr>
                  <w:tcW w:w="1303" w:type="pct"/>
                  <w:vAlign w:val="center"/>
                </w:tcPr>
                <w:p w14:paraId="6C7B1296">
                  <w:pPr>
                    <w:adjustRightInd w:val="0"/>
                    <w:jc w:val="center"/>
                    <w:rPr>
                      <w:color w:val="auto"/>
                    </w:rPr>
                  </w:pPr>
                  <w:r>
                    <w:rPr>
                      <w:rFonts w:hint="eastAsia" w:hAnsi="Calibri"/>
                      <w:color w:val="auto"/>
                      <w:szCs w:val="21"/>
                    </w:rPr>
                    <w:t>本项目不涉及。</w:t>
                  </w:r>
                </w:p>
              </w:tc>
              <w:tc>
                <w:tcPr>
                  <w:tcW w:w="657" w:type="pct"/>
                  <w:vAlign w:val="center"/>
                </w:tcPr>
                <w:p w14:paraId="4884E6B9">
                  <w:pPr>
                    <w:adjustRightInd w:val="0"/>
                    <w:jc w:val="center"/>
                    <w:rPr>
                      <w:rFonts w:hAnsi="Calibri"/>
                      <w:color w:val="auto"/>
                      <w:szCs w:val="21"/>
                    </w:rPr>
                  </w:pPr>
                  <w:r>
                    <w:rPr>
                      <w:rFonts w:hint="eastAsia" w:hAnsi="Calibri"/>
                      <w:color w:val="auto"/>
                      <w:szCs w:val="21"/>
                    </w:rPr>
                    <w:t>/</w:t>
                  </w:r>
                </w:p>
              </w:tc>
            </w:tr>
          </w:tbl>
          <w:p w14:paraId="2788123D">
            <w:pPr>
              <w:autoSpaceDE w:val="0"/>
              <w:autoSpaceDN w:val="0"/>
              <w:adjustRightInd w:val="0"/>
              <w:snapToGrid w:val="0"/>
              <w:spacing w:line="360" w:lineRule="auto"/>
              <w:ind w:firstLine="480" w:firstLineChars="200"/>
              <w:jc w:val="left"/>
              <w:rPr>
                <w:color w:val="auto"/>
                <w:kern w:val="0"/>
                <w:sz w:val="24"/>
              </w:rPr>
            </w:pPr>
            <w:r>
              <w:rPr>
                <w:rFonts w:hint="eastAsia"/>
                <w:color w:val="auto"/>
                <w:kern w:val="0"/>
                <w:sz w:val="24"/>
              </w:rPr>
              <w:t>综上，本项目建设符合《云南省人民政府关于九大高原湖泊“三区”管控的指导意见》（云政发〔2022〕25号）中绿色发展区的相关要求。</w:t>
            </w:r>
          </w:p>
          <w:p w14:paraId="2A307BDD">
            <w:pPr>
              <w:autoSpaceDE w:val="0"/>
              <w:autoSpaceDN w:val="0"/>
              <w:adjustRightInd w:val="0"/>
              <w:snapToGrid w:val="0"/>
              <w:spacing w:line="360" w:lineRule="auto"/>
              <w:ind w:firstLine="482" w:firstLineChars="200"/>
              <w:jc w:val="left"/>
              <w:rPr>
                <w:b/>
                <w:bCs/>
                <w:color w:val="auto"/>
                <w:kern w:val="0"/>
                <w:sz w:val="24"/>
              </w:rPr>
            </w:pPr>
            <w:bookmarkStart w:id="22" w:name="OLE_LINK33"/>
            <w:r>
              <w:rPr>
                <w:b/>
                <w:bCs/>
                <w:color w:val="auto"/>
                <w:kern w:val="0"/>
                <w:sz w:val="24"/>
              </w:rPr>
              <w:t>6</w:t>
            </w:r>
            <w:r>
              <w:rPr>
                <w:rFonts w:hint="eastAsia"/>
                <w:b/>
                <w:bCs/>
                <w:color w:val="auto"/>
                <w:kern w:val="0"/>
                <w:sz w:val="24"/>
              </w:rPr>
              <w:t>、</w:t>
            </w:r>
            <w:bookmarkStart w:id="23" w:name="OLE_LINK37"/>
            <w:r>
              <w:rPr>
                <w:rFonts w:hint="eastAsia"/>
                <w:b/>
                <w:bCs/>
                <w:color w:val="auto"/>
                <w:kern w:val="0"/>
                <w:sz w:val="24"/>
              </w:rPr>
              <w:t>与</w:t>
            </w:r>
            <w:bookmarkStart w:id="24" w:name="OLE_LINK32"/>
            <w:r>
              <w:rPr>
                <w:rFonts w:hint="eastAsia"/>
                <w:b/>
                <w:bCs/>
                <w:color w:val="auto"/>
                <w:kern w:val="0"/>
                <w:sz w:val="24"/>
              </w:rPr>
              <w:t>《杞麓湖“三区”管控实施细则（试行）》</w:t>
            </w:r>
            <w:bookmarkEnd w:id="24"/>
            <w:r>
              <w:rPr>
                <w:rFonts w:hint="eastAsia"/>
                <w:b/>
                <w:bCs/>
                <w:color w:val="auto"/>
                <w:kern w:val="0"/>
                <w:sz w:val="24"/>
              </w:rPr>
              <w:t>符合性分析</w:t>
            </w:r>
            <w:bookmarkEnd w:id="23"/>
          </w:p>
          <w:bookmarkEnd w:id="22"/>
          <w:p w14:paraId="210C8EA0">
            <w:pPr>
              <w:pStyle w:val="69"/>
              <w:spacing w:beforeLines="0" w:afterLines="0" w:line="360" w:lineRule="auto"/>
              <w:ind w:firstLine="496" w:firstLineChars="200"/>
              <w:rPr>
                <w:color w:val="auto"/>
                <w:szCs w:val="24"/>
              </w:rPr>
            </w:pPr>
            <w:r>
              <w:rPr>
                <w:rFonts w:hint="eastAsia"/>
                <w:bCs/>
                <w:color w:val="auto"/>
                <w:szCs w:val="24"/>
              </w:rPr>
              <w:t>本项目位于杞麓湖径流区，涉及杞麓湖绿色发展区。</w:t>
            </w:r>
          </w:p>
          <w:p w14:paraId="79C85295">
            <w:pPr>
              <w:autoSpaceDE w:val="0"/>
              <w:autoSpaceDN w:val="0"/>
              <w:adjustRightInd w:val="0"/>
              <w:snapToGrid w:val="0"/>
              <w:spacing w:line="360" w:lineRule="auto"/>
              <w:ind w:firstLine="482" w:firstLineChars="200"/>
              <w:jc w:val="center"/>
              <w:rPr>
                <w:b/>
                <w:bCs/>
                <w:color w:val="auto"/>
                <w:kern w:val="0"/>
                <w:sz w:val="24"/>
              </w:rPr>
            </w:pPr>
            <w:r>
              <w:rPr>
                <w:b/>
                <w:bCs/>
                <w:color w:val="auto"/>
                <w:kern w:val="0"/>
                <w:sz w:val="24"/>
              </w:rPr>
              <w:t xml:space="preserve">表 </w:t>
            </w:r>
            <w:r>
              <w:rPr>
                <w:rFonts w:hint="eastAsia"/>
                <w:b/>
                <w:bCs/>
                <w:color w:val="auto"/>
                <w:kern w:val="0"/>
                <w:sz w:val="24"/>
              </w:rPr>
              <w:t>1-</w:t>
            </w:r>
            <w:r>
              <w:rPr>
                <w:b/>
                <w:bCs/>
                <w:color w:val="auto"/>
                <w:kern w:val="0"/>
                <w:sz w:val="24"/>
              </w:rPr>
              <w:t>8</w:t>
            </w:r>
            <w:r>
              <w:rPr>
                <w:rFonts w:hint="eastAsia"/>
                <w:b/>
                <w:bCs/>
                <w:color w:val="auto"/>
                <w:kern w:val="0"/>
                <w:sz w:val="24"/>
              </w:rPr>
              <w:t xml:space="preserve"> </w:t>
            </w:r>
            <w:r>
              <w:rPr>
                <w:b/>
                <w:bCs/>
                <w:color w:val="auto"/>
                <w:kern w:val="0"/>
                <w:sz w:val="24"/>
              </w:rPr>
              <w:t>与</w:t>
            </w:r>
            <w:r>
              <w:rPr>
                <w:rFonts w:hint="eastAsia"/>
                <w:b/>
                <w:bCs/>
                <w:color w:val="auto"/>
                <w:kern w:val="0"/>
                <w:sz w:val="24"/>
              </w:rPr>
              <w:t>《</w:t>
            </w:r>
            <w:bookmarkStart w:id="25" w:name="OLE_LINK49"/>
            <w:r>
              <w:rPr>
                <w:rFonts w:hint="eastAsia"/>
                <w:b/>
                <w:bCs/>
                <w:color w:val="auto"/>
                <w:kern w:val="0"/>
                <w:sz w:val="24"/>
              </w:rPr>
              <w:t>杞麓湖“三区”</w:t>
            </w:r>
            <w:bookmarkStart w:id="26" w:name="OLE_LINK31"/>
            <w:r>
              <w:rPr>
                <w:rFonts w:hint="eastAsia"/>
                <w:b/>
                <w:bCs/>
                <w:color w:val="auto"/>
                <w:kern w:val="0"/>
                <w:sz w:val="24"/>
              </w:rPr>
              <w:t>管控实施细则</w:t>
            </w:r>
            <w:bookmarkEnd w:id="25"/>
            <w:bookmarkEnd w:id="26"/>
            <w:r>
              <w:rPr>
                <w:rFonts w:hint="eastAsia"/>
                <w:b/>
                <w:bCs/>
                <w:color w:val="auto"/>
                <w:kern w:val="0"/>
                <w:sz w:val="24"/>
              </w:rPr>
              <w:t>（试行）》</w:t>
            </w:r>
            <w:r>
              <w:rPr>
                <w:b/>
                <w:bCs/>
                <w:color w:val="auto"/>
                <w:kern w:val="0"/>
                <w:sz w:val="24"/>
              </w:rPr>
              <w:t>符合性分析一览表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32"/>
              <w:gridCol w:w="2286"/>
              <w:gridCol w:w="1153"/>
            </w:tblGrid>
            <w:tr w14:paraId="5A7B8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0" w:type="pct"/>
                  <w:vAlign w:val="center"/>
                </w:tcPr>
                <w:p w14:paraId="151522C1">
                  <w:pPr>
                    <w:adjustRightInd w:val="0"/>
                    <w:jc w:val="center"/>
                    <w:rPr>
                      <w:rFonts w:hAnsi="Calibri"/>
                      <w:b/>
                      <w:bCs/>
                      <w:color w:val="auto"/>
                      <w:szCs w:val="21"/>
                    </w:rPr>
                  </w:pPr>
                  <w:r>
                    <w:rPr>
                      <w:rFonts w:hint="eastAsia" w:hAnsi="Calibri"/>
                      <w:b/>
                      <w:bCs/>
                      <w:color w:val="auto"/>
                      <w:szCs w:val="21"/>
                    </w:rPr>
                    <w:t>绿色发展区管控实施细则</w:t>
                  </w:r>
                </w:p>
              </w:tc>
              <w:tc>
                <w:tcPr>
                  <w:tcW w:w="1303" w:type="pct"/>
                  <w:vAlign w:val="center"/>
                </w:tcPr>
                <w:p w14:paraId="66E30D11">
                  <w:pPr>
                    <w:adjustRightInd w:val="0"/>
                    <w:jc w:val="center"/>
                    <w:rPr>
                      <w:rFonts w:hAnsi="Calibri"/>
                      <w:b/>
                      <w:bCs/>
                      <w:color w:val="auto"/>
                      <w:szCs w:val="21"/>
                    </w:rPr>
                  </w:pPr>
                  <w:r>
                    <w:rPr>
                      <w:rFonts w:hint="eastAsia" w:hAnsi="Calibri"/>
                      <w:b/>
                      <w:bCs/>
                      <w:color w:val="auto"/>
                      <w:szCs w:val="21"/>
                    </w:rPr>
                    <w:t>项目情况</w:t>
                  </w:r>
                </w:p>
              </w:tc>
              <w:tc>
                <w:tcPr>
                  <w:tcW w:w="657" w:type="pct"/>
                  <w:vAlign w:val="center"/>
                </w:tcPr>
                <w:p w14:paraId="2F7945E7">
                  <w:pPr>
                    <w:adjustRightInd w:val="0"/>
                    <w:jc w:val="center"/>
                    <w:rPr>
                      <w:rFonts w:hAnsi="Calibri"/>
                      <w:b/>
                      <w:bCs/>
                      <w:color w:val="auto"/>
                      <w:szCs w:val="21"/>
                    </w:rPr>
                  </w:pPr>
                  <w:r>
                    <w:rPr>
                      <w:rFonts w:hint="eastAsia" w:hAnsi="Calibri"/>
                      <w:b/>
                      <w:bCs/>
                      <w:color w:val="auto"/>
                      <w:szCs w:val="21"/>
                    </w:rPr>
                    <w:t>符合情况</w:t>
                  </w:r>
                </w:p>
              </w:tc>
            </w:tr>
            <w:tr w14:paraId="234E4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0" w:type="pct"/>
                  <w:vAlign w:val="center"/>
                </w:tcPr>
                <w:p w14:paraId="50908845">
                  <w:pPr>
                    <w:adjustRightInd w:val="0"/>
                    <w:jc w:val="left"/>
                    <w:rPr>
                      <w:rFonts w:hAnsi="Calibri"/>
                      <w:color w:val="auto"/>
                      <w:szCs w:val="21"/>
                    </w:rPr>
                  </w:pPr>
                  <w:r>
                    <w:rPr>
                      <w:rFonts w:hint="eastAsia" w:hAnsi="Calibri"/>
                      <w:color w:val="auto"/>
                      <w:szCs w:val="21"/>
                    </w:rPr>
                    <w:t>科学确定人口和城镇建设规模。编制实施《通海县国土空间总体规划（2021-2035）年、《杞麓湖流域国土空间保护和科学利用专项规划（2021-2035年）》。坚持“远湖布局、离湖发展”科学划定城镇开发边界，优先安排从生态保护核心区和生态保护缓冲区迁出的建设需求。湖泊面山区域严禁连片房地产开发。</w:t>
                  </w:r>
                </w:p>
              </w:tc>
              <w:tc>
                <w:tcPr>
                  <w:tcW w:w="1303" w:type="pct"/>
                  <w:vAlign w:val="center"/>
                </w:tcPr>
                <w:p w14:paraId="53C88FEA">
                  <w:pPr>
                    <w:adjustRightInd w:val="0"/>
                    <w:jc w:val="center"/>
                    <w:rPr>
                      <w:color w:val="auto"/>
                      <w:kern w:val="0"/>
                      <w:szCs w:val="21"/>
                    </w:rPr>
                  </w:pPr>
                  <w:r>
                    <w:rPr>
                      <w:rFonts w:hint="eastAsia"/>
                      <w:color w:val="auto"/>
                      <w:kern w:val="21"/>
                      <w:szCs w:val="21"/>
                    </w:rPr>
                    <w:t>根据《通海县“三区三线”数据查询结果》，项目矢量范围内不涉及永久基本农田，不涉及生态保护红线，位于城镇开发边界内。</w:t>
                  </w:r>
                  <w:r>
                    <w:rPr>
                      <w:color w:val="auto"/>
                      <w:szCs w:val="21"/>
                    </w:rPr>
                    <w:t>建设项目与</w:t>
                  </w:r>
                  <w:r>
                    <w:rPr>
                      <w:rFonts w:hint="eastAsia"/>
                      <w:color w:val="auto"/>
                      <w:szCs w:val="21"/>
                    </w:rPr>
                    <w:t>《通海县国土空间总体规划（2021-2035年）》《</w:t>
                  </w:r>
                  <w:r>
                    <w:rPr>
                      <w:rFonts w:hint="eastAsia"/>
                      <w:color w:val="auto"/>
                      <w:kern w:val="0"/>
                      <w:szCs w:val="21"/>
                    </w:rPr>
                    <w:t>玉溪市通海县纳古镇集镇区国土空间详细规划（2单元）</w:t>
                  </w:r>
                  <w:r>
                    <w:rPr>
                      <w:rFonts w:hint="eastAsia"/>
                      <w:color w:val="auto"/>
                      <w:szCs w:val="21"/>
                    </w:rPr>
                    <w:t>》</w:t>
                  </w:r>
                  <w:r>
                    <w:rPr>
                      <w:rFonts w:hint="eastAsia"/>
                      <w:color w:val="auto"/>
                      <w:kern w:val="0"/>
                      <w:szCs w:val="21"/>
                    </w:rPr>
                    <w:t>相符。</w:t>
                  </w:r>
                </w:p>
              </w:tc>
              <w:tc>
                <w:tcPr>
                  <w:tcW w:w="657" w:type="pct"/>
                  <w:vAlign w:val="center"/>
                </w:tcPr>
                <w:p w14:paraId="5045DD79">
                  <w:pPr>
                    <w:adjustRightInd w:val="0"/>
                    <w:jc w:val="center"/>
                    <w:rPr>
                      <w:rFonts w:hAnsi="Calibri"/>
                      <w:color w:val="auto"/>
                      <w:szCs w:val="21"/>
                    </w:rPr>
                  </w:pPr>
                  <w:r>
                    <w:rPr>
                      <w:rFonts w:hint="eastAsia" w:hAnsi="Calibri"/>
                      <w:color w:val="auto"/>
                      <w:szCs w:val="21"/>
                    </w:rPr>
                    <w:t>符合</w:t>
                  </w:r>
                </w:p>
              </w:tc>
            </w:tr>
            <w:tr w14:paraId="75746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0" w:type="pct"/>
                  <w:vAlign w:val="center"/>
                </w:tcPr>
                <w:p w14:paraId="0BFFDFCE">
                  <w:pPr>
                    <w:adjustRightInd w:val="0"/>
                    <w:jc w:val="left"/>
                    <w:rPr>
                      <w:rFonts w:hAnsi="Calibri"/>
                      <w:color w:val="auto"/>
                      <w:szCs w:val="21"/>
                    </w:rPr>
                  </w:pPr>
                  <w:r>
                    <w:rPr>
                      <w:rFonts w:hint="eastAsia" w:hAnsi="Calibri"/>
                      <w:color w:val="auto"/>
                      <w:szCs w:val="21"/>
                    </w:rPr>
                    <w:t>严格管控建设用地总规模。严格执行国土空间规划管控要求，严控开发强度，建设用地以挖掘存量用地潜力、高效利用为主，加强村庄闲散用地整合，鼓励低效用地增容改造和深度开发。新增建设用地主要用于保障基础设施、公共服务设施等民生项目用地需求。对资源条件优越，旅游、休闲、康养等发展潜力较大的绿色产业，新增建设用地须严格论证。</w:t>
                  </w:r>
                </w:p>
              </w:tc>
              <w:tc>
                <w:tcPr>
                  <w:tcW w:w="1303" w:type="pct"/>
                  <w:vAlign w:val="center"/>
                </w:tcPr>
                <w:p w14:paraId="723987D2">
                  <w:pPr>
                    <w:adjustRightInd w:val="0"/>
                    <w:jc w:val="center"/>
                    <w:rPr>
                      <w:color w:val="auto"/>
                    </w:rPr>
                  </w:pPr>
                  <w:r>
                    <w:rPr>
                      <w:rFonts w:hint="eastAsia" w:hAnsi="Calibri"/>
                      <w:color w:val="auto"/>
                      <w:kern w:val="0"/>
                      <w:szCs w:val="21"/>
                    </w:rPr>
                    <w:t>本项目租赁现有厂房进行建设，无新增建设用地。</w:t>
                  </w:r>
                </w:p>
              </w:tc>
              <w:tc>
                <w:tcPr>
                  <w:tcW w:w="657" w:type="pct"/>
                  <w:vAlign w:val="center"/>
                </w:tcPr>
                <w:p w14:paraId="241C8704">
                  <w:pPr>
                    <w:adjustRightInd w:val="0"/>
                    <w:jc w:val="center"/>
                    <w:rPr>
                      <w:rFonts w:hAnsi="Calibri"/>
                      <w:color w:val="auto"/>
                      <w:szCs w:val="21"/>
                    </w:rPr>
                  </w:pPr>
                  <w:r>
                    <w:rPr>
                      <w:rFonts w:hint="eastAsia" w:hAnsi="Calibri"/>
                      <w:color w:val="auto"/>
                      <w:szCs w:val="21"/>
                    </w:rPr>
                    <w:t>符合</w:t>
                  </w:r>
                </w:p>
              </w:tc>
            </w:tr>
            <w:tr w14:paraId="723A1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0" w:type="pct"/>
                  <w:vAlign w:val="center"/>
                </w:tcPr>
                <w:p w14:paraId="0D410169">
                  <w:pPr>
                    <w:adjustRightInd w:val="0"/>
                    <w:jc w:val="left"/>
                    <w:rPr>
                      <w:rFonts w:hAnsi="Calibri"/>
                      <w:color w:val="auto"/>
                      <w:szCs w:val="21"/>
                    </w:rPr>
                  </w:pPr>
                  <w:r>
                    <w:rPr>
                      <w:rFonts w:hint="eastAsia" w:hAnsi="Calibri"/>
                      <w:color w:val="auto"/>
                      <w:szCs w:val="21"/>
                    </w:rPr>
                    <w:t>统筹加快“两污”治理。</w:t>
                  </w:r>
                </w:p>
                <w:p w14:paraId="11DFCA87">
                  <w:pPr>
                    <w:adjustRightInd w:val="0"/>
                    <w:jc w:val="left"/>
                    <w:rPr>
                      <w:rFonts w:hAnsi="Calibri"/>
                      <w:color w:val="auto"/>
                      <w:szCs w:val="21"/>
                    </w:rPr>
                  </w:pPr>
                  <w:r>
                    <w:rPr>
                      <w:rFonts w:hint="eastAsia" w:hAnsi="Calibri"/>
                      <w:color w:val="auto"/>
                      <w:szCs w:val="21"/>
                    </w:rPr>
                    <w:t>（1）完善城乡生活污水治理体系。采取城乡区别、分片集中、分区分类、精准有效治理生活污水补齐城镇污水管网短板实施雨污分流工程，提升城镇污水处理能力，推进污水处理厂提标改造，加强农村生活污水治理与农村“厕所革命"有机衔接。2025年底前，完成流域内城镇雨污分流改造,城镇污水收集率达 95%以上，农村生活污水收集处理率达75%以上。</w:t>
                  </w:r>
                </w:p>
                <w:p w14:paraId="5169450E">
                  <w:pPr>
                    <w:adjustRightInd w:val="0"/>
                    <w:jc w:val="left"/>
                    <w:rPr>
                      <w:rFonts w:hAnsi="Calibri"/>
                      <w:color w:val="auto"/>
                      <w:szCs w:val="21"/>
                    </w:rPr>
                  </w:pPr>
                  <w:r>
                    <w:rPr>
                      <w:rFonts w:hint="eastAsia" w:hAnsi="Calibri"/>
                      <w:color w:val="auto"/>
                      <w:szCs w:val="21"/>
                    </w:rPr>
                    <w:t>（2）加强垃圾收集、转运、处置等各类环境基础设施建设、运营和维护。2025年底前实现城市生活垃圾处理率达97%以上实现农村生活垃圾处理设施全覆盖，垃圾分类投放、统一运输集中处理；推进农业生产废弃物收集、处置和综合利用,开展“清洁田园"行动，严格肥料农药包装废弃物、废弃农膜回收处置；集中收处餐饮经营户餐厨垃圾，实现食堂（客事房）餐饮经营户收处全覆盖。</w:t>
                  </w:r>
                </w:p>
                <w:p w14:paraId="4E8B03C6">
                  <w:pPr>
                    <w:adjustRightInd w:val="0"/>
                    <w:jc w:val="left"/>
                    <w:rPr>
                      <w:rFonts w:hAnsi="Calibri"/>
                      <w:color w:val="auto"/>
                      <w:szCs w:val="21"/>
                    </w:rPr>
                  </w:pPr>
                  <w:r>
                    <w:rPr>
                      <w:rFonts w:hint="eastAsia" w:hAnsi="Calibri"/>
                      <w:color w:val="auto"/>
                      <w:szCs w:val="21"/>
                    </w:rPr>
                    <w:t>（3）积极推动粪污无害化处理和资源化利用。落实禁养区、限养区管理规定，禁养区全面退出畜离养殖，严防反弹；限养区禁止新增规模养殖场，养殖数量只减不增，规范现有养殖场污染防治措施，达不到要求的依法整改。2025年底前，畜禽粪污综合利用率达90%以上。</w:t>
                  </w:r>
                </w:p>
              </w:tc>
              <w:tc>
                <w:tcPr>
                  <w:tcW w:w="1303" w:type="pct"/>
                  <w:vAlign w:val="center"/>
                </w:tcPr>
                <w:p w14:paraId="461CAD07">
                  <w:pPr>
                    <w:adjustRightInd w:val="0"/>
                    <w:jc w:val="center"/>
                    <w:rPr>
                      <w:color w:val="auto"/>
                    </w:rPr>
                  </w:pPr>
                  <w:r>
                    <w:rPr>
                      <w:rFonts w:hint="eastAsia"/>
                      <w:color w:val="auto"/>
                    </w:rPr>
                    <w:t>（1）</w:t>
                  </w:r>
                  <w:bookmarkStart w:id="27" w:name="OLE_LINK30"/>
                  <w:r>
                    <w:rPr>
                      <w:rFonts w:hint="eastAsia"/>
                      <w:color w:val="auto"/>
                      <w:kern w:val="0"/>
                      <w:szCs w:val="21"/>
                    </w:rPr>
                    <w:t>项目生产废水循环使用不外排，项目生活污水经化粪池预处理后，采用罐车运至纳古镇污水处理站处理。</w:t>
                  </w:r>
                </w:p>
                <w:bookmarkEnd w:id="27"/>
                <w:p w14:paraId="5526C72C">
                  <w:pPr>
                    <w:adjustRightInd w:val="0"/>
                    <w:jc w:val="center"/>
                    <w:rPr>
                      <w:color w:val="auto"/>
                    </w:rPr>
                  </w:pPr>
                  <w:r>
                    <w:rPr>
                      <w:rFonts w:hint="eastAsia"/>
                      <w:color w:val="auto"/>
                    </w:rPr>
                    <w:t>（2）项目生活垃圾委托环卫部门清运处置。</w:t>
                  </w:r>
                </w:p>
                <w:p w14:paraId="4BB3D6D3">
                  <w:pPr>
                    <w:adjustRightInd w:val="0"/>
                    <w:jc w:val="center"/>
                    <w:rPr>
                      <w:color w:val="auto"/>
                    </w:rPr>
                  </w:pPr>
                  <w:r>
                    <w:rPr>
                      <w:rFonts w:hint="eastAsia"/>
                      <w:color w:val="auto"/>
                    </w:rPr>
                    <w:t>（3）本项目不涉及。</w:t>
                  </w:r>
                </w:p>
              </w:tc>
              <w:tc>
                <w:tcPr>
                  <w:tcW w:w="657" w:type="pct"/>
                  <w:vAlign w:val="center"/>
                </w:tcPr>
                <w:p w14:paraId="4D452F73">
                  <w:pPr>
                    <w:adjustRightInd w:val="0"/>
                    <w:jc w:val="center"/>
                    <w:rPr>
                      <w:rFonts w:hAnsi="Calibri"/>
                      <w:color w:val="auto"/>
                      <w:szCs w:val="21"/>
                    </w:rPr>
                  </w:pPr>
                  <w:r>
                    <w:rPr>
                      <w:rFonts w:hint="eastAsia" w:hAnsi="Calibri"/>
                      <w:color w:val="auto"/>
                      <w:szCs w:val="21"/>
                    </w:rPr>
                    <w:t>符合</w:t>
                  </w:r>
                </w:p>
              </w:tc>
            </w:tr>
            <w:tr w14:paraId="1AD1C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0" w:type="pct"/>
                  <w:vAlign w:val="center"/>
                </w:tcPr>
                <w:p w14:paraId="3A8E7A15">
                  <w:pPr>
                    <w:adjustRightInd w:val="0"/>
                    <w:jc w:val="left"/>
                    <w:rPr>
                      <w:rFonts w:hAnsi="Calibri"/>
                      <w:color w:val="auto"/>
                      <w:szCs w:val="21"/>
                    </w:rPr>
                  </w:pPr>
                  <w:r>
                    <w:rPr>
                      <w:rFonts w:hint="eastAsia" w:hAnsi="Calibri"/>
                      <w:color w:val="auto"/>
                      <w:szCs w:val="21"/>
                    </w:rPr>
                    <w:t>全面提高用水效率。开展农业高效节水示范区建设，提高农田灌溉水有效利用系数。严格执行节水型企业标准、用水定额标准等，实施节水技术改造。加强再生水利用，鼓励将再生水优先用于工业生产、生态景观、建筑施工、城市杂用等。2025年底前，流域内万元GDP用水量和万元工业增加值用水量较2020年降幅均达16%以上。</w:t>
                  </w:r>
                </w:p>
              </w:tc>
              <w:tc>
                <w:tcPr>
                  <w:tcW w:w="1303" w:type="pct"/>
                  <w:vAlign w:val="center"/>
                </w:tcPr>
                <w:p w14:paraId="06EE4914">
                  <w:pPr>
                    <w:adjustRightInd w:val="0"/>
                    <w:jc w:val="center"/>
                    <w:rPr>
                      <w:color w:val="auto"/>
                    </w:rPr>
                  </w:pPr>
                  <w:r>
                    <w:rPr>
                      <w:rFonts w:hint="eastAsia"/>
                      <w:color w:val="auto"/>
                    </w:rPr>
                    <w:t>项目产品冷却水经焊管车间循环水池冷却后循环使用，不外排。</w:t>
                  </w:r>
                </w:p>
              </w:tc>
              <w:tc>
                <w:tcPr>
                  <w:tcW w:w="657" w:type="pct"/>
                  <w:vAlign w:val="center"/>
                </w:tcPr>
                <w:p w14:paraId="7E7648BF">
                  <w:pPr>
                    <w:adjustRightInd w:val="0"/>
                    <w:jc w:val="center"/>
                    <w:rPr>
                      <w:rFonts w:hAnsi="Calibri"/>
                      <w:color w:val="auto"/>
                      <w:szCs w:val="21"/>
                    </w:rPr>
                  </w:pPr>
                  <w:r>
                    <w:rPr>
                      <w:rFonts w:hint="eastAsia" w:hAnsi="Calibri"/>
                      <w:color w:val="auto"/>
                      <w:szCs w:val="21"/>
                    </w:rPr>
                    <w:t>符合</w:t>
                  </w:r>
                </w:p>
              </w:tc>
            </w:tr>
            <w:tr w14:paraId="18DAB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0" w:type="pct"/>
                  <w:vAlign w:val="center"/>
                </w:tcPr>
                <w:p w14:paraId="7CFF7C4E">
                  <w:pPr>
                    <w:adjustRightInd w:val="0"/>
                    <w:jc w:val="left"/>
                    <w:rPr>
                      <w:rFonts w:hAnsi="Calibri"/>
                      <w:color w:val="auto"/>
                      <w:szCs w:val="21"/>
                    </w:rPr>
                  </w:pPr>
                  <w:r>
                    <w:rPr>
                      <w:rFonts w:hint="eastAsia" w:hAnsi="Calibri"/>
                      <w:color w:val="auto"/>
                      <w:szCs w:val="21"/>
                    </w:rPr>
                    <w:t>加快开展面源污染治理。全面推进控肥增效、控药减害、控膜减量、控水降耗“四控行动”。全面落实种植结构调整，加快绿色农业发展，实行农业生产种植作物清单制度，实现环境友好型作物只增不减。</w:t>
                  </w:r>
                </w:p>
              </w:tc>
              <w:tc>
                <w:tcPr>
                  <w:tcW w:w="1303" w:type="pct"/>
                  <w:vAlign w:val="center"/>
                </w:tcPr>
                <w:p w14:paraId="7050C035">
                  <w:pPr>
                    <w:adjustRightInd w:val="0"/>
                    <w:jc w:val="center"/>
                    <w:rPr>
                      <w:color w:val="auto"/>
                    </w:rPr>
                  </w:pPr>
                  <w:r>
                    <w:rPr>
                      <w:rFonts w:hint="eastAsia" w:hAnsi="Calibri"/>
                      <w:color w:val="auto"/>
                      <w:szCs w:val="21"/>
                    </w:rPr>
                    <w:t>本项目不涉及。</w:t>
                  </w:r>
                </w:p>
              </w:tc>
              <w:tc>
                <w:tcPr>
                  <w:tcW w:w="657" w:type="pct"/>
                  <w:vAlign w:val="center"/>
                </w:tcPr>
                <w:p w14:paraId="64EAA577">
                  <w:pPr>
                    <w:adjustRightInd w:val="0"/>
                    <w:jc w:val="center"/>
                    <w:rPr>
                      <w:rFonts w:hAnsi="Calibri"/>
                      <w:color w:val="auto"/>
                      <w:szCs w:val="21"/>
                    </w:rPr>
                  </w:pPr>
                  <w:r>
                    <w:rPr>
                      <w:rFonts w:hint="eastAsia" w:hAnsi="Calibri"/>
                      <w:color w:val="auto"/>
                      <w:szCs w:val="21"/>
                    </w:rPr>
                    <w:t>/</w:t>
                  </w:r>
                </w:p>
              </w:tc>
            </w:tr>
            <w:tr w14:paraId="3E313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0" w:type="pct"/>
                  <w:vAlign w:val="center"/>
                </w:tcPr>
                <w:p w14:paraId="1A68F41B">
                  <w:pPr>
                    <w:adjustRightInd w:val="0"/>
                    <w:jc w:val="left"/>
                    <w:rPr>
                      <w:rFonts w:hAnsi="Calibri"/>
                      <w:color w:val="auto"/>
                      <w:szCs w:val="21"/>
                    </w:rPr>
                  </w:pPr>
                  <w:r>
                    <w:rPr>
                      <w:rFonts w:hint="eastAsia" w:hAnsi="Calibri"/>
                      <w:color w:val="auto"/>
                      <w:szCs w:val="21"/>
                    </w:rPr>
                    <w:t>持续推进高标准农田建设。深入落实“藏粮于地、藏粮于技”战略，加快发展数字农业、智慧农业、设施农业，大力实施高标准农田建设工程，加快补齐农田基础设施短板，逐步实现土地平整、集中连片、机力畅通、灌排配套的现代农业格局，打造农业绿色发展先行区。利用湖外农业用水循环工程、生态沟渠等设施，收集农田灌溉退水，加强循环利用。</w:t>
                  </w:r>
                </w:p>
              </w:tc>
              <w:tc>
                <w:tcPr>
                  <w:tcW w:w="1303" w:type="pct"/>
                  <w:vAlign w:val="center"/>
                </w:tcPr>
                <w:p w14:paraId="47696455">
                  <w:pPr>
                    <w:adjustRightInd w:val="0"/>
                    <w:jc w:val="center"/>
                    <w:rPr>
                      <w:color w:val="auto"/>
                    </w:rPr>
                  </w:pPr>
                  <w:r>
                    <w:rPr>
                      <w:rFonts w:hint="eastAsia" w:hAnsi="Calibri"/>
                      <w:color w:val="auto"/>
                      <w:szCs w:val="21"/>
                    </w:rPr>
                    <w:t>本项目不涉及。</w:t>
                  </w:r>
                </w:p>
              </w:tc>
              <w:tc>
                <w:tcPr>
                  <w:tcW w:w="657" w:type="pct"/>
                  <w:vAlign w:val="center"/>
                </w:tcPr>
                <w:p w14:paraId="313AF762">
                  <w:pPr>
                    <w:adjustRightInd w:val="0"/>
                    <w:jc w:val="center"/>
                    <w:rPr>
                      <w:rFonts w:hAnsi="Calibri"/>
                      <w:color w:val="auto"/>
                      <w:szCs w:val="21"/>
                    </w:rPr>
                  </w:pPr>
                  <w:r>
                    <w:rPr>
                      <w:rFonts w:hint="eastAsia" w:hAnsi="Calibri"/>
                      <w:color w:val="auto"/>
                      <w:szCs w:val="21"/>
                    </w:rPr>
                    <w:t>/</w:t>
                  </w:r>
                </w:p>
              </w:tc>
            </w:tr>
            <w:tr w14:paraId="41D89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0" w:type="pct"/>
                  <w:vAlign w:val="center"/>
                </w:tcPr>
                <w:p w14:paraId="002496DE">
                  <w:pPr>
                    <w:adjustRightInd w:val="0"/>
                    <w:jc w:val="left"/>
                    <w:rPr>
                      <w:rFonts w:hAnsi="Calibri"/>
                      <w:color w:val="auto"/>
                      <w:szCs w:val="21"/>
                    </w:rPr>
                  </w:pPr>
                  <w:r>
                    <w:rPr>
                      <w:rFonts w:hint="eastAsia" w:hAnsi="Calibri"/>
                      <w:color w:val="auto"/>
                      <w:szCs w:val="21"/>
                    </w:rPr>
                    <w:t>深入推进水权水价改革。探索源头用水管控和付费机制推动节约用水、集约用水、精准用水。探索建立水权交易机制明晰区域水资源管理权限,确定取用水总量控制指标，开展用水水权分配和有偿使用。制定水价综合改革实施方案，组织开展水价综合改革工作，推广农业用水计量收费,实施阶梯水价计量收费，充分发挥水价在水资源配置、水需求调节和水污染防治等方面的杠杆作用。</w:t>
                  </w:r>
                </w:p>
              </w:tc>
              <w:tc>
                <w:tcPr>
                  <w:tcW w:w="1303" w:type="pct"/>
                  <w:vAlign w:val="center"/>
                </w:tcPr>
                <w:p w14:paraId="16BC8377">
                  <w:pPr>
                    <w:adjustRightInd w:val="0"/>
                    <w:jc w:val="center"/>
                    <w:rPr>
                      <w:color w:val="auto"/>
                    </w:rPr>
                  </w:pPr>
                  <w:r>
                    <w:rPr>
                      <w:rFonts w:hint="eastAsia" w:hAnsi="Calibri"/>
                      <w:color w:val="auto"/>
                      <w:szCs w:val="21"/>
                    </w:rPr>
                    <w:t>本项目不涉及。</w:t>
                  </w:r>
                </w:p>
              </w:tc>
              <w:tc>
                <w:tcPr>
                  <w:tcW w:w="657" w:type="pct"/>
                  <w:vAlign w:val="center"/>
                </w:tcPr>
                <w:p w14:paraId="590C2447">
                  <w:pPr>
                    <w:adjustRightInd w:val="0"/>
                    <w:jc w:val="center"/>
                    <w:rPr>
                      <w:rFonts w:hAnsi="Calibri"/>
                      <w:color w:val="auto"/>
                      <w:szCs w:val="21"/>
                    </w:rPr>
                  </w:pPr>
                  <w:r>
                    <w:rPr>
                      <w:rFonts w:hint="eastAsia" w:hAnsi="Calibri"/>
                      <w:color w:val="auto"/>
                      <w:szCs w:val="21"/>
                    </w:rPr>
                    <w:t>/</w:t>
                  </w:r>
                </w:p>
              </w:tc>
            </w:tr>
            <w:tr w14:paraId="22D85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0" w:type="pct"/>
                  <w:vAlign w:val="center"/>
                </w:tcPr>
                <w:p w14:paraId="2DBB7D8A">
                  <w:pPr>
                    <w:adjustRightInd w:val="0"/>
                    <w:jc w:val="left"/>
                    <w:rPr>
                      <w:rFonts w:hAnsi="Calibri"/>
                      <w:color w:val="auto"/>
                      <w:szCs w:val="21"/>
                    </w:rPr>
                  </w:pPr>
                  <w:r>
                    <w:rPr>
                      <w:rFonts w:hint="eastAsia" w:hAnsi="Calibri"/>
                      <w:color w:val="auto"/>
                      <w:szCs w:val="21"/>
                    </w:rPr>
                    <w:t>全力发展绿色低碳循环经济。</w:t>
                  </w:r>
                </w:p>
                <w:p w14:paraId="0CCBE703">
                  <w:pPr>
                    <w:adjustRightInd w:val="0"/>
                    <w:jc w:val="left"/>
                    <w:rPr>
                      <w:rFonts w:hAnsi="Calibri"/>
                      <w:color w:val="auto"/>
                      <w:szCs w:val="21"/>
                    </w:rPr>
                  </w:pPr>
                  <w:r>
                    <w:rPr>
                      <w:rFonts w:hint="eastAsia" w:hAnsi="Calibri"/>
                      <w:color w:val="auto"/>
                      <w:szCs w:val="21"/>
                    </w:rPr>
                    <w:t>（1）优化种植业结构,推广绿色生态种植，鼓励耕地轮作。积极引进高水准蔬菜企业，解决农业可持续发展问题。加快产业结构调整，淘汰落后产能，构建绿色低碳工业体系，提升绿色产业比重。排查现有“高污染、高耗水、高耗能”企业，制定计划逐步迁出流域外。鼓励文化创意、会议会展、运动休闲、康体养生乡村度假、科研设计、总部经济和大培训等绿色高附加值服务业发展。</w:t>
                  </w:r>
                </w:p>
                <w:p w14:paraId="056A0355">
                  <w:pPr>
                    <w:adjustRightInd w:val="0"/>
                    <w:jc w:val="left"/>
                    <w:rPr>
                      <w:rFonts w:hAnsi="Calibri"/>
                      <w:color w:val="auto"/>
                      <w:szCs w:val="21"/>
                    </w:rPr>
                  </w:pPr>
                  <w:r>
                    <w:rPr>
                      <w:rFonts w:hint="eastAsia" w:hAnsi="Calibri"/>
                      <w:color w:val="auto"/>
                      <w:szCs w:val="21"/>
                    </w:rPr>
                    <w:t>（2）深入实施乡村振兴战略，大力发展生态农业、生态旅游业等生态友好型产业，推进农文旅融合发展。</w:t>
                  </w:r>
                </w:p>
              </w:tc>
              <w:tc>
                <w:tcPr>
                  <w:tcW w:w="1303" w:type="pct"/>
                  <w:vAlign w:val="center"/>
                </w:tcPr>
                <w:p w14:paraId="4F0E91EB">
                  <w:pPr>
                    <w:adjustRightInd w:val="0"/>
                    <w:jc w:val="center"/>
                    <w:rPr>
                      <w:color w:val="auto"/>
                    </w:rPr>
                  </w:pPr>
                  <w:r>
                    <w:rPr>
                      <w:rFonts w:hint="eastAsia" w:hAnsi="Calibri"/>
                      <w:color w:val="auto"/>
                      <w:szCs w:val="21"/>
                    </w:rPr>
                    <w:t>本项目不属于淘汰落后产能，不属于高污染、高耗水、高耗能项目。</w:t>
                  </w:r>
                </w:p>
              </w:tc>
              <w:tc>
                <w:tcPr>
                  <w:tcW w:w="657" w:type="pct"/>
                  <w:vAlign w:val="center"/>
                </w:tcPr>
                <w:p w14:paraId="7D00CD7E">
                  <w:pPr>
                    <w:adjustRightInd w:val="0"/>
                    <w:jc w:val="center"/>
                    <w:rPr>
                      <w:rFonts w:hAnsi="Calibri"/>
                      <w:color w:val="auto"/>
                      <w:szCs w:val="21"/>
                    </w:rPr>
                  </w:pPr>
                  <w:r>
                    <w:rPr>
                      <w:rFonts w:hint="eastAsia" w:hAnsi="Calibri"/>
                      <w:color w:val="auto"/>
                      <w:szCs w:val="21"/>
                    </w:rPr>
                    <w:t>符合</w:t>
                  </w:r>
                </w:p>
              </w:tc>
            </w:tr>
            <w:tr w14:paraId="36F69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0" w:type="pct"/>
                  <w:vAlign w:val="center"/>
                </w:tcPr>
                <w:p w14:paraId="603E251E">
                  <w:pPr>
                    <w:adjustRightInd w:val="0"/>
                    <w:jc w:val="left"/>
                    <w:rPr>
                      <w:rFonts w:hAnsi="Calibri"/>
                      <w:color w:val="auto"/>
                      <w:szCs w:val="21"/>
                    </w:rPr>
                  </w:pPr>
                  <w:r>
                    <w:rPr>
                      <w:rFonts w:hint="eastAsia" w:hAnsi="Calibri"/>
                      <w:color w:val="auto"/>
                      <w:szCs w:val="21"/>
                    </w:rPr>
                    <w:t>大力推进流域生态修复。</w:t>
                  </w:r>
                </w:p>
                <w:p w14:paraId="4B22CBC3">
                  <w:pPr>
                    <w:adjustRightInd w:val="0"/>
                    <w:jc w:val="left"/>
                    <w:rPr>
                      <w:rFonts w:hAnsi="Calibri"/>
                      <w:color w:val="auto"/>
                      <w:szCs w:val="21"/>
                    </w:rPr>
                  </w:pPr>
                  <w:r>
                    <w:rPr>
                      <w:rFonts w:hint="eastAsia" w:hAnsi="Calibri"/>
                      <w:color w:val="auto"/>
                      <w:szCs w:val="21"/>
                    </w:rPr>
                    <w:t>（1）2025年底前，主要入湖河道全面消除V类、劣V类水体。加强入湖河道综合治理，常态化开展“乱占、乱采、乱堆、乱建"清理行动，实施生态修复。加强入湖河道管理，严格主要入湖河道管理范围内建设项目和活动的审批及监管。</w:t>
                  </w:r>
                </w:p>
                <w:p w14:paraId="10EFC5D8">
                  <w:pPr>
                    <w:adjustRightInd w:val="0"/>
                    <w:jc w:val="left"/>
                    <w:rPr>
                      <w:rFonts w:hAnsi="Calibri"/>
                      <w:color w:val="auto"/>
                      <w:szCs w:val="21"/>
                    </w:rPr>
                  </w:pPr>
                  <w:r>
                    <w:rPr>
                      <w:rFonts w:hint="eastAsia" w:hAnsi="Calibri"/>
                      <w:color w:val="auto"/>
                      <w:szCs w:val="21"/>
                    </w:rPr>
                    <w:t>（2）全面排查流域内矿山，按照自然保护地、生态保护红线管理要求分类处置，并按照宜林则林、宜耕则耕、宜草则草宜景则景的原则进行生态修复，推进历史遗留矿山生态修复。积极推进国土绿化行动，加强湖泊面山绿化和生态修复，提高森林覆盖率，减少水土流失，涵养水源，提升森林系统生态功能。</w:t>
                  </w:r>
                </w:p>
                <w:p w14:paraId="5985A651">
                  <w:pPr>
                    <w:adjustRightInd w:val="0"/>
                    <w:jc w:val="left"/>
                    <w:rPr>
                      <w:rFonts w:hAnsi="Calibri"/>
                      <w:color w:val="auto"/>
                      <w:szCs w:val="21"/>
                    </w:rPr>
                  </w:pPr>
                  <w:r>
                    <w:rPr>
                      <w:rFonts w:hint="eastAsia" w:hAnsi="Calibri"/>
                      <w:color w:val="auto"/>
                      <w:szCs w:val="21"/>
                    </w:rPr>
                    <w:t>（3）加强流域生物多样性保护,突出物种恢复和保护，建立外来物种长效防控机制，维护生态系统平衡。</w:t>
                  </w:r>
                </w:p>
              </w:tc>
              <w:tc>
                <w:tcPr>
                  <w:tcW w:w="1303" w:type="pct"/>
                  <w:vAlign w:val="center"/>
                </w:tcPr>
                <w:p w14:paraId="774A49C3">
                  <w:pPr>
                    <w:adjustRightInd w:val="0"/>
                    <w:jc w:val="center"/>
                    <w:rPr>
                      <w:color w:val="auto"/>
                    </w:rPr>
                  </w:pPr>
                  <w:r>
                    <w:rPr>
                      <w:rFonts w:hint="eastAsia" w:hAnsi="Calibri"/>
                      <w:color w:val="auto"/>
                      <w:szCs w:val="21"/>
                    </w:rPr>
                    <w:t>本项目不涉及。</w:t>
                  </w:r>
                </w:p>
              </w:tc>
              <w:tc>
                <w:tcPr>
                  <w:tcW w:w="657" w:type="pct"/>
                  <w:vAlign w:val="center"/>
                </w:tcPr>
                <w:p w14:paraId="77FCC3F5">
                  <w:pPr>
                    <w:adjustRightInd w:val="0"/>
                    <w:jc w:val="center"/>
                    <w:rPr>
                      <w:rFonts w:hAnsi="Calibri"/>
                      <w:color w:val="auto"/>
                      <w:szCs w:val="21"/>
                    </w:rPr>
                  </w:pPr>
                  <w:r>
                    <w:rPr>
                      <w:rFonts w:hint="eastAsia" w:hAnsi="Calibri"/>
                      <w:color w:val="auto"/>
                      <w:szCs w:val="21"/>
                    </w:rPr>
                    <w:t>/</w:t>
                  </w:r>
                </w:p>
              </w:tc>
            </w:tr>
            <w:tr w14:paraId="6C7E9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0" w:type="pct"/>
                  <w:vAlign w:val="center"/>
                </w:tcPr>
                <w:p w14:paraId="2C894FB1">
                  <w:pPr>
                    <w:adjustRightInd w:val="0"/>
                    <w:jc w:val="left"/>
                    <w:rPr>
                      <w:rFonts w:hAnsi="Calibri"/>
                      <w:color w:val="auto"/>
                      <w:szCs w:val="21"/>
                    </w:rPr>
                  </w:pPr>
                  <w:r>
                    <w:rPr>
                      <w:rFonts w:hint="eastAsia" w:hAnsi="Calibri"/>
                      <w:color w:val="auto"/>
                      <w:szCs w:val="21"/>
                    </w:rPr>
                    <w:t>积极探索生态保护补偿机制。依托流域内现有产业布局和自然资源分布，制定工作计划，开展生态系统生产总值（GEP）核算。建立湖泊生态质量监测评价机制。科学制定补偿标准，探索实施森林、湿地、河道、种植结构调整等生态效益补偿机制。探索完善用能权、排污权、碳排放权交易制度。健全生态环境质量考核奖惩机制。</w:t>
                  </w:r>
                </w:p>
              </w:tc>
              <w:tc>
                <w:tcPr>
                  <w:tcW w:w="1303" w:type="pct"/>
                  <w:vAlign w:val="center"/>
                </w:tcPr>
                <w:p w14:paraId="2AC2FD7D">
                  <w:pPr>
                    <w:adjustRightInd w:val="0"/>
                    <w:jc w:val="center"/>
                    <w:rPr>
                      <w:color w:val="auto"/>
                    </w:rPr>
                  </w:pPr>
                  <w:r>
                    <w:rPr>
                      <w:rFonts w:hint="eastAsia" w:hAnsi="Calibri"/>
                      <w:color w:val="auto"/>
                      <w:szCs w:val="21"/>
                    </w:rPr>
                    <w:t>本项目不涉及。</w:t>
                  </w:r>
                </w:p>
              </w:tc>
              <w:tc>
                <w:tcPr>
                  <w:tcW w:w="657" w:type="pct"/>
                  <w:vAlign w:val="center"/>
                </w:tcPr>
                <w:p w14:paraId="15836321">
                  <w:pPr>
                    <w:adjustRightInd w:val="0"/>
                    <w:jc w:val="center"/>
                    <w:rPr>
                      <w:rFonts w:hAnsi="Calibri"/>
                      <w:color w:val="auto"/>
                      <w:szCs w:val="21"/>
                    </w:rPr>
                  </w:pPr>
                  <w:r>
                    <w:rPr>
                      <w:rFonts w:hint="eastAsia" w:hAnsi="Calibri"/>
                      <w:color w:val="auto"/>
                      <w:szCs w:val="21"/>
                    </w:rPr>
                    <w:t>/</w:t>
                  </w:r>
                </w:p>
              </w:tc>
            </w:tr>
          </w:tbl>
          <w:p w14:paraId="507630B4">
            <w:pPr>
              <w:autoSpaceDE w:val="0"/>
              <w:autoSpaceDN w:val="0"/>
              <w:adjustRightInd w:val="0"/>
              <w:snapToGrid w:val="0"/>
              <w:spacing w:line="360" w:lineRule="auto"/>
              <w:ind w:firstLine="480" w:firstLineChars="200"/>
              <w:jc w:val="left"/>
              <w:rPr>
                <w:color w:val="auto"/>
                <w:kern w:val="0"/>
                <w:sz w:val="24"/>
              </w:rPr>
            </w:pPr>
          </w:p>
          <w:p w14:paraId="629E5CB2">
            <w:pPr>
              <w:autoSpaceDE w:val="0"/>
              <w:autoSpaceDN w:val="0"/>
              <w:adjustRightInd w:val="0"/>
              <w:snapToGrid w:val="0"/>
              <w:spacing w:line="360" w:lineRule="auto"/>
              <w:ind w:firstLine="480" w:firstLineChars="200"/>
              <w:jc w:val="left"/>
              <w:rPr>
                <w:bCs/>
                <w:color w:val="auto"/>
                <w:kern w:val="0"/>
                <w:sz w:val="24"/>
              </w:rPr>
            </w:pPr>
            <w:bookmarkStart w:id="28" w:name="OLE_LINK42"/>
            <w:r>
              <w:rPr>
                <w:rFonts w:hint="eastAsia"/>
                <w:color w:val="auto"/>
                <w:kern w:val="0"/>
                <w:sz w:val="24"/>
              </w:rPr>
              <w:t>综上，本项目建设符合《杞麓湖“三区”管控实施细则（试行）》中绿色发展区的相关要求。</w:t>
            </w:r>
          </w:p>
          <w:bookmarkEnd w:id="28"/>
          <w:p w14:paraId="5559328E">
            <w:pPr>
              <w:autoSpaceDE w:val="0"/>
              <w:autoSpaceDN w:val="0"/>
              <w:adjustRightInd w:val="0"/>
              <w:snapToGrid w:val="0"/>
              <w:spacing w:line="360" w:lineRule="auto"/>
              <w:ind w:firstLine="482" w:firstLineChars="200"/>
              <w:jc w:val="left"/>
              <w:rPr>
                <w:b/>
                <w:bCs/>
                <w:color w:val="auto"/>
                <w:kern w:val="0"/>
                <w:sz w:val="24"/>
              </w:rPr>
            </w:pPr>
            <w:r>
              <w:rPr>
                <w:b/>
                <w:bCs/>
                <w:color w:val="auto"/>
                <w:kern w:val="0"/>
                <w:sz w:val="24"/>
              </w:rPr>
              <w:t>7</w:t>
            </w:r>
            <w:r>
              <w:rPr>
                <w:rFonts w:hint="eastAsia"/>
                <w:b/>
                <w:bCs/>
                <w:color w:val="auto"/>
                <w:kern w:val="0"/>
                <w:sz w:val="24"/>
              </w:rPr>
              <w:t>、与《</w:t>
            </w:r>
            <w:bookmarkStart w:id="29" w:name="OLE_LINK29"/>
            <w:r>
              <w:rPr>
                <w:rFonts w:hint="eastAsia"/>
                <w:b/>
                <w:bCs/>
                <w:color w:val="auto"/>
                <w:kern w:val="0"/>
                <w:sz w:val="24"/>
              </w:rPr>
              <w:t>云南省重点高原湖泊入湖河道保护条例</w:t>
            </w:r>
            <w:bookmarkEnd w:id="29"/>
            <w:r>
              <w:rPr>
                <w:rFonts w:hint="eastAsia"/>
                <w:b/>
                <w:bCs/>
                <w:color w:val="auto"/>
                <w:kern w:val="0"/>
                <w:sz w:val="24"/>
              </w:rPr>
              <w:t>》（</w:t>
            </w:r>
            <w:r>
              <w:rPr>
                <w:b/>
                <w:bCs/>
                <w:color w:val="auto"/>
                <w:kern w:val="0"/>
                <w:sz w:val="24"/>
              </w:rPr>
              <w:t>2025年5月28日云南省第十四届人民代表大会常务委员会第十七次会议通过</w:t>
            </w:r>
            <w:r>
              <w:rPr>
                <w:rFonts w:hint="eastAsia"/>
                <w:b/>
                <w:bCs/>
                <w:color w:val="auto"/>
                <w:kern w:val="0"/>
                <w:sz w:val="24"/>
              </w:rPr>
              <w:t>）符合性分析</w:t>
            </w:r>
          </w:p>
          <w:p w14:paraId="3615BB56">
            <w:pPr>
              <w:autoSpaceDE w:val="0"/>
              <w:autoSpaceDN w:val="0"/>
              <w:adjustRightInd w:val="0"/>
              <w:snapToGrid w:val="0"/>
              <w:spacing w:line="360" w:lineRule="auto"/>
              <w:ind w:firstLine="482" w:firstLineChars="200"/>
              <w:jc w:val="left"/>
              <w:rPr>
                <w:b/>
                <w:bCs/>
                <w:color w:val="auto"/>
                <w:kern w:val="0"/>
                <w:sz w:val="24"/>
              </w:rPr>
            </w:pPr>
            <w:r>
              <w:rPr>
                <w:rFonts w:hint="eastAsia"/>
                <w:b/>
                <w:bCs/>
                <w:color w:val="auto"/>
                <w:kern w:val="0"/>
                <w:sz w:val="24"/>
              </w:rPr>
              <w:t>表1-9  与</w:t>
            </w:r>
            <w:bookmarkStart w:id="30" w:name="OLE_LINK43"/>
            <w:r>
              <w:rPr>
                <w:rFonts w:hint="eastAsia"/>
                <w:b/>
                <w:bCs/>
                <w:color w:val="auto"/>
                <w:kern w:val="0"/>
                <w:sz w:val="24"/>
              </w:rPr>
              <w:t>《</w:t>
            </w:r>
            <w:r>
              <w:rPr>
                <w:b/>
                <w:bCs/>
                <w:color w:val="auto"/>
                <w:kern w:val="0"/>
                <w:sz w:val="24"/>
              </w:rPr>
              <w:t>云南省重点高原湖泊入湖河道保护条例</w:t>
            </w:r>
            <w:r>
              <w:rPr>
                <w:rFonts w:hint="eastAsia"/>
                <w:b/>
                <w:bCs/>
                <w:color w:val="auto"/>
                <w:kern w:val="0"/>
                <w:sz w:val="24"/>
              </w:rPr>
              <w:t>》</w:t>
            </w:r>
            <w:bookmarkEnd w:id="30"/>
            <w:r>
              <w:rPr>
                <w:rFonts w:hint="eastAsia"/>
                <w:b/>
                <w:bCs/>
                <w:color w:val="auto"/>
                <w:kern w:val="0"/>
                <w:sz w:val="24"/>
              </w:rPr>
              <w:t>符合性分析一览表</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50"/>
              <w:gridCol w:w="3544"/>
              <w:gridCol w:w="1177"/>
            </w:tblGrid>
            <w:tr w14:paraId="6ADFD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0" w:type="dxa"/>
                  <w:vAlign w:val="center"/>
                </w:tcPr>
                <w:p w14:paraId="7BE60DA3">
                  <w:pPr>
                    <w:adjustRightInd w:val="0"/>
                    <w:jc w:val="center"/>
                    <w:rPr>
                      <w:rFonts w:hAnsi="Calibri"/>
                      <w:b/>
                      <w:bCs/>
                      <w:color w:val="auto"/>
                      <w:szCs w:val="21"/>
                    </w:rPr>
                  </w:pPr>
                  <w:r>
                    <w:rPr>
                      <w:rFonts w:hAnsi="Calibri"/>
                      <w:b/>
                      <w:bCs/>
                      <w:color w:val="auto"/>
                      <w:szCs w:val="21"/>
                    </w:rPr>
                    <w:t>入湖河道管控范围内禁止下列行为</w:t>
                  </w:r>
                </w:p>
              </w:tc>
              <w:tc>
                <w:tcPr>
                  <w:tcW w:w="3544" w:type="dxa"/>
                  <w:vAlign w:val="center"/>
                </w:tcPr>
                <w:p w14:paraId="43A60FA4">
                  <w:pPr>
                    <w:adjustRightInd w:val="0"/>
                    <w:jc w:val="center"/>
                    <w:rPr>
                      <w:rFonts w:hAnsi="Calibri"/>
                      <w:b/>
                      <w:bCs/>
                      <w:color w:val="auto"/>
                      <w:szCs w:val="21"/>
                    </w:rPr>
                  </w:pPr>
                  <w:r>
                    <w:rPr>
                      <w:rFonts w:hint="eastAsia" w:hAnsi="Calibri"/>
                      <w:b/>
                      <w:bCs/>
                      <w:color w:val="auto"/>
                      <w:szCs w:val="21"/>
                    </w:rPr>
                    <w:t>项目情况</w:t>
                  </w:r>
                </w:p>
              </w:tc>
              <w:tc>
                <w:tcPr>
                  <w:tcW w:w="1177" w:type="dxa"/>
                  <w:vAlign w:val="center"/>
                </w:tcPr>
                <w:p w14:paraId="54B2CFEF">
                  <w:pPr>
                    <w:adjustRightInd w:val="0"/>
                    <w:jc w:val="center"/>
                    <w:rPr>
                      <w:rFonts w:hAnsi="Calibri"/>
                      <w:b/>
                      <w:bCs/>
                      <w:color w:val="auto"/>
                      <w:szCs w:val="21"/>
                    </w:rPr>
                  </w:pPr>
                  <w:r>
                    <w:rPr>
                      <w:rFonts w:hint="eastAsia" w:hAnsi="Calibri"/>
                      <w:b/>
                      <w:bCs/>
                      <w:color w:val="auto"/>
                      <w:szCs w:val="21"/>
                    </w:rPr>
                    <w:t>符合情况</w:t>
                  </w:r>
                </w:p>
              </w:tc>
            </w:tr>
            <w:tr w14:paraId="0DE33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0" w:type="dxa"/>
                  <w:vAlign w:val="center"/>
                </w:tcPr>
                <w:p w14:paraId="2847BFF1">
                  <w:pPr>
                    <w:adjustRightInd w:val="0"/>
                    <w:jc w:val="center"/>
                    <w:rPr>
                      <w:color w:val="auto"/>
                      <w:kern w:val="0"/>
                      <w:szCs w:val="21"/>
                    </w:rPr>
                  </w:pPr>
                  <w:r>
                    <w:rPr>
                      <w:color w:val="auto"/>
                      <w:kern w:val="0"/>
                      <w:szCs w:val="21"/>
                    </w:rPr>
                    <w:t>（一）超过水污染物排放标准或者超过重点水污染物排放总量控制指标排放水污染物；</w:t>
                  </w:r>
                </w:p>
              </w:tc>
              <w:tc>
                <w:tcPr>
                  <w:tcW w:w="3544" w:type="dxa"/>
                  <w:vAlign w:val="center"/>
                </w:tcPr>
                <w:p w14:paraId="639B4928">
                  <w:pPr>
                    <w:adjustRightInd w:val="0"/>
                    <w:jc w:val="center"/>
                    <w:rPr>
                      <w:color w:val="auto"/>
                      <w:kern w:val="0"/>
                      <w:szCs w:val="21"/>
                    </w:rPr>
                  </w:pPr>
                  <w:r>
                    <w:rPr>
                      <w:color w:val="auto"/>
                      <w:kern w:val="0"/>
                      <w:szCs w:val="21"/>
                    </w:rPr>
                    <w:t>项目生产废水循环使用不外排，项目生活污水经化粪池预处理后，采用罐车运至纳古镇污水处理站处理。</w:t>
                  </w:r>
                  <w:r>
                    <w:rPr>
                      <w:rFonts w:hint="eastAsia"/>
                      <w:color w:val="auto"/>
                      <w:kern w:val="0"/>
                      <w:szCs w:val="21"/>
                    </w:rPr>
                    <w:t>项目产生污（废）水不会进入入湖河道。</w:t>
                  </w:r>
                </w:p>
              </w:tc>
              <w:tc>
                <w:tcPr>
                  <w:tcW w:w="1177" w:type="dxa"/>
                  <w:vAlign w:val="center"/>
                </w:tcPr>
                <w:p w14:paraId="57525DBE">
                  <w:pPr>
                    <w:adjustRightInd w:val="0"/>
                    <w:jc w:val="center"/>
                    <w:rPr>
                      <w:color w:val="auto"/>
                      <w:kern w:val="0"/>
                      <w:szCs w:val="21"/>
                    </w:rPr>
                  </w:pPr>
                  <w:bookmarkStart w:id="31" w:name="OLE_LINK44"/>
                  <w:r>
                    <w:rPr>
                      <w:rFonts w:hint="eastAsia"/>
                      <w:color w:val="auto"/>
                      <w:kern w:val="0"/>
                      <w:szCs w:val="21"/>
                    </w:rPr>
                    <w:t>符合</w:t>
                  </w:r>
                  <w:bookmarkEnd w:id="31"/>
                </w:p>
              </w:tc>
            </w:tr>
            <w:tr w14:paraId="30BF7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0" w:type="dxa"/>
                  <w:vAlign w:val="center"/>
                </w:tcPr>
                <w:p w14:paraId="60B010EA">
                  <w:pPr>
                    <w:adjustRightInd w:val="0"/>
                    <w:jc w:val="center"/>
                    <w:rPr>
                      <w:color w:val="auto"/>
                      <w:kern w:val="0"/>
                      <w:szCs w:val="21"/>
                    </w:rPr>
                  </w:pPr>
                  <w:r>
                    <w:rPr>
                      <w:color w:val="auto"/>
                      <w:kern w:val="0"/>
                      <w:szCs w:val="21"/>
                    </w:rPr>
                    <w:t>（二）擅自填堵、覆盖、围垦入湖河道；</w:t>
                  </w:r>
                </w:p>
              </w:tc>
              <w:tc>
                <w:tcPr>
                  <w:tcW w:w="3544" w:type="dxa"/>
                  <w:vAlign w:val="center"/>
                </w:tcPr>
                <w:p w14:paraId="5D85D778">
                  <w:pPr>
                    <w:adjustRightInd w:val="0"/>
                    <w:jc w:val="center"/>
                    <w:rPr>
                      <w:color w:val="auto"/>
                      <w:kern w:val="0"/>
                      <w:szCs w:val="21"/>
                    </w:rPr>
                  </w:pPr>
                  <w:bookmarkStart w:id="32" w:name="OLE_LINK36"/>
                  <w:r>
                    <w:rPr>
                      <w:rFonts w:hint="eastAsia"/>
                      <w:color w:val="auto"/>
                      <w:kern w:val="0"/>
                      <w:szCs w:val="21"/>
                    </w:rPr>
                    <w:t>项目不涉及。</w:t>
                  </w:r>
                  <w:bookmarkEnd w:id="32"/>
                </w:p>
              </w:tc>
              <w:tc>
                <w:tcPr>
                  <w:tcW w:w="1177" w:type="dxa"/>
                  <w:vAlign w:val="center"/>
                </w:tcPr>
                <w:p w14:paraId="72A7F719">
                  <w:pPr>
                    <w:adjustRightInd w:val="0"/>
                    <w:jc w:val="center"/>
                    <w:rPr>
                      <w:color w:val="auto"/>
                      <w:kern w:val="0"/>
                      <w:szCs w:val="21"/>
                    </w:rPr>
                  </w:pPr>
                  <w:r>
                    <w:rPr>
                      <w:rFonts w:hint="eastAsia"/>
                      <w:color w:val="auto"/>
                      <w:kern w:val="0"/>
                      <w:szCs w:val="21"/>
                    </w:rPr>
                    <w:t>符合</w:t>
                  </w:r>
                </w:p>
              </w:tc>
            </w:tr>
            <w:tr w14:paraId="20B2A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0" w:type="dxa"/>
                  <w:vAlign w:val="center"/>
                </w:tcPr>
                <w:p w14:paraId="3C7E175F">
                  <w:pPr>
                    <w:adjustRightInd w:val="0"/>
                    <w:jc w:val="center"/>
                    <w:rPr>
                      <w:color w:val="auto"/>
                      <w:kern w:val="0"/>
                      <w:szCs w:val="21"/>
                    </w:rPr>
                  </w:pPr>
                  <w:r>
                    <w:rPr>
                      <w:color w:val="auto"/>
                      <w:kern w:val="0"/>
                      <w:szCs w:val="21"/>
                    </w:rPr>
                    <w:t>（三）爆破、取土、采砂、采石，未经许可采矿；</w:t>
                  </w:r>
                </w:p>
              </w:tc>
              <w:tc>
                <w:tcPr>
                  <w:tcW w:w="3544" w:type="dxa"/>
                  <w:vAlign w:val="center"/>
                </w:tcPr>
                <w:p w14:paraId="4C5367AF">
                  <w:pPr>
                    <w:adjustRightInd w:val="0"/>
                    <w:jc w:val="center"/>
                    <w:rPr>
                      <w:color w:val="auto"/>
                      <w:kern w:val="0"/>
                      <w:szCs w:val="21"/>
                    </w:rPr>
                  </w:pPr>
                  <w:bookmarkStart w:id="33" w:name="OLE_LINK41"/>
                  <w:r>
                    <w:rPr>
                      <w:color w:val="auto"/>
                      <w:kern w:val="0"/>
                      <w:szCs w:val="21"/>
                    </w:rPr>
                    <w:t>项目不涉及。</w:t>
                  </w:r>
                  <w:bookmarkEnd w:id="33"/>
                </w:p>
              </w:tc>
              <w:tc>
                <w:tcPr>
                  <w:tcW w:w="1177" w:type="dxa"/>
                  <w:vAlign w:val="center"/>
                </w:tcPr>
                <w:p w14:paraId="36BD8C0D">
                  <w:pPr>
                    <w:adjustRightInd w:val="0"/>
                    <w:jc w:val="center"/>
                    <w:rPr>
                      <w:color w:val="auto"/>
                      <w:kern w:val="0"/>
                      <w:szCs w:val="21"/>
                    </w:rPr>
                  </w:pPr>
                  <w:r>
                    <w:rPr>
                      <w:rFonts w:hint="eastAsia"/>
                      <w:color w:val="auto"/>
                      <w:kern w:val="0"/>
                      <w:szCs w:val="21"/>
                    </w:rPr>
                    <w:t>符合</w:t>
                  </w:r>
                </w:p>
              </w:tc>
            </w:tr>
            <w:tr w14:paraId="025F7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0" w:type="dxa"/>
                  <w:vAlign w:val="center"/>
                </w:tcPr>
                <w:p w14:paraId="00165835">
                  <w:pPr>
                    <w:adjustRightInd w:val="0"/>
                    <w:jc w:val="center"/>
                    <w:rPr>
                      <w:color w:val="auto"/>
                      <w:kern w:val="0"/>
                      <w:szCs w:val="21"/>
                    </w:rPr>
                  </w:pPr>
                  <w:r>
                    <w:rPr>
                      <w:color w:val="auto"/>
                      <w:kern w:val="0"/>
                      <w:szCs w:val="21"/>
                    </w:rPr>
                    <w:t>（四）</w:t>
                  </w:r>
                  <w:bookmarkStart w:id="34" w:name="OLE_LINK40"/>
                  <w:r>
                    <w:rPr>
                      <w:color w:val="auto"/>
                      <w:kern w:val="0"/>
                      <w:szCs w:val="21"/>
                    </w:rPr>
                    <w:t>倾倒、填埋、堆放、弃置、存贮、处理固体废弃物和其他污染物</w:t>
                  </w:r>
                  <w:bookmarkEnd w:id="34"/>
                  <w:r>
                    <w:rPr>
                      <w:color w:val="auto"/>
                      <w:kern w:val="0"/>
                      <w:szCs w:val="21"/>
                    </w:rPr>
                    <w:t>；</w:t>
                  </w:r>
                </w:p>
              </w:tc>
              <w:tc>
                <w:tcPr>
                  <w:tcW w:w="3544" w:type="dxa"/>
                  <w:vAlign w:val="center"/>
                </w:tcPr>
                <w:p w14:paraId="74428892">
                  <w:pPr>
                    <w:adjustRightInd w:val="0"/>
                    <w:jc w:val="center"/>
                    <w:rPr>
                      <w:color w:val="auto"/>
                      <w:kern w:val="0"/>
                      <w:szCs w:val="21"/>
                    </w:rPr>
                  </w:pPr>
                  <w:r>
                    <w:rPr>
                      <w:color w:val="auto"/>
                      <w:kern w:val="0"/>
                      <w:szCs w:val="21"/>
                    </w:rPr>
                    <w:t>项目一般固废经收集后暂存于一般固废暂存间，外售处置。危险废物分类收集暂存于危废暂存间，废机油用于厂区内机械设备擦拭润滑，其余危险废物委托有资质单位处置。项目</w:t>
                  </w:r>
                  <w:r>
                    <w:rPr>
                      <w:rFonts w:hint="eastAsia"/>
                      <w:color w:val="auto"/>
                      <w:kern w:val="0"/>
                      <w:szCs w:val="21"/>
                    </w:rPr>
                    <w:t>不存在向入湖河道</w:t>
                  </w:r>
                  <w:r>
                    <w:rPr>
                      <w:color w:val="auto"/>
                      <w:kern w:val="0"/>
                      <w:szCs w:val="21"/>
                    </w:rPr>
                    <w:t>倾倒、填埋、堆放、弃置、存贮、处理固体废弃物和其他污染物</w:t>
                  </w:r>
                  <w:r>
                    <w:rPr>
                      <w:rFonts w:hint="eastAsia"/>
                      <w:color w:val="auto"/>
                      <w:kern w:val="0"/>
                      <w:szCs w:val="21"/>
                    </w:rPr>
                    <w:t>的行为</w:t>
                  </w:r>
                  <w:r>
                    <w:rPr>
                      <w:color w:val="auto"/>
                      <w:kern w:val="0"/>
                      <w:szCs w:val="21"/>
                    </w:rPr>
                    <w:t>。</w:t>
                  </w:r>
                </w:p>
              </w:tc>
              <w:tc>
                <w:tcPr>
                  <w:tcW w:w="1177" w:type="dxa"/>
                  <w:vAlign w:val="center"/>
                </w:tcPr>
                <w:p w14:paraId="377E4665">
                  <w:pPr>
                    <w:adjustRightInd w:val="0"/>
                    <w:jc w:val="center"/>
                    <w:rPr>
                      <w:color w:val="auto"/>
                      <w:kern w:val="0"/>
                      <w:szCs w:val="21"/>
                    </w:rPr>
                  </w:pPr>
                  <w:r>
                    <w:rPr>
                      <w:rFonts w:hint="eastAsia"/>
                      <w:color w:val="auto"/>
                      <w:kern w:val="0"/>
                      <w:szCs w:val="21"/>
                    </w:rPr>
                    <w:t>符合</w:t>
                  </w:r>
                </w:p>
              </w:tc>
            </w:tr>
            <w:tr w14:paraId="0271C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0" w:type="dxa"/>
                  <w:vAlign w:val="center"/>
                </w:tcPr>
                <w:p w14:paraId="22EB250B">
                  <w:pPr>
                    <w:adjustRightInd w:val="0"/>
                    <w:jc w:val="center"/>
                    <w:rPr>
                      <w:color w:val="auto"/>
                      <w:kern w:val="0"/>
                      <w:szCs w:val="21"/>
                    </w:rPr>
                  </w:pPr>
                  <w:r>
                    <w:rPr>
                      <w:color w:val="auto"/>
                      <w:kern w:val="0"/>
                      <w:szCs w:val="21"/>
                    </w:rPr>
                    <w:t>（五）随意倾倒、堆放、填埋废弃菜叶、秸秆等农业废弃物；</w:t>
                  </w:r>
                </w:p>
              </w:tc>
              <w:tc>
                <w:tcPr>
                  <w:tcW w:w="3544" w:type="dxa"/>
                  <w:vAlign w:val="center"/>
                </w:tcPr>
                <w:p w14:paraId="31F8E41A">
                  <w:pPr>
                    <w:adjustRightInd w:val="0"/>
                    <w:jc w:val="center"/>
                    <w:rPr>
                      <w:color w:val="auto"/>
                      <w:kern w:val="0"/>
                      <w:szCs w:val="21"/>
                    </w:rPr>
                  </w:pPr>
                  <w:r>
                    <w:rPr>
                      <w:color w:val="auto"/>
                      <w:kern w:val="0"/>
                      <w:szCs w:val="21"/>
                    </w:rPr>
                    <w:t>项目不涉及。</w:t>
                  </w:r>
                </w:p>
              </w:tc>
              <w:tc>
                <w:tcPr>
                  <w:tcW w:w="1177" w:type="dxa"/>
                  <w:vAlign w:val="center"/>
                </w:tcPr>
                <w:p w14:paraId="34538067">
                  <w:pPr>
                    <w:adjustRightInd w:val="0"/>
                    <w:jc w:val="center"/>
                    <w:rPr>
                      <w:color w:val="auto"/>
                      <w:kern w:val="0"/>
                      <w:szCs w:val="21"/>
                    </w:rPr>
                  </w:pPr>
                  <w:r>
                    <w:rPr>
                      <w:rFonts w:hint="eastAsia"/>
                      <w:color w:val="auto"/>
                      <w:kern w:val="0"/>
                      <w:szCs w:val="21"/>
                    </w:rPr>
                    <w:t>符合</w:t>
                  </w:r>
                </w:p>
              </w:tc>
            </w:tr>
            <w:tr w14:paraId="12E1C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0" w:type="dxa"/>
                  <w:vAlign w:val="center"/>
                </w:tcPr>
                <w:p w14:paraId="4AEBA80E">
                  <w:pPr>
                    <w:adjustRightInd w:val="0"/>
                    <w:jc w:val="center"/>
                    <w:rPr>
                      <w:color w:val="auto"/>
                      <w:kern w:val="0"/>
                      <w:szCs w:val="21"/>
                    </w:rPr>
                  </w:pPr>
                  <w:r>
                    <w:rPr>
                      <w:color w:val="auto"/>
                      <w:kern w:val="0"/>
                      <w:szCs w:val="21"/>
                    </w:rPr>
                    <w:t>（六）畜禽规模养殖；</w:t>
                  </w:r>
                </w:p>
              </w:tc>
              <w:tc>
                <w:tcPr>
                  <w:tcW w:w="3544" w:type="dxa"/>
                  <w:vAlign w:val="center"/>
                </w:tcPr>
                <w:p w14:paraId="4D9B0FFB">
                  <w:pPr>
                    <w:adjustRightInd w:val="0"/>
                    <w:jc w:val="center"/>
                    <w:rPr>
                      <w:color w:val="auto"/>
                      <w:kern w:val="0"/>
                      <w:szCs w:val="21"/>
                    </w:rPr>
                  </w:pPr>
                  <w:r>
                    <w:rPr>
                      <w:color w:val="auto"/>
                      <w:kern w:val="0"/>
                      <w:szCs w:val="21"/>
                    </w:rPr>
                    <w:t>项目不涉及。</w:t>
                  </w:r>
                </w:p>
              </w:tc>
              <w:tc>
                <w:tcPr>
                  <w:tcW w:w="1177" w:type="dxa"/>
                  <w:vAlign w:val="center"/>
                </w:tcPr>
                <w:p w14:paraId="50C0E36E">
                  <w:pPr>
                    <w:adjustRightInd w:val="0"/>
                    <w:jc w:val="center"/>
                    <w:rPr>
                      <w:color w:val="auto"/>
                      <w:kern w:val="0"/>
                      <w:szCs w:val="21"/>
                    </w:rPr>
                  </w:pPr>
                  <w:r>
                    <w:rPr>
                      <w:rFonts w:hint="eastAsia"/>
                      <w:color w:val="auto"/>
                      <w:kern w:val="0"/>
                      <w:szCs w:val="21"/>
                    </w:rPr>
                    <w:t>符合</w:t>
                  </w:r>
                </w:p>
              </w:tc>
            </w:tr>
            <w:tr w14:paraId="733AE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0" w:type="dxa"/>
                  <w:vAlign w:val="center"/>
                </w:tcPr>
                <w:p w14:paraId="650DB439">
                  <w:pPr>
                    <w:adjustRightInd w:val="0"/>
                    <w:jc w:val="center"/>
                    <w:rPr>
                      <w:color w:val="auto"/>
                      <w:kern w:val="0"/>
                      <w:szCs w:val="21"/>
                    </w:rPr>
                  </w:pPr>
                  <w:r>
                    <w:rPr>
                      <w:color w:val="auto"/>
                      <w:kern w:val="0"/>
                      <w:szCs w:val="21"/>
                    </w:rPr>
                    <w:t>（七）在入湖河道清洗车辆、宠物、畜禽和其他可能污染水体的物品；</w:t>
                  </w:r>
                </w:p>
              </w:tc>
              <w:tc>
                <w:tcPr>
                  <w:tcW w:w="3544" w:type="dxa"/>
                  <w:vAlign w:val="center"/>
                </w:tcPr>
                <w:p w14:paraId="59C7EC83">
                  <w:pPr>
                    <w:adjustRightInd w:val="0"/>
                    <w:jc w:val="center"/>
                    <w:rPr>
                      <w:color w:val="auto"/>
                      <w:kern w:val="0"/>
                      <w:szCs w:val="21"/>
                    </w:rPr>
                  </w:pPr>
                  <w:r>
                    <w:rPr>
                      <w:color w:val="auto"/>
                      <w:kern w:val="0"/>
                      <w:szCs w:val="21"/>
                    </w:rPr>
                    <w:t>项目不涉及。</w:t>
                  </w:r>
                </w:p>
              </w:tc>
              <w:tc>
                <w:tcPr>
                  <w:tcW w:w="1177" w:type="dxa"/>
                  <w:vAlign w:val="center"/>
                </w:tcPr>
                <w:p w14:paraId="65C93674">
                  <w:pPr>
                    <w:adjustRightInd w:val="0"/>
                    <w:jc w:val="center"/>
                    <w:rPr>
                      <w:color w:val="auto"/>
                      <w:kern w:val="0"/>
                      <w:szCs w:val="21"/>
                    </w:rPr>
                  </w:pPr>
                  <w:r>
                    <w:rPr>
                      <w:rFonts w:hint="eastAsia"/>
                      <w:color w:val="auto"/>
                      <w:kern w:val="0"/>
                      <w:szCs w:val="21"/>
                    </w:rPr>
                    <w:t>符合</w:t>
                  </w:r>
                </w:p>
              </w:tc>
            </w:tr>
            <w:tr w14:paraId="60FEA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0" w:type="dxa"/>
                  <w:vAlign w:val="center"/>
                </w:tcPr>
                <w:p w14:paraId="2AB3CE6D">
                  <w:pPr>
                    <w:adjustRightInd w:val="0"/>
                    <w:jc w:val="center"/>
                    <w:rPr>
                      <w:color w:val="auto"/>
                      <w:kern w:val="0"/>
                      <w:szCs w:val="21"/>
                    </w:rPr>
                  </w:pPr>
                  <w:r>
                    <w:rPr>
                      <w:color w:val="auto"/>
                      <w:kern w:val="0"/>
                      <w:szCs w:val="21"/>
                    </w:rPr>
                    <w:t>（八）围堰、网箱、围栏（网）养殖；</w:t>
                  </w:r>
                </w:p>
              </w:tc>
              <w:tc>
                <w:tcPr>
                  <w:tcW w:w="3544" w:type="dxa"/>
                  <w:vAlign w:val="center"/>
                </w:tcPr>
                <w:p w14:paraId="4F02F7E0">
                  <w:pPr>
                    <w:adjustRightInd w:val="0"/>
                    <w:jc w:val="center"/>
                    <w:rPr>
                      <w:color w:val="auto"/>
                      <w:kern w:val="0"/>
                      <w:szCs w:val="21"/>
                    </w:rPr>
                  </w:pPr>
                  <w:r>
                    <w:rPr>
                      <w:color w:val="auto"/>
                      <w:kern w:val="0"/>
                      <w:szCs w:val="21"/>
                    </w:rPr>
                    <w:t>项目不涉及。</w:t>
                  </w:r>
                </w:p>
              </w:tc>
              <w:tc>
                <w:tcPr>
                  <w:tcW w:w="1177" w:type="dxa"/>
                  <w:vAlign w:val="center"/>
                </w:tcPr>
                <w:p w14:paraId="3FEC22C5">
                  <w:pPr>
                    <w:adjustRightInd w:val="0"/>
                    <w:jc w:val="center"/>
                    <w:rPr>
                      <w:color w:val="auto"/>
                      <w:kern w:val="0"/>
                      <w:szCs w:val="21"/>
                    </w:rPr>
                  </w:pPr>
                  <w:r>
                    <w:rPr>
                      <w:rFonts w:hint="eastAsia"/>
                      <w:color w:val="auto"/>
                      <w:kern w:val="0"/>
                      <w:szCs w:val="21"/>
                    </w:rPr>
                    <w:t>符合</w:t>
                  </w:r>
                </w:p>
              </w:tc>
            </w:tr>
            <w:tr w14:paraId="5FB36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0" w:type="dxa"/>
                  <w:vAlign w:val="center"/>
                </w:tcPr>
                <w:p w14:paraId="3D1D5780">
                  <w:pPr>
                    <w:adjustRightInd w:val="0"/>
                    <w:jc w:val="center"/>
                    <w:rPr>
                      <w:color w:val="auto"/>
                      <w:kern w:val="0"/>
                      <w:szCs w:val="21"/>
                    </w:rPr>
                  </w:pPr>
                  <w:r>
                    <w:rPr>
                      <w:color w:val="auto"/>
                      <w:kern w:val="0"/>
                      <w:szCs w:val="21"/>
                    </w:rPr>
                    <w:t>（九）使用禁用的渔具、捕捞方法和不符合规定的网具捕捞或者在禁渔区、禁渔期进行捕捞；</w:t>
                  </w:r>
                </w:p>
              </w:tc>
              <w:tc>
                <w:tcPr>
                  <w:tcW w:w="3544" w:type="dxa"/>
                  <w:vAlign w:val="center"/>
                </w:tcPr>
                <w:p w14:paraId="29B28F7C">
                  <w:pPr>
                    <w:adjustRightInd w:val="0"/>
                    <w:jc w:val="center"/>
                    <w:rPr>
                      <w:color w:val="auto"/>
                      <w:kern w:val="0"/>
                      <w:szCs w:val="21"/>
                    </w:rPr>
                  </w:pPr>
                  <w:r>
                    <w:rPr>
                      <w:color w:val="auto"/>
                      <w:kern w:val="0"/>
                      <w:szCs w:val="21"/>
                    </w:rPr>
                    <w:t>项目不涉及。</w:t>
                  </w:r>
                </w:p>
              </w:tc>
              <w:tc>
                <w:tcPr>
                  <w:tcW w:w="1177" w:type="dxa"/>
                  <w:vAlign w:val="center"/>
                </w:tcPr>
                <w:p w14:paraId="4237548D">
                  <w:pPr>
                    <w:adjustRightInd w:val="0"/>
                    <w:jc w:val="center"/>
                    <w:rPr>
                      <w:color w:val="auto"/>
                      <w:kern w:val="0"/>
                      <w:szCs w:val="21"/>
                    </w:rPr>
                  </w:pPr>
                  <w:r>
                    <w:rPr>
                      <w:rFonts w:hint="eastAsia"/>
                      <w:color w:val="auto"/>
                      <w:kern w:val="0"/>
                      <w:szCs w:val="21"/>
                    </w:rPr>
                    <w:t>符合</w:t>
                  </w:r>
                </w:p>
              </w:tc>
            </w:tr>
            <w:tr w14:paraId="7A581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0" w:type="dxa"/>
                  <w:vAlign w:val="center"/>
                </w:tcPr>
                <w:p w14:paraId="2B729D73">
                  <w:pPr>
                    <w:adjustRightInd w:val="0"/>
                    <w:jc w:val="center"/>
                    <w:rPr>
                      <w:color w:val="auto"/>
                      <w:kern w:val="0"/>
                      <w:szCs w:val="21"/>
                    </w:rPr>
                  </w:pPr>
                  <w:r>
                    <w:rPr>
                      <w:color w:val="auto"/>
                      <w:kern w:val="0"/>
                      <w:szCs w:val="21"/>
                    </w:rPr>
                    <w:t>（十）在入湖河道开放水域养殖、投放外来物种或者其他非本地物种种质资源；</w:t>
                  </w:r>
                </w:p>
              </w:tc>
              <w:tc>
                <w:tcPr>
                  <w:tcW w:w="3544" w:type="dxa"/>
                  <w:vAlign w:val="center"/>
                </w:tcPr>
                <w:p w14:paraId="670F036A">
                  <w:pPr>
                    <w:adjustRightInd w:val="0"/>
                    <w:jc w:val="center"/>
                    <w:rPr>
                      <w:color w:val="auto"/>
                      <w:kern w:val="0"/>
                      <w:szCs w:val="21"/>
                    </w:rPr>
                  </w:pPr>
                  <w:r>
                    <w:rPr>
                      <w:color w:val="auto"/>
                      <w:kern w:val="0"/>
                      <w:szCs w:val="21"/>
                    </w:rPr>
                    <w:t>项目不涉及。</w:t>
                  </w:r>
                </w:p>
              </w:tc>
              <w:tc>
                <w:tcPr>
                  <w:tcW w:w="1177" w:type="dxa"/>
                  <w:vAlign w:val="center"/>
                </w:tcPr>
                <w:p w14:paraId="4602F404">
                  <w:pPr>
                    <w:adjustRightInd w:val="0"/>
                    <w:jc w:val="center"/>
                    <w:rPr>
                      <w:color w:val="auto"/>
                      <w:kern w:val="0"/>
                      <w:szCs w:val="21"/>
                    </w:rPr>
                  </w:pPr>
                  <w:r>
                    <w:rPr>
                      <w:rFonts w:hint="eastAsia"/>
                      <w:color w:val="auto"/>
                      <w:kern w:val="0"/>
                      <w:szCs w:val="21"/>
                    </w:rPr>
                    <w:t>符合</w:t>
                  </w:r>
                </w:p>
              </w:tc>
            </w:tr>
            <w:tr w14:paraId="3BC8E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0" w:type="dxa"/>
                  <w:vAlign w:val="center"/>
                </w:tcPr>
                <w:p w14:paraId="54C59CE3">
                  <w:pPr>
                    <w:adjustRightInd w:val="0"/>
                    <w:jc w:val="center"/>
                    <w:rPr>
                      <w:color w:val="auto"/>
                      <w:kern w:val="0"/>
                      <w:szCs w:val="21"/>
                    </w:rPr>
                  </w:pPr>
                  <w:r>
                    <w:rPr>
                      <w:color w:val="auto"/>
                      <w:kern w:val="0"/>
                      <w:szCs w:val="21"/>
                    </w:rPr>
                    <w:t>（十一）其他妨碍行洪、污染环境或者破坏生态的行为。</w:t>
                  </w:r>
                </w:p>
              </w:tc>
              <w:tc>
                <w:tcPr>
                  <w:tcW w:w="3544" w:type="dxa"/>
                  <w:vAlign w:val="center"/>
                </w:tcPr>
                <w:p w14:paraId="3C208D9A">
                  <w:pPr>
                    <w:adjustRightInd w:val="0"/>
                    <w:jc w:val="center"/>
                    <w:rPr>
                      <w:color w:val="auto"/>
                      <w:kern w:val="0"/>
                      <w:szCs w:val="21"/>
                    </w:rPr>
                  </w:pPr>
                  <w:r>
                    <w:rPr>
                      <w:color w:val="auto"/>
                      <w:kern w:val="0"/>
                      <w:szCs w:val="21"/>
                    </w:rPr>
                    <w:t>项目不涉及。</w:t>
                  </w:r>
                </w:p>
              </w:tc>
              <w:tc>
                <w:tcPr>
                  <w:tcW w:w="1177" w:type="dxa"/>
                  <w:vAlign w:val="center"/>
                </w:tcPr>
                <w:p w14:paraId="47E51E51">
                  <w:pPr>
                    <w:adjustRightInd w:val="0"/>
                    <w:jc w:val="center"/>
                    <w:rPr>
                      <w:color w:val="auto"/>
                      <w:kern w:val="0"/>
                      <w:szCs w:val="21"/>
                    </w:rPr>
                  </w:pPr>
                  <w:r>
                    <w:rPr>
                      <w:rFonts w:hint="eastAsia"/>
                      <w:color w:val="auto"/>
                      <w:kern w:val="0"/>
                      <w:szCs w:val="21"/>
                    </w:rPr>
                    <w:t>符合</w:t>
                  </w:r>
                </w:p>
              </w:tc>
            </w:tr>
          </w:tbl>
          <w:p w14:paraId="7EA9115C">
            <w:pPr>
              <w:autoSpaceDE w:val="0"/>
              <w:autoSpaceDN w:val="0"/>
              <w:adjustRightInd w:val="0"/>
              <w:snapToGrid w:val="0"/>
              <w:spacing w:line="360" w:lineRule="auto"/>
              <w:ind w:firstLine="480" w:firstLineChars="200"/>
              <w:jc w:val="left"/>
              <w:rPr>
                <w:color w:val="auto"/>
                <w:kern w:val="0"/>
                <w:sz w:val="24"/>
              </w:rPr>
            </w:pPr>
            <w:r>
              <w:rPr>
                <w:color w:val="auto"/>
                <w:kern w:val="0"/>
                <w:sz w:val="24"/>
              </w:rPr>
              <w:t>综上，本项目建设</w:t>
            </w:r>
            <w:r>
              <w:rPr>
                <w:rFonts w:hint="eastAsia"/>
                <w:color w:val="auto"/>
                <w:kern w:val="0"/>
                <w:sz w:val="24"/>
              </w:rPr>
              <w:t>和生产不存在</w:t>
            </w:r>
            <w:r>
              <w:rPr>
                <w:color w:val="auto"/>
                <w:kern w:val="0"/>
                <w:sz w:val="24"/>
              </w:rPr>
              <w:t>《云南省重点高原湖泊入湖河道保护条例》</w:t>
            </w:r>
            <w:r>
              <w:rPr>
                <w:rFonts w:hint="eastAsia"/>
                <w:color w:val="auto"/>
                <w:kern w:val="0"/>
                <w:sz w:val="24"/>
              </w:rPr>
              <w:t>中入湖河道管控范围内的禁止行为。</w:t>
            </w:r>
          </w:p>
          <w:p w14:paraId="005A0950">
            <w:pPr>
              <w:autoSpaceDE w:val="0"/>
              <w:autoSpaceDN w:val="0"/>
              <w:adjustRightInd w:val="0"/>
              <w:snapToGrid w:val="0"/>
              <w:spacing w:line="360" w:lineRule="auto"/>
              <w:ind w:firstLine="482" w:firstLineChars="200"/>
              <w:jc w:val="left"/>
              <w:rPr>
                <w:b/>
                <w:bCs/>
                <w:color w:val="auto"/>
                <w:kern w:val="0"/>
                <w:sz w:val="24"/>
              </w:rPr>
            </w:pPr>
            <w:r>
              <w:rPr>
                <w:rFonts w:hint="eastAsia"/>
                <w:b/>
                <w:bCs/>
                <w:color w:val="auto"/>
                <w:kern w:val="0"/>
                <w:sz w:val="24"/>
              </w:rPr>
              <w:t>8、与</w:t>
            </w:r>
            <w:bookmarkStart w:id="35" w:name="OLE_LINK22"/>
            <w:r>
              <w:rPr>
                <w:rFonts w:hint="eastAsia"/>
                <w:b/>
                <w:bCs/>
                <w:color w:val="auto"/>
                <w:kern w:val="0"/>
                <w:sz w:val="24"/>
              </w:rPr>
              <w:t>《</w:t>
            </w:r>
            <w:bookmarkStart w:id="36" w:name="OLE_LINK17"/>
            <w:r>
              <w:rPr>
                <w:rFonts w:hint="eastAsia"/>
                <w:b/>
                <w:bCs/>
                <w:color w:val="auto"/>
                <w:kern w:val="0"/>
                <w:sz w:val="24"/>
              </w:rPr>
              <w:t>云南省生态环境保护条例</w:t>
            </w:r>
            <w:bookmarkEnd w:id="36"/>
            <w:r>
              <w:rPr>
                <w:rFonts w:hint="eastAsia"/>
                <w:b/>
                <w:bCs/>
                <w:color w:val="auto"/>
                <w:kern w:val="0"/>
                <w:sz w:val="24"/>
              </w:rPr>
              <w:t>》</w:t>
            </w:r>
            <w:bookmarkEnd w:id="35"/>
            <w:r>
              <w:rPr>
                <w:rFonts w:hint="eastAsia"/>
                <w:b/>
                <w:bCs/>
                <w:color w:val="auto"/>
                <w:kern w:val="0"/>
                <w:sz w:val="24"/>
              </w:rPr>
              <w:t>（2024年11月1日起施行）</w:t>
            </w:r>
            <w:r>
              <w:rPr>
                <w:b/>
                <w:bCs/>
                <w:color w:val="auto"/>
                <w:kern w:val="0"/>
                <w:sz w:val="24"/>
              </w:rPr>
              <w:t>符合性分析</w:t>
            </w:r>
          </w:p>
          <w:p w14:paraId="32908FA8">
            <w:pPr>
              <w:autoSpaceDE w:val="0"/>
              <w:autoSpaceDN w:val="0"/>
              <w:adjustRightInd w:val="0"/>
              <w:snapToGrid w:val="0"/>
              <w:spacing w:line="360" w:lineRule="auto"/>
              <w:ind w:firstLine="482" w:firstLineChars="200"/>
              <w:jc w:val="center"/>
              <w:rPr>
                <w:b/>
                <w:bCs/>
                <w:color w:val="auto"/>
                <w:kern w:val="0"/>
                <w:sz w:val="24"/>
              </w:rPr>
            </w:pPr>
            <w:r>
              <w:rPr>
                <w:b/>
                <w:bCs/>
                <w:color w:val="auto"/>
                <w:kern w:val="0"/>
                <w:sz w:val="24"/>
              </w:rPr>
              <w:t xml:space="preserve">表 </w:t>
            </w:r>
            <w:r>
              <w:rPr>
                <w:rFonts w:hint="eastAsia"/>
                <w:b/>
                <w:bCs/>
                <w:color w:val="auto"/>
                <w:kern w:val="0"/>
                <w:sz w:val="24"/>
              </w:rPr>
              <w:t>1-10</w:t>
            </w:r>
            <w:r>
              <w:rPr>
                <w:b/>
                <w:bCs/>
                <w:color w:val="auto"/>
                <w:kern w:val="0"/>
                <w:sz w:val="24"/>
              </w:rPr>
              <w:tab/>
            </w:r>
            <w:r>
              <w:rPr>
                <w:b/>
                <w:bCs/>
                <w:color w:val="auto"/>
                <w:kern w:val="0"/>
                <w:sz w:val="24"/>
              </w:rPr>
              <w:t>与</w:t>
            </w:r>
            <w:r>
              <w:rPr>
                <w:rFonts w:hint="eastAsia"/>
                <w:b/>
                <w:bCs/>
                <w:color w:val="auto"/>
                <w:kern w:val="0"/>
                <w:sz w:val="24"/>
              </w:rPr>
              <w:t>《云南省生态环境保护条例》</w:t>
            </w:r>
            <w:r>
              <w:rPr>
                <w:b/>
                <w:bCs/>
                <w:color w:val="auto"/>
                <w:kern w:val="0"/>
                <w:sz w:val="24"/>
              </w:rPr>
              <w:t>符合性分析一览表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39"/>
              <w:gridCol w:w="3279"/>
              <w:gridCol w:w="1153"/>
            </w:tblGrid>
            <w:tr w14:paraId="00C68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4" w:type="pct"/>
                  <w:vAlign w:val="center"/>
                </w:tcPr>
                <w:p w14:paraId="6EE3F11A">
                  <w:pPr>
                    <w:adjustRightInd w:val="0"/>
                    <w:jc w:val="center"/>
                    <w:rPr>
                      <w:rFonts w:hAnsi="Calibri"/>
                      <w:b/>
                      <w:bCs/>
                      <w:color w:val="auto"/>
                      <w:szCs w:val="21"/>
                    </w:rPr>
                  </w:pPr>
                  <w:r>
                    <w:rPr>
                      <w:rFonts w:hint="eastAsia" w:hAnsi="Calibri"/>
                      <w:b/>
                      <w:bCs/>
                      <w:color w:val="auto"/>
                      <w:szCs w:val="21"/>
                    </w:rPr>
                    <w:t>与本项目相关的条文</w:t>
                  </w:r>
                </w:p>
              </w:tc>
              <w:tc>
                <w:tcPr>
                  <w:tcW w:w="1869" w:type="pct"/>
                  <w:vAlign w:val="center"/>
                </w:tcPr>
                <w:p w14:paraId="39A560D1">
                  <w:pPr>
                    <w:adjustRightInd w:val="0"/>
                    <w:jc w:val="center"/>
                    <w:rPr>
                      <w:rFonts w:hAnsi="Calibri"/>
                      <w:b/>
                      <w:bCs/>
                      <w:color w:val="auto"/>
                      <w:szCs w:val="21"/>
                    </w:rPr>
                  </w:pPr>
                  <w:r>
                    <w:rPr>
                      <w:rFonts w:hint="eastAsia" w:hAnsi="Calibri"/>
                      <w:b/>
                      <w:bCs/>
                      <w:color w:val="auto"/>
                      <w:szCs w:val="21"/>
                    </w:rPr>
                    <w:t>项目情况</w:t>
                  </w:r>
                </w:p>
              </w:tc>
              <w:tc>
                <w:tcPr>
                  <w:tcW w:w="657" w:type="pct"/>
                  <w:vAlign w:val="center"/>
                </w:tcPr>
                <w:p w14:paraId="187FFAD5">
                  <w:pPr>
                    <w:adjustRightInd w:val="0"/>
                    <w:jc w:val="center"/>
                    <w:rPr>
                      <w:rFonts w:hAnsi="Calibri"/>
                      <w:b/>
                      <w:bCs/>
                      <w:color w:val="auto"/>
                      <w:szCs w:val="21"/>
                    </w:rPr>
                  </w:pPr>
                  <w:r>
                    <w:rPr>
                      <w:rFonts w:hint="eastAsia" w:hAnsi="Calibri"/>
                      <w:b/>
                      <w:bCs/>
                      <w:color w:val="auto"/>
                      <w:szCs w:val="21"/>
                    </w:rPr>
                    <w:t>符合情况</w:t>
                  </w:r>
                </w:p>
              </w:tc>
            </w:tr>
            <w:tr w14:paraId="6F338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4" w:type="pct"/>
                  <w:vAlign w:val="center"/>
                </w:tcPr>
                <w:p w14:paraId="5C200279">
                  <w:pPr>
                    <w:adjustRightInd w:val="0"/>
                    <w:jc w:val="left"/>
                    <w:rPr>
                      <w:rFonts w:hAnsi="Calibri"/>
                      <w:b/>
                      <w:bCs/>
                      <w:color w:val="auto"/>
                      <w:szCs w:val="21"/>
                    </w:rPr>
                  </w:pPr>
                  <w:r>
                    <w:rPr>
                      <w:rFonts w:hint="eastAsia" w:hAnsi="Calibri"/>
                      <w:color w:val="auto"/>
                      <w:szCs w:val="21"/>
                    </w:rPr>
                    <w:t>第三十六条 排放污染物的企业事业单位和其他生产经营者，应当采取措施，防治在生产建设或者其他活动中产生的废气、废水、废渣、医疗废物、粉尘、恶臭气体、放射性物质以及噪声、振动、光辐射、电磁辐射等对生态环境的污染和危害。</w:t>
                  </w:r>
                </w:p>
              </w:tc>
              <w:tc>
                <w:tcPr>
                  <w:tcW w:w="1869" w:type="pct"/>
                  <w:vAlign w:val="center"/>
                </w:tcPr>
                <w:p w14:paraId="530BC89A">
                  <w:pPr>
                    <w:adjustRightInd w:val="0"/>
                    <w:jc w:val="center"/>
                    <w:rPr>
                      <w:color w:val="auto"/>
                      <w:kern w:val="0"/>
                      <w:szCs w:val="21"/>
                    </w:rPr>
                  </w:pPr>
                  <w:r>
                    <w:rPr>
                      <w:rFonts w:hint="eastAsia" w:hAnsi="Calibri"/>
                      <w:color w:val="auto"/>
                      <w:szCs w:val="21"/>
                    </w:rPr>
                    <w:t>项目焊接、补焊缝烟尘，采取布袋除尘器收集处理；</w:t>
                  </w:r>
                  <w:r>
                    <w:rPr>
                      <w:rFonts w:hint="eastAsia"/>
                      <w:color w:val="auto"/>
                      <w:kern w:val="0"/>
                      <w:szCs w:val="21"/>
                    </w:rPr>
                    <w:t>项目生产废水循环使用不外排，项目生活污水经化粪池预处理后，采用罐车运至纳古镇污水处理站处理；项目噪声采取基础减振、厂房隔声、对空气动力性噪声设备安装消声器、合理布局等措施；项目一般固废经收集后暂存于一般固废暂存间，外售处置。</w:t>
                  </w:r>
                  <w:bookmarkStart w:id="37" w:name="OLE_LINK20"/>
                  <w:r>
                    <w:rPr>
                      <w:rFonts w:hint="eastAsia"/>
                      <w:color w:val="auto"/>
                      <w:kern w:val="0"/>
                      <w:szCs w:val="21"/>
                    </w:rPr>
                    <w:t>危险废物分类收集暂存于危废暂存间，</w:t>
                  </w:r>
                  <w:r>
                    <w:rPr>
                      <w:color w:val="auto"/>
                      <w:kern w:val="0"/>
                      <w:szCs w:val="21"/>
                    </w:rPr>
                    <w:t>废机油用于厂区内机械设备擦拭润滑，其余危险废物委托有资质单位处置</w:t>
                  </w:r>
                  <w:r>
                    <w:rPr>
                      <w:rFonts w:hint="eastAsia"/>
                      <w:color w:val="auto"/>
                      <w:kern w:val="0"/>
                      <w:szCs w:val="21"/>
                    </w:rPr>
                    <w:t>。</w:t>
                  </w:r>
                  <w:bookmarkEnd w:id="37"/>
                </w:p>
              </w:tc>
              <w:tc>
                <w:tcPr>
                  <w:tcW w:w="657" w:type="pct"/>
                  <w:vAlign w:val="center"/>
                </w:tcPr>
                <w:p w14:paraId="061BAFCA">
                  <w:pPr>
                    <w:adjustRightInd w:val="0"/>
                    <w:jc w:val="center"/>
                    <w:rPr>
                      <w:rFonts w:hAnsi="Calibri"/>
                      <w:color w:val="auto"/>
                      <w:szCs w:val="21"/>
                    </w:rPr>
                  </w:pPr>
                  <w:r>
                    <w:rPr>
                      <w:rFonts w:hint="eastAsia" w:hAnsi="Calibri"/>
                      <w:color w:val="auto"/>
                      <w:szCs w:val="21"/>
                    </w:rPr>
                    <w:t>符合</w:t>
                  </w:r>
                </w:p>
              </w:tc>
            </w:tr>
            <w:tr w14:paraId="411FE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4" w:type="pct"/>
                  <w:vAlign w:val="center"/>
                </w:tcPr>
                <w:p w14:paraId="267B14C1">
                  <w:pPr>
                    <w:adjustRightInd w:val="0"/>
                    <w:jc w:val="left"/>
                    <w:rPr>
                      <w:rFonts w:hAnsi="Calibri"/>
                      <w:color w:val="auto"/>
                      <w:szCs w:val="21"/>
                    </w:rPr>
                  </w:pPr>
                  <w:r>
                    <w:rPr>
                      <w:rFonts w:hint="eastAsia" w:hAnsi="Calibri"/>
                      <w:color w:val="auto"/>
                      <w:szCs w:val="21"/>
                    </w:rPr>
                    <w:t>第三十七条 落实重点污染物排放总量控制制度。省人民政府应当按照国务院下达的总量控制指标进行逐级分解。企业事业单位在执行国家和地方污染物排放标准的同时，应当遵守分解落实到本单位的重点污染物排放总量控制指标。</w:t>
                  </w:r>
                </w:p>
              </w:tc>
              <w:tc>
                <w:tcPr>
                  <w:tcW w:w="1869" w:type="pct"/>
                  <w:vAlign w:val="center"/>
                </w:tcPr>
                <w:p w14:paraId="5AD7E6E2">
                  <w:pPr>
                    <w:adjustRightInd w:val="0"/>
                    <w:jc w:val="center"/>
                    <w:rPr>
                      <w:rFonts w:hAnsi="Calibri"/>
                      <w:color w:val="auto"/>
                      <w:szCs w:val="21"/>
                    </w:rPr>
                  </w:pPr>
                  <w:r>
                    <w:rPr>
                      <w:rFonts w:hint="eastAsia" w:hAnsi="Calibri"/>
                      <w:color w:val="auto"/>
                      <w:szCs w:val="21"/>
                    </w:rPr>
                    <w:t>本项目无重点大气污染物排放，无总量控制要求。</w:t>
                  </w:r>
                </w:p>
              </w:tc>
              <w:tc>
                <w:tcPr>
                  <w:tcW w:w="657" w:type="pct"/>
                  <w:vAlign w:val="center"/>
                </w:tcPr>
                <w:p w14:paraId="27C163D7">
                  <w:pPr>
                    <w:adjustRightInd w:val="0"/>
                    <w:jc w:val="center"/>
                    <w:rPr>
                      <w:rFonts w:hAnsi="Calibri"/>
                      <w:color w:val="auto"/>
                      <w:szCs w:val="21"/>
                    </w:rPr>
                  </w:pPr>
                  <w:r>
                    <w:rPr>
                      <w:rFonts w:hint="eastAsia" w:hAnsi="Calibri"/>
                      <w:color w:val="auto"/>
                      <w:szCs w:val="21"/>
                    </w:rPr>
                    <w:t>符合</w:t>
                  </w:r>
                </w:p>
              </w:tc>
            </w:tr>
            <w:tr w14:paraId="2CD70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474" w:type="pct"/>
                  <w:vAlign w:val="center"/>
                </w:tcPr>
                <w:p w14:paraId="00C56E7A">
                  <w:pPr>
                    <w:adjustRightInd w:val="0"/>
                    <w:jc w:val="left"/>
                    <w:rPr>
                      <w:rFonts w:hAnsi="Calibri"/>
                      <w:color w:val="auto"/>
                      <w:szCs w:val="21"/>
                    </w:rPr>
                  </w:pPr>
                  <w:r>
                    <w:rPr>
                      <w:rFonts w:hint="eastAsia" w:hAnsi="Calibri"/>
                      <w:color w:val="auto"/>
                      <w:szCs w:val="21"/>
                    </w:rPr>
                    <w:t>第三十八条 落实以排污许可制为核心的固定污染源监管制度。依照法律规定实行排污许可管理的企业事业单位和其他生产经营者，应当依法申请取得排污许可证；未取得排污许可证的，不得排放污染物。</w:t>
                  </w:r>
                </w:p>
              </w:tc>
              <w:tc>
                <w:tcPr>
                  <w:tcW w:w="1869" w:type="pct"/>
                  <w:vAlign w:val="center"/>
                </w:tcPr>
                <w:p w14:paraId="312BE236">
                  <w:pPr>
                    <w:adjustRightInd w:val="0"/>
                    <w:jc w:val="center"/>
                    <w:rPr>
                      <w:rFonts w:hAnsi="Calibri"/>
                      <w:color w:val="auto"/>
                      <w:szCs w:val="21"/>
                    </w:rPr>
                  </w:pPr>
                  <w:r>
                    <w:rPr>
                      <w:rFonts w:hint="eastAsia" w:hAnsi="Calibri"/>
                      <w:color w:val="auto"/>
                      <w:szCs w:val="21"/>
                    </w:rPr>
                    <w:t>本项目属于排污许可登记管理，在启动生产设施或者发生实际排污之前依法办理排污许可证。</w:t>
                  </w:r>
                </w:p>
              </w:tc>
              <w:tc>
                <w:tcPr>
                  <w:tcW w:w="657" w:type="pct"/>
                  <w:vAlign w:val="center"/>
                </w:tcPr>
                <w:p w14:paraId="7B920BAE">
                  <w:pPr>
                    <w:adjustRightInd w:val="0"/>
                    <w:jc w:val="center"/>
                    <w:rPr>
                      <w:rFonts w:hAnsi="Calibri"/>
                      <w:color w:val="auto"/>
                      <w:szCs w:val="21"/>
                    </w:rPr>
                  </w:pPr>
                  <w:r>
                    <w:rPr>
                      <w:rFonts w:hint="eastAsia" w:hAnsi="Calibri"/>
                      <w:color w:val="auto"/>
                      <w:szCs w:val="21"/>
                    </w:rPr>
                    <w:t>符合</w:t>
                  </w:r>
                </w:p>
              </w:tc>
            </w:tr>
            <w:tr w14:paraId="1A16E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4" w:type="pct"/>
                  <w:vAlign w:val="center"/>
                </w:tcPr>
                <w:p w14:paraId="4FCC66AB">
                  <w:pPr>
                    <w:adjustRightInd w:val="0"/>
                    <w:jc w:val="left"/>
                    <w:rPr>
                      <w:rFonts w:hAnsi="Calibri"/>
                      <w:color w:val="auto"/>
                      <w:szCs w:val="21"/>
                    </w:rPr>
                  </w:pPr>
                  <w:r>
                    <w:rPr>
                      <w:rFonts w:hint="eastAsia" w:hAnsi="Calibri"/>
                      <w:color w:val="auto"/>
                      <w:szCs w:val="21"/>
                    </w:rPr>
                    <w:t>第三十九条 依照法律规定实行排污许可管理的企业事业单位和其他生产经营者应当按照排污许可证规定和有关标准规范，依法开展自行监测，保存原始监测记录，并对自行监测数据的真实性、准确性负责，不得篡改、伪造。</w:t>
                  </w:r>
                </w:p>
              </w:tc>
              <w:tc>
                <w:tcPr>
                  <w:tcW w:w="1869" w:type="pct"/>
                  <w:vAlign w:val="center"/>
                </w:tcPr>
                <w:p w14:paraId="6F8B9B84">
                  <w:pPr>
                    <w:adjustRightInd w:val="0"/>
                    <w:jc w:val="center"/>
                    <w:rPr>
                      <w:rFonts w:hAnsi="Calibri"/>
                      <w:color w:val="auto"/>
                      <w:szCs w:val="21"/>
                    </w:rPr>
                  </w:pPr>
                  <w:r>
                    <w:rPr>
                      <w:rFonts w:hint="eastAsia" w:hAnsi="Calibri"/>
                      <w:color w:val="auto"/>
                      <w:szCs w:val="21"/>
                    </w:rPr>
                    <w:t>本项目依法开展自行监测，保存原始监测记录，并对自行监测数据的真实性、准确性负责。</w:t>
                  </w:r>
                </w:p>
              </w:tc>
              <w:tc>
                <w:tcPr>
                  <w:tcW w:w="657" w:type="pct"/>
                  <w:vAlign w:val="center"/>
                </w:tcPr>
                <w:p w14:paraId="59D9F849">
                  <w:pPr>
                    <w:adjustRightInd w:val="0"/>
                    <w:jc w:val="center"/>
                    <w:rPr>
                      <w:rFonts w:hAnsi="Calibri"/>
                      <w:color w:val="auto"/>
                      <w:szCs w:val="21"/>
                    </w:rPr>
                  </w:pPr>
                  <w:r>
                    <w:rPr>
                      <w:rFonts w:hint="eastAsia" w:hAnsi="Calibri"/>
                      <w:color w:val="auto"/>
                      <w:szCs w:val="21"/>
                    </w:rPr>
                    <w:t>符合</w:t>
                  </w:r>
                </w:p>
              </w:tc>
            </w:tr>
            <w:tr w14:paraId="1C84C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4" w:type="pct"/>
                  <w:vAlign w:val="center"/>
                </w:tcPr>
                <w:p w14:paraId="7AB1B832">
                  <w:pPr>
                    <w:adjustRightInd w:val="0"/>
                    <w:jc w:val="left"/>
                    <w:rPr>
                      <w:rFonts w:hAnsi="Calibri"/>
                      <w:color w:val="auto"/>
                      <w:szCs w:val="21"/>
                    </w:rPr>
                  </w:pPr>
                  <w:r>
                    <w:rPr>
                      <w:rFonts w:hint="eastAsia" w:hAnsi="Calibri"/>
                      <w:color w:val="auto"/>
                      <w:szCs w:val="21"/>
                    </w:rPr>
                    <w:t>第四十五条 产生危险废物的单位，应当按照国家有关规定和环境保护标准要求贮存、利用、处置危险废物，不得擅自倾倒、堆放。从事收集、贮存、利用、处置危险废物经营活动的单位，应当依法申请取得许可证，并执行许可证管理制度的相关规定。</w:t>
                  </w:r>
                </w:p>
              </w:tc>
              <w:tc>
                <w:tcPr>
                  <w:tcW w:w="1869" w:type="pct"/>
                  <w:vAlign w:val="center"/>
                </w:tcPr>
                <w:p w14:paraId="0EF445BC">
                  <w:pPr>
                    <w:adjustRightInd w:val="0"/>
                    <w:jc w:val="center"/>
                    <w:rPr>
                      <w:rFonts w:hAnsi="Calibri"/>
                      <w:color w:val="auto"/>
                      <w:szCs w:val="21"/>
                    </w:rPr>
                  </w:pPr>
                  <w:r>
                    <w:rPr>
                      <w:rFonts w:hint="eastAsia" w:hAnsi="Calibri"/>
                      <w:color w:val="auto"/>
                      <w:szCs w:val="21"/>
                    </w:rPr>
                    <w:t>本项目</w:t>
                  </w:r>
                  <w:r>
                    <w:rPr>
                      <w:rFonts w:hint="eastAsia"/>
                      <w:color w:val="auto"/>
                      <w:kern w:val="0"/>
                      <w:szCs w:val="21"/>
                    </w:rPr>
                    <w:t>危险废物分类收集暂存于危废暂存间，</w:t>
                  </w:r>
                  <w:r>
                    <w:rPr>
                      <w:color w:val="auto"/>
                      <w:kern w:val="0"/>
                      <w:szCs w:val="21"/>
                    </w:rPr>
                    <w:t>废机油用于厂区内机械设备擦拭润滑，其余危险废物委托有资质单位处置</w:t>
                  </w:r>
                  <w:r>
                    <w:rPr>
                      <w:rFonts w:hint="eastAsia"/>
                      <w:color w:val="auto"/>
                      <w:kern w:val="0"/>
                      <w:szCs w:val="21"/>
                    </w:rPr>
                    <w:t>。</w:t>
                  </w:r>
                </w:p>
              </w:tc>
              <w:tc>
                <w:tcPr>
                  <w:tcW w:w="657" w:type="pct"/>
                  <w:vAlign w:val="center"/>
                </w:tcPr>
                <w:p w14:paraId="4C24029B">
                  <w:pPr>
                    <w:adjustRightInd w:val="0"/>
                    <w:jc w:val="center"/>
                    <w:rPr>
                      <w:rFonts w:hAnsi="Calibri"/>
                      <w:color w:val="auto"/>
                      <w:szCs w:val="21"/>
                    </w:rPr>
                  </w:pPr>
                  <w:r>
                    <w:rPr>
                      <w:rFonts w:hint="eastAsia" w:hAnsi="Calibri"/>
                      <w:color w:val="auto"/>
                      <w:szCs w:val="21"/>
                    </w:rPr>
                    <w:t>符合</w:t>
                  </w:r>
                </w:p>
              </w:tc>
            </w:tr>
            <w:tr w14:paraId="39188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4" w:type="pct"/>
                  <w:vAlign w:val="center"/>
                </w:tcPr>
                <w:p w14:paraId="317ABEF6">
                  <w:pPr>
                    <w:adjustRightInd w:val="0"/>
                    <w:jc w:val="left"/>
                    <w:rPr>
                      <w:rFonts w:hAnsi="Calibri"/>
                      <w:color w:val="auto"/>
                      <w:szCs w:val="21"/>
                    </w:rPr>
                  </w:pPr>
                  <w:r>
                    <w:rPr>
                      <w:rFonts w:hint="eastAsia" w:hAnsi="Calibri"/>
                      <w:color w:val="auto"/>
                      <w:szCs w:val="21"/>
                    </w:rPr>
                    <w:t>第四十七条 排放噪声的单位和个人应当采取有效措施，使其排放的噪声符合国家规定的排放标准。</w:t>
                  </w:r>
                </w:p>
              </w:tc>
              <w:tc>
                <w:tcPr>
                  <w:tcW w:w="1869" w:type="pct"/>
                  <w:vAlign w:val="center"/>
                </w:tcPr>
                <w:p w14:paraId="4CFCB603">
                  <w:pPr>
                    <w:adjustRightInd w:val="0"/>
                    <w:jc w:val="center"/>
                    <w:rPr>
                      <w:rFonts w:hAnsi="Calibri"/>
                      <w:color w:val="auto"/>
                      <w:szCs w:val="21"/>
                    </w:rPr>
                  </w:pPr>
                  <w:r>
                    <w:rPr>
                      <w:rFonts w:hint="eastAsia"/>
                      <w:color w:val="auto"/>
                      <w:kern w:val="0"/>
                      <w:szCs w:val="21"/>
                    </w:rPr>
                    <w:t>本项目噪声源主要为设备噪声，项目采取基础减振、厂房隔声、对空气动力性噪声设备安装消声器、合理布局等措施，项目运营期的厂界噪声昼间贡献值可以达到《工业企业厂界噪声排放标准》（GB12348-2008）2类标准的要求。</w:t>
                  </w:r>
                </w:p>
              </w:tc>
              <w:tc>
                <w:tcPr>
                  <w:tcW w:w="657" w:type="pct"/>
                  <w:vAlign w:val="center"/>
                </w:tcPr>
                <w:p w14:paraId="15DF7858">
                  <w:pPr>
                    <w:adjustRightInd w:val="0"/>
                    <w:jc w:val="center"/>
                    <w:rPr>
                      <w:rFonts w:hAnsi="Calibri"/>
                      <w:color w:val="auto"/>
                      <w:szCs w:val="21"/>
                    </w:rPr>
                  </w:pPr>
                  <w:r>
                    <w:rPr>
                      <w:rFonts w:hint="eastAsia" w:hAnsi="Calibri"/>
                      <w:color w:val="auto"/>
                      <w:szCs w:val="21"/>
                    </w:rPr>
                    <w:t>符合</w:t>
                  </w:r>
                </w:p>
              </w:tc>
            </w:tr>
          </w:tbl>
          <w:p w14:paraId="2DFF3850">
            <w:pPr>
              <w:autoSpaceDE w:val="0"/>
              <w:autoSpaceDN w:val="0"/>
              <w:adjustRightInd w:val="0"/>
              <w:snapToGrid w:val="0"/>
              <w:spacing w:line="360" w:lineRule="auto"/>
              <w:ind w:firstLine="480" w:firstLineChars="200"/>
              <w:jc w:val="left"/>
              <w:rPr>
                <w:color w:val="auto"/>
                <w:kern w:val="0"/>
                <w:sz w:val="24"/>
              </w:rPr>
            </w:pPr>
            <w:r>
              <w:rPr>
                <w:rFonts w:hint="eastAsia"/>
                <w:color w:val="auto"/>
                <w:kern w:val="0"/>
                <w:sz w:val="24"/>
              </w:rPr>
              <w:t>综上，本项目符合《云南省生态环境保护条例》的相关规定。</w:t>
            </w:r>
          </w:p>
          <w:p w14:paraId="1DD7DAAC">
            <w:pPr>
              <w:autoSpaceDE w:val="0"/>
              <w:autoSpaceDN w:val="0"/>
              <w:adjustRightInd w:val="0"/>
              <w:snapToGrid w:val="0"/>
              <w:spacing w:line="360" w:lineRule="auto"/>
              <w:ind w:firstLine="482" w:firstLineChars="200"/>
              <w:jc w:val="left"/>
              <w:rPr>
                <w:b/>
                <w:color w:val="auto"/>
                <w:kern w:val="0"/>
                <w:sz w:val="24"/>
              </w:rPr>
            </w:pPr>
            <w:r>
              <w:rPr>
                <w:rFonts w:hint="eastAsia"/>
                <w:b/>
                <w:color w:val="auto"/>
                <w:kern w:val="0"/>
                <w:sz w:val="24"/>
              </w:rPr>
              <w:t>9、与《云南省空气质量持续改善行动实施方案》（云政发〔2024〕14号）符合性分析</w:t>
            </w:r>
          </w:p>
          <w:p w14:paraId="085D2DF8">
            <w:pPr>
              <w:autoSpaceDE w:val="0"/>
              <w:autoSpaceDN w:val="0"/>
              <w:adjustRightInd w:val="0"/>
              <w:snapToGrid w:val="0"/>
              <w:spacing w:line="360" w:lineRule="auto"/>
              <w:ind w:firstLine="482" w:firstLineChars="200"/>
              <w:jc w:val="center"/>
              <w:rPr>
                <w:b/>
                <w:bCs/>
                <w:color w:val="auto"/>
                <w:kern w:val="0"/>
                <w:sz w:val="24"/>
              </w:rPr>
            </w:pPr>
            <w:r>
              <w:rPr>
                <w:b/>
                <w:bCs/>
                <w:color w:val="auto"/>
                <w:kern w:val="0"/>
                <w:sz w:val="24"/>
              </w:rPr>
              <w:t xml:space="preserve">表 </w:t>
            </w:r>
            <w:r>
              <w:rPr>
                <w:rFonts w:hint="eastAsia"/>
                <w:b/>
                <w:bCs/>
                <w:color w:val="auto"/>
                <w:kern w:val="0"/>
                <w:sz w:val="24"/>
              </w:rPr>
              <w:t>1-</w:t>
            </w:r>
            <w:r>
              <w:rPr>
                <w:b/>
                <w:bCs/>
                <w:color w:val="auto"/>
                <w:kern w:val="0"/>
                <w:sz w:val="24"/>
              </w:rPr>
              <w:t>1</w:t>
            </w:r>
            <w:r>
              <w:rPr>
                <w:rFonts w:hint="eastAsia"/>
                <w:b/>
                <w:bCs/>
                <w:color w:val="auto"/>
                <w:kern w:val="0"/>
                <w:sz w:val="24"/>
              </w:rPr>
              <w:t xml:space="preserve">1 </w:t>
            </w:r>
            <w:r>
              <w:rPr>
                <w:b/>
                <w:bCs/>
                <w:color w:val="auto"/>
                <w:kern w:val="0"/>
                <w:sz w:val="24"/>
              </w:rPr>
              <w:t>与</w:t>
            </w:r>
            <w:r>
              <w:rPr>
                <w:rFonts w:hint="eastAsia"/>
                <w:b/>
                <w:bCs/>
                <w:color w:val="auto"/>
                <w:kern w:val="0"/>
                <w:sz w:val="24"/>
              </w:rPr>
              <w:t>《云南省空气质量持续改善行动实施方案》</w:t>
            </w:r>
            <w:r>
              <w:rPr>
                <w:b/>
                <w:bCs/>
                <w:color w:val="auto"/>
                <w:kern w:val="0"/>
                <w:sz w:val="24"/>
              </w:rPr>
              <w:t>符合性分析一览表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39"/>
              <w:gridCol w:w="3279"/>
              <w:gridCol w:w="1153"/>
            </w:tblGrid>
            <w:tr w14:paraId="7F2B0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3" w:type="pct"/>
                  <w:vAlign w:val="center"/>
                </w:tcPr>
                <w:p w14:paraId="79B92F60">
                  <w:pPr>
                    <w:adjustRightInd w:val="0"/>
                    <w:jc w:val="center"/>
                    <w:rPr>
                      <w:rFonts w:hAnsi="Calibri"/>
                      <w:b/>
                      <w:bCs/>
                      <w:color w:val="auto"/>
                      <w:szCs w:val="21"/>
                    </w:rPr>
                  </w:pPr>
                  <w:r>
                    <w:rPr>
                      <w:rFonts w:hint="eastAsia" w:hAnsi="Calibri"/>
                      <w:b/>
                      <w:bCs/>
                      <w:color w:val="auto"/>
                      <w:szCs w:val="21"/>
                    </w:rPr>
                    <w:t>与本项目相关的条文</w:t>
                  </w:r>
                </w:p>
              </w:tc>
              <w:tc>
                <w:tcPr>
                  <w:tcW w:w="1869" w:type="pct"/>
                  <w:vAlign w:val="center"/>
                </w:tcPr>
                <w:p w14:paraId="505B5D20">
                  <w:pPr>
                    <w:adjustRightInd w:val="0"/>
                    <w:jc w:val="center"/>
                    <w:rPr>
                      <w:rFonts w:hAnsi="Calibri"/>
                      <w:b/>
                      <w:bCs/>
                      <w:color w:val="auto"/>
                      <w:szCs w:val="21"/>
                    </w:rPr>
                  </w:pPr>
                  <w:r>
                    <w:rPr>
                      <w:rFonts w:hint="eastAsia" w:hAnsi="Calibri"/>
                      <w:b/>
                      <w:bCs/>
                      <w:color w:val="auto"/>
                      <w:szCs w:val="21"/>
                    </w:rPr>
                    <w:t>项目情况</w:t>
                  </w:r>
                </w:p>
              </w:tc>
              <w:tc>
                <w:tcPr>
                  <w:tcW w:w="657" w:type="pct"/>
                  <w:vAlign w:val="center"/>
                </w:tcPr>
                <w:p w14:paraId="5C107A27">
                  <w:pPr>
                    <w:adjustRightInd w:val="0"/>
                    <w:jc w:val="center"/>
                    <w:rPr>
                      <w:rFonts w:hAnsi="Calibri"/>
                      <w:b/>
                      <w:bCs/>
                      <w:color w:val="auto"/>
                      <w:szCs w:val="21"/>
                    </w:rPr>
                  </w:pPr>
                  <w:r>
                    <w:rPr>
                      <w:rFonts w:hint="eastAsia" w:hAnsi="Calibri"/>
                      <w:b/>
                      <w:bCs/>
                      <w:color w:val="auto"/>
                      <w:szCs w:val="21"/>
                    </w:rPr>
                    <w:t>符合情况</w:t>
                  </w:r>
                </w:p>
              </w:tc>
            </w:tr>
            <w:tr w14:paraId="022AC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3" w:type="pct"/>
                  <w:vAlign w:val="center"/>
                </w:tcPr>
                <w:p w14:paraId="30FAAA41">
                  <w:pPr>
                    <w:adjustRightInd w:val="0"/>
                    <w:jc w:val="left"/>
                    <w:rPr>
                      <w:rFonts w:hAnsi="Calibri"/>
                      <w:color w:val="auto"/>
                      <w:szCs w:val="21"/>
                    </w:rPr>
                  </w:pPr>
                  <w:r>
                    <w:rPr>
                      <w:rFonts w:hint="eastAsia" w:hAnsi="Calibri"/>
                      <w:b/>
                      <w:bCs/>
                      <w:color w:val="auto"/>
                      <w:szCs w:val="21"/>
                    </w:rPr>
                    <w:t>二、优化产业结构</w:t>
                  </w:r>
                </w:p>
              </w:tc>
              <w:tc>
                <w:tcPr>
                  <w:tcW w:w="1869" w:type="pct"/>
                  <w:vAlign w:val="center"/>
                </w:tcPr>
                <w:p w14:paraId="1B623BA2">
                  <w:pPr>
                    <w:adjustRightInd w:val="0"/>
                    <w:jc w:val="center"/>
                    <w:rPr>
                      <w:color w:val="auto"/>
                      <w:kern w:val="0"/>
                      <w:szCs w:val="21"/>
                    </w:rPr>
                  </w:pPr>
                  <w:r>
                    <w:rPr>
                      <w:rFonts w:hint="eastAsia"/>
                      <w:color w:val="auto"/>
                      <w:kern w:val="0"/>
                      <w:szCs w:val="21"/>
                    </w:rPr>
                    <w:t>/</w:t>
                  </w:r>
                </w:p>
              </w:tc>
              <w:tc>
                <w:tcPr>
                  <w:tcW w:w="657" w:type="pct"/>
                  <w:vAlign w:val="center"/>
                </w:tcPr>
                <w:p w14:paraId="22967C49">
                  <w:pPr>
                    <w:adjustRightInd w:val="0"/>
                    <w:jc w:val="center"/>
                    <w:rPr>
                      <w:rFonts w:hAnsi="Calibri"/>
                      <w:color w:val="auto"/>
                      <w:szCs w:val="21"/>
                    </w:rPr>
                  </w:pPr>
                  <w:r>
                    <w:rPr>
                      <w:rFonts w:hint="eastAsia" w:hAnsi="Calibri"/>
                      <w:color w:val="auto"/>
                      <w:szCs w:val="21"/>
                    </w:rPr>
                    <w:t>/</w:t>
                  </w:r>
                </w:p>
              </w:tc>
            </w:tr>
            <w:tr w14:paraId="538FB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3" w:type="pct"/>
                  <w:vAlign w:val="center"/>
                </w:tcPr>
                <w:p w14:paraId="3EF2EA2A">
                  <w:pPr>
                    <w:adjustRightInd w:val="0"/>
                    <w:jc w:val="left"/>
                    <w:rPr>
                      <w:rFonts w:hAnsi="Calibri"/>
                      <w:color w:val="auto"/>
                      <w:szCs w:val="21"/>
                    </w:rPr>
                  </w:pPr>
                  <w:r>
                    <w:rPr>
                      <w:rFonts w:hint="eastAsia" w:hAnsi="Calibri"/>
                      <w:color w:val="auto"/>
                      <w:szCs w:val="21"/>
                    </w:rPr>
                    <w:t>（一）坚决遏制“两高一低”项目盲目上马。新改扩建项目严格落实国家和省产业规划、产业政策、生态环境分区管控方案、规划环评、项目环评、节能审查、产能置换、重点污染物总量控制、污染物排放区域削减、碳排放达峰目标等相关要求，原则上采用清洁运输方式。加快推进钢铁产业转型升级，鼓励钢铁、焦化、烧结一体化布局，减少独立焦化、烧结、球团和热轧企业及工序。到2025年，短流程炼钢产量占比达15%。</w:t>
                  </w:r>
                </w:p>
              </w:tc>
              <w:tc>
                <w:tcPr>
                  <w:tcW w:w="1869" w:type="pct"/>
                  <w:vAlign w:val="center"/>
                </w:tcPr>
                <w:p w14:paraId="080E2D8C">
                  <w:pPr>
                    <w:adjustRightInd w:val="0"/>
                    <w:jc w:val="center"/>
                    <w:rPr>
                      <w:color w:val="auto"/>
                    </w:rPr>
                  </w:pPr>
                  <w:r>
                    <w:rPr>
                      <w:rFonts w:hint="eastAsia"/>
                      <w:color w:val="auto"/>
                    </w:rPr>
                    <w:t>本项目租赁现有厂房进行建设，无新增建设用地。本项目不属于</w:t>
                  </w:r>
                  <w:r>
                    <w:rPr>
                      <w:rFonts w:hint="eastAsia" w:hAnsi="Calibri"/>
                      <w:color w:val="auto"/>
                      <w:szCs w:val="21"/>
                    </w:rPr>
                    <w:t>“两高一低”项目。</w:t>
                  </w:r>
                </w:p>
              </w:tc>
              <w:tc>
                <w:tcPr>
                  <w:tcW w:w="657" w:type="pct"/>
                  <w:vAlign w:val="center"/>
                </w:tcPr>
                <w:p w14:paraId="22F607A3">
                  <w:pPr>
                    <w:adjustRightInd w:val="0"/>
                    <w:jc w:val="center"/>
                    <w:rPr>
                      <w:rFonts w:hAnsi="Calibri"/>
                      <w:color w:val="auto"/>
                      <w:szCs w:val="21"/>
                    </w:rPr>
                  </w:pPr>
                  <w:r>
                    <w:rPr>
                      <w:rFonts w:hint="eastAsia" w:hAnsi="Calibri"/>
                      <w:color w:val="auto"/>
                      <w:szCs w:val="21"/>
                    </w:rPr>
                    <w:t>符合</w:t>
                  </w:r>
                </w:p>
              </w:tc>
            </w:tr>
            <w:tr w14:paraId="5C90F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3" w:type="pct"/>
                  <w:vAlign w:val="center"/>
                </w:tcPr>
                <w:p w14:paraId="4CAE74F6">
                  <w:pPr>
                    <w:adjustRightInd w:val="0"/>
                    <w:jc w:val="left"/>
                    <w:rPr>
                      <w:rFonts w:hAnsi="Calibri"/>
                      <w:color w:val="auto"/>
                      <w:szCs w:val="21"/>
                    </w:rPr>
                  </w:pPr>
                  <w:r>
                    <w:rPr>
                      <w:rFonts w:hint="eastAsia" w:hAnsi="Calibri"/>
                      <w:color w:val="auto"/>
                      <w:szCs w:val="21"/>
                    </w:rPr>
                    <w:t>（二）推动落后产能退出。推动能耗、环保、质量、安全、技术达不到标准和生产不合格产品或淘汰类产能依法依规关停退出。不予审批限制类新建项目，按照国家要求对属于限制类的现有生产能力进行升级改造。</w:t>
                  </w:r>
                </w:p>
              </w:tc>
              <w:tc>
                <w:tcPr>
                  <w:tcW w:w="1869" w:type="pct"/>
                  <w:vAlign w:val="center"/>
                </w:tcPr>
                <w:p w14:paraId="5BC9D117">
                  <w:pPr>
                    <w:adjustRightInd w:val="0"/>
                    <w:jc w:val="center"/>
                    <w:rPr>
                      <w:color w:val="auto"/>
                    </w:rPr>
                  </w:pPr>
                  <w:r>
                    <w:rPr>
                      <w:rFonts w:hint="eastAsia"/>
                      <w:color w:val="auto"/>
                    </w:rPr>
                    <w:t>本项目不属于落后产能。</w:t>
                  </w:r>
                </w:p>
              </w:tc>
              <w:tc>
                <w:tcPr>
                  <w:tcW w:w="657" w:type="pct"/>
                  <w:vAlign w:val="center"/>
                </w:tcPr>
                <w:p w14:paraId="68674362">
                  <w:pPr>
                    <w:adjustRightInd w:val="0"/>
                    <w:jc w:val="center"/>
                    <w:rPr>
                      <w:rFonts w:hAnsi="Calibri"/>
                      <w:color w:val="auto"/>
                      <w:szCs w:val="21"/>
                    </w:rPr>
                  </w:pPr>
                  <w:r>
                    <w:rPr>
                      <w:rFonts w:hint="eastAsia" w:hAnsi="Calibri"/>
                      <w:color w:val="auto"/>
                      <w:szCs w:val="21"/>
                    </w:rPr>
                    <w:t>符合</w:t>
                  </w:r>
                </w:p>
              </w:tc>
            </w:tr>
            <w:tr w14:paraId="5B3C2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3" w:type="pct"/>
                  <w:vAlign w:val="center"/>
                </w:tcPr>
                <w:p w14:paraId="3FD0A043">
                  <w:pPr>
                    <w:adjustRightInd w:val="0"/>
                    <w:jc w:val="left"/>
                    <w:rPr>
                      <w:rFonts w:hAnsi="Calibri"/>
                      <w:color w:val="auto"/>
                      <w:szCs w:val="21"/>
                    </w:rPr>
                  </w:pPr>
                  <w:r>
                    <w:rPr>
                      <w:rFonts w:hint="eastAsia" w:hAnsi="Calibri"/>
                      <w:color w:val="auto"/>
                      <w:szCs w:val="21"/>
                    </w:rPr>
                    <w:t>（三）推动传统产业升级改造。中小型传统制造企业集中的城市要制定涉气产业发展规划，针对现有产业集中区域制定专项整治提升方案，依法淘汰关停一批、搬迁入园一批、就地改造一批、做优做强一批。</w:t>
                  </w:r>
                </w:p>
              </w:tc>
              <w:tc>
                <w:tcPr>
                  <w:tcW w:w="1869" w:type="pct"/>
                  <w:vAlign w:val="center"/>
                </w:tcPr>
                <w:p w14:paraId="41A10527">
                  <w:pPr>
                    <w:adjustRightInd w:val="0"/>
                    <w:jc w:val="center"/>
                    <w:rPr>
                      <w:color w:val="auto"/>
                    </w:rPr>
                  </w:pPr>
                  <w:r>
                    <w:rPr>
                      <w:color w:val="auto"/>
                      <w:kern w:val="0"/>
                      <w:szCs w:val="21"/>
                    </w:rPr>
                    <w:t>项目符合国土空间规划、环境分区管控要求，同时取得杞麓湖管理局及乡镇的选址意见，同意该项目建设，因此该项目符合准入要求</w:t>
                  </w:r>
                  <w:r>
                    <w:rPr>
                      <w:rFonts w:hint="eastAsia"/>
                      <w:color w:val="auto"/>
                      <w:kern w:val="0"/>
                      <w:szCs w:val="21"/>
                    </w:rPr>
                    <w:t>。</w:t>
                  </w:r>
                </w:p>
              </w:tc>
              <w:tc>
                <w:tcPr>
                  <w:tcW w:w="657" w:type="pct"/>
                  <w:vAlign w:val="center"/>
                </w:tcPr>
                <w:p w14:paraId="594F88B3">
                  <w:pPr>
                    <w:adjustRightInd w:val="0"/>
                    <w:jc w:val="center"/>
                    <w:rPr>
                      <w:rFonts w:hAnsi="Calibri"/>
                      <w:color w:val="auto"/>
                      <w:szCs w:val="21"/>
                    </w:rPr>
                  </w:pPr>
                  <w:r>
                    <w:rPr>
                      <w:rFonts w:hint="eastAsia" w:hAnsi="Calibri"/>
                      <w:color w:val="auto"/>
                      <w:szCs w:val="21"/>
                    </w:rPr>
                    <w:t>符合</w:t>
                  </w:r>
                </w:p>
              </w:tc>
            </w:tr>
            <w:tr w14:paraId="7BE59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3" w:type="pct"/>
                  <w:vAlign w:val="center"/>
                </w:tcPr>
                <w:p w14:paraId="2E605323">
                  <w:pPr>
                    <w:adjustRightInd w:val="0"/>
                    <w:jc w:val="left"/>
                    <w:rPr>
                      <w:rFonts w:hAnsi="Calibri"/>
                      <w:color w:val="auto"/>
                      <w:szCs w:val="21"/>
                    </w:rPr>
                  </w:pPr>
                  <w:r>
                    <w:rPr>
                      <w:rFonts w:hint="eastAsia" w:hAnsi="Calibri"/>
                      <w:color w:val="auto"/>
                      <w:szCs w:val="21"/>
                    </w:rPr>
                    <w:t>（四）优化含VOCs原辅材料和产品结构。严格控制生产和使用高VOCs含量涂料、油墨、胶粘剂、清洗剂等建设项目，加大工业涂装、包装印刷和电子行业低（无）VOCs含量原辅材料替代力度。严格执行VOCs含量限值标准，室外构筑物防护和城市道路交通标志推广使用低（无）VOCs含量涂料。</w:t>
                  </w:r>
                </w:p>
              </w:tc>
              <w:tc>
                <w:tcPr>
                  <w:tcW w:w="1869" w:type="pct"/>
                  <w:vAlign w:val="center"/>
                </w:tcPr>
                <w:p w14:paraId="40622A0D">
                  <w:pPr>
                    <w:adjustRightInd w:val="0"/>
                    <w:jc w:val="center"/>
                    <w:rPr>
                      <w:color w:val="auto"/>
                    </w:rPr>
                  </w:pPr>
                  <w:r>
                    <w:rPr>
                      <w:rFonts w:hint="eastAsia"/>
                      <w:color w:val="auto"/>
                    </w:rPr>
                    <w:t>本项目不涉及。</w:t>
                  </w:r>
                </w:p>
              </w:tc>
              <w:tc>
                <w:tcPr>
                  <w:tcW w:w="657" w:type="pct"/>
                  <w:vAlign w:val="center"/>
                </w:tcPr>
                <w:p w14:paraId="10F40161">
                  <w:pPr>
                    <w:adjustRightInd w:val="0"/>
                    <w:jc w:val="center"/>
                    <w:rPr>
                      <w:rFonts w:hAnsi="Calibri"/>
                      <w:color w:val="auto"/>
                      <w:szCs w:val="21"/>
                    </w:rPr>
                  </w:pPr>
                  <w:r>
                    <w:rPr>
                      <w:rFonts w:hint="eastAsia" w:hAnsi="Calibri"/>
                      <w:color w:val="auto"/>
                      <w:szCs w:val="21"/>
                    </w:rPr>
                    <w:t>/</w:t>
                  </w:r>
                </w:p>
              </w:tc>
            </w:tr>
            <w:tr w14:paraId="67D79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3" w:type="pct"/>
                  <w:vAlign w:val="center"/>
                </w:tcPr>
                <w:p w14:paraId="313B7F2E">
                  <w:pPr>
                    <w:adjustRightInd w:val="0"/>
                    <w:jc w:val="left"/>
                    <w:rPr>
                      <w:rFonts w:hAnsi="Calibri"/>
                      <w:color w:val="auto"/>
                      <w:szCs w:val="21"/>
                    </w:rPr>
                  </w:pPr>
                  <w:bookmarkStart w:id="38" w:name="_Hlk218073401"/>
                  <w:r>
                    <w:rPr>
                      <w:rFonts w:hint="eastAsia" w:hAnsi="Calibri"/>
                      <w:color w:val="auto"/>
                      <w:szCs w:val="21"/>
                    </w:rPr>
                    <w:t>（五）推动绿色环保产业健康发展。支持培育一批低（无）VOCs含量原辅材料生产和使用、VOCs污染治理、超低排放、环境和大气成分监测等领域龙头企业。多措并举治理环保领域低价低质中标乱象，营造公平竞争环境，推动产业健康有序发展。</w:t>
                  </w:r>
                </w:p>
              </w:tc>
              <w:tc>
                <w:tcPr>
                  <w:tcW w:w="1869" w:type="pct"/>
                  <w:vAlign w:val="center"/>
                </w:tcPr>
                <w:p w14:paraId="528AE0CD">
                  <w:pPr>
                    <w:adjustRightInd w:val="0"/>
                    <w:jc w:val="center"/>
                    <w:rPr>
                      <w:color w:val="auto"/>
                    </w:rPr>
                  </w:pPr>
                  <w:r>
                    <w:rPr>
                      <w:rFonts w:hint="eastAsia"/>
                      <w:color w:val="auto"/>
                    </w:rPr>
                    <w:t>本项目不涉及。</w:t>
                  </w:r>
                </w:p>
              </w:tc>
              <w:tc>
                <w:tcPr>
                  <w:tcW w:w="657" w:type="pct"/>
                  <w:vAlign w:val="center"/>
                </w:tcPr>
                <w:p w14:paraId="34DEF130">
                  <w:pPr>
                    <w:adjustRightInd w:val="0"/>
                    <w:jc w:val="center"/>
                    <w:rPr>
                      <w:rFonts w:hAnsi="Calibri"/>
                      <w:color w:val="auto"/>
                      <w:szCs w:val="21"/>
                    </w:rPr>
                  </w:pPr>
                  <w:r>
                    <w:rPr>
                      <w:rFonts w:hint="eastAsia" w:hAnsi="Calibri"/>
                      <w:color w:val="auto"/>
                      <w:szCs w:val="21"/>
                    </w:rPr>
                    <w:t>/</w:t>
                  </w:r>
                </w:p>
              </w:tc>
            </w:tr>
            <w:bookmarkEnd w:id="38"/>
            <w:tr w14:paraId="4E171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3" w:type="pct"/>
                  <w:vAlign w:val="center"/>
                </w:tcPr>
                <w:p w14:paraId="5555A953">
                  <w:pPr>
                    <w:adjustRightInd w:val="0"/>
                    <w:jc w:val="left"/>
                    <w:rPr>
                      <w:rFonts w:hAnsi="Calibri"/>
                      <w:color w:val="auto"/>
                      <w:szCs w:val="21"/>
                    </w:rPr>
                  </w:pPr>
                  <w:r>
                    <w:rPr>
                      <w:rFonts w:hint="eastAsia" w:hAnsi="Calibri"/>
                      <w:color w:val="auto"/>
                      <w:szCs w:val="21"/>
                    </w:rPr>
                    <w:t>三、优化能源结构</w:t>
                  </w:r>
                </w:p>
              </w:tc>
              <w:tc>
                <w:tcPr>
                  <w:tcW w:w="1869" w:type="pct"/>
                  <w:vAlign w:val="center"/>
                </w:tcPr>
                <w:p w14:paraId="524DC41F">
                  <w:pPr>
                    <w:adjustRightInd w:val="0"/>
                    <w:jc w:val="center"/>
                    <w:rPr>
                      <w:color w:val="auto"/>
                    </w:rPr>
                  </w:pPr>
                  <w:r>
                    <w:rPr>
                      <w:rFonts w:hint="eastAsia"/>
                      <w:color w:val="auto"/>
                    </w:rPr>
                    <w:t>/</w:t>
                  </w:r>
                </w:p>
              </w:tc>
              <w:tc>
                <w:tcPr>
                  <w:tcW w:w="657" w:type="pct"/>
                  <w:vAlign w:val="center"/>
                </w:tcPr>
                <w:p w14:paraId="0C69B37B">
                  <w:pPr>
                    <w:adjustRightInd w:val="0"/>
                    <w:jc w:val="center"/>
                    <w:rPr>
                      <w:rFonts w:hAnsi="Calibri"/>
                      <w:color w:val="auto"/>
                      <w:szCs w:val="21"/>
                    </w:rPr>
                  </w:pPr>
                  <w:r>
                    <w:rPr>
                      <w:rFonts w:hint="eastAsia" w:hAnsi="Calibri"/>
                      <w:color w:val="auto"/>
                      <w:szCs w:val="21"/>
                    </w:rPr>
                    <w:t>/</w:t>
                  </w:r>
                </w:p>
              </w:tc>
            </w:tr>
            <w:tr w14:paraId="3A692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3" w:type="pct"/>
                  <w:vAlign w:val="center"/>
                </w:tcPr>
                <w:p w14:paraId="67D26FBD">
                  <w:pPr>
                    <w:adjustRightInd w:val="0"/>
                    <w:jc w:val="left"/>
                    <w:rPr>
                      <w:rFonts w:hAnsi="Calibri"/>
                      <w:color w:val="auto"/>
                      <w:szCs w:val="21"/>
                    </w:rPr>
                  </w:pPr>
                  <w:r>
                    <w:rPr>
                      <w:rFonts w:hint="eastAsia" w:hAnsi="Calibri"/>
                      <w:color w:val="auto"/>
                      <w:szCs w:val="21"/>
                    </w:rPr>
                    <w:t>（六）大力发展新能源和清洁能源。到2025年，非化石能源消费比重较2020年提高4个百分点以上，电能占终端能源消费比重达30%以上。持续增加天然气生产供应，新增天然气优先保障居民生活和清洁取暖需求。</w:t>
                  </w:r>
                </w:p>
              </w:tc>
              <w:tc>
                <w:tcPr>
                  <w:tcW w:w="1869" w:type="pct"/>
                  <w:vAlign w:val="center"/>
                </w:tcPr>
                <w:p w14:paraId="0F159C20">
                  <w:pPr>
                    <w:adjustRightInd w:val="0"/>
                    <w:jc w:val="center"/>
                    <w:rPr>
                      <w:color w:val="auto"/>
                    </w:rPr>
                  </w:pPr>
                  <w:r>
                    <w:rPr>
                      <w:rFonts w:hint="eastAsia"/>
                      <w:color w:val="auto"/>
                      <w:szCs w:val="21"/>
                    </w:rPr>
                    <w:t>本</w:t>
                  </w:r>
                  <w:r>
                    <w:rPr>
                      <w:rFonts w:hint="eastAsia"/>
                      <w:color w:val="auto"/>
                      <w:kern w:val="0"/>
                      <w:szCs w:val="21"/>
                    </w:rPr>
                    <w:t>项目所消耗资源为电能，根据业主提供资料，项目年用电量为400万</w:t>
                  </w:r>
                  <w:r>
                    <w:rPr>
                      <w:color w:val="auto"/>
                      <w:kern w:val="0"/>
                      <w:szCs w:val="21"/>
                    </w:rPr>
                    <w:t>kW·h</w:t>
                  </w:r>
                  <w:r>
                    <w:rPr>
                      <w:rFonts w:hint="eastAsia"/>
                      <w:color w:val="auto"/>
                      <w:kern w:val="0"/>
                      <w:szCs w:val="21"/>
                    </w:rPr>
                    <w:t>。</w:t>
                  </w:r>
                </w:p>
              </w:tc>
              <w:tc>
                <w:tcPr>
                  <w:tcW w:w="657" w:type="pct"/>
                  <w:vAlign w:val="center"/>
                </w:tcPr>
                <w:p w14:paraId="4B1331C5">
                  <w:pPr>
                    <w:adjustRightInd w:val="0"/>
                    <w:jc w:val="center"/>
                    <w:rPr>
                      <w:rFonts w:hAnsi="Calibri"/>
                      <w:color w:val="auto"/>
                      <w:szCs w:val="21"/>
                    </w:rPr>
                  </w:pPr>
                  <w:r>
                    <w:rPr>
                      <w:rFonts w:hint="eastAsia" w:hAnsi="Calibri"/>
                      <w:color w:val="auto"/>
                      <w:szCs w:val="21"/>
                    </w:rPr>
                    <w:t>符合</w:t>
                  </w:r>
                </w:p>
              </w:tc>
            </w:tr>
            <w:tr w14:paraId="02FE1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3" w:type="pct"/>
                  <w:vAlign w:val="center"/>
                </w:tcPr>
                <w:p w14:paraId="6F94668E">
                  <w:pPr>
                    <w:adjustRightInd w:val="0"/>
                    <w:jc w:val="left"/>
                    <w:rPr>
                      <w:rFonts w:hAnsi="Calibri"/>
                      <w:color w:val="auto"/>
                      <w:szCs w:val="21"/>
                    </w:rPr>
                  </w:pPr>
                  <w:r>
                    <w:rPr>
                      <w:rFonts w:hint="eastAsia" w:hAnsi="Calibri"/>
                      <w:color w:val="auto"/>
                      <w:szCs w:val="21"/>
                    </w:rPr>
                    <w:t>（七）严格合理控制煤炭消费增长。有序推进煤炭消费减量替代。支持烟叶烘烤等农特产品加工燃煤设施实施清洁能源改造。对支撑电力稳定供应、电网安全运行、清洁能源大规模并网消纳的煤电项目及其用煤量应予以合理保障。</w:t>
                  </w:r>
                </w:p>
              </w:tc>
              <w:tc>
                <w:tcPr>
                  <w:tcW w:w="1869" w:type="pct"/>
                  <w:vAlign w:val="center"/>
                </w:tcPr>
                <w:p w14:paraId="2B2F4528">
                  <w:pPr>
                    <w:adjustRightInd w:val="0"/>
                    <w:jc w:val="center"/>
                    <w:rPr>
                      <w:color w:val="auto"/>
                    </w:rPr>
                  </w:pPr>
                  <w:r>
                    <w:rPr>
                      <w:rFonts w:hint="eastAsia"/>
                      <w:color w:val="auto"/>
                    </w:rPr>
                    <w:t>本项目不涉及。</w:t>
                  </w:r>
                </w:p>
              </w:tc>
              <w:tc>
                <w:tcPr>
                  <w:tcW w:w="657" w:type="pct"/>
                  <w:vAlign w:val="center"/>
                </w:tcPr>
                <w:p w14:paraId="4F7CD4D7">
                  <w:pPr>
                    <w:adjustRightInd w:val="0"/>
                    <w:jc w:val="center"/>
                    <w:rPr>
                      <w:rFonts w:hAnsi="Calibri"/>
                      <w:color w:val="auto"/>
                      <w:szCs w:val="21"/>
                    </w:rPr>
                  </w:pPr>
                  <w:r>
                    <w:rPr>
                      <w:rFonts w:hint="eastAsia" w:hAnsi="Calibri"/>
                      <w:color w:val="auto"/>
                      <w:szCs w:val="21"/>
                    </w:rPr>
                    <w:t>/</w:t>
                  </w:r>
                </w:p>
              </w:tc>
            </w:tr>
            <w:tr w14:paraId="72F2A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3" w:type="pct"/>
                  <w:vAlign w:val="center"/>
                </w:tcPr>
                <w:p w14:paraId="68B6956B">
                  <w:pPr>
                    <w:adjustRightInd w:val="0"/>
                    <w:jc w:val="left"/>
                    <w:rPr>
                      <w:rFonts w:hAnsi="Calibri"/>
                      <w:color w:val="auto"/>
                      <w:szCs w:val="21"/>
                    </w:rPr>
                  </w:pPr>
                  <w:r>
                    <w:rPr>
                      <w:rFonts w:hint="eastAsia" w:hAnsi="Calibri"/>
                      <w:color w:val="auto"/>
                      <w:szCs w:val="21"/>
                    </w:rPr>
                    <w:t>（八）开展燃煤锅炉关停整合。县级及以上城市建成区原则上不再新建35蒸吨/小时及以下燃煤锅炉。依托电厂、大型工业企业开展远距离供热示范，淘汰管网覆盖范围内的燃煤锅炉和散煤。到2025年，PM2.5未达标城市基本淘汰10蒸吨/小时及以下燃煤锅炉。</w:t>
                  </w:r>
                </w:p>
              </w:tc>
              <w:tc>
                <w:tcPr>
                  <w:tcW w:w="1869" w:type="pct"/>
                  <w:vAlign w:val="center"/>
                </w:tcPr>
                <w:p w14:paraId="3F8F2AE6">
                  <w:pPr>
                    <w:adjustRightInd w:val="0"/>
                    <w:jc w:val="center"/>
                    <w:rPr>
                      <w:color w:val="auto"/>
                    </w:rPr>
                  </w:pPr>
                  <w:r>
                    <w:rPr>
                      <w:rFonts w:hint="eastAsia"/>
                      <w:color w:val="auto"/>
                    </w:rPr>
                    <w:t>本项目不涉及。</w:t>
                  </w:r>
                </w:p>
              </w:tc>
              <w:tc>
                <w:tcPr>
                  <w:tcW w:w="657" w:type="pct"/>
                  <w:vAlign w:val="center"/>
                </w:tcPr>
                <w:p w14:paraId="726DA227">
                  <w:pPr>
                    <w:adjustRightInd w:val="0"/>
                    <w:jc w:val="center"/>
                    <w:rPr>
                      <w:rFonts w:hAnsi="Calibri"/>
                      <w:color w:val="auto"/>
                      <w:szCs w:val="21"/>
                    </w:rPr>
                  </w:pPr>
                  <w:r>
                    <w:rPr>
                      <w:rFonts w:hint="eastAsia" w:hAnsi="Calibri"/>
                      <w:color w:val="auto"/>
                      <w:szCs w:val="21"/>
                    </w:rPr>
                    <w:t>/</w:t>
                  </w:r>
                </w:p>
              </w:tc>
            </w:tr>
            <w:tr w14:paraId="33662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3" w:type="pct"/>
                  <w:vAlign w:val="center"/>
                </w:tcPr>
                <w:p w14:paraId="05585656">
                  <w:pPr>
                    <w:adjustRightInd w:val="0"/>
                    <w:jc w:val="left"/>
                    <w:rPr>
                      <w:rFonts w:hAnsi="Calibri"/>
                      <w:color w:val="auto"/>
                      <w:szCs w:val="21"/>
                    </w:rPr>
                  </w:pPr>
                  <w:r>
                    <w:rPr>
                      <w:rFonts w:hint="eastAsia" w:hAnsi="Calibri"/>
                      <w:color w:val="auto"/>
                      <w:szCs w:val="21"/>
                    </w:rPr>
                    <w:t>（九）推动工业炉窑清洁能源替代。有序推进以电代煤，积极稳妥推进以气代煤。对以煤、石油焦、渣油、重油等为燃料的工业炉窑，加快使用工业余热、电能、天然气等清洁能源进行替代。</w:t>
                  </w:r>
                </w:p>
              </w:tc>
              <w:tc>
                <w:tcPr>
                  <w:tcW w:w="1869" w:type="pct"/>
                  <w:vAlign w:val="center"/>
                </w:tcPr>
                <w:p w14:paraId="28F4E3B5">
                  <w:pPr>
                    <w:adjustRightInd w:val="0"/>
                    <w:jc w:val="center"/>
                    <w:rPr>
                      <w:color w:val="auto"/>
                    </w:rPr>
                  </w:pPr>
                  <w:r>
                    <w:rPr>
                      <w:rFonts w:hint="eastAsia"/>
                      <w:color w:val="auto"/>
                    </w:rPr>
                    <w:t>本项目不涉及。</w:t>
                  </w:r>
                </w:p>
              </w:tc>
              <w:tc>
                <w:tcPr>
                  <w:tcW w:w="657" w:type="pct"/>
                  <w:vAlign w:val="center"/>
                </w:tcPr>
                <w:p w14:paraId="55D04EA6">
                  <w:pPr>
                    <w:adjustRightInd w:val="0"/>
                    <w:jc w:val="center"/>
                    <w:rPr>
                      <w:rFonts w:hAnsi="Calibri"/>
                      <w:color w:val="auto"/>
                      <w:szCs w:val="21"/>
                    </w:rPr>
                  </w:pPr>
                  <w:r>
                    <w:rPr>
                      <w:rFonts w:hint="eastAsia" w:hAnsi="Calibri"/>
                      <w:color w:val="auto"/>
                      <w:szCs w:val="21"/>
                    </w:rPr>
                    <w:t>符合</w:t>
                  </w:r>
                </w:p>
              </w:tc>
            </w:tr>
          </w:tbl>
          <w:p w14:paraId="613954B5">
            <w:pPr>
              <w:autoSpaceDE w:val="0"/>
              <w:autoSpaceDN w:val="0"/>
              <w:adjustRightInd w:val="0"/>
              <w:snapToGrid w:val="0"/>
              <w:spacing w:line="360" w:lineRule="auto"/>
              <w:ind w:firstLine="480" w:firstLineChars="200"/>
              <w:jc w:val="left"/>
              <w:rPr>
                <w:color w:val="auto"/>
                <w:kern w:val="0"/>
                <w:sz w:val="24"/>
              </w:rPr>
            </w:pPr>
            <w:r>
              <w:rPr>
                <w:rFonts w:hint="eastAsia"/>
                <w:color w:val="auto"/>
                <w:kern w:val="0"/>
                <w:sz w:val="24"/>
              </w:rPr>
              <w:t>综上，本项目建设符合《云南省空气质量持续改善行动实施方案》（云政发〔2024〕14号）中的相关要求。</w:t>
            </w:r>
          </w:p>
          <w:p w14:paraId="349B5140">
            <w:pPr>
              <w:autoSpaceDE w:val="0"/>
              <w:autoSpaceDN w:val="0"/>
              <w:adjustRightInd w:val="0"/>
              <w:snapToGrid w:val="0"/>
              <w:spacing w:line="360" w:lineRule="auto"/>
              <w:ind w:firstLine="482" w:firstLineChars="200"/>
              <w:jc w:val="left"/>
              <w:rPr>
                <w:b/>
                <w:bCs/>
                <w:color w:val="auto"/>
                <w:kern w:val="0"/>
                <w:sz w:val="24"/>
              </w:rPr>
            </w:pPr>
            <w:bookmarkStart w:id="39" w:name="OLE_LINK47"/>
            <w:r>
              <w:rPr>
                <w:rFonts w:hint="eastAsia"/>
                <w:b/>
                <w:bCs/>
                <w:color w:val="auto"/>
                <w:kern w:val="0"/>
                <w:sz w:val="24"/>
              </w:rPr>
              <w:t>10、与《固体废物综合治理行动计划》的符合性分析</w:t>
            </w:r>
          </w:p>
          <w:p w14:paraId="4588D3E6">
            <w:pPr>
              <w:autoSpaceDE w:val="0"/>
              <w:autoSpaceDN w:val="0"/>
              <w:adjustRightInd w:val="0"/>
              <w:snapToGrid w:val="0"/>
              <w:spacing w:line="360" w:lineRule="auto"/>
              <w:ind w:firstLine="480" w:firstLineChars="200"/>
              <w:jc w:val="left"/>
              <w:rPr>
                <w:color w:val="auto"/>
                <w:kern w:val="0"/>
                <w:sz w:val="24"/>
              </w:rPr>
            </w:pPr>
            <w:r>
              <w:rPr>
                <w:rFonts w:hint="eastAsia"/>
                <w:color w:val="auto"/>
                <w:kern w:val="0"/>
                <w:sz w:val="24"/>
              </w:rPr>
              <w:t>2026年1月5日，国务院印发了《固体废物综合治理行动计划》（国发〔2025〕14号）的通知，项目与其符合性分析详见下表。</w:t>
            </w:r>
          </w:p>
          <w:p w14:paraId="2D35FB9E">
            <w:pPr>
              <w:autoSpaceDE w:val="0"/>
              <w:autoSpaceDN w:val="0"/>
              <w:adjustRightInd w:val="0"/>
              <w:snapToGrid w:val="0"/>
              <w:spacing w:line="360" w:lineRule="auto"/>
              <w:ind w:firstLine="482" w:firstLineChars="200"/>
              <w:jc w:val="center"/>
              <w:rPr>
                <w:b/>
                <w:bCs/>
                <w:color w:val="auto"/>
                <w:kern w:val="0"/>
                <w:sz w:val="24"/>
              </w:rPr>
            </w:pPr>
            <w:r>
              <w:rPr>
                <w:b/>
                <w:bCs/>
                <w:color w:val="auto"/>
                <w:kern w:val="0"/>
                <w:sz w:val="24"/>
              </w:rPr>
              <w:t>表1-1</w:t>
            </w:r>
            <w:r>
              <w:rPr>
                <w:rFonts w:hint="eastAsia"/>
                <w:b/>
                <w:bCs/>
                <w:color w:val="auto"/>
                <w:kern w:val="0"/>
                <w:sz w:val="24"/>
              </w:rPr>
              <w:t>2</w:t>
            </w:r>
            <w:r>
              <w:rPr>
                <w:b/>
                <w:bCs/>
                <w:color w:val="auto"/>
                <w:kern w:val="0"/>
                <w:sz w:val="24"/>
              </w:rPr>
              <w:t xml:space="preserve">  项目与《固体废物综合治理行动计划》的符合性分析</w:t>
            </w:r>
          </w:p>
          <w:tbl>
            <w:tblPr>
              <w:tblStyle w:val="32"/>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352"/>
              <w:gridCol w:w="2547"/>
              <w:gridCol w:w="868"/>
            </w:tblGrid>
            <w:tr w14:paraId="1478E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052" w:type="pct"/>
                  <w:tcBorders>
                    <w:top w:val="single" w:color="auto" w:sz="4" w:space="0"/>
                    <w:bottom w:val="single" w:color="auto" w:sz="4" w:space="0"/>
                    <w:right w:val="single" w:color="auto" w:sz="4" w:space="0"/>
                  </w:tcBorders>
                  <w:vAlign w:val="center"/>
                </w:tcPr>
                <w:p w14:paraId="0B02A6CE">
                  <w:pPr>
                    <w:adjustRightInd w:val="0"/>
                    <w:snapToGrid w:val="0"/>
                    <w:jc w:val="center"/>
                    <w:rPr>
                      <w:color w:val="auto"/>
                      <w:szCs w:val="21"/>
                    </w:rPr>
                  </w:pPr>
                  <w:r>
                    <w:rPr>
                      <w:color w:val="auto"/>
                      <w:szCs w:val="21"/>
                    </w:rPr>
                    <w:t>《行动计划》要求</w:t>
                  </w:r>
                </w:p>
              </w:tc>
              <w:tc>
                <w:tcPr>
                  <w:tcW w:w="1452" w:type="pct"/>
                  <w:tcBorders>
                    <w:top w:val="single" w:color="auto" w:sz="4" w:space="0"/>
                    <w:bottom w:val="single" w:color="auto" w:sz="4" w:space="0"/>
                    <w:right w:val="single" w:color="auto" w:sz="4" w:space="0"/>
                  </w:tcBorders>
                  <w:vAlign w:val="center"/>
                </w:tcPr>
                <w:p w14:paraId="7FC5EE78">
                  <w:pPr>
                    <w:adjustRightInd w:val="0"/>
                    <w:snapToGrid w:val="0"/>
                    <w:rPr>
                      <w:color w:val="auto"/>
                      <w:szCs w:val="21"/>
                    </w:rPr>
                  </w:pPr>
                  <w:r>
                    <w:rPr>
                      <w:color w:val="auto"/>
                      <w:szCs w:val="21"/>
                    </w:rPr>
                    <w:t>项目建设情况</w:t>
                  </w:r>
                </w:p>
              </w:tc>
              <w:tc>
                <w:tcPr>
                  <w:tcW w:w="495" w:type="pct"/>
                  <w:tcBorders>
                    <w:top w:val="single" w:color="auto" w:sz="4" w:space="0"/>
                    <w:bottom w:val="single" w:color="auto" w:sz="4" w:space="0"/>
                    <w:right w:val="single" w:color="auto" w:sz="4" w:space="0"/>
                  </w:tcBorders>
                  <w:vAlign w:val="center"/>
                </w:tcPr>
                <w:p w14:paraId="675A764A">
                  <w:pPr>
                    <w:adjustRightInd w:val="0"/>
                    <w:snapToGrid w:val="0"/>
                    <w:jc w:val="center"/>
                    <w:rPr>
                      <w:color w:val="auto"/>
                      <w:szCs w:val="21"/>
                    </w:rPr>
                  </w:pPr>
                  <w:r>
                    <w:rPr>
                      <w:color w:val="auto"/>
                      <w:szCs w:val="21"/>
                    </w:rPr>
                    <w:t>符合性</w:t>
                  </w:r>
                </w:p>
              </w:tc>
            </w:tr>
            <w:tr w14:paraId="1AEC8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052" w:type="pct"/>
                  <w:tcBorders>
                    <w:top w:val="single" w:color="auto" w:sz="4" w:space="0"/>
                    <w:bottom w:val="single" w:color="auto" w:sz="4" w:space="0"/>
                    <w:right w:val="single" w:color="auto" w:sz="4" w:space="0"/>
                  </w:tcBorders>
                  <w:vAlign w:val="center"/>
                </w:tcPr>
                <w:p w14:paraId="7D93335A">
                  <w:pPr>
                    <w:adjustRightInd w:val="0"/>
                    <w:snapToGrid w:val="0"/>
                    <w:rPr>
                      <w:color w:val="auto"/>
                      <w:szCs w:val="21"/>
                    </w:rPr>
                  </w:pPr>
                  <w:r>
                    <w:rPr>
                      <w:rFonts w:hint="eastAsia"/>
                      <w:color w:val="auto"/>
                      <w:szCs w:val="21"/>
                    </w:rPr>
                    <w:t>一、</w:t>
                  </w:r>
                  <w:r>
                    <w:rPr>
                      <w:color w:val="auto"/>
                      <w:szCs w:val="21"/>
                    </w:rPr>
                    <w:t>推动源头管控和减量。加强工业固体废物源头减量。严格落实产业、环保、节能等政策，依法依规淘汰落后产能。强化工业园区固体废物源头管控。大力推行绿色设计，支持企业改进生产工艺和装备，强化工业生产精细化管控，降低固体废物产生强度。推动重有色金属矿采选一体化建设，促进尾矿就近充填回填，原则上不再批准建设无自建矿山、无配套尾矿利用处置设施的选矿项目。推动重点行业固体废物产生量与综合消纳量逐步实现动态平衡。</w:t>
                  </w:r>
                </w:p>
              </w:tc>
              <w:tc>
                <w:tcPr>
                  <w:tcW w:w="1452" w:type="pct"/>
                  <w:tcBorders>
                    <w:top w:val="single" w:color="auto" w:sz="4" w:space="0"/>
                    <w:bottom w:val="single" w:color="auto" w:sz="4" w:space="0"/>
                    <w:right w:val="single" w:color="auto" w:sz="4" w:space="0"/>
                  </w:tcBorders>
                  <w:vAlign w:val="center"/>
                </w:tcPr>
                <w:p w14:paraId="13260AA5">
                  <w:pPr>
                    <w:adjustRightInd w:val="0"/>
                    <w:snapToGrid w:val="0"/>
                    <w:rPr>
                      <w:color w:val="auto"/>
                      <w:szCs w:val="21"/>
                    </w:rPr>
                  </w:pPr>
                  <w:r>
                    <w:rPr>
                      <w:color w:val="auto"/>
                      <w:szCs w:val="21"/>
                    </w:rPr>
                    <w:t>项目运营后建立健全管理制度，从源头上减少固体废物的产生量，运营期产生的固体均能妥善处置，不排放。</w:t>
                  </w:r>
                </w:p>
              </w:tc>
              <w:tc>
                <w:tcPr>
                  <w:tcW w:w="495" w:type="pct"/>
                  <w:tcBorders>
                    <w:top w:val="single" w:color="auto" w:sz="4" w:space="0"/>
                    <w:bottom w:val="single" w:color="auto" w:sz="4" w:space="0"/>
                    <w:right w:val="single" w:color="auto" w:sz="4" w:space="0"/>
                  </w:tcBorders>
                  <w:vAlign w:val="center"/>
                </w:tcPr>
                <w:p w14:paraId="357314AA">
                  <w:pPr>
                    <w:adjustRightInd w:val="0"/>
                    <w:snapToGrid w:val="0"/>
                    <w:jc w:val="center"/>
                    <w:rPr>
                      <w:color w:val="auto"/>
                      <w:szCs w:val="21"/>
                    </w:rPr>
                  </w:pPr>
                  <w:r>
                    <w:rPr>
                      <w:color w:val="auto"/>
                      <w:szCs w:val="21"/>
                    </w:rPr>
                    <w:t>符合</w:t>
                  </w:r>
                </w:p>
              </w:tc>
            </w:tr>
            <w:tr w14:paraId="49E9D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052" w:type="pct"/>
                  <w:tcBorders>
                    <w:top w:val="single" w:color="auto" w:sz="4" w:space="0"/>
                    <w:bottom w:val="single" w:color="auto" w:sz="4" w:space="0"/>
                    <w:right w:val="single" w:color="auto" w:sz="4" w:space="0"/>
                  </w:tcBorders>
                  <w:vAlign w:val="center"/>
                </w:tcPr>
                <w:p w14:paraId="7EA39B3A">
                  <w:pPr>
                    <w:adjustRightInd w:val="0"/>
                    <w:snapToGrid w:val="0"/>
                    <w:rPr>
                      <w:color w:val="auto"/>
                      <w:szCs w:val="21"/>
                    </w:rPr>
                  </w:pPr>
                  <w:r>
                    <w:rPr>
                      <w:rFonts w:hint="eastAsia"/>
                      <w:color w:val="auto"/>
                      <w:szCs w:val="21"/>
                    </w:rPr>
                    <w:t>二、</w:t>
                  </w:r>
                  <w:r>
                    <w:rPr>
                      <w:color w:val="auto"/>
                      <w:szCs w:val="21"/>
                    </w:rPr>
                    <w:t>规范收集转运和贮存</w:t>
                  </w:r>
                  <w:r>
                    <w:rPr>
                      <w:rFonts w:hint="eastAsia"/>
                      <w:color w:val="auto"/>
                      <w:szCs w:val="21"/>
                    </w:rPr>
                    <w:t>。</w:t>
                  </w:r>
                  <w:r>
                    <w:rPr>
                      <w:color w:val="auto"/>
                      <w:szCs w:val="21"/>
                    </w:rPr>
                    <w:t>加强工业固体废物规范化管理。完善工业固体废物管理台账制度，强化全链条跟踪管控。推行工业固体废物分类收集贮存，防范混堆混排。禁止向生活垃圾收集设施中投放工业固体废物。严格执行工业固体废物、危险废物跨省转移审批制度。规范各类企业危险废物收集管理。</w:t>
                  </w:r>
                </w:p>
              </w:tc>
              <w:tc>
                <w:tcPr>
                  <w:tcW w:w="1452" w:type="pct"/>
                  <w:tcBorders>
                    <w:top w:val="single" w:color="auto" w:sz="4" w:space="0"/>
                    <w:bottom w:val="single" w:color="auto" w:sz="4" w:space="0"/>
                    <w:right w:val="single" w:color="auto" w:sz="4" w:space="0"/>
                  </w:tcBorders>
                  <w:vAlign w:val="center"/>
                </w:tcPr>
                <w:p w14:paraId="65870EE2">
                  <w:pPr>
                    <w:adjustRightInd w:val="0"/>
                    <w:snapToGrid w:val="0"/>
                    <w:rPr>
                      <w:color w:val="auto"/>
                      <w:szCs w:val="21"/>
                    </w:rPr>
                  </w:pPr>
                  <w:r>
                    <w:rPr>
                      <w:color w:val="auto"/>
                      <w:szCs w:val="21"/>
                    </w:rPr>
                    <w:t>项目运营后按要求建立固体废物管理台账制度，做好固体废物收集、转运、产生、贮存、综合利用等环节的台账记录。项目收集和产生的固体废物均分类分区堆存，不混堆。</w:t>
                  </w:r>
                </w:p>
              </w:tc>
              <w:tc>
                <w:tcPr>
                  <w:tcW w:w="495" w:type="pct"/>
                  <w:tcBorders>
                    <w:top w:val="single" w:color="auto" w:sz="4" w:space="0"/>
                    <w:bottom w:val="single" w:color="auto" w:sz="4" w:space="0"/>
                    <w:right w:val="single" w:color="auto" w:sz="4" w:space="0"/>
                  </w:tcBorders>
                  <w:vAlign w:val="center"/>
                </w:tcPr>
                <w:p w14:paraId="0952D609">
                  <w:pPr>
                    <w:adjustRightInd w:val="0"/>
                    <w:snapToGrid w:val="0"/>
                    <w:jc w:val="center"/>
                    <w:rPr>
                      <w:color w:val="auto"/>
                      <w:szCs w:val="21"/>
                    </w:rPr>
                  </w:pPr>
                  <w:r>
                    <w:rPr>
                      <w:rFonts w:hint="eastAsia"/>
                      <w:color w:val="auto"/>
                      <w:szCs w:val="21"/>
                    </w:rPr>
                    <w:t>符合</w:t>
                  </w:r>
                </w:p>
              </w:tc>
            </w:tr>
            <w:tr w14:paraId="0433D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052" w:type="pct"/>
                  <w:tcBorders>
                    <w:top w:val="single" w:color="auto" w:sz="4" w:space="0"/>
                    <w:bottom w:val="single" w:color="auto" w:sz="4" w:space="0"/>
                    <w:right w:val="single" w:color="auto" w:sz="4" w:space="0"/>
                  </w:tcBorders>
                  <w:vAlign w:val="center"/>
                </w:tcPr>
                <w:p w14:paraId="2B66D84A">
                  <w:pPr>
                    <w:adjustRightInd w:val="0"/>
                    <w:snapToGrid w:val="0"/>
                    <w:rPr>
                      <w:color w:val="auto"/>
                      <w:szCs w:val="21"/>
                    </w:rPr>
                  </w:pPr>
                  <w:r>
                    <w:rPr>
                      <w:color w:val="auto"/>
                      <w:szCs w:val="21"/>
                    </w:rPr>
                    <w:t>四、提升资源化利用水平加强大宗固体废弃物综合利用。提升冶炼渣、尾矿、共伴生矿、赤泥、建筑垃圾综合利用能力，加强有价组分高效提取及整体利用，因地制宜推动煤矸石多元化利用。拓宽秸秆综合利用途径，提高秸秆还田科学化、规范化水平。推进畜禽养殖废弃物资源化利用。</w:t>
                  </w:r>
                </w:p>
              </w:tc>
              <w:tc>
                <w:tcPr>
                  <w:tcW w:w="1452" w:type="pct"/>
                  <w:tcBorders>
                    <w:top w:val="single" w:color="auto" w:sz="4" w:space="0"/>
                    <w:bottom w:val="single" w:color="auto" w:sz="4" w:space="0"/>
                    <w:right w:val="single" w:color="auto" w:sz="4" w:space="0"/>
                  </w:tcBorders>
                  <w:vAlign w:val="center"/>
                </w:tcPr>
                <w:p w14:paraId="23845F35">
                  <w:pPr>
                    <w:adjustRightInd w:val="0"/>
                    <w:snapToGrid w:val="0"/>
                    <w:rPr>
                      <w:color w:val="auto"/>
                      <w:szCs w:val="21"/>
                    </w:rPr>
                  </w:pPr>
                  <w:r>
                    <w:rPr>
                      <w:color w:val="auto"/>
                      <w:szCs w:val="21"/>
                    </w:rPr>
                    <w:t>项目固废遵循减量化、资源化、无害化的原则，处置率100%，不涉及冶炼渣、尾矿、共伴生矿、赤泥、建筑垃圾等综合利用的范围。</w:t>
                  </w:r>
                </w:p>
              </w:tc>
              <w:tc>
                <w:tcPr>
                  <w:tcW w:w="495" w:type="pct"/>
                  <w:tcBorders>
                    <w:top w:val="single" w:color="auto" w:sz="4" w:space="0"/>
                    <w:bottom w:val="single" w:color="auto" w:sz="4" w:space="0"/>
                    <w:right w:val="single" w:color="auto" w:sz="4" w:space="0"/>
                  </w:tcBorders>
                  <w:vAlign w:val="center"/>
                </w:tcPr>
                <w:p w14:paraId="2845434E">
                  <w:pPr>
                    <w:adjustRightInd w:val="0"/>
                    <w:snapToGrid w:val="0"/>
                    <w:jc w:val="center"/>
                    <w:rPr>
                      <w:color w:val="auto"/>
                      <w:szCs w:val="21"/>
                    </w:rPr>
                  </w:pPr>
                  <w:r>
                    <w:rPr>
                      <w:rFonts w:hint="eastAsia"/>
                      <w:color w:val="auto"/>
                      <w:szCs w:val="21"/>
                    </w:rPr>
                    <w:t>符合</w:t>
                  </w:r>
                </w:p>
              </w:tc>
            </w:tr>
          </w:tbl>
          <w:p w14:paraId="53330576">
            <w:pPr>
              <w:autoSpaceDE w:val="0"/>
              <w:autoSpaceDN w:val="0"/>
              <w:adjustRightInd w:val="0"/>
              <w:snapToGrid w:val="0"/>
              <w:spacing w:line="360" w:lineRule="auto"/>
              <w:ind w:firstLine="480" w:firstLineChars="200"/>
              <w:jc w:val="left"/>
              <w:rPr>
                <w:color w:val="auto"/>
                <w:kern w:val="0"/>
                <w:sz w:val="24"/>
              </w:rPr>
            </w:pPr>
            <w:r>
              <w:rPr>
                <w:rFonts w:hint="eastAsia"/>
                <w:color w:val="auto"/>
                <w:kern w:val="0"/>
                <w:sz w:val="24"/>
              </w:rPr>
              <w:t>综上分析，项目符合《国务院关于印发&lt;固体废物综合治理行动计划&gt;的通知》（国发〔2025〕14 号）中的相关内容。</w:t>
            </w:r>
          </w:p>
          <w:p w14:paraId="2D37B3EE">
            <w:pPr>
              <w:autoSpaceDE w:val="0"/>
              <w:autoSpaceDN w:val="0"/>
              <w:adjustRightInd w:val="0"/>
              <w:snapToGrid w:val="0"/>
              <w:spacing w:line="360" w:lineRule="auto"/>
              <w:ind w:firstLine="482" w:firstLineChars="200"/>
              <w:jc w:val="left"/>
              <w:rPr>
                <w:b/>
                <w:bCs/>
                <w:color w:val="auto"/>
                <w:kern w:val="0"/>
                <w:sz w:val="24"/>
              </w:rPr>
            </w:pPr>
            <w:r>
              <w:rPr>
                <w:rFonts w:hint="eastAsia"/>
                <w:b/>
                <w:bCs/>
                <w:color w:val="auto"/>
                <w:kern w:val="0"/>
                <w:sz w:val="24"/>
              </w:rPr>
              <w:t>11、与《云南省固体废物污染环境防治条例》</w:t>
            </w:r>
            <w:bookmarkStart w:id="40" w:name="OLE_LINK38"/>
            <w:r>
              <w:rPr>
                <w:rFonts w:hint="eastAsia"/>
                <w:b/>
                <w:bCs/>
                <w:color w:val="auto"/>
                <w:kern w:val="0"/>
                <w:sz w:val="24"/>
              </w:rPr>
              <w:t>（2023年3月1日起施行）</w:t>
            </w:r>
            <w:bookmarkEnd w:id="40"/>
            <w:r>
              <w:rPr>
                <w:b/>
                <w:bCs/>
                <w:color w:val="auto"/>
                <w:kern w:val="0"/>
                <w:sz w:val="24"/>
              </w:rPr>
              <w:t>符合性分析</w:t>
            </w:r>
          </w:p>
          <w:p w14:paraId="4CFE8575">
            <w:pPr>
              <w:autoSpaceDE w:val="0"/>
              <w:autoSpaceDN w:val="0"/>
              <w:adjustRightInd w:val="0"/>
              <w:snapToGrid w:val="0"/>
              <w:spacing w:line="360" w:lineRule="auto"/>
              <w:ind w:firstLine="482" w:firstLineChars="200"/>
              <w:jc w:val="center"/>
              <w:rPr>
                <w:b/>
                <w:bCs/>
                <w:color w:val="auto"/>
                <w:kern w:val="0"/>
                <w:sz w:val="24"/>
              </w:rPr>
            </w:pPr>
            <w:r>
              <w:rPr>
                <w:b/>
                <w:bCs/>
                <w:color w:val="auto"/>
                <w:kern w:val="0"/>
                <w:sz w:val="24"/>
              </w:rPr>
              <w:t xml:space="preserve">表 </w:t>
            </w:r>
            <w:r>
              <w:rPr>
                <w:rFonts w:hint="eastAsia"/>
                <w:b/>
                <w:bCs/>
                <w:color w:val="auto"/>
                <w:kern w:val="0"/>
                <w:sz w:val="24"/>
              </w:rPr>
              <w:t>1-</w:t>
            </w:r>
            <w:r>
              <w:rPr>
                <w:b/>
                <w:bCs/>
                <w:color w:val="auto"/>
                <w:kern w:val="0"/>
                <w:sz w:val="24"/>
              </w:rPr>
              <w:t>1</w:t>
            </w:r>
            <w:r>
              <w:rPr>
                <w:rFonts w:hint="eastAsia"/>
                <w:b/>
                <w:bCs/>
                <w:color w:val="auto"/>
                <w:kern w:val="0"/>
                <w:sz w:val="24"/>
              </w:rPr>
              <w:t>3</w:t>
            </w:r>
            <w:r>
              <w:rPr>
                <w:b/>
                <w:bCs/>
                <w:color w:val="auto"/>
                <w:kern w:val="0"/>
                <w:sz w:val="24"/>
              </w:rPr>
              <w:tab/>
            </w:r>
            <w:r>
              <w:rPr>
                <w:b/>
                <w:bCs/>
                <w:color w:val="auto"/>
                <w:kern w:val="0"/>
                <w:sz w:val="24"/>
              </w:rPr>
              <w:t>与</w:t>
            </w:r>
            <w:r>
              <w:rPr>
                <w:rFonts w:hint="eastAsia"/>
                <w:b/>
                <w:bCs/>
                <w:color w:val="auto"/>
                <w:kern w:val="0"/>
                <w:sz w:val="24"/>
              </w:rPr>
              <w:t>《云南省固体废物污染环境防治条例》</w:t>
            </w:r>
            <w:r>
              <w:rPr>
                <w:b/>
                <w:bCs/>
                <w:color w:val="auto"/>
                <w:kern w:val="0"/>
                <w:sz w:val="24"/>
              </w:rPr>
              <w:t>符合性分析一览表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39"/>
              <w:gridCol w:w="3279"/>
              <w:gridCol w:w="1153"/>
            </w:tblGrid>
            <w:tr w14:paraId="294E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3" w:type="pct"/>
                  <w:vAlign w:val="center"/>
                </w:tcPr>
                <w:p w14:paraId="5B52A4BB">
                  <w:pPr>
                    <w:adjustRightInd w:val="0"/>
                    <w:jc w:val="center"/>
                    <w:rPr>
                      <w:rFonts w:hAnsi="Calibri"/>
                      <w:b/>
                      <w:bCs/>
                      <w:color w:val="auto"/>
                      <w:szCs w:val="21"/>
                    </w:rPr>
                  </w:pPr>
                  <w:r>
                    <w:rPr>
                      <w:rFonts w:hint="eastAsia" w:hAnsi="Calibri"/>
                      <w:b/>
                      <w:bCs/>
                      <w:color w:val="auto"/>
                      <w:szCs w:val="21"/>
                    </w:rPr>
                    <w:t>与本项目相关的条文</w:t>
                  </w:r>
                </w:p>
              </w:tc>
              <w:tc>
                <w:tcPr>
                  <w:tcW w:w="1869" w:type="pct"/>
                  <w:vAlign w:val="center"/>
                </w:tcPr>
                <w:p w14:paraId="0C8681DD">
                  <w:pPr>
                    <w:adjustRightInd w:val="0"/>
                    <w:jc w:val="center"/>
                    <w:rPr>
                      <w:rFonts w:hAnsi="Calibri"/>
                      <w:b/>
                      <w:bCs/>
                      <w:color w:val="auto"/>
                      <w:szCs w:val="21"/>
                    </w:rPr>
                  </w:pPr>
                  <w:r>
                    <w:rPr>
                      <w:rFonts w:hint="eastAsia" w:hAnsi="Calibri"/>
                      <w:b/>
                      <w:bCs/>
                      <w:color w:val="auto"/>
                      <w:szCs w:val="21"/>
                    </w:rPr>
                    <w:t>项目情况</w:t>
                  </w:r>
                </w:p>
              </w:tc>
              <w:tc>
                <w:tcPr>
                  <w:tcW w:w="657" w:type="pct"/>
                  <w:vAlign w:val="center"/>
                </w:tcPr>
                <w:p w14:paraId="1F30AC4A">
                  <w:pPr>
                    <w:adjustRightInd w:val="0"/>
                    <w:jc w:val="center"/>
                    <w:rPr>
                      <w:rFonts w:hAnsi="Calibri"/>
                      <w:b/>
                      <w:bCs/>
                      <w:color w:val="auto"/>
                      <w:szCs w:val="21"/>
                    </w:rPr>
                  </w:pPr>
                  <w:r>
                    <w:rPr>
                      <w:rFonts w:hint="eastAsia" w:hAnsi="Calibri"/>
                      <w:b/>
                      <w:bCs/>
                      <w:color w:val="auto"/>
                      <w:szCs w:val="21"/>
                    </w:rPr>
                    <w:t>符合情况</w:t>
                  </w:r>
                </w:p>
              </w:tc>
            </w:tr>
            <w:tr w14:paraId="74205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3" w:type="pct"/>
                  <w:vAlign w:val="center"/>
                </w:tcPr>
                <w:p w14:paraId="3F7D1496">
                  <w:pPr>
                    <w:adjustRightInd w:val="0"/>
                    <w:jc w:val="left"/>
                    <w:rPr>
                      <w:rFonts w:hAnsi="Calibri"/>
                      <w:b/>
                      <w:bCs/>
                      <w:color w:val="auto"/>
                      <w:szCs w:val="21"/>
                    </w:rPr>
                  </w:pPr>
                  <w:r>
                    <w:rPr>
                      <w:rFonts w:hint="eastAsia" w:hAnsi="Calibri"/>
                      <w:b/>
                      <w:bCs/>
                      <w:color w:val="auto"/>
                      <w:szCs w:val="21"/>
                    </w:rPr>
                    <w:t>第十三条</w:t>
                  </w:r>
                  <w:r>
                    <w:rPr>
                      <w:rFonts w:hint="eastAsia" w:hAnsi="Calibri"/>
                      <w:color w:val="auto"/>
                      <w:szCs w:val="21"/>
                    </w:rPr>
                    <w:t> 建设产生、贮存、利用、处置固体废物的项目，应当依法进行环境影响评价，并</w:t>
                  </w:r>
                  <w:bookmarkStart w:id="41" w:name="OLE_LINK23"/>
                  <w:r>
                    <w:rPr>
                      <w:rFonts w:hint="eastAsia" w:hAnsi="Calibri"/>
                      <w:color w:val="auto"/>
                      <w:szCs w:val="21"/>
                    </w:rPr>
                    <w:t>遵守国家有关建设项目环境保护管理的规定。</w:t>
                  </w:r>
                  <w:bookmarkEnd w:id="41"/>
                </w:p>
              </w:tc>
              <w:tc>
                <w:tcPr>
                  <w:tcW w:w="1869" w:type="pct"/>
                  <w:vAlign w:val="center"/>
                </w:tcPr>
                <w:p w14:paraId="3C8BA6B8">
                  <w:pPr>
                    <w:adjustRightInd w:val="0"/>
                    <w:jc w:val="center"/>
                    <w:rPr>
                      <w:color w:val="auto"/>
                      <w:kern w:val="0"/>
                      <w:szCs w:val="21"/>
                    </w:rPr>
                  </w:pPr>
                  <w:r>
                    <w:rPr>
                      <w:rFonts w:hint="eastAsia" w:hAnsi="Calibri"/>
                      <w:color w:val="auto"/>
                      <w:szCs w:val="21"/>
                    </w:rPr>
                    <w:t>本项目属于产生固体废物的建设项目，依法进行环境影响评价，遵守国家有关建设项目环境保护管理的规定。</w:t>
                  </w:r>
                  <w:r>
                    <w:rPr>
                      <w:rFonts w:hint="eastAsia"/>
                      <w:color w:val="auto"/>
                      <w:kern w:val="0"/>
                      <w:szCs w:val="21"/>
                    </w:rPr>
                    <w:t>项目一般固废经收集后暂存于一般固废暂存间，外售处置。危险废物分类收集暂存于危废暂存间，</w:t>
                  </w:r>
                  <w:r>
                    <w:rPr>
                      <w:color w:val="auto"/>
                      <w:kern w:val="0"/>
                      <w:szCs w:val="21"/>
                    </w:rPr>
                    <w:t>废机油用于厂区内机械设备擦拭润滑，其余危险废物委托有资质单位处置</w:t>
                  </w:r>
                  <w:r>
                    <w:rPr>
                      <w:rFonts w:hint="eastAsia"/>
                      <w:color w:val="auto"/>
                      <w:kern w:val="0"/>
                      <w:szCs w:val="21"/>
                    </w:rPr>
                    <w:t>。</w:t>
                  </w:r>
                </w:p>
              </w:tc>
              <w:tc>
                <w:tcPr>
                  <w:tcW w:w="657" w:type="pct"/>
                  <w:vAlign w:val="center"/>
                </w:tcPr>
                <w:p w14:paraId="5487ADB8">
                  <w:pPr>
                    <w:adjustRightInd w:val="0"/>
                    <w:jc w:val="center"/>
                    <w:rPr>
                      <w:rFonts w:hAnsi="Calibri"/>
                      <w:color w:val="auto"/>
                      <w:szCs w:val="21"/>
                    </w:rPr>
                  </w:pPr>
                  <w:r>
                    <w:rPr>
                      <w:rFonts w:hint="eastAsia" w:hAnsi="Calibri"/>
                      <w:color w:val="auto"/>
                      <w:szCs w:val="21"/>
                    </w:rPr>
                    <w:t>符合</w:t>
                  </w:r>
                </w:p>
              </w:tc>
            </w:tr>
            <w:tr w14:paraId="30F31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3" w:type="pct"/>
                  <w:vAlign w:val="center"/>
                </w:tcPr>
                <w:p w14:paraId="1734C432">
                  <w:pPr>
                    <w:adjustRightInd w:val="0"/>
                    <w:jc w:val="left"/>
                    <w:rPr>
                      <w:rFonts w:hAnsi="Calibri"/>
                      <w:color w:val="auto"/>
                      <w:szCs w:val="21"/>
                    </w:rPr>
                  </w:pPr>
                  <w:r>
                    <w:rPr>
                      <w:rFonts w:hint="eastAsia" w:hAnsi="Calibri"/>
                      <w:b/>
                      <w:bCs/>
                      <w:color w:val="auto"/>
                      <w:szCs w:val="21"/>
                    </w:rPr>
                    <w:t>第十四条</w:t>
                  </w:r>
                  <w:r>
                    <w:rPr>
                      <w:rFonts w:hint="eastAsia" w:hAnsi="Calibri"/>
                      <w:color w:val="auto"/>
                      <w:szCs w:val="21"/>
                    </w:rPr>
                    <w:t> 产生、收集、贮存、运输、利用、处置固体废物的单位和其他生产经营者，应当</w:t>
                  </w:r>
                  <w:bookmarkStart w:id="42" w:name="OLE_LINK24"/>
                  <w:r>
                    <w:rPr>
                      <w:rFonts w:hint="eastAsia" w:hAnsi="Calibri"/>
                      <w:color w:val="auto"/>
                      <w:szCs w:val="21"/>
                    </w:rPr>
                    <w:t>采取防扬散、防流失、防渗漏或者其他防止污染环境的措施</w:t>
                  </w:r>
                  <w:bookmarkEnd w:id="42"/>
                  <w:r>
                    <w:rPr>
                      <w:rFonts w:hint="eastAsia" w:hAnsi="Calibri"/>
                      <w:color w:val="auto"/>
                      <w:szCs w:val="21"/>
                    </w:rPr>
                    <w:t>，不得擅自倾倒、堆放、丢弃、遗撒固体废物。禁止任何单位或者个人向江河、湖泊、运河、渠道、水库及其最高水位线以下的滩地和岸坡以及法律法规规定的其他地点倾倒、堆放、贮存固体废物。在</w:t>
                  </w:r>
                  <w:bookmarkStart w:id="43" w:name="OLE_LINK25"/>
                  <w:r>
                    <w:rPr>
                      <w:rFonts w:hint="eastAsia" w:hAnsi="Calibri"/>
                      <w:color w:val="auto"/>
                      <w:szCs w:val="21"/>
                    </w:rPr>
                    <w:t>生态保护红线区域、永久基本农田集中区域和其他需要特别保护的区域</w:t>
                  </w:r>
                  <w:bookmarkEnd w:id="43"/>
                  <w:r>
                    <w:rPr>
                      <w:rFonts w:hint="eastAsia" w:hAnsi="Calibri"/>
                      <w:color w:val="auto"/>
                      <w:szCs w:val="21"/>
                    </w:rPr>
                    <w:t>内，禁止建设工业固体废物、危险废物集中贮存、利用、处置的设施、场所和生活垃圾填埋场。</w:t>
                  </w:r>
                </w:p>
              </w:tc>
              <w:tc>
                <w:tcPr>
                  <w:tcW w:w="1869" w:type="pct"/>
                  <w:vAlign w:val="center"/>
                </w:tcPr>
                <w:p w14:paraId="5E5765F0">
                  <w:pPr>
                    <w:adjustRightInd w:val="0"/>
                    <w:jc w:val="center"/>
                    <w:rPr>
                      <w:rFonts w:hAnsi="Calibri"/>
                      <w:color w:val="auto"/>
                      <w:szCs w:val="21"/>
                    </w:rPr>
                  </w:pPr>
                  <w:r>
                    <w:rPr>
                      <w:rFonts w:hint="eastAsia" w:hAnsi="Calibri"/>
                      <w:color w:val="auto"/>
                      <w:szCs w:val="21"/>
                    </w:rPr>
                    <w:t>本项目属于产生固体废物的单位，采取了防扬散、防流失、防渗漏的措施。本项目选址不属于江河、湖泊、运河、渠道、水库及其最高水位线以下的滩地和岸坡以及法律法规规定的其他地点；不属于生态保护红线区域、永久基本农田集中区域和其他需要特别保护的区域内。</w:t>
                  </w:r>
                </w:p>
              </w:tc>
              <w:tc>
                <w:tcPr>
                  <w:tcW w:w="657" w:type="pct"/>
                  <w:vAlign w:val="center"/>
                </w:tcPr>
                <w:p w14:paraId="59EE95BB">
                  <w:pPr>
                    <w:adjustRightInd w:val="0"/>
                    <w:jc w:val="center"/>
                    <w:rPr>
                      <w:rFonts w:hAnsi="Calibri"/>
                      <w:color w:val="auto"/>
                      <w:szCs w:val="21"/>
                    </w:rPr>
                  </w:pPr>
                  <w:r>
                    <w:rPr>
                      <w:rFonts w:hint="eastAsia" w:hAnsi="Calibri"/>
                      <w:color w:val="auto"/>
                      <w:szCs w:val="21"/>
                    </w:rPr>
                    <w:t>符合</w:t>
                  </w:r>
                </w:p>
              </w:tc>
            </w:tr>
            <w:tr w14:paraId="4F7B1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3" w:type="pct"/>
                  <w:vAlign w:val="center"/>
                </w:tcPr>
                <w:p w14:paraId="78A7989C">
                  <w:pPr>
                    <w:adjustRightInd w:val="0"/>
                    <w:jc w:val="left"/>
                    <w:rPr>
                      <w:rFonts w:hAnsi="Calibri"/>
                      <w:color w:val="auto"/>
                      <w:szCs w:val="21"/>
                    </w:rPr>
                  </w:pPr>
                  <w:r>
                    <w:rPr>
                      <w:rFonts w:hint="eastAsia" w:hAnsi="Calibri"/>
                      <w:color w:val="auto"/>
                      <w:szCs w:val="21"/>
                    </w:rPr>
                    <w:t>第二十四条 产生工业固体废物的单位应当建立健全工业固体废物产生、收集、贮存、运输、利用、处置全过程的污染环境防治责任制度，按照国家有关规定建立工业固体废物管理台账，如实记录产生工业固体废物的种类、时间、数量、流向、贮存、利用、处置等信息，并采取防治工业固体废物污染环境的措施。工业固体废物管理台账应当保存5年以上。鼓励产生工业固体废物的单位在固体废物产生场所、贮存场所及计量设备等关键点位设置视频监控，提高台账记录信息的准确性。禁止向生活垃圾收集设施中投放工业固体废物。</w:t>
                  </w:r>
                </w:p>
              </w:tc>
              <w:tc>
                <w:tcPr>
                  <w:tcW w:w="1869" w:type="pct"/>
                  <w:vAlign w:val="center"/>
                </w:tcPr>
                <w:p w14:paraId="5096A310">
                  <w:pPr>
                    <w:adjustRightInd w:val="0"/>
                    <w:jc w:val="center"/>
                    <w:rPr>
                      <w:rFonts w:hAnsi="Calibri"/>
                      <w:color w:val="auto"/>
                      <w:szCs w:val="21"/>
                    </w:rPr>
                  </w:pPr>
                  <w:r>
                    <w:rPr>
                      <w:rFonts w:hint="eastAsia" w:hAnsi="Calibri"/>
                      <w:color w:val="auto"/>
                      <w:szCs w:val="21"/>
                    </w:rPr>
                    <w:t>本项目产生的工业固体废物分类收集，生活垃圾与工业固体废物分类处置。采取了收集、贮存、运输、利用、处置全过程的污染环境防治责任制度，建立工业固体废物管理台账。</w:t>
                  </w:r>
                </w:p>
              </w:tc>
              <w:tc>
                <w:tcPr>
                  <w:tcW w:w="657" w:type="pct"/>
                  <w:vAlign w:val="center"/>
                </w:tcPr>
                <w:p w14:paraId="3DFA8989">
                  <w:pPr>
                    <w:adjustRightInd w:val="0"/>
                    <w:jc w:val="center"/>
                    <w:rPr>
                      <w:rFonts w:hAnsi="Calibri"/>
                      <w:color w:val="auto"/>
                      <w:szCs w:val="21"/>
                    </w:rPr>
                  </w:pPr>
                  <w:r>
                    <w:rPr>
                      <w:rFonts w:hint="eastAsia" w:hAnsi="Calibri"/>
                      <w:color w:val="auto"/>
                      <w:szCs w:val="21"/>
                    </w:rPr>
                    <w:t>符合</w:t>
                  </w:r>
                </w:p>
              </w:tc>
            </w:tr>
            <w:tr w14:paraId="7E8A4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3" w:type="pct"/>
                  <w:vAlign w:val="center"/>
                </w:tcPr>
                <w:p w14:paraId="3FFE3D71">
                  <w:pPr>
                    <w:adjustRightInd w:val="0"/>
                    <w:jc w:val="left"/>
                    <w:rPr>
                      <w:rFonts w:hAnsi="Calibri"/>
                      <w:color w:val="auto"/>
                      <w:szCs w:val="21"/>
                    </w:rPr>
                  </w:pPr>
                  <w:r>
                    <w:rPr>
                      <w:rFonts w:hint="eastAsia" w:hAnsi="Calibri"/>
                      <w:color w:val="auto"/>
                      <w:szCs w:val="21"/>
                    </w:rPr>
                    <w:t>第二十五条 产生工业固体废物的单位委托他人运输、利用、处置工业固体废物的，应当对受托方的主体资格和技术能力进行核实，依法签订书面合同，在合同中约定污染防治要求。</w:t>
                  </w:r>
                </w:p>
              </w:tc>
              <w:tc>
                <w:tcPr>
                  <w:tcW w:w="1869" w:type="pct"/>
                  <w:vAlign w:val="center"/>
                </w:tcPr>
                <w:p w14:paraId="1787F7F6">
                  <w:pPr>
                    <w:adjustRightInd w:val="0"/>
                    <w:jc w:val="center"/>
                    <w:rPr>
                      <w:rFonts w:hAnsi="Calibri"/>
                      <w:color w:val="auto"/>
                      <w:szCs w:val="21"/>
                    </w:rPr>
                  </w:pPr>
                  <w:r>
                    <w:rPr>
                      <w:rFonts w:hint="eastAsia" w:hAnsi="Calibri"/>
                      <w:color w:val="auto"/>
                      <w:szCs w:val="21"/>
                    </w:rPr>
                    <w:t>项目固体废物按一般固废、危险废物、生活垃圾进行分类管理。生活垃圾委托环卫部门清运处置。危险废物收集后暂存于危废暂存间，</w:t>
                  </w:r>
                  <w:r>
                    <w:rPr>
                      <w:rFonts w:hAnsi="Calibri"/>
                      <w:color w:val="auto"/>
                      <w:szCs w:val="21"/>
                    </w:rPr>
                    <w:t>废机油用于厂区内机械设备擦拭润滑，其余危险废物委托有资质单位处置</w:t>
                  </w:r>
                  <w:r>
                    <w:rPr>
                      <w:rFonts w:hint="eastAsia" w:hAnsi="Calibri"/>
                      <w:color w:val="auto"/>
                      <w:szCs w:val="21"/>
                    </w:rPr>
                    <w:t>。化粪池污泥委托环卫部门清掏处置。委托处置的，依法签订书面合同，在合同中约定污染防治要求。</w:t>
                  </w:r>
                </w:p>
              </w:tc>
              <w:tc>
                <w:tcPr>
                  <w:tcW w:w="657" w:type="pct"/>
                  <w:vAlign w:val="center"/>
                </w:tcPr>
                <w:p w14:paraId="56405F06">
                  <w:pPr>
                    <w:adjustRightInd w:val="0"/>
                    <w:jc w:val="center"/>
                    <w:rPr>
                      <w:rFonts w:hAnsi="Calibri"/>
                      <w:color w:val="auto"/>
                      <w:szCs w:val="21"/>
                    </w:rPr>
                  </w:pPr>
                  <w:r>
                    <w:rPr>
                      <w:rFonts w:hint="eastAsia" w:hAnsi="Calibri"/>
                      <w:color w:val="auto"/>
                      <w:szCs w:val="21"/>
                    </w:rPr>
                    <w:t>符合</w:t>
                  </w:r>
                </w:p>
              </w:tc>
            </w:tr>
            <w:tr w14:paraId="27EE1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3" w:type="pct"/>
                  <w:vAlign w:val="center"/>
                </w:tcPr>
                <w:p w14:paraId="1AE0757B">
                  <w:pPr>
                    <w:adjustRightInd w:val="0"/>
                    <w:jc w:val="left"/>
                    <w:rPr>
                      <w:rFonts w:hAnsi="Calibri"/>
                      <w:color w:val="auto"/>
                      <w:szCs w:val="21"/>
                    </w:rPr>
                  </w:pPr>
                  <w:r>
                    <w:rPr>
                      <w:rFonts w:hint="eastAsia" w:hAnsi="Calibri"/>
                      <w:color w:val="auto"/>
                      <w:szCs w:val="21"/>
                    </w:rPr>
                    <w:t>第二十七条 产生工业固体废物的单位应当依法取得排污许可证，向所在地生态环境主管部门提供工业固体废物的种类、数量、流向、贮存、利用、处置等有关资料，以及减少工业固体废物产生、促进综合利用的具体措施，并执行排污许可管理制度的相关规定。</w:t>
                  </w:r>
                </w:p>
              </w:tc>
              <w:tc>
                <w:tcPr>
                  <w:tcW w:w="1869" w:type="pct"/>
                  <w:vAlign w:val="center"/>
                </w:tcPr>
                <w:p w14:paraId="3007AACE">
                  <w:pPr>
                    <w:adjustRightInd w:val="0"/>
                    <w:jc w:val="center"/>
                    <w:rPr>
                      <w:rFonts w:hAnsi="Calibri"/>
                      <w:color w:val="auto"/>
                      <w:szCs w:val="21"/>
                    </w:rPr>
                  </w:pPr>
                  <w:r>
                    <w:rPr>
                      <w:rFonts w:hint="eastAsia"/>
                      <w:color w:val="auto"/>
                      <w:kern w:val="0"/>
                      <w:szCs w:val="21"/>
                    </w:rPr>
                    <w:t>本项目应当在启动生产设施或者发生实际排污之前，向玉溪市生态环境局申请取得排污许可证，</w:t>
                  </w:r>
                  <w:r>
                    <w:rPr>
                      <w:rFonts w:hint="eastAsia" w:hAnsi="Calibri"/>
                      <w:color w:val="auto"/>
                      <w:szCs w:val="21"/>
                    </w:rPr>
                    <w:t>并执行排污许可管理制度的相关规定。</w:t>
                  </w:r>
                </w:p>
              </w:tc>
              <w:tc>
                <w:tcPr>
                  <w:tcW w:w="657" w:type="pct"/>
                  <w:vAlign w:val="center"/>
                </w:tcPr>
                <w:p w14:paraId="31306060">
                  <w:pPr>
                    <w:adjustRightInd w:val="0"/>
                    <w:jc w:val="center"/>
                    <w:rPr>
                      <w:rFonts w:hAnsi="Calibri"/>
                      <w:color w:val="auto"/>
                      <w:szCs w:val="21"/>
                    </w:rPr>
                  </w:pPr>
                  <w:r>
                    <w:rPr>
                      <w:rFonts w:hint="eastAsia" w:hAnsi="Calibri"/>
                      <w:color w:val="auto"/>
                      <w:szCs w:val="21"/>
                    </w:rPr>
                    <w:t>符合</w:t>
                  </w:r>
                </w:p>
              </w:tc>
            </w:tr>
          </w:tbl>
          <w:p w14:paraId="74FE6815">
            <w:pPr>
              <w:autoSpaceDE w:val="0"/>
              <w:autoSpaceDN w:val="0"/>
              <w:adjustRightInd w:val="0"/>
              <w:snapToGrid w:val="0"/>
              <w:spacing w:line="360" w:lineRule="auto"/>
              <w:ind w:firstLine="480" w:firstLineChars="200"/>
              <w:jc w:val="left"/>
              <w:rPr>
                <w:color w:val="auto"/>
                <w:kern w:val="0"/>
                <w:sz w:val="24"/>
              </w:rPr>
            </w:pPr>
            <w:r>
              <w:rPr>
                <w:rFonts w:hint="eastAsia"/>
                <w:color w:val="auto"/>
                <w:kern w:val="0"/>
                <w:sz w:val="24"/>
              </w:rPr>
              <w:t>综上，本项目符合《云南省固体废物污染环境防治条例》的相关规定。</w:t>
            </w:r>
          </w:p>
          <w:p w14:paraId="392644F8">
            <w:pPr>
              <w:autoSpaceDE w:val="0"/>
              <w:autoSpaceDN w:val="0"/>
              <w:adjustRightInd w:val="0"/>
              <w:snapToGrid w:val="0"/>
              <w:spacing w:line="360" w:lineRule="auto"/>
              <w:ind w:firstLine="482" w:firstLineChars="200"/>
              <w:jc w:val="left"/>
              <w:rPr>
                <w:b/>
                <w:bCs/>
                <w:color w:val="auto"/>
                <w:kern w:val="0"/>
                <w:sz w:val="24"/>
              </w:rPr>
            </w:pPr>
            <w:r>
              <w:rPr>
                <w:rFonts w:hint="eastAsia"/>
                <w:b/>
                <w:bCs/>
                <w:color w:val="auto"/>
                <w:kern w:val="0"/>
                <w:sz w:val="24"/>
              </w:rPr>
              <w:t>12、项目与《危险废物转移管理办法》（部令第</w:t>
            </w:r>
            <w:r>
              <w:rPr>
                <w:b/>
                <w:bCs/>
                <w:color w:val="auto"/>
                <w:kern w:val="0"/>
                <w:sz w:val="24"/>
              </w:rPr>
              <w:t>23</w:t>
            </w:r>
            <w:r>
              <w:rPr>
                <w:rFonts w:hint="eastAsia"/>
                <w:b/>
                <w:bCs/>
                <w:color w:val="auto"/>
                <w:kern w:val="0"/>
                <w:sz w:val="24"/>
              </w:rPr>
              <w:t>号）符合性分析</w:t>
            </w:r>
          </w:p>
          <w:p w14:paraId="0C30A44E">
            <w:pPr>
              <w:pStyle w:val="88"/>
              <w:adjustRightInd w:val="0"/>
              <w:snapToGrid w:val="0"/>
              <w:spacing w:line="360" w:lineRule="auto"/>
              <w:rPr>
                <w:rFonts w:cs="Times New Roman"/>
                <w:color w:val="auto"/>
                <w:sz w:val="24"/>
              </w:rPr>
            </w:pPr>
            <w:r>
              <w:rPr>
                <w:rFonts w:hint="eastAsia" w:cs="Times New Roman"/>
                <w:color w:val="auto"/>
                <w:sz w:val="24"/>
              </w:rPr>
              <w:t>表</w:t>
            </w:r>
            <w:r>
              <w:rPr>
                <w:rFonts w:cs="Times New Roman"/>
                <w:color w:val="auto"/>
                <w:sz w:val="24"/>
              </w:rPr>
              <w:t>1-1</w:t>
            </w:r>
            <w:r>
              <w:rPr>
                <w:rFonts w:hint="eastAsia" w:cs="Times New Roman"/>
                <w:color w:val="auto"/>
                <w:sz w:val="24"/>
              </w:rPr>
              <w:t>4</w:t>
            </w:r>
            <w:r>
              <w:rPr>
                <w:rFonts w:cs="Times New Roman"/>
                <w:color w:val="auto"/>
                <w:sz w:val="24"/>
              </w:rPr>
              <w:t xml:space="preserve">  </w:t>
            </w:r>
            <w:r>
              <w:rPr>
                <w:rFonts w:hint="eastAsia" w:cs="Times New Roman"/>
                <w:color w:val="auto"/>
                <w:sz w:val="24"/>
              </w:rPr>
              <w:t>项目与《危险废物转移管理办法》符合性分析一览表</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5042"/>
              <w:gridCol w:w="2694"/>
              <w:gridCol w:w="1035"/>
            </w:tblGrid>
            <w:tr w14:paraId="463AB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2874" w:type="pct"/>
                  <w:shd w:val="clear" w:color="auto" w:fill="FFFFFF"/>
                  <w:vAlign w:val="center"/>
                </w:tcPr>
                <w:p w14:paraId="695BF512">
                  <w:pPr>
                    <w:adjustRightInd w:val="0"/>
                    <w:jc w:val="center"/>
                    <w:rPr>
                      <w:rFonts w:eastAsiaTheme="minorEastAsia"/>
                      <w:b/>
                      <w:bCs/>
                      <w:color w:val="auto"/>
                      <w:szCs w:val="21"/>
                    </w:rPr>
                  </w:pPr>
                  <w:r>
                    <w:rPr>
                      <w:rFonts w:eastAsiaTheme="minorEastAsia"/>
                      <w:b/>
                      <w:bCs/>
                      <w:color w:val="auto"/>
                      <w:szCs w:val="21"/>
                    </w:rPr>
                    <w:t>规范要求</w:t>
                  </w:r>
                </w:p>
              </w:tc>
              <w:tc>
                <w:tcPr>
                  <w:tcW w:w="1536" w:type="pct"/>
                  <w:shd w:val="clear" w:color="auto" w:fill="FFFFFF"/>
                  <w:vAlign w:val="center"/>
                </w:tcPr>
                <w:p w14:paraId="07D5B5B1">
                  <w:pPr>
                    <w:adjustRightInd w:val="0"/>
                    <w:jc w:val="center"/>
                    <w:rPr>
                      <w:rFonts w:eastAsiaTheme="minorEastAsia"/>
                      <w:b/>
                      <w:bCs/>
                      <w:color w:val="auto"/>
                      <w:szCs w:val="21"/>
                    </w:rPr>
                  </w:pPr>
                  <w:r>
                    <w:rPr>
                      <w:rFonts w:eastAsiaTheme="minorEastAsia"/>
                      <w:b/>
                      <w:bCs/>
                      <w:color w:val="auto"/>
                      <w:szCs w:val="21"/>
                    </w:rPr>
                    <w:t>项目建设情况</w:t>
                  </w:r>
                </w:p>
              </w:tc>
              <w:tc>
                <w:tcPr>
                  <w:tcW w:w="590" w:type="pct"/>
                  <w:shd w:val="clear" w:color="auto" w:fill="FFFFFF"/>
                  <w:vAlign w:val="center"/>
                </w:tcPr>
                <w:p w14:paraId="2CA80E56">
                  <w:pPr>
                    <w:adjustRightInd w:val="0"/>
                    <w:jc w:val="center"/>
                    <w:rPr>
                      <w:rFonts w:eastAsiaTheme="minorEastAsia"/>
                      <w:b/>
                      <w:bCs/>
                      <w:color w:val="auto"/>
                      <w:szCs w:val="21"/>
                    </w:rPr>
                  </w:pPr>
                  <w:r>
                    <w:rPr>
                      <w:rFonts w:eastAsiaTheme="minorEastAsia"/>
                      <w:b/>
                      <w:bCs/>
                      <w:color w:val="auto"/>
                      <w:szCs w:val="21"/>
                    </w:rPr>
                    <w:t>符合性</w:t>
                  </w:r>
                </w:p>
              </w:tc>
            </w:tr>
            <w:tr w14:paraId="54335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5000" w:type="pct"/>
                  <w:gridSpan w:val="3"/>
                  <w:shd w:val="clear" w:color="auto" w:fill="FFFFFF"/>
                  <w:vAlign w:val="center"/>
                </w:tcPr>
                <w:p w14:paraId="55205395">
                  <w:pPr>
                    <w:adjustRightInd w:val="0"/>
                    <w:jc w:val="center"/>
                    <w:rPr>
                      <w:rFonts w:eastAsiaTheme="minorEastAsia"/>
                      <w:b/>
                      <w:bCs/>
                      <w:color w:val="auto"/>
                      <w:szCs w:val="21"/>
                    </w:rPr>
                  </w:pPr>
                  <w:r>
                    <w:rPr>
                      <w:rFonts w:eastAsiaTheme="minorEastAsia"/>
                      <w:b/>
                      <w:bCs/>
                      <w:color w:val="auto"/>
                      <w:szCs w:val="21"/>
                    </w:rPr>
                    <w:t>总则</w:t>
                  </w:r>
                </w:p>
              </w:tc>
            </w:tr>
            <w:tr w14:paraId="23967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2874" w:type="pct"/>
                  <w:shd w:val="clear" w:color="auto" w:fill="FFFFFF"/>
                  <w:vAlign w:val="center"/>
                </w:tcPr>
                <w:p w14:paraId="51B9AF78">
                  <w:pPr>
                    <w:adjustRightInd w:val="0"/>
                    <w:jc w:val="center"/>
                    <w:rPr>
                      <w:rFonts w:eastAsiaTheme="minorEastAsia"/>
                      <w:color w:val="auto"/>
                      <w:kern w:val="0"/>
                      <w:szCs w:val="21"/>
                    </w:rPr>
                  </w:pPr>
                  <w:r>
                    <w:rPr>
                      <w:rFonts w:eastAsiaTheme="minorEastAsia"/>
                      <w:color w:val="auto"/>
                      <w:kern w:val="0"/>
                      <w:szCs w:val="21"/>
                    </w:rPr>
                    <w:t>危险废物转移应当遵循就近原则。跨省、自治区、直辖市转移（以下简称跨省转移）处置危险废物的，应当以转移至相邻或者开展区域合作的省、自治区、直辖市的危险废物处置设施，以及全国统筹布局的危险废物处置设施为主。</w:t>
                  </w:r>
                </w:p>
              </w:tc>
              <w:tc>
                <w:tcPr>
                  <w:tcW w:w="1536" w:type="pct"/>
                  <w:shd w:val="clear" w:color="auto" w:fill="FFFFFF"/>
                  <w:vAlign w:val="center"/>
                </w:tcPr>
                <w:p w14:paraId="5B8D79D1">
                  <w:pPr>
                    <w:adjustRightInd w:val="0"/>
                    <w:jc w:val="center"/>
                    <w:rPr>
                      <w:rFonts w:eastAsiaTheme="minorEastAsia"/>
                      <w:color w:val="auto"/>
                      <w:kern w:val="0"/>
                      <w:szCs w:val="21"/>
                    </w:rPr>
                  </w:pPr>
                  <w:r>
                    <w:rPr>
                      <w:rFonts w:eastAsiaTheme="minorEastAsia"/>
                      <w:color w:val="auto"/>
                      <w:kern w:val="0"/>
                      <w:szCs w:val="21"/>
                    </w:rPr>
                    <w:t>项目危险废物贮存达到规定数量后，</w:t>
                  </w:r>
                  <w:r>
                    <w:rPr>
                      <w:rFonts w:hint="eastAsia" w:eastAsiaTheme="minorEastAsia"/>
                      <w:color w:val="auto"/>
                      <w:kern w:val="0"/>
                      <w:szCs w:val="21"/>
                    </w:rPr>
                    <w:t>委托有资质单位</w:t>
                  </w:r>
                  <w:r>
                    <w:rPr>
                      <w:rFonts w:eastAsiaTheme="minorEastAsia"/>
                      <w:color w:val="auto"/>
                      <w:kern w:val="0"/>
                      <w:szCs w:val="21"/>
                    </w:rPr>
                    <w:t>采用专用运输车辆按规定路线把危险废物转移到危废处置公司进行处置。</w:t>
                  </w:r>
                </w:p>
              </w:tc>
              <w:tc>
                <w:tcPr>
                  <w:tcW w:w="590" w:type="pct"/>
                  <w:shd w:val="clear" w:color="auto" w:fill="FFFFFF"/>
                  <w:vAlign w:val="center"/>
                </w:tcPr>
                <w:p w14:paraId="5D871DFE">
                  <w:pPr>
                    <w:adjustRightInd w:val="0"/>
                    <w:jc w:val="center"/>
                    <w:rPr>
                      <w:rFonts w:eastAsiaTheme="minorEastAsia"/>
                      <w:color w:val="auto"/>
                      <w:kern w:val="0"/>
                      <w:szCs w:val="21"/>
                    </w:rPr>
                  </w:pPr>
                  <w:r>
                    <w:rPr>
                      <w:rFonts w:eastAsiaTheme="minorEastAsia"/>
                      <w:color w:val="auto"/>
                      <w:kern w:val="0"/>
                      <w:szCs w:val="21"/>
                    </w:rPr>
                    <w:t>符合</w:t>
                  </w:r>
                </w:p>
              </w:tc>
            </w:tr>
            <w:tr w14:paraId="41F58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74" w:type="pct"/>
                  <w:shd w:val="clear" w:color="auto" w:fill="FFFFFF"/>
                  <w:vAlign w:val="center"/>
                </w:tcPr>
                <w:p w14:paraId="5E2CACCF">
                  <w:pPr>
                    <w:adjustRightInd w:val="0"/>
                    <w:jc w:val="center"/>
                    <w:rPr>
                      <w:rFonts w:eastAsiaTheme="minorEastAsia"/>
                      <w:color w:val="auto"/>
                      <w:kern w:val="0"/>
                      <w:szCs w:val="21"/>
                    </w:rPr>
                  </w:pPr>
                  <w:r>
                    <w:rPr>
                      <w:rFonts w:eastAsiaTheme="minorEastAsia"/>
                      <w:color w:val="auto"/>
                      <w:kern w:val="0"/>
                      <w:szCs w:val="21"/>
                    </w:rPr>
                    <w:t>转移危险废物的，应当执行危险废物转移联单制度，法律法规另有规定的除外。</w:t>
                  </w:r>
                </w:p>
              </w:tc>
              <w:tc>
                <w:tcPr>
                  <w:tcW w:w="1536" w:type="pct"/>
                  <w:shd w:val="clear" w:color="auto" w:fill="FFFFFF"/>
                  <w:vAlign w:val="center"/>
                </w:tcPr>
                <w:p w14:paraId="72EE67EC">
                  <w:pPr>
                    <w:adjustRightInd w:val="0"/>
                    <w:jc w:val="center"/>
                    <w:rPr>
                      <w:rFonts w:eastAsiaTheme="minorEastAsia"/>
                      <w:color w:val="auto"/>
                      <w:kern w:val="0"/>
                      <w:szCs w:val="21"/>
                    </w:rPr>
                  </w:pPr>
                  <w:r>
                    <w:rPr>
                      <w:rFonts w:eastAsiaTheme="minorEastAsia"/>
                      <w:color w:val="auto"/>
                      <w:kern w:val="0"/>
                      <w:szCs w:val="21"/>
                    </w:rPr>
                    <w:t>项目发生转移严格执行转移联单制度。</w:t>
                  </w:r>
                </w:p>
              </w:tc>
              <w:tc>
                <w:tcPr>
                  <w:tcW w:w="590" w:type="pct"/>
                  <w:shd w:val="clear" w:color="auto" w:fill="FFFFFF"/>
                  <w:vAlign w:val="center"/>
                </w:tcPr>
                <w:p w14:paraId="3F15CA10">
                  <w:pPr>
                    <w:adjustRightInd w:val="0"/>
                    <w:jc w:val="center"/>
                    <w:rPr>
                      <w:rFonts w:eastAsiaTheme="minorEastAsia"/>
                      <w:color w:val="auto"/>
                      <w:kern w:val="0"/>
                      <w:szCs w:val="21"/>
                    </w:rPr>
                  </w:pPr>
                  <w:r>
                    <w:rPr>
                      <w:rFonts w:eastAsiaTheme="minorEastAsia"/>
                      <w:color w:val="auto"/>
                      <w:kern w:val="0"/>
                      <w:szCs w:val="21"/>
                    </w:rPr>
                    <w:t>符合</w:t>
                  </w:r>
                </w:p>
              </w:tc>
            </w:tr>
            <w:tr w14:paraId="1276D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2874" w:type="pct"/>
                  <w:shd w:val="clear" w:color="auto" w:fill="FFFFFF"/>
                  <w:vAlign w:val="center"/>
                </w:tcPr>
                <w:p w14:paraId="047E756B">
                  <w:pPr>
                    <w:adjustRightInd w:val="0"/>
                    <w:jc w:val="center"/>
                    <w:rPr>
                      <w:rFonts w:eastAsiaTheme="minorEastAsia"/>
                      <w:color w:val="auto"/>
                      <w:kern w:val="0"/>
                      <w:szCs w:val="21"/>
                    </w:rPr>
                  </w:pPr>
                  <w:r>
                    <w:rPr>
                      <w:rFonts w:eastAsiaTheme="minorEastAsia"/>
                      <w:color w:val="auto"/>
                      <w:kern w:val="0"/>
                      <w:szCs w:val="21"/>
                    </w:rPr>
                    <w:t>转移危险废物的，应当通过国家危险废物信息管理系统（以下简称信息系统）填写、运行危险废物电子转移联单，并依照国家有关规定公开危险废物转移相关污染环境防治信息。</w:t>
                  </w:r>
                </w:p>
              </w:tc>
              <w:tc>
                <w:tcPr>
                  <w:tcW w:w="1536" w:type="pct"/>
                  <w:shd w:val="clear" w:color="auto" w:fill="FFFFFF"/>
                  <w:vAlign w:val="center"/>
                </w:tcPr>
                <w:p w14:paraId="026B2F1D">
                  <w:pPr>
                    <w:adjustRightInd w:val="0"/>
                    <w:jc w:val="center"/>
                    <w:rPr>
                      <w:rFonts w:eastAsiaTheme="minorEastAsia"/>
                      <w:color w:val="auto"/>
                      <w:kern w:val="0"/>
                      <w:szCs w:val="21"/>
                    </w:rPr>
                  </w:pPr>
                  <w:r>
                    <w:rPr>
                      <w:rFonts w:eastAsiaTheme="minorEastAsia"/>
                      <w:color w:val="auto"/>
                      <w:kern w:val="0"/>
                      <w:szCs w:val="21"/>
                    </w:rPr>
                    <w:t>项目严格按照要求填写国家危险废物信息管理系统和危险废物电子转移联单，依法公开危废转移污染防治信息。</w:t>
                  </w:r>
                </w:p>
              </w:tc>
              <w:tc>
                <w:tcPr>
                  <w:tcW w:w="590" w:type="pct"/>
                  <w:shd w:val="clear" w:color="auto" w:fill="FFFFFF"/>
                  <w:vAlign w:val="center"/>
                </w:tcPr>
                <w:p w14:paraId="64FB2993">
                  <w:pPr>
                    <w:adjustRightInd w:val="0"/>
                    <w:jc w:val="center"/>
                    <w:rPr>
                      <w:rFonts w:eastAsiaTheme="minorEastAsia"/>
                      <w:color w:val="auto"/>
                      <w:kern w:val="0"/>
                      <w:szCs w:val="21"/>
                    </w:rPr>
                  </w:pPr>
                  <w:r>
                    <w:rPr>
                      <w:rFonts w:eastAsiaTheme="minorEastAsia"/>
                      <w:color w:val="auto"/>
                      <w:kern w:val="0"/>
                      <w:szCs w:val="21"/>
                    </w:rPr>
                    <w:t>符合</w:t>
                  </w:r>
                </w:p>
              </w:tc>
            </w:tr>
            <w:tr w14:paraId="0742D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5000" w:type="pct"/>
                  <w:gridSpan w:val="3"/>
                  <w:shd w:val="clear" w:color="auto" w:fill="FFFFFF"/>
                  <w:vAlign w:val="center"/>
                </w:tcPr>
                <w:p w14:paraId="73EA86D0">
                  <w:pPr>
                    <w:pStyle w:val="95"/>
                    <w:topLinePunct/>
                    <w:spacing w:line="240" w:lineRule="auto"/>
                    <w:ind w:left="-139" w:leftChars="-66" w:firstLine="0" w:firstLineChars="0"/>
                    <w:jc w:val="center"/>
                    <w:rPr>
                      <w:rFonts w:ascii="Times New Roman" w:eastAsiaTheme="minorEastAsia"/>
                      <w:b/>
                      <w:bCs/>
                      <w:caps/>
                      <w:color w:val="auto"/>
                      <w:sz w:val="21"/>
                      <w:szCs w:val="21"/>
                    </w:rPr>
                  </w:pPr>
                  <w:r>
                    <w:rPr>
                      <w:rFonts w:ascii="Times New Roman" w:eastAsiaTheme="minorEastAsia"/>
                      <w:b/>
                      <w:bCs/>
                      <w:color w:val="auto"/>
                      <w:sz w:val="21"/>
                      <w:szCs w:val="21"/>
                    </w:rPr>
                    <w:t>法律责任</w:t>
                  </w:r>
                </w:p>
              </w:tc>
            </w:tr>
            <w:tr w14:paraId="47E02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2874" w:type="pct"/>
                  <w:shd w:val="clear" w:color="auto" w:fill="FFFFFF"/>
                  <w:vAlign w:val="center"/>
                </w:tcPr>
                <w:p w14:paraId="29BA709C">
                  <w:pPr>
                    <w:adjustRightInd w:val="0"/>
                    <w:jc w:val="center"/>
                    <w:rPr>
                      <w:rFonts w:eastAsiaTheme="minorEastAsia"/>
                      <w:color w:val="auto"/>
                      <w:kern w:val="0"/>
                      <w:szCs w:val="21"/>
                    </w:rPr>
                  </w:pPr>
                  <w:r>
                    <w:rPr>
                      <w:rFonts w:eastAsiaTheme="minorEastAsia"/>
                      <w:color w:val="auto"/>
                      <w:kern w:val="0"/>
                      <w:szCs w:val="21"/>
                    </w:rPr>
                    <w:t>危险废物移出人、危险废物承运人、危险废物接受人（以下分别简称移出人、承运人和接受人）在危险废物转移过程中应当采取防扬散、防流失、防渗漏或者其他防止污染环境的措施，不得擅自倾倒、堆放、丢弃、遗撒危险废物，并对所造成的环境污染及生态破坏依法承担责任。</w:t>
                  </w:r>
                </w:p>
              </w:tc>
              <w:tc>
                <w:tcPr>
                  <w:tcW w:w="1536" w:type="pct"/>
                  <w:shd w:val="clear" w:color="auto" w:fill="FFFFFF"/>
                  <w:vAlign w:val="center"/>
                </w:tcPr>
                <w:p w14:paraId="707EE6D6">
                  <w:pPr>
                    <w:adjustRightInd w:val="0"/>
                    <w:jc w:val="center"/>
                    <w:rPr>
                      <w:rFonts w:eastAsiaTheme="minorEastAsia"/>
                      <w:color w:val="auto"/>
                      <w:kern w:val="0"/>
                      <w:szCs w:val="21"/>
                    </w:rPr>
                  </w:pPr>
                  <w:r>
                    <w:rPr>
                      <w:rFonts w:eastAsiaTheme="minorEastAsia"/>
                      <w:color w:val="auto"/>
                      <w:kern w:val="0"/>
                      <w:szCs w:val="21"/>
                    </w:rPr>
                    <w:t>项目属于危险废物移出人，仅对移出过程进行控制，采取防扬散、防流失、防渗漏措施。</w:t>
                  </w:r>
                </w:p>
              </w:tc>
              <w:tc>
                <w:tcPr>
                  <w:tcW w:w="590" w:type="pct"/>
                  <w:shd w:val="clear" w:color="auto" w:fill="FFFFFF"/>
                  <w:vAlign w:val="center"/>
                </w:tcPr>
                <w:p w14:paraId="4F6A9B99">
                  <w:pPr>
                    <w:adjustRightInd w:val="0"/>
                    <w:jc w:val="center"/>
                    <w:rPr>
                      <w:rFonts w:eastAsiaTheme="minorEastAsia"/>
                      <w:color w:val="auto"/>
                      <w:kern w:val="0"/>
                      <w:szCs w:val="21"/>
                    </w:rPr>
                  </w:pPr>
                  <w:r>
                    <w:rPr>
                      <w:rFonts w:eastAsiaTheme="minorEastAsia"/>
                      <w:color w:val="auto"/>
                      <w:kern w:val="0"/>
                      <w:szCs w:val="21"/>
                    </w:rPr>
                    <w:t>符合</w:t>
                  </w:r>
                </w:p>
              </w:tc>
            </w:tr>
            <w:tr w14:paraId="787C4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74" w:type="pct"/>
                  <w:shd w:val="clear" w:color="auto" w:fill="FFFFFF"/>
                  <w:vAlign w:val="center"/>
                </w:tcPr>
                <w:p w14:paraId="7C3EAE17">
                  <w:pPr>
                    <w:adjustRightInd w:val="0"/>
                    <w:jc w:val="center"/>
                    <w:rPr>
                      <w:rFonts w:eastAsiaTheme="minorEastAsia"/>
                      <w:color w:val="auto"/>
                      <w:kern w:val="0"/>
                      <w:szCs w:val="21"/>
                    </w:rPr>
                  </w:pPr>
                  <w:r>
                    <w:rPr>
                      <w:rFonts w:eastAsiaTheme="minorEastAsia"/>
                      <w:color w:val="auto"/>
                      <w:kern w:val="0"/>
                      <w:szCs w:val="21"/>
                    </w:rPr>
                    <w:t>移出人、承运人、接受人应当依法制定突发环境事件的防范措施和应急预案，并报有关部门备案；发生危险废物突发环境事件时，应当立即采取有效措施消除或者减轻对环境的污染危害，并按相关规定向事故发生地有关部门报告，接受调查处理。</w:t>
                  </w:r>
                </w:p>
              </w:tc>
              <w:tc>
                <w:tcPr>
                  <w:tcW w:w="1536" w:type="pct"/>
                  <w:shd w:val="clear" w:color="auto" w:fill="FFFFFF"/>
                  <w:vAlign w:val="center"/>
                </w:tcPr>
                <w:p w14:paraId="0BA9A976">
                  <w:pPr>
                    <w:adjustRightInd w:val="0"/>
                    <w:jc w:val="center"/>
                    <w:rPr>
                      <w:rFonts w:eastAsiaTheme="minorEastAsia"/>
                      <w:color w:val="auto"/>
                      <w:kern w:val="0"/>
                      <w:szCs w:val="21"/>
                    </w:rPr>
                  </w:pPr>
                  <w:r>
                    <w:rPr>
                      <w:rFonts w:eastAsiaTheme="minorEastAsia"/>
                      <w:color w:val="auto"/>
                      <w:kern w:val="0"/>
                      <w:szCs w:val="21"/>
                    </w:rPr>
                    <w:t>项目为危废</w:t>
                  </w:r>
                  <w:r>
                    <w:rPr>
                      <w:rFonts w:hint="eastAsia" w:eastAsiaTheme="minorEastAsia"/>
                      <w:color w:val="auto"/>
                      <w:kern w:val="0"/>
                      <w:szCs w:val="21"/>
                    </w:rPr>
                    <w:t>暂存</w:t>
                  </w:r>
                  <w:r>
                    <w:rPr>
                      <w:rFonts w:eastAsiaTheme="minorEastAsia"/>
                      <w:color w:val="auto"/>
                      <w:kern w:val="0"/>
                      <w:szCs w:val="21"/>
                    </w:rPr>
                    <w:t>单位，建成后编制突发环境事件防范措施和应急预案，并备案。</w:t>
                  </w:r>
                </w:p>
              </w:tc>
              <w:tc>
                <w:tcPr>
                  <w:tcW w:w="590" w:type="pct"/>
                  <w:shd w:val="clear" w:color="auto" w:fill="FFFFFF"/>
                  <w:vAlign w:val="center"/>
                </w:tcPr>
                <w:p w14:paraId="06D6C626">
                  <w:pPr>
                    <w:adjustRightInd w:val="0"/>
                    <w:jc w:val="center"/>
                    <w:rPr>
                      <w:rFonts w:eastAsiaTheme="minorEastAsia"/>
                      <w:color w:val="auto"/>
                      <w:kern w:val="0"/>
                      <w:szCs w:val="21"/>
                    </w:rPr>
                  </w:pPr>
                  <w:r>
                    <w:rPr>
                      <w:rFonts w:eastAsiaTheme="minorEastAsia"/>
                      <w:color w:val="auto"/>
                      <w:kern w:val="0"/>
                      <w:szCs w:val="21"/>
                    </w:rPr>
                    <w:t>符合</w:t>
                  </w:r>
                </w:p>
              </w:tc>
            </w:tr>
            <w:tr w14:paraId="7CDED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5000" w:type="pct"/>
                  <w:gridSpan w:val="3"/>
                  <w:shd w:val="clear" w:color="auto" w:fill="FFFFFF"/>
                  <w:vAlign w:val="center"/>
                </w:tcPr>
                <w:p w14:paraId="53E46AB7">
                  <w:pPr>
                    <w:pStyle w:val="95"/>
                    <w:topLinePunct/>
                    <w:spacing w:line="240" w:lineRule="auto"/>
                    <w:ind w:left="-139" w:leftChars="-66" w:firstLine="0" w:firstLineChars="0"/>
                    <w:jc w:val="center"/>
                    <w:rPr>
                      <w:rFonts w:ascii="Times New Roman" w:eastAsiaTheme="minorEastAsia"/>
                      <w:b/>
                      <w:bCs/>
                      <w:caps/>
                      <w:color w:val="auto"/>
                      <w:sz w:val="21"/>
                      <w:szCs w:val="21"/>
                    </w:rPr>
                  </w:pPr>
                  <w:r>
                    <w:rPr>
                      <w:rFonts w:ascii="Times New Roman" w:eastAsiaTheme="minorEastAsia"/>
                      <w:b/>
                      <w:bCs/>
                      <w:color w:val="auto"/>
                      <w:sz w:val="21"/>
                      <w:szCs w:val="21"/>
                    </w:rPr>
                    <w:t>危险废物转移联单的运行和管理</w:t>
                  </w:r>
                </w:p>
              </w:tc>
            </w:tr>
            <w:tr w14:paraId="4AB8B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74" w:type="pct"/>
                  <w:shd w:val="clear" w:color="auto" w:fill="FFFFFF"/>
                  <w:vAlign w:val="center"/>
                </w:tcPr>
                <w:p w14:paraId="0CD6DF83">
                  <w:pPr>
                    <w:pStyle w:val="95"/>
                    <w:topLinePunct/>
                    <w:spacing w:line="240" w:lineRule="auto"/>
                    <w:ind w:firstLine="0" w:firstLineChars="0"/>
                    <w:jc w:val="center"/>
                    <w:rPr>
                      <w:rFonts w:ascii="Times New Roman" w:eastAsiaTheme="minorEastAsia"/>
                      <w:bCs/>
                      <w:caps/>
                      <w:color w:val="auto"/>
                      <w:sz w:val="21"/>
                      <w:szCs w:val="21"/>
                    </w:rPr>
                  </w:pPr>
                  <w:r>
                    <w:rPr>
                      <w:rFonts w:ascii="Times New Roman" w:eastAsiaTheme="minorEastAsia"/>
                      <w:bCs/>
                      <w:color w:val="auto"/>
                      <w:sz w:val="21"/>
                      <w:szCs w:val="21"/>
                      <w:lang w:val="en"/>
                    </w:rPr>
                    <w:t>危险废物转移联单应当根据危险废物管理计划中填报的危险废物转移等备案信息填写、运行。</w:t>
                  </w:r>
                </w:p>
              </w:tc>
              <w:tc>
                <w:tcPr>
                  <w:tcW w:w="1536" w:type="pct"/>
                  <w:shd w:val="clear" w:color="auto" w:fill="FFFFFF"/>
                  <w:vAlign w:val="center"/>
                </w:tcPr>
                <w:p w14:paraId="2A495CDD">
                  <w:pPr>
                    <w:pStyle w:val="95"/>
                    <w:topLinePunct/>
                    <w:spacing w:line="240" w:lineRule="auto"/>
                    <w:ind w:left="-29" w:leftChars="-14" w:firstLine="0" w:firstLineChars="0"/>
                    <w:jc w:val="center"/>
                    <w:rPr>
                      <w:rFonts w:ascii="Times New Roman" w:eastAsiaTheme="minorEastAsia"/>
                      <w:bCs/>
                      <w:caps/>
                      <w:color w:val="auto"/>
                      <w:sz w:val="21"/>
                      <w:szCs w:val="21"/>
                    </w:rPr>
                  </w:pPr>
                  <w:r>
                    <w:rPr>
                      <w:rFonts w:ascii="Times New Roman" w:eastAsiaTheme="minorEastAsia"/>
                      <w:bCs/>
                      <w:caps/>
                      <w:color w:val="auto"/>
                      <w:sz w:val="21"/>
                      <w:szCs w:val="21"/>
                    </w:rPr>
                    <w:t>项目运营期</w:t>
                  </w:r>
                  <w:r>
                    <w:rPr>
                      <w:rFonts w:ascii="Times New Roman" w:eastAsiaTheme="minorEastAsia"/>
                      <w:bCs/>
                      <w:color w:val="auto"/>
                      <w:sz w:val="21"/>
                      <w:szCs w:val="21"/>
                      <w:lang w:val="en"/>
                    </w:rPr>
                    <w:t>危险废物转移联单根据危险废物管理计划中填报的危险废物转移等备案信息填写、运行。</w:t>
                  </w:r>
                </w:p>
              </w:tc>
              <w:tc>
                <w:tcPr>
                  <w:tcW w:w="590" w:type="pct"/>
                  <w:shd w:val="clear" w:color="auto" w:fill="FFFFFF"/>
                  <w:vAlign w:val="center"/>
                </w:tcPr>
                <w:p w14:paraId="5B7C4D92">
                  <w:pPr>
                    <w:pStyle w:val="95"/>
                    <w:topLinePunct/>
                    <w:spacing w:line="240" w:lineRule="auto"/>
                    <w:ind w:left="-139" w:leftChars="-66" w:firstLine="0" w:firstLineChars="0"/>
                    <w:jc w:val="center"/>
                    <w:rPr>
                      <w:rFonts w:ascii="Times New Roman" w:eastAsiaTheme="minorEastAsia"/>
                      <w:bCs/>
                      <w:caps/>
                      <w:color w:val="auto"/>
                      <w:sz w:val="21"/>
                      <w:szCs w:val="21"/>
                    </w:rPr>
                  </w:pPr>
                  <w:r>
                    <w:rPr>
                      <w:rFonts w:ascii="Times New Roman" w:eastAsiaTheme="minorEastAsia"/>
                      <w:bCs/>
                      <w:color w:val="auto"/>
                      <w:sz w:val="21"/>
                      <w:szCs w:val="21"/>
                    </w:rPr>
                    <w:t>符合</w:t>
                  </w:r>
                </w:p>
              </w:tc>
            </w:tr>
            <w:tr w14:paraId="768F7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2874" w:type="pct"/>
                  <w:shd w:val="clear" w:color="auto" w:fill="FFFFFF"/>
                  <w:vAlign w:val="center"/>
                </w:tcPr>
                <w:p w14:paraId="2B8048E9">
                  <w:pPr>
                    <w:pStyle w:val="95"/>
                    <w:topLinePunct/>
                    <w:spacing w:line="240" w:lineRule="auto"/>
                    <w:ind w:firstLine="0" w:firstLineChars="0"/>
                    <w:jc w:val="center"/>
                    <w:rPr>
                      <w:rFonts w:ascii="Times New Roman" w:eastAsiaTheme="minorEastAsia"/>
                      <w:bCs/>
                      <w:caps/>
                      <w:color w:val="auto"/>
                      <w:sz w:val="21"/>
                      <w:szCs w:val="21"/>
                    </w:rPr>
                  </w:pPr>
                  <w:r>
                    <w:rPr>
                      <w:rFonts w:ascii="Times New Roman" w:eastAsiaTheme="minorEastAsia"/>
                      <w:bCs/>
                      <w:color w:val="auto"/>
                      <w:sz w:val="21"/>
                      <w:szCs w:val="21"/>
                      <w:lang w:val="en"/>
                    </w:rPr>
                    <w:t>危险废物转移联单实行全国统一编号，编号由十四位阿拉伯数字组成。第一至四位数字为年份代码；第五、六位数字为移出地省级行政区划代码；第七、八位数字为移出地设区的市级行政区划代码；其余六位数字以移出地设区的市级行政区域为单位进行流水编号。</w:t>
                  </w:r>
                </w:p>
              </w:tc>
              <w:tc>
                <w:tcPr>
                  <w:tcW w:w="1536" w:type="pct"/>
                  <w:shd w:val="clear" w:color="auto" w:fill="FFFFFF"/>
                  <w:vAlign w:val="center"/>
                </w:tcPr>
                <w:p w14:paraId="7379E331">
                  <w:pPr>
                    <w:pStyle w:val="95"/>
                    <w:topLinePunct/>
                    <w:spacing w:line="240" w:lineRule="auto"/>
                    <w:ind w:left="-29" w:leftChars="-14" w:firstLine="0" w:firstLineChars="0"/>
                    <w:jc w:val="center"/>
                    <w:rPr>
                      <w:rFonts w:ascii="Times New Roman" w:eastAsiaTheme="minorEastAsia"/>
                      <w:bCs/>
                      <w:caps/>
                      <w:color w:val="auto"/>
                      <w:sz w:val="21"/>
                      <w:szCs w:val="21"/>
                    </w:rPr>
                  </w:pPr>
                  <w:r>
                    <w:rPr>
                      <w:rFonts w:ascii="Times New Roman" w:eastAsiaTheme="minorEastAsia"/>
                      <w:bCs/>
                      <w:caps/>
                      <w:color w:val="auto"/>
                      <w:sz w:val="21"/>
                      <w:szCs w:val="21"/>
                    </w:rPr>
                    <w:t>项目运营期危险废物转移联单采用全国统一的编号。</w:t>
                  </w:r>
                </w:p>
              </w:tc>
              <w:tc>
                <w:tcPr>
                  <w:tcW w:w="590" w:type="pct"/>
                  <w:shd w:val="clear" w:color="auto" w:fill="FFFFFF"/>
                  <w:vAlign w:val="center"/>
                </w:tcPr>
                <w:p w14:paraId="260DB2C2">
                  <w:pPr>
                    <w:pStyle w:val="95"/>
                    <w:topLinePunct/>
                    <w:spacing w:line="240" w:lineRule="auto"/>
                    <w:ind w:left="-139" w:leftChars="-66" w:firstLine="0" w:firstLineChars="0"/>
                    <w:jc w:val="center"/>
                    <w:rPr>
                      <w:rFonts w:ascii="Times New Roman" w:eastAsiaTheme="minorEastAsia"/>
                      <w:bCs/>
                      <w:caps/>
                      <w:color w:val="auto"/>
                      <w:sz w:val="21"/>
                      <w:szCs w:val="21"/>
                    </w:rPr>
                  </w:pPr>
                  <w:r>
                    <w:rPr>
                      <w:rFonts w:ascii="Times New Roman" w:eastAsiaTheme="minorEastAsia"/>
                      <w:bCs/>
                      <w:color w:val="auto"/>
                      <w:sz w:val="21"/>
                      <w:szCs w:val="21"/>
                    </w:rPr>
                    <w:t>符合</w:t>
                  </w:r>
                </w:p>
              </w:tc>
            </w:tr>
            <w:tr w14:paraId="7B102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2874" w:type="pct"/>
                  <w:shd w:val="clear" w:color="auto" w:fill="FFFFFF"/>
                  <w:vAlign w:val="center"/>
                </w:tcPr>
                <w:p w14:paraId="7992A09E">
                  <w:pPr>
                    <w:pStyle w:val="95"/>
                    <w:topLinePunct/>
                    <w:spacing w:line="240" w:lineRule="auto"/>
                    <w:ind w:firstLine="0" w:firstLineChars="0"/>
                    <w:jc w:val="center"/>
                    <w:rPr>
                      <w:rFonts w:ascii="Times New Roman" w:eastAsiaTheme="minorEastAsia"/>
                      <w:bCs/>
                      <w:caps/>
                      <w:color w:val="auto"/>
                      <w:sz w:val="21"/>
                      <w:szCs w:val="21"/>
                      <w:lang w:val="en"/>
                    </w:rPr>
                  </w:pPr>
                  <w:r>
                    <w:rPr>
                      <w:rFonts w:ascii="Times New Roman" w:eastAsiaTheme="minorEastAsia"/>
                      <w:bCs/>
                      <w:color w:val="auto"/>
                      <w:sz w:val="21"/>
                      <w:szCs w:val="21"/>
                      <w:lang w:val="en"/>
                    </w:rPr>
                    <w:t>移出人每转移一车（船或者其他运输工具）次同类危险废物，应当填写、运行一份危险废物转移联单；每车（船或者其他运输工具）次转移多类危险废物的，可以填写、运行一份危险废物转移联单，也可以每一类危险废物填写、运行一份危险废物转移联单。使用同一车（船或者其他运输工具）一次为多个移出人转移危险废物的，每个移出人应当分别填写、运行危险废物转移联单。</w:t>
                  </w:r>
                </w:p>
              </w:tc>
              <w:tc>
                <w:tcPr>
                  <w:tcW w:w="1536" w:type="pct"/>
                  <w:shd w:val="clear" w:color="auto" w:fill="FFFFFF"/>
                  <w:vAlign w:val="center"/>
                </w:tcPr>
                <w:p w14:paraId="0928C61D">
                  <w:pPr>
                    <w:pStyle w:val="95"/>
                    <w:topLinePunct/>
                    <w:spacing w:line="240" w:lineRule="auto"/>
                    <w:ind w:left="-29" w:leftChars="-14" w:firstLine="0" w:firstLineChars="0"/>
                    <w:jc w:val="center"/>
                    <w:rPr>
                      <w:rFonts w:ascii="Times New Roman" w:eastAsiaTheme="minorEastAsia"/>
                      <w:bCs/>
                      <w:caps/>
                      <w:color w:val="auto"/>
                      <w:sz w:val="21"/>
                      <w:szCs w:val="21"/>
                    </w:rPr>
                  </w:pPr>
                  <w:r>
                    <w:rPr>
                      <w:rFonts w:ascii="Times New Roman" w:eastAsiaTheme="minorEastAsia"/>
                      <w:bCs/>
                      <w:caps/>
                      <w:color w:val="auto"/>
                      <w:sz w:val="21"/>
                      <w:szCs w:val="21"/>
                    </w:rPr>
                    <w:t>项目运营期每次转移时填写相应的转移联单。</w:t>
                  </w:r>
                </w:p>
              </w:tc>
              <w:tc>
                <w:tcPr>
                  <w:tcW w:w="590" w:type="pct"/>
                  <w:shd w:val="clear" w:color="auto" w:fill="FFFFFF"/>
                  <w:vAlign w:val="center"/>
                </w:tcPr>
                <w:p w14:paraId="7C44EB9F">
                  <w:pPr>
                    <w:pStyle w:val="95"/>
                    <w:topLinePunct/>
                    <w:spacing w:line="240" w:lineRule="auto"/>
                    <w:ind w:left="-139" w:leftChars="-66" w:firstLine="0" w:firstLineChars="0"/>
                    <w:jc w:val="center"/>
                    <w:rPr>
                      <w:rFonts w:ascii="Times New Roman" w:eastAsiaTheme="minorEastAsia"/>
                      <w:bCs/>
                      <w:caps/>
                      <w:color w:val="auto"/>
                      <w:sz w:val="21"/>
                      <w:szCs w:val="21"/>
                    </w:rPr>
                  </w:pPr>
                  <w:r>
                    <w:rPr>
                      <w:rFonts w:ascii="Times New Roman" w:eastAsiaTheme="minorEastAsia"/>
                      <w:bCs/>
                      <w:color w:val="auto"/>
                      <w:sz w:val="21"/>
                      <w:szCs w:val="21"/>
                    </w:rPr>
                    <w:t>符合</w:t>
                  </w:r>
                </w:p>
              </w:tc>
            </w:tr>
            <w:tr w14:paraId="6A087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2874" w:type="pct"/>
                  <w:shd w:val="clear" w:color="auto" w:fill="FFFFFF"/>
                  <w:vAlign w:val="center"/>
                </w:tcPr>
                <w:p w14:paraId="36FEA55F">
                  <w:pPr>
                    <w:pStyle w:val="95"/>
                    <w:topLinePunct/>
                    <w:spacing w:line="240" w:lineRule="auto"/>
                    <w:ind w:firstLine="0" w:firstLineChars="0"/>
                    <w:jc w:val="center"/>
                    <w:rPr>
                      <w:rFonts w:ascii="Times New Roman" w:eastAsiaTheme="minorEastAsia"/>
                      <w:bCs/>
                      <w:caps/>
                      <w:color w:val="auto"/>
                      <w:sz w:val="21"/>
                      <w:szCs w:val="21"/>
                    </w:rPr>
                  </w:pPr>
                  <w:r>
                    <w:rPr>
                      <w:rFonts w:ascii="Times New Roman" w:eastAsiaTheme="minorEastAsia"/>
                      <w:bCs/>
                      <w:color w:val="auto"/>
                      <w:sz w:val="21"/>
                      <w:szCs w:val="21"/>
                      <w:lang w:val="en"/>
                    </w:rPr>
                    <w:t>采用联运方式转移危险废物的，前一承运人和后一承运人应当明确运输交接的时间和地点。后一承运人应当核实危险废物转移联单确定的移出人信息、前一承运人信息及危险废物相关信息。</w:t>
                  </w:r>
                </w:p>
              </w:tc>
              <w:tc>
                <w:tcPr>
                  <w:tcW w:w="1536" w:type="pct"/>
                  <w:shd w:val="clear" w:color="auto" w:fill="FFFFFF"/>
                  <w:vAlign w:val="center"/>
                </w:tcPr>
                <w:p w14:paraId="621B0E8B">
                  <w:pPr>
                    <w:pStyle w:val="95"/>
                    <w:topLinePunct/>
                    <w:spacing w:line="240" w:lineRule="auto"/>
                    <w:ind w:left="-29" w:leftChars="-14" w:firstLine="0" w:firstLineChars="0"/>
                    <w:jc w:val="center"/>
                    <w:rPr>
                      <w:rFonts w:ascii="Times New Roman" w:eastAsiaTheme="minorEastAsia"/>
                      <w:bCs/>
                      <w:caps/>
                      <w:color w:val="auto"/>
                      <w:sz w:val="21"/>
                      <w:szCs w:val="21"/>
                    </w:rPr>
                  </w:pPr>
                  <w:r>
                    <w:rPr>
                      <w:rFonts w:ascii="Times New Roman" w:eastAsiaTheme="minorEastAsia"/>
                      <w:bCs/>
                      <w:caps/>
                      <w:color w:val="auto"/>
                      <w:sz w:val="21"/>
                      <w:szCs w:val="21"/>
                    </w:rPr>
                    <w:t>项目危险废物采取专车专送，不采用联运方式。</w:t>
                  </w:r>
                </w:p>
              </w:tc>
              <w:tc>
                <w:tcPr>
                  <w:tcW w:w="590" w:type="pct"/>
                  <w:shd w:val="clear" w:color="auto" w:fill="FFFFFF"/>
                  <w:vAlign w:val="center"/>
                </w:tcPr>
                <w:p w14:paraId="4309CCF4">
                  <w:pPr>
                    <w:pStyle w:val="95"/>
                    <w:topLinePunct/>
                    <w:spacing w:line="240" w:lineRule="auto"/>
                    <w:ind w:left="-139" w:leftChars="-66" w:firstLine="0" w:firstLineChars="0"/>
                    <w:jc w:val="center"/>
                    <w:rPr>
                      <w:rFonts w:ascii="Times New Roman" w:eastAsiaTheme="minorEastAsia"/>
                      <w:bCs/>
                      <w:caps/>
                      <w:color w:val="auto"/>
                      <w:sz w:val="21"/>
                      <w:szCs w:val="21"/>
                    </w:rPr>
                  </w:pPr>
                  <w:r>
                    <w:rPr>
                      <w:rFonts w:ascii="Times New Roman" w:eastAsiaTheme="minorEastAsia"/>
                      <w:bCs/>
                      <w:color w:val="auto"/>
                      <w:sz w:val="21"/>
                      <w:szCs w:val="21"/>
                    </w:rPr>
                    <w:t>符合</w:t>
                  </w:r>
                </w:p>
              </w:tc>
            </w:tr>
            <w:tr w14:paraId="67F9E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2874" w:type="pct"/>
                  <w:shd w:val="clear" w:color="auto" w:fill="FFFFFF"/>
                  <w:vAlign w:val="center"/>
                </w:tcPr>
                <w:p w14:paraId="623EC3D2">
                  <w:pPr>
                    <w:pStyle w:val="95"/>
                    <w:topLinePunct/>
                    <w:spacing w:line="240" w:lineRule="auto"/>
                    <w:ind w:firstLine="0" w:firstLineChars="0"/>
                    <w:jc w:val="center"/>
                    <w:rPr>
                      <w:rFonts w:ascii="Times New Roman" w:eastAsiaTheme="minorEastAsia"/>
                      <w:bCs/>
                      <w:caps/>
                      <w:color w:val="auto"/>
                      <w:sz w:val="21"/>
                      <w:szCs w:val="21"/>
                    </w:rPr>
                  </w:pPr>
                  <w:r>
                    <w:rPr>
                      <w:rFonts w:ascii="Times New Roman" w:eastAsiaTheme="minorEastAsia"/>
                      <w:bCs/>
                      <w:color w:val="auto"/>
                      <w:sz w:val="21"/>
                      <w:szCs w:val="21"/>
                      <w:lang w:val="en"/>
                    </w:rPr>
                    <w:t>对不通过车（船或者其他运输工具），且无法按次对危险废物计量的其他方式转移危险废物的，移出人和接受人应当分别配备计量记录设备，将每天危险废物转移的种类、重量（数量）、形态和危险特性等信息纳入相关台账记录，并根据所在地设区的市级以上地方生态环境主管部门的要求填写、运行危险废物转移联单。</w:t>
                  </w:r>
                </w:p>
              </w:tc>
              <w:tc>
                <w:tcPr>
                  <w:tcW w:w="1536" w:type="pct"/>
                  <w:shd w:val="clear" w:color="auto" w:fill="FFFFFF"/>
                  <w:vAlign w:val="center"/>
                </w:tcPr>
                <w:p w14:paraId="1CEB489A">
                  <w:pPr>
                    <w:pStyle w:val="95"/>
                    <w:topLinePunct/>
                    <w:spacing w:line="240" w:lineRule="auto"/>
                    <w:ind w:left="-29" w:leftChars="-14" w:firstLine="0" w:firstLineChars="0"/>
                    <w:jc w:val="center"/>
                    <w:rPr>
                      <w:rFonts w:ascii="Times New Roman" w:eastAsiaTheme="minorEastAsia"/>
                      <w:bCs/>
                      <w:caps/>
                      <w:color w:val="auto"/>
                      <w:sz w:val="21"/>
                      <w:szCs w:val="21"/>
                    </w:rPr>
                  </w:pPr>
                  <w:r>
                    <w:rPr>
                      <w:rFonts w:ascii="Times New Roman" w:eastAsiaTheme="minorEastAsia"/>
                      <w:bCs/>
                      <w:caps/>
                      <w:color w:val="auto"/>
                      <w:sz w:val="21"/>
                      <w:szCs w:val="21"/>
                    </w:rPr>
                    <w:t>项目采用运输车辆进行转运，每次进厂、出厂进行危险废物称重。</w:t>
                  </w:r>
                </w:p>
              </w:tc>
              <w:tc>
                <w:tcPr>
                  <w:tcW w:w="590" w:type="pct"/>
                  <w:shd w:val="clear" w:color="auto" w:fill="FFFFFF"/>
                  <w:vAlign w:val="center"/>
                </w:tcPr>
                <w:p w14:paraId="094CF259">
                  <w:pPr>
                    <w:pStyle w:val="95"/>
                    <w:topLinePunct/>
                    <w:spacing w:line="240" w:lineRule="auto"/>
                    <w:ind w:left="-139" w:leftChars="-66" w:firstLine="0" w:firstLineChars="0"/>
                    <w:jc w:val="center"/>
                    <w:rPr>
                      <w:rFonts w:ascii="Times New Roman" w:eastAsiaTheme="minorEastAsia"/>
                      <w:bCs/>
                      <w:caps/>
                      <w:color w:val="auto"/>
                      <w:sz w:val="21"/>
                      <w:szCs w:val="21"/>
                    </w:rPr>
                  </w:pPr>
                  <w:r>
                    <w:rPr>
                      <w:rFonts w:ascii="Times New Roman" w:eastAsiaTheme="minorEastAsia"/>
                      <w:bCs/>
                      <w:color w:val="auto"/>
                      <w:sz w:val="21"/>
                      <w:szCs w:val="21"/>
                    </w:rPr>
                    <w:t>符合</w:t>
                  </w:r>
                </w:p>
              </w:tc>
            </w:tr>
          </w:tbl>
          <w:p w14:paraId="7BAD9214">
            <w:pPr>
              <w:pStyle w:val="150"/>
              <w:rPr>
                <w:color w:val="auto"/>
                <w:kern w:val="0"/>
              </w:rPr>
            </w:pPr>
            <w:r>
              <w:rPr>
                <w:color w:val="auto"/>
                <w:kern w:val="0"/>
              </w:rPr>
              <w:t>由上表可知，项目建设与《危险废物转移管理办法》（部令第23号）相符。</w:t>
            </w:r>
          </w:p>
          <w:bookmarkEnd w:id="39"/>
          <w:p w14:paraId="5FB057C5">
            <w:pPr>
              <w:autoSpaceDE w:val="0"/>
              <w:autoSpaceDN w:val="0"/>
              <w:adjustRightInd w:val="0"/>
              <w:snapToGrid w:val="0"/>
              <w:spacing w:line="360" w:lineRule="auto"/>
              <w:ind w:firstLine="482" w:firstLineChars="200"/>
              <w:jc w:val="left"/>
              <w:rPr>
                <w:b/>
                <w:bCs/>
                <w:color w:val="auto"/>
                <w:kern w:val="0"/>
                <w:sz w:val="24"/>
              </w:rPr>
            </w:pPr>
            <w:r>
              <w:rPr>
                <w:b/>
                <w:bCs/>
                <w:color w:val="auto"/>
                <w:kern w:val="0"/>
                <w:sz w:val="24"/>
              </w:rPr>
              <w:t>1</w:t>
            </w:r>
            <w:r>
              <w:rPr>
                <w:rFonts w:hint="eastAsia"/>
                <w:b/>
                <w:bCs/>
                <w:color w:val="auto"/>
                <w:kern w:val="0"/>
                <w:sz w:val="24"/>
              </w:rPr>
              <w:t>3、项目选址合理性</w:t>
            </w:r>
            <w:r>
              <w:rPr>
                <w:b/>
                <w:bCs/>
                <w:color w:val="auto"/>
                <w:kern w:val="0"/>
                <w:sz w:val="24"/>
              </w:rPr>
              <w:t>分析</w:t>
            </w:r>
          </w:p>
          <w:p w14:paraId="0B240F3D">
            <w:pPr>
              <w:pStyle w:val="150"/>
              <w:rPr>
                <w:bCs/>
                <w:color w:val="auto"/>
                <w:kern w:val="0"/>
              </w:rPr>
            </w:pPr>
            <w:r>
              <w:rPr>
                <w:rFonts w:hint="eastAsia"/>
                <w:bCs/>
                <w:color w:val="auto"/>
                <w:kern w:val="0"/>
              </w:rPr>
              <w:t>本项目位于通海县四街镇二街村老江通公路大平地，</w:t>
            </w:r>
            <w:r>
              <w:rPr>
                <w:bCs/>
                <w:color w:val="auto"/>
                <w:kern w:val="0"/>
              </w:rPr>
              <w:t>位于杞麓湖绿色发展区</w:t>
            </w:r>
            <w:r>
              <w:rPr>
                <w:rFonts w:hint="eastAsia"/>
                <w:bCs/>
                <w:color w:val="auto"/>
                <w:kern w:val="0"/>
              </w:rPr>
              <w:t>。在原有用地范围内进行改扩建，无新增建设用地。</w:t>
            </w:r>
          </w:p>
          <w:p w14:paraId="01695581">
            <w:pPr>
              <w:pStyle w:val="150"/>
              <w:rPr>
                <w:bCs/>
                <w:color w:val="auto"/>
                <w:kern w:val="0"/>
              </w:rPr>
            </w:pPr>
            <w:r>
              <w:rPr>
                <w:rFonts w:hint="eastAsia"/>
                <w:bCs/>
                <w:color w:val="auto"/>
                <w:kern w:val="0"/>
              </w:rPr>
              <w:t>根据2025年</w:t>
            </w:r>
            <w:r>
              <w:rPr>
                <w:bCs/>
                <w:color w:val="auto"/>
                <w:kern w:val="0"/>
              </w:rPr>
              <w:t>1</w:t>
            </w:r>
            <w:r>
              <w:rPr>
                <w:rFonts w:hint="eastAsia"/>
                <w:bCs/>
                <w:color w:val="auto"/>
                <w:kern w:val="0"/>
              </w:rPr>
              <w:t>2月30日通海县自然资源局出具的《通海县国土空间规划三区三线查询结果》，本项目不涉及永久基本农田，不涉及生态保护红线，位于城镇开发边界内。根据202</w:t>
            </w:r>
            <w:r>
              <w:rPr>
                <w:bCs/>
                <w:color w:val="auto"/>
                <w:kern w:val="0"/>
              </w:rPr>
              <w:t>6</w:t>
            </w:r>
            <w:r>
              <w:rPr>
                <w:rFonts w:hint="eastAsia"/>
                <w:bCs/>
                <w:color w:val="auto"/>
                <w:kern w:val="0"/>
              </w:rPr>
              <w:t>年</w:t>
            </w:r>
            <w:r>
              <w:rPr>
                <w:bCs/>
                <w:color w:val="auto"/>
                <w:kern w:val="0"/>
              </w:rPr>
              <w:t>1</w:t>
            </w:r>
            <w:r>
              <w:rPr>
                <w:rFonts w:hint="eastAsia"/>
                <w:bCs/>
                <w:color w:val="auto"/>
                <w:kern w:val="0"/>
              </w:rPr>
              <w:t>月20日通海县杞麓湖管理局出具的项目选址意见，本项目选址涉及杞麓湖绿色发展区。根据前文分析，本项目不涉及《云南省杞麓湖保护条例》中绿色发展区规定的禁止行为，因此本项目的建设符合《云南省杞麓湖保护条例》规定的要求。</w:t>
            </w:r>
            <w:r>
              <w:rPr>
                <w:rFonts w:hint="eastAsia"/>
                <w:color w:val="auto"/>
              </w:rPr>
              <w:t>根据2025年12月30日通海县纳古镇人民政府出具的《关于云南省通海县鸿翔焊管有限公司的选址意见》，项目用地属二类工业用地，符合《玉溪市通海县纳古镇集镇区国土空间详细规划(2单元)》，同意该项目选址。根据202</w:t>
            </w:r>
            <w:r>
              <w:rPr>
                <w:color w:val="auto"/>
              </w:rPr>
              <w:t>6</w:t>
            </w:r>
            <w:r>
              <w:rPr>
                <w:rFonts w:hint="eastAsia"/>
                <w:color w:val="auto"/>
              </w:rPr>
              <w:t>年4月17日玉溪市生态环境局通海分局出具的《云南省通海县鸿翔焊管有限公司生态环境分区管控查询结果》，项目涉及通海县农业农村面源污染重点管控单元、通海县乡镇生活污染重点管控单元、通海县一般管控单元。经对照分析，项目符合所在地生态环境分区管控中与本项目有关的相关要求。根据2026年7月14日玉溪市生态环境局通海分局出具的《关于云南省通海县鸿翔焊管有限公司是否涉及饮用水水源地保护区查询结果》，项目</w:t>
            </w:r>
            <w:bookmarkStart w:id="44" w:name="OLE_LINK61"/>
            <w:r>
              <w:rPr>
                <w:rFonts w:hint="eastAsia"/>
                <w:color w:val="auto"/>
              </w:rPr>
              <w:t>地不涉及饮用水水源地保护区</w:t>
            </w:r>
            <w:bookmarkEnd w:id="44"/>
            <w:r>
              <w:rPr>
                <w:rFonts w:hint="eastAsia"/>
                <w:color w:val="auto"/>
              </w:rPr>
              <w:t>。</w:t>
            </w:r>
          </w:p>
          <w:p w14:paraId="091B6151">
            <w:pPr>
              <w:pStyle w:val="150"/>
              <w:rPr>
                <w:color w:val="auto"/>
              </w:rPr>
            </w:pPr>
            <w:r>
              <w:rPr>
                <w:rFonts w:hint="eastAsia"/>
                <w:color w:val="auto"/>
              </w:rPr>
              <w:t>项目周边主要为工业企业，属于纳古镇工业企业聚集区</w:t>
            </w:r>
            <w:r>
              <w:rPr>
                <w:rFonts w:hint="eastAsia" w:eastAsiaTheme="minorEastAsia"/>
                <w:color w:val="auto"/>
                <w:kern w:val="0"/>
              </w:rPr>
              <w:t>，</w:t>
            </w:r>
            <w:r>
              <w:rPr>
                <w:color w:val="auto"/>
              </w:rPr>
              <w:t>项目与周围环境相容</w:t>
            </w:r>
            <w:r>
              <w:rPr>
                <w:rFonts w:hint="eastAsia"/>
                <w:color w:val="auto"/>
              </w:rPr>
              <w:t>。本项目距离杞麓湖2654</w:t>
            </w:r>
            <w:r>
              <w:rPr>
                <w:color w:val="auto"/>
              </w:rPr>
              <w:t>m</w:t>
            </w:r>
            <w:r>
              <w:rPr>
                <w:rFonts w:hint="eastAsia"/>
                <w:color w:val="auto"/>
              </w:rPr>
              <w:t>，项目生活污水经化粪池预处理后，由罐车运至纳古镇污水处理站处理，处理后</w:t>
            </w:r>
            <w:r>
              <w:rPr>
                <w:rFonts w:hint="eastAsia"/>
                <w:color w:val="auto"/>
                <w:kern w:val="0"/>
              </w:rPr>
              <w:t>进入杞麓湖环湖截污沟后经提升泵站用于周边农田浇灌，不会对杞麓湖造成影响。</w:t>
            </w:r>
            <w:r>
              <w:rPr>
                <w:color w:val="auto"/>
              </w:rPr>
              <w:t>本项目周围无自然保护区、风景名胜区、生态红线保护区等环境敏感区</w:t>
            </w:r>
            <w:r>
              <w:rPr>
                <w:rFonts w:hint="eastAsia"/>
                <w:color w:val="auto"/>
              </w:rPr>
              <w:t>。</w:t>
            </w:r>
          </w:p>
          <w:p w14:paraId="4101EE22">
            <w:pPr>
              <w:pStyle w:val="150"/>
              <w:rPr>
                <w:color w:val="auto"/>
              </w:rPr>
            </w:pPr>
            <w:r>
              <w:rPr>
                <w:color w:val="auto"/>
              </w:rPr>
              <w:t>项目产生的污染物在采取相应环保措施后，产生的环境影响可以得到有效控制，不会改变区域的环境功能区划。从环境影响的角度分析，本项目选址合理</w:t>
            </w:r>
            <w:r>
              <w:rPr>
                <w:color w:val="auto"/>
                <w:kern w:val="0"/>
              </w:rPr>
              <w:t>。</w:t>
            </w:r>
          </w:p>
          <w:p w14:paraId="771B30A9">
            <w:pPr>
              <w:autoSpaceDE w:val="0"/>
              <w:autoSpaceDN w:val="0"/>
              <w:adjustRightInd w:val="0"/>
              <w:snapToGrid w:val="0"/>
              <w:spacing w:line="360" w:lineRule="auto"/>
              <w:ind w:firstLine="482" w:firstLineChars="200"/>
              <w:jc w:val="left"/>
              <w:rPr>
                <w:b/>
                <w:bCs/>
                <w:color w:val="auto"/>
                <w:sz w:val="24"/>
              </w:rPr>
            </w:pPr>
            <w:r>
              <w:rPr>
                <w:rFonts w:hint="eastAsia"/>
                <w:b/>
                <w:bCs/>
                <w:color w:val="auto"/>
                <w:sz w:val="24"/>
              </w:rPr>
              <w:t>11、环境相容性分析</w:t>
            </w:r>
          </w:p>
          <w:p w14:paraId="5E61C3C4">
            <w:pPr>
              <w:autoSpaceDE w:val="0"/>
              <w:autoSpaceDN w:val="0"/>
              <w:adjustRightInd w:val="0"/>
              <w:snapToGrid w:val="0"/>
              <w:spacing w:line="360" w:lineRule="auto"/>
              <w:ind w:firstLine="480" w:firstLineChars="200"/>
              <w:jc w:val="left"/>
              <w:rPr>
                <w:color w:val="auto"/>
                <w:sz w:val="24"/>
              </w:rPr>
            </w:pPr>
            <w:r>
              <w:rPr>
                <w:color w:val="auto"/>
                <w:sz w:val="24"/>
              </w:rPr>
              <w:t>项目周边企业主要为</w:t>
            </w:r>
            <w:r>
              <w:rPr>
                <w:rFonts w:hint="eastAsia"/>
                <w:color w:val="auto"/>
                <w:sz w:val="24"/>
              </w:rPr>
              <w:t>云南泰森管业</w:t>
            </w:r>
            <w:r>
              <w:rPr>
                <w:color w:val="auto"/>
                <w:sz w:val="24"/>
              </w:rPr>
              <w:t>有限公司和云南</w:t>
            </w:r>
            <w:r>
              <w:rPr>
                <w:rFonts w:hint="eastAsia"/>
                <w:color w:val="auto"/>
                <w:sz w:val="24"/>
              </w:rPr>
              <w:t>纳泰管业</w:t>
            </w:r>
            <w:r>
              <w:rPr>
                <w:color w:val="auto"/>
                <w:sz w:val="24"/>
              </w:rPr>
              <w:t>有限公司，均为焊管生产企业，污染物为颗粒物，</w:t>
            </w:r>
            <w:r>
              <w:rPr>
                <w:rFonts w:hint="eastAsia"/>
                <w:color w:val="auto"/>
                <w:sz w:val="24"/>
              </w:rPr>
              <w:t>其与本项目为同一类型生产企业，</w:t>
            </w:r>
            <w:r>
              <w:rPr>
                <w:color w:val="auto"/>
                <w:sz w:val="24"/>
              </w:rPr>
              <w:t>故本项目与周边环境相容。</w:t>
            </w:r>
          </w:p>
          <w:p w14:paraId="3D89105C">
            <w:pPr>
              <w:autoSpaceDE w:val="0"/>
              <w:autoSpaceDN w:val="0"/>
              <w:adjustRightInd w:val="0"/>
              <w:snapToGrid w:val="0"/>
              <w:spacing w:line="360" w:lineRule="auto"/>
              <w:ind w:firstLine="482" w:firstLineChars="200"/>
              <w:jc w:val="left"/>
              <w:rPr>
                <w:b/>
                <w:color w:val="auto"/>
                <w:kern w:val="0"/>
                <w:sz w:val="24"/>
              </w:rPr>
            </w:pPr>
            <w:r>
              <w:rPr>
                <w:rFonts w:hint="eastAsia"/>
                <w:b/>
                <w:bCs/>
                <w:color w:val="auto"/>
                <w:sz w:val="24"/>
              </w:rPr>
              <w:t>12、</w:t>
            </w:r>
            <w:r>
              <w:rPr>
                <w:b/>
                <w:color w:val="auto"/>
                <w:kern w:val="0"/>
                <w:sz w:val="24"/>
              </w:rPr>
              <w:t>产业政策符合性分析</w:t>
            </w:r>
          </w:p>
          <w:p w14:paraId="46AE084F">
            <w:pPr>
              <w:autoSpaceDE w:val="0"/>
              <w:autoSpaceDN w:val="0"/>
              <w:adjustRightInd w:val="0"/>
              <w:snapToGrid w:val="0"/>
              <w:spacing w:line="360" w:lineRule="auto"/>
              <w:ind w:firstLine="480" w:firstLineChars="200"/>
              <w:jc w:val="left"/>
              <w:rPr>
                <w:color w:val="auto"/>
                <w:kern w:val="0"/>
                <w:sz w:val="24"/>
              </w:rPr>
            </w:pPr>
            <w:r>
              <w:rPr>
                <w:rFonts w:hint="eastAsia"/>
                <w:color w:val="auto"/>
                <w:kern w:val="0"/>
                <w:sz w:val="24"/>
              </w:rPr>
              <w:t>对照《产业结构调整指导目录（2024年本）》，本项目不属于鼓励类、限制类和淘汰类。根据《产业结构调整指导目录（2024年本）》，“鼓励类、限制类和淘汰类之外的，且符合国家有关法律、法规和政策规定的属于允许类”。</w:t>
            </w:r>
          </w:p>
          <w:p w14:paraId="5A077BA4">
            <w:pPr>
              <w:autoSpaceDE w:val="0"/>
              <w:autoSpaceDN w:val="0"/>
              <w:adjustRightInd w:val="0"/>
              <w:snapToGrid w:val="0"/>
              <w:spacing w:line="360" w:lineRule="auto"/>
              <w:ind w:firstLine="480" w:firstLineChars="200"/>
              <w:jc w:val="left"/>
              <w:rPr>
                <w:color w:val="auto"/>
                <w:kern w:val="0"/>
                <w:sz w:val="24"/>
              </w:rPr>
            </w:pPr>
            <w:r>
              <w:rPr>
                <w:rFonts w:hint="eastAsia"/>
                <w:color w:val="auto"/>
                <w:kern w:val="0"/>
                <w:sz w:val="24"/>
              </w:rPr>
              <w:t>项目于2025年12月26日取得通海县发展和改革局出具的《云南省固定资产投资项目备案证》（备案号【项目代码】：2512-530423-04-02-16282）。</w:t>
            </w:r>
          </w:p>
          <w:p w14:paraId="17C9C9AE">
            <w:pPr>
              <w:autoSpaceDE w:val="0"/>
              <w:autoSpaceDN w:val="0"/>
              <w:adjustRightInd w:val="0"/>
              <w:snapToGrid w:val="0"/>
              <w:spacing w:line="360" w:lineRule="auto"/>
              <w:ind w:firstLine="480" w:firstLineChars="200"/>
              <w:jc w:val="left"/>
              <w:rPr>
                <w:rFonts w:hint="eastAsia"/>
                <w:color w:val="auto"/>
                <w:kern w:val="0"/>
                <w:sz w:val="24"/>
              </w:rPr>
            </w:pPr>
            <w:r>
              <w:rPr>
                <w:rFonts w:hint="eastAsia"/>
                <w:color w:val="auto"/>
                <w:kern w:val="0"/>
                <w:sz w:val="24"/>
              </w:rPr>
              <w:t>因此，项目建设符合国家相关产业政策。</w:t>
            </w:r>
          </w:p>
          <w:p w14:paraId="1881D126">
            <w:pPr>
              <w:autoSpaceDE w:val="0"/>
              <w:autoSpaceDN w:val="0"/>
              <w:adjustRightInd w:val="0"/>
              <w:snapToGrid w:val="0"/>
              <w:spacing w:line="360" w:lineRule="auto"/>
              <w:ind w:firstLine="480" w:firstLineChars="200"/>
              <w:jc w:val="left"/>
              <w:rPr>
                <w:rFonts w:hint="eastAsia"/>
                <w:color w:val="auto"/>
                <w:kern w:val="0"/>
                <w:sz w:val="24"/>
              </w:rPr>
            </w:pPr>
          </w:p>
          <w:p w14:paraId="70859119">
            <w:pPr>
              <w:autoSpaceDE w:val="0"/>
              <w:autoSpaceDN w:val="0"/>
              <w:adjustRightInd w:val="0"/>
              <w:snapToGrid w:val="0"/>
              <w:spacing w:line="360" w:lineRule="auto"/>
              <w:ind w:firstLine="480" w:firstLineChars="200"/>
              <w:jc w:val="left"/>
              <w:rPr>
                <w:rFonts w:hint="eastAsia"/>
                <w:color w:val="auto"/>
                <w:kern w:val="0"/>
                <w:sz w:val="24"/>
              </w:rPr>
            </w:pPr>
          </w:p>
          <w:p w14:paraId="53BC5E59">
            <w:pPr>
              <w:autoSpaceDE w:val="0"/>
              <w:autoSpaceDN w:val="0"/>
              <w:adjustRightInd w:val="0"/>
              <w:snapToGrid w:val="0"/>
              <w:spacing w:line="360" w:lineRule="auto"/>
              <w:ind w:firstLine="480" w:firstLineChars="200"/>
              <w:jc w:val="left"/>
              <w:rPr>
                <w:rFonts w:hint="eastAsia"/>
                <w:color w:val="auto"/>
                <w:kern w:val="0"/>
                <w:sz w:val="24"/>
              </w:rPr>
            </w:pPr>
          </w:p>
          <w:p w14:paraId="7B8CFA25">
            <w:pPr>
              <w:autoSpaceDE w:val="0"/>
              <w:autoSpaceDN w:val="0"/>
              <w:adjustRightInd w:val="0"/>
              <w:snapToGrid w:val="0"/>
              <w:spacing w:line="360" w:lineRule="auto"/>
              <w:ind w:firstLine="480" w:firstLineChars="200"/>
              <w:jc w:val="left"/>
              <w:rPr>
                <w:rFonts w:hint="eastAsia"/>
                <w:color w:val="auto"/>
                <w:kern w:val="0"/>
                <w:sz w:val="24"/>
              </w:rPr>
            </w:pPr>
          </w:p>
          <w:p w14:paraId="30941F85">
            <w:pPr>
              <w:autoSpaceDE w:val="0"/>
              <w:autoSpaceDN w:val="0"/>
              <w:adjustRightInd w:val="0"/>
              <w:snapToGrid w:val="0"/>
              <w:spacing w:line="360" w:lineRule="auto"/>
              <w:ind w:firstLine="480" w:firstLineChars="200"/>
              <w:jc w:val="left"/>
              <w:rPr>
                <w:rFonts w:hint="eastAsia"/>
                <w:color w:val="auto"/>
                <w:kern w:val="0"/>
                <w:sz w:val="24"/>
              </w:rPr>
            </w:pPr>
          </w:p>
          <w:p w14:paraId="6CEC18D3">
            <w:pPr>
              <w:autoSpaceDE w:val="0"/>
              <w:autoSpaceDN w:val="0"/>
              <w:adjustRightInd w:val="0"/>
              <w:snapToGrid w:val="0"/>
              <w:spacing w:line="360" w:lineRule="auto"/>
              <w:ind w:firstLine="480" w:firstLineChars="200"/>
              <w:jc w:val="left"/>
              <w:rPr>
                <w:rFonts w:hint="eastAsia"/>
                <w:color w:val="auto"/>
                <w:kern w:val="0"/>
                <w:sz w:val="24"/>
              </w:rPr>
            </w:pPr>
          </w:p>
          <w:p w14:paraId="11A0217C">
            <w:pPr>
              <w:autoSpaceDE w:val="0"/>
              <w:autoSpaceDN w:val="0"/>
              <w:adjustRightInd w:val="0"/>
              <w:snapToGrid w:val="0"/>
              <w:spacing w:line="360" w:lineRule="auto"/>
              <w:jc w:val="left"/>
              <w:rPr>
                <w:rFonts w:hint="eastAsia"/>
                <w:color w:val="auto"/>
                <w:kern w:val="0"/>
                <w:sz w:val="24"/>
              </w:rPr>
            </w:pPr>
          </w:p>
          <w:p w14:paraId="59BA1ECC">
            <w:pPr>
              <w:autoSpaceDE w:val="0"/>
              <w:autoSpaceDN w:val="0"/>
              <w:adjustRightInd w:val="0"/>
              <w:snapToGrid w:val="0"/>
              <w:spacing w:line="360" w:lineRule="auto"/>
              <w:jc w:val="left"/>
              <w:rPr>
                <w:color w:val="auto"/>
                <w:kern w:val="0"/>
                <w:sz w:val="24"/>
              </w:rPr>
            </w:pPr>
          </w:p>
        </w:tc>
      </w:tr>
    </w:tbl>
    <w:p w14:paraId="08EDB35C">
      <w:pPr>
        <w:rPr>
          <w:rFonts w:eastAsia="黑体"/>
          <w:color w:val="auto"/>
          <w:sz w:val="30"/>
        </w:rPr>
      </w:pPr>
    </w:p>
    <w:p w14:paraId="5D596895">
      <w:pPr>
        <w:spacing w:line="360" w:lineRule="auto"/>
        <w:outlineLvl w:val="0"/>
        <w:rPr>
          <w:rFonts w:eastAsia="黑体"/>
          <w:color w:val="auto"/>
          <w:sz w:val="30"/>
        </w:rPr>
        <w:sectPr>
          <w:footerReference r:id="rId4" w:type="default"/>
          <w:pgSz w:w="11906" w:h="16838"/>
          <w:pgMar w:top="1701" w:right="1531" w:bottom="1701" w:left="1531" w:header="851" w:footer="1077" w:gutter="0"/>
          <w:pgNumType w:start="1"/>
          <w:cols w:space="720" w:num="1"/>
          <w:docGrid w:linePitch="312" w:charSpace="0"/>
        </w:sectPr>
      </w:pPr>
    </w:p>
    <w:p w14:paraId="4A0E0421">
      <w:pPr>
        <w:pStyle w:val="28"/>
        <w:jc w:val="center"/>
        <w:outlineLvl w:val="0"/>
        <w:rPr>
          <w:rFonts w:ascii="Times New Roman" w:hAnsi="Times New Roman" w:eastAsia="黑体"/>
          <w:snapToGrid w:val="0"/>
          <w:color w:val="auto"/>
          <w:sz w:val="30"/>
          <w:szCs w:val="30"/>
        </w:rPr>
      </w:pPr>
      <w:bookmarkStart w:id="45" w:name="_Toc152840730"/>
      <w:r>
        <w:rPr>
          <w:rFonts w:ascii="Times New Roman" w:hAnsi="黑体" w:eastAsia="黑体"/>
          <w:snapToGrid w:val="0"/>
          <w:color w:val="auto"/>
          <w:sz w:val="30"/>
          <w:szCs w:val="30"/>
        </w:rPr>
        <w:t>二、建设项目工程分析</w:t>
      </w:r>
      <w:bookmarkEnd w:id="45"/>
    </w:p>
    <w:tbl>
      <w:tblPr>
        <w:tblStyle w:val="32"/>
        <w:tblW w:w="963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9210"/>
      </w:tblGrid>
      <w:tr w14:paraId="0449F4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94" w:hRule="atLeast"/>
          <w:jc w:val="center"/>
        </w:trPr>
        <w:tc>
          <w:tcPr>
            <w:tcW w:w="420" w:type="dxa"/>
            <w:vAlign w:val="center"/>
          </w:tcPr>
          <w:p w14:paraId="16C14453">
            <w:pPr>
              <w:pStyle w:val="28"/>
              <w:adjustRightInd w:val="0"/>
              <w:snapToGrid w:val="0"/>
              <w:spacing w:before="0" w:beforeAutospacing="0" w:after="0" w:afterAutospacing="0"/>
              <w:jc w:val="center"/>
              <w:rPr>
                <w:rFonts w:ascii="Times New Roman" w:hAnsi="Times New Roman"/>
                <w:color w:val="auto"/>
                <w:szCs w:val="24"/>
              </w:rPr>
            </w:pPr>
            <w:bookmarkStart w:id="46" w:name="_Hlk227330440"/>
            <w:r>
              <w:rPr>
                <w:rFonts w:ascii="Times New Roman"/>
                <w:color w:val="auto"/>
                <w:szCs w:val="24"/>
              </w:rPr>
              <w:t>建设内容</w:t>
            </w:r>
          </w:p>
        </w:tc>
        <w:tc>
          <w:tcPr>
            <w:tcW w:w="8864" w:type="dxa"/>
          </w:tcPr>
          <w:p w14:paraId="5D0D1191">
            <w:pPr>
              <w:adjustRightInd w:val="0"/>
              <w:snapToGrid w:val="0"/>
              <w:spacing w:line="360" w:lineRule="auto"/>
              <w:jc w:val="left"/>
              <w:rPr>
                <w:bCs/>
                <w:color w:val="auto"/>
                <w:sz w:val="24"/>
              </w:rPr>
            </w:pPr>
            <w:r>
              <w:rPr>
                <w:rFonts w:hint="eastAsia"/>
                <w:b/>
                <w:bCs/>
                <w:color w:val="auto"/>
                <w:sz w:val="24"/>
              </w:rPr>
              <w:t>1、项目任务由来</w:t>
            </w:r>
          </w:p>
          <w:p w14:paraId="3F9945FA">
            <w:pPr>
              <w:adjustRightInd w:val="0"/>
              <w:snapToGrid w:val="0"/>
              <w:spacing w:line="360" w:lineRule="auto"/>
              <w:ind w:firstLine="480" w:firstLineChars="200"/>
              <w:jc w:val="left"/>
              <w:rPr>
                <w:bCs/>
                <w:color w:val="auto"/>
                <w:sz w:val="24"/>
              </w:rPr>
            </w:pPr>
            <w:r>
              <w:rPr>
                <w:rFonts w:hint="eastAsia"/>
                <w:bCs/>
                <w:color w:val="auto"/>
                <w:sz w:val="24"/>
              </w:rPr>
              <w:t>本项目位于通海县四街镇二街村老江通公路大平地，</w:t>
            </w:r>
            <w:r>
              <w:rPr>
                <w:bCs/>
                <w:color w:val="auto"/>
                <w:sz w:val="24"/>
              </w:rPr>
              <w:t>利用</w:t>
            </w:r>
            <w:r>
              <w:rPr>
                <w:rFonts w:hint="eastAsia"/>
                <w:bCs/>
                <w:color w:val="auto"/>
                <w:sz w:val="24"/>
              </w:rPr>
              <w:t>已</w:t>
            </w:r>
            <w:r>
              <w:rPr>
                <w:bCs/>
                <w:color w:val="auto"/>
                <w:sz w:val="24"/>
              </w:rPr>
              <w:t>有生产车间、原料及成品仓库、办公楼及其他配套设施</w:t>
            </w:r>
            <w:r>
              <w:rPr>
                <w:rFonts w:hint="eastAsia"/>
                <w:bCs/>
                <w:color w:val="auto"/>
                <w:sz w:val="24"/>
              </w:rPr>
              <w:t>等进行改造</w:t>
            </w:r>
            <w:r>
              <w:rPr>
                <w:bCs/>
                <w:color w:val="auto"/>
                <w:sz w:val="24"/>
              </w:rPr>
              <w:t>，</w:t>
            </w:r>
            <w:r>
              <w:rPr>
                <w:rFonts w:hint="eastAsia"/>
                <w:bCs/>
                <w:color w:val="auto"/>
                <w:sz w:val="24"/>
              </w:rPr>
              <w:t>进行高频焊管生产。</w:t>
            </w:r>
          </w:p>
          <w:p w14:paraId="47EB9ECE">
            <w:pPr>
              <w:adjustRightInd w:val="0"/>
              <w:snapToGrid w:val="0"/>
              <w:spacing w:line="360" w:lineRule="auto"/>
              <w:ind w:firstLine="480" w:firstLineChars="200"/>
              <w:jc w:val="left"/>
              <w:rPr>
                <w:bCs/>
                <w:color w:val="auto"/>
                <w:sz w:val="24"/>
              </w:rPr>
            </w:pPr>
            <w:bookmarkStart w:id="47" w:name="OLE_LINK2"/>
            <w:r>
              <w:rPr>
                <w:rFonts w:hint="eastAsia"/>
                <w:bCs/>
                <w:color w:val="auto"/>
                <w:sz w:val="24"/>
              </w:rPr>
              <w:t>云南省通海县鸿翔焊管有限公司</w:t>
            </w:r>
            <w:r>
              <w:rPr>
                <w:bCs/>
                <w:color w:val="auto"/>
                <w:sz w:val="24"/>
              </w:rPr>
              <w:t>，成立于</w:t>
            </w:r>
            <w:r>
              <w:rPr>
                <w:rFonts w:hint="eastAsia"/>
                <w:bCs/>
                <w:color w:val="auto"/>
                <w:sz w:val="24"/>
              </w:rPr>
              <w:t>1998</w:t>
            </w:r>
            <w:r>
              <w:rPr>
                <w:bCs/>
                <w:color w:val="auto"/>
                <w:sz w:val="24"/>
              </w:rPr>
              <w:t>年</w:t>
            </w:r>
            <w:r>
              <w:rPr>
                <w:rFonts w:hint="eastAsia"/>
                <w:bCs/>
                <w:color w:val="auto"/>
                <w:sz w:val="24"/>
              </w:rPr>
              <w:t>9</w:t>
            </w:r>
            <w:r>
              <w:rPr>
                <w:bCs/>
                <w:color w:val="auto"/>
                <w:sz w:val="24"/>
              </w:rPr>
              <w:t>月</w:t>
            </w:r>
            <w:r>
              <w:rPr>
                <w:rFonts w:hint="eastAsia"/>
                <w:bCs/>
                <w:color w:val="auto"/>
                <w:sz w:val="24"/>
              </w:rPr>
              <w:t>1</w:t>
            </w:r>
            <w:r>
              <w:rPr>
                <w:bCs/>
                <w:color w:val="auto"/>
                <w:sz w:val="24"/>
              </w:rPr>
              <w:t>日，</w:t>
            </w:r>
            <w:r>
              <w:rPr>
                <w:rFonts w:hint="eastAsia"/>
                <w:bCs/>
                <w:color w:val="auto"/>
                <w:sz w:val="24"/>
              </w:rPr>
              <w:t>主要从事高频直缝焊管生产。2008年9月，建设单位建成了年产40000吨焊管生产线项目，包含1条纵剪生产线及4条高频焊管生产线，主要工序为冷轧、纵剪、退火、感应热处理、焊接等，建设单位将退火炉燃煤改造为电加热，再后来拆除了冷轧、退火、感应热处理等工序及相应设备，目前仅余1条纵剪生产线及4条高频焊管焊接生产线。</w:t>
            </w:r>
          </w:p>
          <w:p w14:paraId="469B91E6">
            <w:pPr>
              <w:adjustRightInd w:val="0"/>
              <w:snapToGrid w:val="0"/>
              <w:spacing w:line="360" w:lineRule="auto"/>
              <w:ind w:firstLine="480" w:firstLineChars="200"/>
              <w:jc w:val="left"/>
              <w:rPr>
                <w:bCs/>
                <w:color w:val="auto"/>
                <w:sz w:val="24"/>
              </w:rPr>
            </w:pPr>
            <w:r>
              <w:rPr>
                <w:rFonts w:hint="eastAsia"/>
                <w:bCs/>
                <w:color w:val="auto"/>
                <w:sz w:val="24"/>
              </w:rPr>
              <w:t>2025年11月25日，玉溪市生态环境局经现场检查，发现公司生产车间4号内建成两条高频焊管生产线（含1条纵剪线，2022年未批先建），未办理环保手续，以玉环罚告[2026]1-11号对建设单位进行了处罚。</w:t>
            </w:r>
          </w:p>
          <w:bookmarkEnd w:id="47"/>
          <w:p w14:paraId="3C691BCF">
            <w:pPr>
              <w:adjustRightInd w:val="0"/>
              <w:snapToGrid w:val="0"/>
              <w:spacing w:line="360" w:lineRule="auto"/>
              <w:ind w:firstLine="480" w:firstLineChars="200"/>
              <w:jc w:val="left"/>
              <w:rPr>
                <w:bCs/>
                <w:color w:val="auto"/>
                <w:sz w:val="24"/>
              </w:rPr>
            </w:pPr>
            <w:r>
              <w:rPr>
                <w:rFonts w:hint="eastAsia"/>
                <w:bCs/>
                <w:color w:val="auto"/>
                <w:sz w:val="24"/>
              </w:rPr>
              <w:t>根据建设单位提供的情况说明，项目于2025年12月26日取得通海县发展和改革局出具的《云南省固定资产投资项目备案证》（备案号〔项目代码〕：2512-530423-04-02-160282。备案证主要建设内容为：购置安装焊管机生产线9条，带钢纵剪线4条，形成年产10万吨焊管生产规模。经核实，备案证上所提安装焊管机生产线9条，带钢纵剪线4条已包含原有1条纵剪生产线、4条高频焊管焊接生产线及已建成（未批先建）的2条高频焊管生产线（含1条纵剪线）。</w:t>
            </w:r>
            <w:r>
              <w:rPr>
                <w:bCs/>
                <w:color w:val="auto"/>
                <w:sz w:val="24"/>
              </w:rPr>
              <w:t>项目还需新建3条焊管机生产线及2条带钢纵剪</w:t>
            </w:r>
            <w:r>
              <w:rPr>
                <w:rFonts w:hint="eastAsia"/>
                <w:bCs/>
                <w:color w:val="auto"/>
                <w:sz w:val="24"/>
              </w:rPr>
              <w:t>线</w:t>
            </w:r>
            <w:r>
              <w:rPr>
                <w:bCs/>
                <w:color w:val="auto"/>
                <w:sz w:val="24"/>
              </w:rPr>
              <w:t>，实现年产10万吨焊管生产规模。</w:t>
            </w:r>
            <w:bookmarkStart w:id="48" w:name="OLE_LINK56"/>
            <w:r>
              <w:rPr>
                <w:bCs/>
                <w:color w:val="auto"/>
                <w:sz w:val="24"/>
              </w:rPr>
              <w:t>本次改扩建评价内容针对改建的原有4条焊管机生产线及1条纵剪线、扩建的3条焊管机生产线及2条带钢纵剪线、未批先建的2条高频焊管生产线及1条纵剪线，以及改造的环保措施内容</w:t>
            </w:r>
            <w:bookmarkStart w:id="49" w:name="OLE_LINK1"/>
            <w:bookmarkStart w:id="50" w:name="OLE_LINK46"/>
            <w:r>
              <w:rPr>
                <w:rFonts w:hint="eastAsia"/>
                <w:bCs/>
                <w:color w:val="auto"/>
                <w:sz w:val="24"/>
              </w:rPr>
              <w:t>。</w:t>
            </w:r>
            <w:bookmarkEnd w:id="48"/>
            <w:bookmarkEnd w:id="49"/>
            <w:bookmarkEnd w:id="50"/>
            <w:r>
              <w:rPr>
                <w:rFonts w:hint="eastAsia"/>
                <w:bCs/>
                <w:color w:val="auto"/>
                <w:sz w:val="24"/>
              </w:rPr>
              <w:t>生产线情况如下：</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4"/>
              <w:gridCol w:w="2246"/>
              <w:gridCol w:w="2247"/>
              <w:gridCol w:w="2247"/>
            </w:tblGrid>
            <w:tr w14:paraId="6D294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vAlign w:val="center"/>
                </w:tcPr>
                <w:p w14:paraId="21ADADD9">
                  <w:pPr>
                    <w:adjustRightInd w:val="0"/>
                    <w:snapToGrid w:val="0"/>
                    <w:jc w:val="center"/>
                    <w:rPr>
                      <w:bCs/>
                      <w:color w:val="auto"/>
                      <w:szCs w:val="21"/>
                    </w:rPr>
                  </w:pPr>
                  <w:r>
                    <w:rPr>
                      <w:rFonts w:hint="eastAsia"/>
                      <w:bCs/>
                      <w:color w:val="auto"/>
                      <w:szCs w:val="21"/>
                    </w:rPr>
                    <w:t>原有项目生产线</w:t>
                  </w:r>
                </w:p>
              </w:tc>
              <w:tc>
                <w:tcPr>
                  <w:tcW w:w="1250" w:type="pct"/>
                  <w:vAlign w:val="center"/>
                </w:tcPr>
                <w:p w14:paraId="1EF321A5">
                  <w:pPr>
                    <w:adjustRightInd w:val="0"/>
                    <w:snapToGrid w:val="0"/>
                    <w:jc w:val="center"/>
                    <w:rPr>
                      <w:bCs/>
                      <w:color w:val="auto"/>
                      <w:szCs w:val="21"/>
                    </w:rPr>
                  </w:pPr>
                  <w:r>
                    <w:rPr>
                      <w:rFonts w:hint="eastAsia"/>
                      <w:bCs/>
                      <w:color w:val="auto"/>
                      <w:szCs w:val="21"/>
                    </w:rPr>
                    <w:t>未批先建项目生产线</w:t>
                  </w:r>
                </w:p>
              </w:tc>
              <w:tc>
                <w:tcPr>
                  <w:tcW w:w="1250" w:type="pct"/>
                  <w:vAlign w:val="center"/>
                </w:tcPr>
                <w:p w14:paraId="705E792D">
                  <w:pPr>
                    <w:adjustRightInd w:val="0"/>
                    <w:snapToGrid w:val="0"/>
                    <w:jc w:val="center"/>
                    <w:rPr>
                      <w:bCs/>
                      <w:color w:val="auto"/>
                      <w:szCs w:val="21"/>
                    </w:rPr>
                  </w:pPr>
                  <w:r>
                    <w:rPr>
                      <w:rFonts w:hint="eastAsia"/>
                      <w:bCs/>
                      <w:color w:val="auto"/>
                      <w:szCs w:val="21"/>
                    </w:rPr>
                    <w:t>本次新增生产线</w:t>
                  </w:r>
                </w:p>
              </w:tc>
              <w:tc>
                <w:tcPr>
                  <w:tcW w:w="1250" w:type="pct"/>
                  <w:vAlign w:val="center"/>
                </w:tcPr>
                <w:p w14:paraId="735BA310">
                  <w:pPr>
                    <w:adjustRightInd w:val="0"/>
                    <w:snapToGrid w:val="0"/>
                    <w:jc w:val="center"/>
                    <w:rPr>
                      <w:bCs/>
                      <w:color w:val="auto"/>
                      <w:szCs w:val="21"/>
                    </w:rPr>
                  </w:pPr>
                  <w:r>
                    <w:rPr>
                      <w:rFonts w:hint="eastAsia"/>
                      <w:bCs/>
                      <w:color w:val="auto"/>
                      <w:szCs w:val="21"/>
                    </w:rPr>
                    <w:t>总生产线</w:t>
                  </w:r>
                </w:p>
              </w:tc>
            </w:tr>
            <w:tr w14:paraId="3C9B7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vAlign w:val="center"/>
                </w:tcPr>
                <w:p w14:paraId="29FE62C5">
                  <w:pPr>
                    <w:autoSpaceDE w:val="0"/>
                    <w:autoSpaceDN w:val="0"/>
                    <w:adjustRightInd w:val="0"/>
                    <w:snapToGrid w:val="0"/>
                    <w:jc w:val="center"/>
                    <w:rPr>
                      <w:bCs/>
                      <w:color w:val="auto"/>
                      <w:szCs w:val="21"/>
                    </w:rPr>
                  </w:pPr>
                  <w:r>
                    <w:rPr>
                      <w:bCs/>
                      <w:color w:val="auto"/>
                      <w:szCs w:val="21"/>
                    </w:rPr>
                    <w:t>1条纵剪生产线及4条高频焊管生产线</w:t>
                  </w:r>
                </w:p>
              </w:tc>
              <w:tc>
                <w:tcPr>
                  <w:tcW w:w="1250" w:type="pct"/>
                  <w:vAlign w:val="center"/>
                </w:tcPr>
                <w:p w14:paraId="1F1FF92F">
                  <w:pPr>
                    <w:autoSpaceDE w:val="0"/>
                    <w:autoSpaceDN w:val="0"/>
                    <w:adjustRightInd w:val="0"/>
                    <w:snapToGrid w:val="0"/>
                    <w:jc w:val="center"/>
                    <w:rPr>
                      <w:bCs/>
                      <w:color w:val="auto"/>
                      <w:szCs w:val="21"/>
                    </w:rPr>
                  </w:pPr>
                  <w:r>
                    <w:rPr>
                      <w:rFonts w:hint="eastAsia"/>
                      <w:bCs/>
                      <w:color w:val="auto"/>
                      <w:szCs w:val="21"/>
                    </w:rPr>
                    <w:t>2</w:t>
                  </w:r>
                  <w:r>
                    <w:rPr>
                      <w:bCs/>
                      <w:color w:val="auto"/>
                      <w:szCs w:val="21"/>
                    </w:rPr>
                    <w:t>条高频焊管生产线</w:t>
                  </w:r>
                  <w:r>
                    <w:rPr>
                      <w:rFonts w:hint="eastAsia"/>
                      <w:bCs/>
                      <w:color w:val="auto"/>
                      <w:szCs w:val="21"/>
                    </w:rPr>
                    <w:t>及</w:t>
                  </w:r>
                  <w:r>
                    <w:rPr>
                      <w:bCs/>
                      <w:color w:val="auto"/>
                      <w:szCs w:val="21"/>
                    </w:rPr>
                    <w:t>1条纵剪线</w:t>
                  </w:r>
                </w:p>
              </w:tc>
              <w:tc>
                <w:tcPr>
                  <w:tcW w:w="1250" w:type="pct"/>
                  <w:vAlign w:val="center"/>
                </w:tcPr>
                <w:p w14:paraId="28A73CD8">
                  <w:pPr>
                    <w:autoSpaceDE w:val="0"/>
                    <w:autoSpaceDN w:val="0"/>
                    <w:adjustRightInd w:val="0"/>
                    <w:snapToGrid w:val="0"/>
                    <w:jc w:val="center"/>
                    <w:rPr>
                      <w:bCs/>
                      <w:color w:val="auto"/>
                      <w:szCs w:val="21"/>
                    </w:rPr>
                  </w:pPr>
                  <w:r>
                    <w:rPr>
                      <w:rFonts w:hint="eastAsia"/>
                      <w:bCs/>
                      <w:color w:val="auto"/>
                      <w:szCs w:val="21"/>
                    </w:rPr>
                    <w:t>3</w:t>
                  </w:r>
                  <w:r>
                    <w:rPr>
                      <w:bCs/>
                      <w:color w:val="auto"/>
                      <w:szCs w:val="21"/>
                    </w:rPr>
                    <w:t>条焊管机生产线</w:t>
                  </w:r>
                  <w:r>
                    <w:rPr>
                      <w:rFonts w:hint="eastAsia"/>
                      <w:bCs/>
                      <w:color w:val="auto"/>
                      <w:szCs w:val="21"/>
                    </w:rPr>
                    <w:t>及2</w:t>
                  </w:r>
                  <w:r>
                    <w:rPr>
                      <w:bCs/>
                      <w:color w:val="auto"/>
                      <w:szCs w:val="21"/>
                    </w:rPr>
                    <w:t>条带钢纵剪线</w:t>
                  </w:r>
                </w:p>
              </w:tc>
              <w:tc>
                <w:tcPr>
                  <w:tcW w:w="1250" w:type="pct"/>
                  <w:vAlign w:val="center"/>
                </w:tcPr>
                <w:p w14:paraId="32D5E9DC">
                  <w:pPr>
                    <w:autoSpaceDE w:val="0"/>
                    <w:autoSpaceDN w:val="0"/>
                    <w:adjustRightInd w:val="0"/>
                    <w:snapToGrid w:val="0"/>
                    <w:jc w:val="center"/>
                    <w:rPr>
                      <w:bCs/>
                      <w:color w:val="auto"/>
                      <w:szCs w:val="21"/>
                    </w:rPr>
                  </w:pPr>
                  <w:bookmarkStart w:id="51" w:name="OLE_LINK34"/>
                  <w:r>
                    <w:rPr>
                      <w:bCs/>
                      <w:color w:val="auto"/>
                      <w:szCs w:val="21"/>
                    </w:rPr>
                    <w:t>9条焊管机生产线</w:t>
                  </w:r>
                  <w:r>
                    <w:rPr>
                      <w:rFonts w:hint="eastAsia"/>
                      <w:bCs/>
                      <w:color w:val="auto"/>
                      <w:szCs w:val="21"/>
                    </w:rPr>
                    <w:t>及</w:t>
                  </w:r>
                  <w:r>
                    <w:rPr>
                      <w:bCs/>
                      <w:color w:val="auto"/>
                      <w:szCs w:val="21"/>
                    </w:rPr>
                    <w:t>4条带钢纵剪线</w:t>
                  </w:r>
                  <w:bookmarkEnd w:id="51"/>
                </w:p>
              </w:tc>
            </w:tr>
          </w:tbl>
          <w:p w14:paraId="027D8771">
            <w:pPr>
              <w:adjustRightInd w:val="0"/>
              <w:snapToGrid w:val="0"/>
              <w:spacing w:line="360" w:lineRule="auto"/>
              <w:ind w:firstLine="480" w:firstLineChars="200"/>
              <w:jc w:val="left"/>
              <w:rPr>
                <w:bCs/>
                <w:color w:val="auto"/>
                <w:sz w:val="24"/>
              </w:rPr>
            </w:pPr>
          </w:p>
          <w:p w14:paraId="400ED0A3">
            <w:pPr>
              <w:adjustRightInd w:val="0"/>
              <w:snapToGrid w:val="0"/>
              <w:spacing w:line="360" w:lineRule="auto"/>
              <w:ind w:firstLine="480" w:firstLineChars="200"/>
              <w:jc w:val="left"/>
              <w:rPr>
                <w:bCs/>
                <w:color w:val="auto"/>
                <w:sz w:val="24"/>
              </w:rPr>
            </w:pPr>
            <w:r>
              <w:rPr>
                <w:rFonts w:hint="eastAsia"/>
                <w:bCs/>
                <w:color w:val="auto"/>
                <w:sz w:val="24"/>
              </w:rPr>
              <w:t>根据《国民经济行业分类》（GB/T4754-2017）及第1号修改单的通知（国统字〔2019〕66号），本项目属于C3130钢压延加工。根据《建设项目环境影响评价分类管理名录》（2021版），本项目属于“二十八、黑色金属冶炼和压延加工业63 钢压延加工其他”，确定本项目需编制生态环境影响报告表。</w:t>
            </w:r>
          </w:p>
          <w:p w14:paraId="0F66F1EE">
            <w:pPr>
              <w:adjustRightInd w:val="0"/>
              <w:snapToGrid w:val="0"/>
              <w:spacing w:line="360" w:lineRule="auto"/>
              <w:jc w:val="left"/>
              <w:rPr>
                <w:bCs/>
                <w:color w:val="auto"/>
                <w:sz w:val="24"/>
              </w:rPr>
            </w:pPr>
            <w:r>
              <w:rPr>
                <w:b/>
                <w:bCs/>
                <w:color w:val="auto"/>
                <w:sz w:val="24"/>
              </w:rPr>
              <w:t>2</w:t>
            </w:r>
            <w:r>
              <w:rPr>
                <w:rFonts w:hint="eastAsia"/>
                <w:b/>
                <w:bCs/>
                <w:color w:val="auto"/>
                <w:sz w:val="24"/>
              </w:rPr>
              <w:t>、</w:t>
            </w:r>
            <w:r>
              <w:rPr>
                <w:b/>
                <w:bCs/>
                <w:color w:val="auto"/>
                <w:sz w:val="24"/>
              </w:rPr>
              <w:t>项目</w:t>
            </w:r>
            <w:r>
              <w:rPr>
                <w:rFonts w:hint="eastAsia"/>
                <w:b/>
                <w:bCs/>
                <w:color w:val="auto"/>
                <w:sz w:val="24"/>
              </w:rPr>
              <w:t>建设</w:t>
            </w:r>
            <w:r>
              <w:rPr>
                <w:b/>
                <w:bCs/>
                <w:color w:val="auto"/>
                <w:sz w:val="24"/>
              </w:rPr>
              <w:t>内容</w:t>
            </w:r>
          </w:p>
          <w:p w14:paraId="46FA30EA">
            <w:pPr>
              <w:adjustRightInd w:val="0"/>
              <w:snapToGrid w:val="0"/>
              <w:spacing w:line="360" w:lineRule="auto"/>
              <w:ind w:firstLine="480" w:firstLineChars="200"/>
              <w:jc w:val="left"/>
              <w:rPr>
                <w:bCs/>
                <w:color w:val="auto"/>
                <w:sz w:val="24"/>
              </w:rPr>
            </w:pPr>
            <w:r>
              <w:rPr>
                <w:rFonts w:hint="eastAsia"/>
                <w:bCs/>
                <w:color w:val="auto"/>
                <w:sz w:val="24"/>
              </w:rPr>
              <w:t>项目</w:t>
            </w:r>
            <w:r>
              <w:rPr>
                <w:bCs/>
                <w:color w:val="auto"/>
                <w:sz w:val="24"/>
              </w:rPr>
              <w:t>总投资</w:t>
            </w:r>
            <w:r>
              <w:rPr>
                <w:rFonts w:hint="eastAsia"/>
                <w:bCs/>
                <w:color w:val="auto"/>
                <w:sz w:val="24"/>
              </w:rPr>
              <w:t>3</w:t>
            </w:r>
            <w:r>
              <w:rPr>
                <w:bCs/>
                <w:color w:val="auto"/>
                <w:sz w:val="24"/>
              </w:rPr>
              <w:t>00万元，</w:t>
            </w:r>
            <w:r>
              <w:rPr>
                <w:rFonts w:hint="eastAsia"/>
                <w:bCs/>
                <w:color w:val="auto"/>
                <w:sz w:val="24"/>
              </w:rPr>
              <w:t>用地面积26640平方米，</w:t>
            </w:r>
            <w:r>
              <w:rPr>
                <w:bCs/>
                <w:color w:val="auto"/>
                <w:sz w:val="24"/>
              </w:rPr>
              <w:t>利用</w:t>
            </w:r>
            <w:r>
              <w:rPr>
                <w:rFonts w:hint="eastAsia"/>
                <w:bCs/>
                <w:color w:val="auto"/>
                <w:sz w:val="24"/>
              </w:rPr>
              <w:t>已</w:t>
            </w:r>
            <w:r>
              <w:rPr>
                <w:bCs/>
                <w:color w:val="auto"/>
                <w:sz w:val="24"/>
              </w:rPr>
              <w:t>有生产车间、原料及成品仓库、办公楼及其他配套设施</w:t>
            </w:r>
            <w:r>
              <w:rPr>
                <w:rFonts w:hint="eastAsia"/>
                <w:bCs/>
                <w:color w:val="auto"/>
                <w:sz w:val="24"/>
              </w:rPr>
              <w:t>等进行改造</w:t>
            </w:r>
            <w:r>
              <w:rPr>
                <w:bCs/>
                <w:color w:val="auto"/>
                <w:sz w:val="24"/>
              </w:rPr>
              <w:t>，</w:t>
            </w:r>
            <w:r>
              <w:rPr>
                <w:rFonts w:hint="eastAsia"/>
                <w:bCs/>
                <w:color w:val="auto"/>
                <w:sz w:val="24"/>
              </w:rPr>
              <w:t>购置安装焊管机生产线9条，带钢纵剪线4条，形成年产10万吨焊管生产规模。</w:t>
            </w:r>
            <w:r>
              <w:rPr>
                <w:bCs/>
                <w:color w:val="auto"/>
                <w:sz w:val="24"/>
              </w:rPr>
              <w:t>项目</w:t>
            </w:r>
            <w:r>
              <w:rPr>
                <w:rFonts w:hint="eastAsia"/>
                <w:bCs/>
                <w:color w:val="auto"/>
                <w:sz w:val="24"/>
              </w:rPr>
              <w:t>建设内容</w:t>
            </w:r>
            <w:r>
              <w:rPr>
                <w:bCs/>
                <w:color w:val="auto"/>
                <w:sz w:val="24"/>
              </w:rPr>
              <w:t>见表</w:t>
            </w:r>
            <w:r>
              <w:rPr>
                <w:rFonts w:hint="eastAsia"/>
                <w:bCs/>
                <w:color w:val="auto"/>
                <w:sz w:val="24"/>
              </w:rPr>
              <w:t>2</w:t>
            </w:r>
            <w:r>
              <w:rPr>
                <w:bCs/>
                <w:color w:val="auto"/>
                <w:sz w:val="24"/>
              </w:rPr>
              <w:t>-1</w:t>
            </w:r>
            <w:r>
              <w:rPr>
                <w:rFonts w:hint="eastAsia"/>
                <w:bCs/>
                <w:color w:val="auto"/>
                <w:sz w:val="24"/>
              </w:rPr>
              <w:t>。</w:t>
            </w:r>
          </w:p>
          <w:p w14:paraId="07336AA9">
            <w:pPr>
              <w:adjustRightInd w:val="0"/>
              <w:snapToGrid w:val="0"/>
              <w:spacing w:line="360" w:lineRule="auto"/>
              <w:ind w:firstLine="482" w:firstLineChars="200"/>
              <w:jc w:val="center"/>
              <w:rPr>
                <w:b/>
                <w:bCs/>
                <w:color w:val="auto"/>
                <w:sz w:val="24"/>
              </w:rPr>
            </w:pPr>
            <w:r>
              <w:rPr>
                <w:b/>
                <w:bCs/>
                <w:color w:val="auto"/>
                <w:sz w:val="24"/>
              </w:rPr>
              <w:t>表</w:t>
            </w:r>
            <w:r>
              <w:rPr>
                <w:rFonts w:hint="eastAsia"/>
                <w:b/>
                <w:bCs/>
                <w:color w:val="auto"/>
                <w:sz w:val="24"/>
              </w:rPr>
              <w:t>2</w:t>
            </w:r>
            <w:r>
              <w:rPr>
                <w:b/>
                <w:bCs/>
                <w:color w:val="auto"/>
                <w:sz w:val="24"/>
              </w:rPr>
              <w:t>-1   项目</w:t>
            </w:r>
            <w:r>
              <w:rPr>
                <w:rFonts w:hint="eastAsia"/>
                <w:b/>
                <w:bCs/>
                <w:color w:val="auto"/>
                <w:sz w:val="24"/>
              </w:rPr>
              <w:t>工程建设内容一览表</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1263"/>
              <w:gridCol w:w="1418"/>
              <w:gridCol w:w="4588"/>
              <w:gridCol w:w="987"/>
            </w:tblGrid>
            <w:tr w14:paraId="41004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744" w:type="dxa"/>
                  <w:vAlign w:val="center"/>
                </w:tcPr>
                <w:p w14:paraId="5A8F8D37">
                  <w:pPr>
                    <w:autoSpaceDE w:val="0"/>
                    <w:autoSpaceDN w:val="0"/>
                    <w:adjustRightInd w:val="0"/>
                    <w:jc w:val="center"/>
                    <w:rPr>
                      <w:b/>
                      <w:color w:val="auto"/>
                      <w:szCs w:val="21"/>
                    </w:rPr>
                  </w:pPr>
                  <w:bookmarkStart w:id="52" w:name="_Hlk158046875"/>
                  <w:r>
                    <w:rPr>
                      <w:b/>
                      <w:color w:val="auto"/>
                      <w:szCs w:val="21"/>
                    </w:rPr>
                    <w:t>工程类别</w:t>
                  </w:r>
                </w:p>
              </w:tc>
              <w:tc>
                <w:tcPr>
                  <w:tcW w:w="7494" w:type="dxa"/>
                  <w:gridSpan w:val="3"/>
                  <w:vAlign w:val="center"/>
                </w:tcPr>
                <w:p w14:paraId="50295D2F">
                  <w:pPr>
                    <w:autoSpaceDE w:val="0"/>
                    <w:autoSpaceDN w:val="0"/>
                    <w:adjustRightInd w:val="0"/>
                    <w:jc w:val="center"/>
                    <w:rPr>
                      <w:b/>
                      <w:color w:val="auto"/>
                      <w:szCs w:val="21"/>
                    </w:rPr>
                  </w:pPr>
                  <w:r>
                    <w:rPr>
                      <w:b/>
                      <w:color w:val="auto"/>
                      <w:szCs w:val="21"/>
                    </w:rPr>
                    <w:t>工程内容</w:t>
                  </w:r>
                </w:p>
              </w:tc>
              <w:tc>
                <w:tcPr>
                  <w:tcW w:w="1005" w:type="dxa"/>
                  <w:vAlign w:val="center"/>
                </w:tcPr>
                <w:p w14:paraId="5DE8A49F">
                  <w:pPr>
                    <w:autoSpaceDE w:val="0"/>
                    <w:autoSpaceDN w:val="0"/>
                    <w:adjustRightInd w:val="0"/>
                    <w:jc w:val="center"/>
                    <w:rPr>
                      <w:b/>
                      <w:color w:val="auto"/>
                      <w:szCs w:val="21"/>
                    </w:rPr>
                  </w:pPr>
                  <w:r>
                    <w:rPr>
                      <w:b/>
                      <w:color w:val="auto"/>
                      <w:szCs w:val="21"/>
                    </w:rPr>
                    <w:t>备注</w:t>
                  </w:r>
                </w:p>
              </w:tc>
            </w:tr>
            <w:tr w14:paraId="195F1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744" w:type="dxa"/>
                  <w:vMerge w:val="restart"/>
                  <w:vAlign w:val="center"/>
                </w:tcPr>
                <w:p w14:paraId="43659129">
                  <w:pPr>
                    <w:autoSpaceDE w:val="0"/>
                    <w:autoSpaceDN w:val="0"/>
                    <w:adjustRightInd w:val="0"/>
                    <w:jc w:val="center"/>
                    <w:rPr>
                      <w:b/>
                      <w:color w:val="auto"/>
                      <w:szCs w:val="21"/>
                    </w:rPr>
                  </w:pPr>
                  <w:r>
                    <w:rPr>
                      <w:b/>
                      <w:color w:val="auto"/>
                      <w:szCs w:val="21"/>
                    </w:rPr>
                    <w:t>主体工程</w:t>
                  </w:r>
                </w:p>
              </w:tc>
              <w:tc>
                <w:tcPr>
                  <w:tcW w:w="1307" w:type="dxa"/>
                  <w:vAlign w:val="center"/>
                </w:tcPr>
                <w:p w14:paraId="2A7E9807">
                  <w:pPr>
                    <w:autoSpaceDE w:val="0"/>
                    <w:autoSpaceDN w:val="0"/>
                    <w:adjustRightInd w:val="0"/>
                    <w:jc w:val="center"/>
                    <w:rPr>
                      <w:b/>
                      <w:color w:val="auto"/>
                      <w:szCs w:val="21"/>
                    </w:rPr>
                  </w:pPr>
                  <w:r>
                    <w:rPr>
                      <w:rFonts w:hint="eastAsia"/>
                      <w:color w:val="auto"/>
                      <w:kern w:val="0"/>
                      <w:szCs w:val="21"/>
                    </w:rPr>
                    <w:t>生产车间1号</w:t>
                  </w:r>
                </w:p>
              </w:tc>
              <w:tc>
                <w:tcPr>
                  <w:tcW w:w="6187" w:type="dxa"/>
                  <w:gridSpan w:val="2"/>
                  <w:vAlign w:val="center"/>
                </w:tcPr>
                <w:p w14:paraId="559B1EFB">
                  <w:pPr>
                    <w:autoSpaceDE w:val="0"/>
                    <w:autoSpaceDN w:val="0"/>
                    <w:adjustRightInd w:val="0"/>
                    <w:jc w:val="center"/>
                    <w:rPr>
                      <w:bCs/>
                      <w:color w:val="auto"/>
                      <w:szCs w:val="21"/>
                    </w:rPr>
                  </w:pPr>
                  <w:r>
                    <w:rPr>
                      <w:rFonts w:hint="eastAsia"/>
                      <w:bCs/>
                      <w:color w:val="auto"/>
                      <w:szCs w:val="21"/>
                    </w:rPr>
                    <w:t>现有厂房，</w:t>
                  </w:r>
                  <w:r>
                    <w:rPr>
                      <w:bCs/>
                      <w:color w:val="auto"/>
                      <w:szCs w:val="21"/>
                    </w:rPr>
                    <w:t>1栋，</w:t>
                  </w:r>
                  <w:r>
                    <w:rPr>
                      <w:rFonts w:hint="eastAsia"/>
                      <w:bCs/>
                      <w:color w:val="auto"/>
                      <w:szCs w:val="21"/>
                    </w:rPr>
                    <w:t>1</w:t>
                  </w:r>
                  <w:r>
                    <w:rPr>
                      <w:bCs/>
                      <w:color w:val="auto"/>
                      <w:szCs w:val="21"/>
                    </w:rPr>
                    <w:t>层，</w:t>
                  </w:r>
                  <w:r>
                    <w:rPr>
                      <w:rFonts w:hint="eastAsia"/>
                      <w:bCs/>
                      <w:color w:val="auto"/>
                      <w:szCs w:val="21"/>
                    </w:rPr>
                    <w:t>高度10m，</w:t>
                  </w:r>
                  <w:r>
                    <w:rPr>
                      <w:bCs/>
                      <w:color w:val="auto"/>
                      <w:szCs w:val="21"/>
                    </w:rPr>
                    <w:t>钢架结构，建筑面积</w:t>
                  </w:r>
                  <w:r>
                    <w:rPr>
                      <w:rFonts w:hint="eastAsia"/>
                      <w:bCs/>
                      <w:color w:val="auto"/>
                      <w:szCs w:val="21"/>
                    </w:rPr>
                    <w:t>2475</w:t>
                  </w:r>
                  <w:r>
                    <w:rPr>
                      <w:bCs/>
                      <w:color w:val="auto"/>
                      <w:szCs w:val="21"/>
                    </w:rPr>
                    <w:t xml:space="preserve"> m</w:t>
                  </w:r>
                  <w:r>
                    <w:rPr>
                      <w:bCs/>
                      <w:color w:val="auto"/>
                      <w:szCs w:val="21"/>
                      <w:vertAlign w:val="superscript"/>
                    </w:rPr>
                    <w:t>2</w:t>
                  </w:r>
                  <w:r>
                    <w:rPr>
                      <w:rFonts w:hint="eastAsia"/>
                      <w:bCs/>
                      <w:color w:val="auto"/>
                      <w:szCs w:val="21"/>
                    </w:rPr>
                    <w:t>。设置4条带钢纵剪线，目前已建成2条，待建2条；并新建置1条高频焊管机生产线（1#）及原料堆放点。</w:t>
                  </w:r>
                </w:p>
              </w:tc>
              <w:tc>
                <w:tcPr>
                  <w:tcW w:w="1005" w:type="dxa"/>
                  <w:vAlign w:val="center"/>
                </w:tcPr>
                <w:p w14:paraId="3B00663D">
                  <w:pPr>
                    <w:autoSpaceDE w:val="0"/>
                    <w:autoSpaceDN w:val="0"/>
                    <w:adjustRightInd w:val="0"/>
                    <w:jc w:val="center"/>
                    <w:rPr>
                      <w:bCs/>
                      <w:color w:val="auto"/>
                      <w:szCs w:val="21"/>
                    </w:rPr>
                  </w:pPr>
                  <w:r>
                    <w:rPr>
                      <w:rFonts w:hint="eastAsia"/>
                      <w:bCs/>
                      <w:color w:val="auto"/>
                      <w:szCs w:val="21"/>
                    </w:rPr>
                    <w:t>改造及新建</w:t>
                  </w:r>
                </w:p>
              </w:tc>
            </w:tr>
            <w:tr w14:paraId="4337C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44" w:type="dxa"/>
                  <w:vMerge w:val="continue"/>
                  <w:vAlign w:val="center"/>
                </w:tcPr>
                <w:p w14:paraId="538F6314">
                  <w:pPr>
                    <w:autoSpaceDE w:val="0"/>
                    <w:autoSpaceDN w:val="0"/>
                    <w:adjustRightInd w:val="0"/>
                    <w:jc w:val="center"/>
                    <w:rPr>
                      <w:b/>
                      <w:color w:val="auto"/>
                      <w:szCs w:val="21"/>
                    </w:rPr>
                  </w:pPr>
                </w:p>
              </w:tc>
              <w:tc>
                <w:tcPr>
                  <w:tcW w:w="1307" w:type="dxa"/>
                  <w:vAlign w:val="center"/>
                </w:tcPr>
                <w:p w14:paraId="3ED8CD55">
                  <w:pPr>
                    <w:autoSpaceDE w:val="0"/>
                    <w:autoSpaceDN w:val="0"/>
                    <w:adjustRightInd w:val="0"/>
                    <w:jc w:val="center"/>
                    <w:rPr>
                      <w:color w:val="auto"/>
                      <w:kern w:val="0"/>
                      <w:szCs w:val="21"/>
                    </w:rPr>
                  </w:pPr>
                  <w:r>
                    <w:rPr>
                      <w:rFonts w:hint="eastAsia"/>
                      <w:color w:val="auto"/>
                      <w:kern w:val="0"/>
                      <w:szCs w:val="21"/>
                    </w:rPr>
                    <w:t>生产车间2号</w:t>
                  </w:r>
                </w:p>
              </w:tc>
              <w:tc>
                <w:tcPr>
                  <w:tcW w:w="6187" w:type="dxa"/>
                  <w:gridSpan w:val="2"/>
                  <w:vAlign w:val="center"/>
                </w:tcPr>
                <w:p w14:paraId="1E4A1245">
                  <w:pPr>
                    <w:autoSpaceDE w:val="0"/>
                    <w:autoSpaceDN w:val="0"/>
                    <w:adjustRightInd w:val="0"/>
                    <w:jc w:val="center"/>
                    <w:rPr>
                      <w:bCs/>
                      <w:color w:val="auto"/>
                      <w:szCs w:val="21"/>
                    </w:rPr>
                  </w:pPr>
                  <w:r>
                    <w:rPr>
                      <w:rFonts w:hint="eastAsia"/>
                      <w:bCs/>
                      <w:color w:val="auto"/>
                      <w:szCs w:val="21"/>
                    </w:rPr>
                    <w:t>现有厂房，</w:t>
                  </w:r>
                  <w:r>
                    <w:rPr>
                      <w:bCs/>
                      <w:color w:val="auto"/>
                      <w:szCs w:val="21"/>
                    </w:rPr>
                    <w:t>1栋，</w:t>
                  </w:r>
                  <w:r>
                    <w:rPr>
                      <w:rFonts w:hint="eastAsia"/>
                      <w:bCs/>
                      <w:color w:val="auto"/>
                      <w:szCs w:val="21"/>
                    </w:rPr>
                    <w:t>1</w:t>
                  </w:r>
                  <w:r>
                    <w:rPr>
                      <w:bCs/>
                      <w:color w:val="auto"/>
                      <w:szCs w:val="21"/>
                    </w:rPr>
                    <w:t>层，</w:t>
                  </w:r>
                  <w:r>
                    <w:rPr>
                      <w:rFonts w:hint="eastAsia"/>
                      <w:bCs/>
                      <w:color w:val="auto"/>
                      <w:szCs w:val="21"/>
                    </w:rPr>
                    <w:t>高度10m，</w:t>
                  </w:r>
                  <w:r>
                    <w:rPr>
                      <w:bCs/>
                      <w:color w:val="auto"/>
                      <w:szCs w:val="21"/>
                    </w:rPr>
                    <w:t>钢架结构，建筑面积</w:t>
                  </w:r>
                  <w:r>
                    <w:rPr>
                      <w:rFonts w:hint="eastAsia"/>
                      <w:bCs/>
                      <w:color w:val="auto"/>
                      <w:szCs w:val="21"/>
                    </w:rPr>
                    <w:t>2475</w:t>
                  </w:r>
                  <w:r>
                    <w:rPr>
                      <w:bCs/>
                      <w:color w:val="auto"/>
                      <w:szCs w:val="21"/>
                    </w:rPr>
                    <w:t>m</w:t>
                  </w:r>
                  <w:r>
                    <w:rPr>
                      <w:bCs/>
                      <w:color w:val="auto"/>
                      <w:szCs w:val="21"/>
                      <w:vertAlign w:val="superscript"/>
                    </w:rPr>
                    <w:t>2</w:t>
                  </w:r>
                  <w:r>
                    <w:rPr>
                      <w:rFonts w:hint="eastAsia"/>
                      <w:bCs/>
                      <w:color w:val="auto"/>
                      <w:szCs w:val="21"/>
                    </w:rPr>
                    <w:t>。已建成2条高频焊管机生产线（2#~3#），本次拟对焊接点废气收集及处理进行改造，针对每一个焊接点设置集气罩对废气进行收集后进入布袋除尘器处理。</w:t>
                  </w:r>
                </w:p>
              </w:tc>
              <w:tc>
                <w:tcPr>
                  <w:tcW w:w="1005" w:type="dxa"/>
                  <w:vAlign w:val="center"/>
                </w:tcPr>
                <w:p w14:paraId="1AAB931F">
                  <w:pPr>
                    <w:autoSpaceDE w:val="0"/>
                    <w:autoSpaceDN w:val="0"/>
                    <w:adjustRightInd w:val="0"/>
                    <w:jc w:val="center"/>
                    <w:rPr>
                      <w:bCs/>
                      <w:color w:val="auto"/>
                      <w:szCs w:val="21"/>
                    </w:rPr>
                  </w:pPr>
                  <w:r>
                    <w:rPr>
                      <w:rFonts w:hint="eastAsia"/>
                      <w:bCs/>
                      <w:color w:val="auto"/>
                      <w:szCs w:val="21"/>
                    </w:rPr>
                    <w:t>改造</w:t>
                  </w:r>
                </w:p>
              </w:tc>
            </w:tr>
            <w:tr w14:paraId="1FE22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44" w:type="dxa"/>
                  <w:vMerge w:val="continue"/>
                  <w:vAlign w:val="center"/>
                </w:tcPr>
                <w:p w14:paraId="29C93120">
                  <w:pPr>
                    <w:autoSpaceDE w:val="0"/>
                    <w:autoSpaceDN w:val="0"/>
                    <w:adjustRightInd w:val="0"/>
                    <w:jc w:val="center"/>
                    <w:rPr>
                      <w:b/>
                      <w:color w:val="auto"/>
                      <w:szCs w:val="21"/>
                    </w:rPr>
                  </w:pPr>
                </w:p>
              </w:tc>
              <w:tc>
                <w:tcPr>
                  <w:tcW w:w="1307" w:type="dxa"/>
                  <w:vAlign w:val="center"/>
                </w:tcPr>
                <w:p w14:paraId="266E5D1D">
                  <w:pPr>
                    <w:autoSpaceDE w:val="0"/>
                    <w:autoSpaceDN w:val="0"/>
                    <w:adjustRightInd w:val="0"/>
                    <w:jc w:val="center"/>
                    <w:rPr>
                      <w:color w:val="auto"/>
                      <w:kern w:val="0"/>
                      <w:szCs w:val="21"/>
                    </w:rPr>
                  </w:pPr>
                  <w:r>
                    <w:rPr>
                      <w:rFonts w:hint="eastAsia"/>
                      <w:color w:val="auto"/>
                      <w:kern w:val="0"/>
                      <w:szCs w:val="21"/>
                    </w:rPr>
                    <w:t>生产车间3号</w:t>
                  </w:r>
                </w:p>
              </w:tc>
              <w:tc>
                <w:tcPr>
                  <w:tcW w:w="6187" w:type="dxa"/>
                  <w:gridSpan w:val="2"/>
                  <w:vAlign w:val="center"/>
                </w:tcPr>
                <w:p w14:paraId="72F6D5C2">
                  <w:pPr>
                    <w:autoSpaceDE w:val="0"/>
                    <w:autoSpaceDN w:val="0"/>
                    <w:adjustRightInd w:val="0"/>
                    <w:jc w:val="center"/>
                    <w:rPr>
                      <w:bCs/>
                      <w:color w:val="auto"/>
                      <w:szCs w:val="21"/>
                    </w:rPr>
                  </w:pPr>
                  <w:r>
                    <w:rPr>
                      <w:rFonts w:hint="eastAsia"/>
                      <w:bCs/>
                      <w:color w:val="auto"/>
                      <w:szCs w:val="21"/>
                    </w:rPr>
                    <w:t>现有厂房，</w:t>
                  </w:r>
                  <w:r>
                    <w:rPr>
                      <w:bCs/>
                      <w:color w:val="auto"/>
                      <w:szCs w:val="21"/>
                    </w:rPr>
                    <w:t>1栋，</w:t>
                  </w:r>
                  <w:r>
                    <w:rPr>
                      <w:rFonts w:hint="eastAsia"/>
                      <w:bCs/>
                      <w:color w:val="auto"/>
                      <w:szCs w:val="21"/>
                    </w:rPr>
                    <w:t>1</w:t>
                  </w:r>
                  <w:r>
                    <w:rPr>
                      <w:bCs/>
                      <w:color w:val="auto"/>
                      <w:szCs w:val="21"/>
                    </w:rPr>
                    <w:t>层，</w:t>
                  </w:r>
                  <w:r>
                    <w:rPr>
                      <w:rFonts w:hint="eastAsia"/>
                      <w:bCs/>
                      <w:color w:val="auto"/>
                      <w:szCs w:val="21"/>
                    </w:rPr>
                    <w:t>高度10m，</w:t>
                  </w:r>
                  <w:r>
                    <w:rPr>
                      <w:bCs/>
                      <w:color w:val="auto"/>
                      <w:szCs w:val="21"/>
                    </w:rPr>
                    <w:t>钢架结构，建筑面积</w:t>
                  </w:r>
                  <w:r>
                    <w:rPr>
                      <w:rFonts w:hint="eastAsia"/>
                      <w:bCs/>
                      <w:color w:val="auto"/>
                      <w:szCs w:val="21"/>
                    </w:rPr>
                    <w:t>1584</w:t>
                  </w:r>
                  <w:r>
                    <w:rPr>
                      <w:bCs/>
                      <w:color w:val="auto"/>
                      <w:szCs w:val="21"/>
                    </w:rPr>
                    <w:t>m</w:t>
                  </w:r>
                  <w:r>
                    <w:rPr>
                      <w:bCs/>
                      <w:color w:val="auto"/>
                      <w:szCs w:val="21"/>
                      <w:vertAlign w:val="superscript"/>
                    </w:rPr>
                    <w:t>2</w:t>
                  </w:r>
                  <w:r>
                    <w:rPr>
                      <w:rFonts w:hint="eastAsia"/>
                      <w:bCs/>
                      <w:color w:val="auto"/>
                      <w:szCs w:val="21"/>
                    </w:rPr>
                    <w:t>。已建成2条高频焊管机生产线（4#~5#），本次拟对焊接点废气收集及处理进行改造，针对每一个焊接点设置集气罩对废气进行收集后进入布袋除尘器处理。</w:t>
                  </w:r>
                </w:p>
              </w:tc>
              <w:tc>
                <w:tcPr>
                  <w:tcW w:w="1005" w:type="dxa"/>
                  <w:vAlign w:val="center"/>
                </w:tcPr>
                <w:p w14:paraId="02736479">
                  <w:pPr>
                    <w:autoSpaceDE w:val="0"/>
                    <w:autoSpaceDN w:val="0"/>
                    <w:adjustRightInd w:val="0"/>
                    <w:jc w:val="center"/>
                    <w:rPr>
                      <w:bCs/>
                      <w:color w:val="auto"/>
                      <w:szCs w:val="21"/>
                    </w:rPr>
                  </w:pPr>
                  <w:r>
                    <w:rPr>
                      <w:rFonts w:hint="eastAsia"/>
                      <w:bCs/>
                      <w:color w:val="auto"/>
                      <w:szCs w:val="21"/>
                    </w:rPr>
                    <w:t>改造</w:t>
                  </w:r>
                </w:p>
              </w:tc>
            </w:tr>
            <w:tr w14:paraId="7DC3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44" w:type="dxa"/>
                  <w:vMerge w:val="continue"/>
                  <w:vAlign w:val="center"/>
                </w:tcPr>
                <w:p w14:paraId="7C1C0428">
                  <w:pPr>
                    <w:autoSpaceDE w:val="0"/>
                    <w:autoSpaceDN w:val="0"/>
                    <w:adjustRightInd w:val="0"/>
                    <w:jc w:val="center"/>
                    <w:rPr>
                      <w:b/>
                      <w:color w:val="auto"/>
                      <w:szCs w:val="21"/>
                    </w:rPr>
                  </w:pPr>
                </w:p>
              </w:tc>
              <w:tc>
                <w:tcPr>
                  <w:tcW w:w="1307" w:type="dxa"/>
                  <w:vAlign w:val="center"/>
                </w:tcPr>
                <w:p w14:paraId="59D8670B">
                  <w:pPr>
                    <w:autoSpaceDE w:val="0"/>
                    <w:autoSpaceDN w:val="0"/>
                    <w:adjustRightInd w:val="0"/>
                    <w:jc w:val="center"/>
                    <w:rPr>
                      <w:color w:val="auto"/>
                      <w:kern w:val="0"/>
                      <w:szCs w:val="21"/>
                    </w:rPr>
                  </w:pPr>
                  <w:r>
                    <w:rPr>
                      <w:rFonts w:hint="eastAsia"/>
                      <w:color w:val="auto"/>
                      <w:kern w:val="0"/>
                      <w:szCs w:val="21"/>
                    </w:rPr>
                    <w:t>生产车间4号</w:t>
                  </w:r>
                </w:p>
              </w:tc>
              <w:tc>
                <w:tcPr>
                  <w:tcW w:w="6187" w:type="dxa"/>
                  <w:gridSpan w:val="2"/>
                  <w:vAlign w:val="center"/>
                </w:tcPr>
                <w:p w14:paraId="5DF5FC38">
                  <w:pPr>
                    <w:autoSpaceDE w:val="0"/>
                    <w:autoSpaceDN w:val="0"/>
                    <w:adjustRightInd w:val="0"/>
                    <w:jc w:val="center"/>
                    <w:rPr>
                      <w:bCs/>
                      <w:color w:val="auto"/>
                      <w:szCs w:val="21"/>
                    </w:rPr>
                  </w:pPr>
                  <w:r>
                    <w:rPr>
                      <w:rFonts w:hint="eastAsia"/>
                      <w:bCs/>
                      <w:color w:val="auto"/>
                      <w:szCs w:val="21"/>
                    </w:rPr>
                    <w:t>现有厂房，</w:t>
                  </w:r>
                  <w:r>
                    <w:rPr>
                      <w:bCs/>
                      <w:color w:val="auto"/>
                      <w:szCs w:val="21"/>
                    </w:rPr>
                    <w:t>1栋，</w:t>
                  </w:r>
                  <w:r>
                    <w:rPr>
                      <w:rFonts w:hint="eastAsia"/>
                      <w:bCs/>
                      <w:color w:val="auto"/>
                      <w:szCs w:val="21"/>
                    </w:rPr>
                    <w:t>1</w:t>
                  </w:r>
                  <w:r>
                    <w:rPr>
                      <w:bCs/>
                      <w:color w:val="auto"/>
                      <w:szCs w:val="21"/>
                    </w:rPr>
                    <w:t>层，</w:t>
                  </w:r>
                  <w:r>
                    <w:rPr>
                      <w:rFonts w:hint="eastAsia"/>
                      <w:bCs/>
                      <w:color w:val="auto"/>
                      <w:szCs w:val="21"/>
                    </w:rPr>
                    <w:t>高度10m，</w:t>
                  </w:r>
                  <w:r>
                    <w:rPr>
                      <w:bCs/>
                      <w:color w:val="auto"/>
                      <w:szCs w:val="21"/>
                    </w:rPr>
                    <w:t>钢架结构，建筑面积</w:t>
                  </w:r>
                  <w:r>
                    <w:rPr>
                      <w:rFonts w:hint="eastAsia"/>
                      <w:bCs/>
                      <w:color w:val="auto"/>
                      <w:szCs w:val="21"/>
                    </w:rPr>
                    <w:t>1386</w:t>
                  </w:r>
                  <w:r>
                    <w:rPr>
                      <w:bCs/>
                      <w:color w:val="auto"/>
                      <w:szCs w:val="21"/>
                    </w:rPr>
                    <w:t>m</w:t>
                  </w:r>
                  <w:r>
                    <w:rPr>
                      <w:bCs/>
                      <w:color w:val="auto"/>
                      <w:szCs w:val="21"/>
                      <w:vertAlign w:val="superscript"/>
                    </w:rPr>
                    <w:t>2</w:t>
                  </w:r>
                  <w:r>
                    <w:rPr>
                      <w:rFonts w:hint="eastAsia"/>
                      <w:bCs/>
                      <w:color w:val="auto"/>
                      <w:szCs w:val="21"/>
                    </w:rPr>
                    <w:t>。已建成2条高频焊管机生产线（6#~7#，为未批先建的二条生产线）。对焊接点废气收集及处理进行改造，针对每一个焊接点设置集气罩对废气进行收集后进入布袋除尘器处理。</w:t>
                  </w:r>
                </w:p>
              </w:tc>
              <w:tc>
                <w:tcPr>
                  <w:tcW w:w="1005" w:type="dxa"/>
                  <w:vAlign w:val="center"/>
                </w:tcPr>
                <w:p w14:paraId="40D9C769">
                  <w:pPr>
                    <w:autoSpaceDE w:val="0"/>
                    <w:autoSpaceDN w:val="0"/>
                    <w:adjustRightInd w:val="0"/>
                    <w:jc w:val="center"/>
                    <w:rPr>
                      <w:bCs/>
                      <w:color w:val="auto"/>
                      <w:szCs w:val="21"/>
                    </w:rPr>
                  </w:pPr>
                  <w:r>
                    <w:rPr>
                      <w:rFonts w:hint="eastAsia"/>
                      <w:bCs/>
                      <w:color w:val="auto"/>
                      <w:szCs w:val="21"/>
                    </w:rPr>
                    <w:t>未批先建，对废气收集处理进行改造</w:t>
                  </w:r>
                </w:p>
              </w:tc>
            </w:tr>
            <w:tr w14:paraId="33280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44" w:type="dxa"/>
                  <w:vMerge w:val="continue"/>
                  <w:vAlign w:val="center"/>
                </w:tcPr>
                <w:p w14:paraId="2653D34F">
                  <w:pPr>
                    <w:autoSpaceDE w:val="0"/>
                    <w:autoSpaceDN w:val="0"/>
                    <w:adjustRightInd w:val="0"/>
                    <w:jc w:val="center"/>
                    <w:rPr>
                      <w:b/>
                      <w:color w:val="auto"/>
                      <w:szCs w:val="21"/>
                    </w:rPr>
                  </w:pPr>
                </w:p>
              </w:tc>
              <w:tc>
                <w:tcPr>
                  <w:tcW w:w="1307" w:type="dxa"/>
                  <w:vAlign w:val="center"/>
                </w:tcPr>
                <w:p w14:paraId="78DE45B4">
                  <w:pPr>
                    <w:autoSpaceDE w:val="0"/>
                    <w:autoSpaceDN w:val="0"/>
                    <w:adjustRightInd w:val="0"/>
                    <w:jc w:val="center"/>
                    <w:rPr>
                      <w:color w:val="auto"/>
                      <w:kern w:val="0"/>
                      <w:szCs w:val="21"/>
                    </w:rPr>
                  </w:pPr>
                  <w:r>
                    <w:rPr>
                      <w:rFonts w:hint="eastAsia"/>
                      <w:color w:val="auto"/>
                      <w:kern w:val="0"/>
                      <w:szCs w:val="21"/>
                    </w:rPr>
                    <w:t>生产车间5号</w:t>
                  </w:r>
                </w:p>
              </w:tc>
              <w:tc>
                <w:tcPr>
                  <w:tcW w:w="6187" w:type="dxa"/>
                  <w:gridSpan w:val="2"/>
                  <w:vAlign w:val="center"/>
                </w:tcPr>
                <w:p w14:paraId="02251097">
                  <w:pPr>
                    <w:autoSpaceDE w:val="0"/>
                    <w:autoSpaceDN w:val="0"/>
                    <w:adjustRightInd w:val="0"/>
                    <w:jc w:val="center"/>
                    <w:rPr>
                      <w:bCs/>
                      <w:color w:val="auto"/>
                      <w:szCs w:val="21"/>
                    </w:rPr>
                  </w:pPr>
                  <w:r>
                    <w:rPr>
                      <w:rFonts w:hint="eastAsia"/>
                      <w:bCs/>
                      <w:color w:val="auto"/>
                      <w:szCs w:val="21"/>
                    </w:rPr>
                    <w:t>现有厂房，</w:t>
                  </w:r>
                  <w:r>
                    <w:rPr>
                      <w:bCs/>
                      <w:color w:val="auto"/>
                      <w:szCs w:val="21"/>
                    </w:rPr>
                    <w:t>1栋，</w:t>
                  </w:r>
                  <w:r>
                    <w:rPr>
                      <w:rFonts w:hint="eastAsia"/>
                      <w:bCs/>
                      <w:color w:val="auto"/>
                      <w:szCs w:val="21"/>
                    </w:rPr>
                    <w:t>1</w:t>
                  </w:r>
                  <w:r>
                    <w:rPr>
                      <w:bCs/>
                      <w:color w:val="auto"/>
                      <w:szCs w:val="21"/>
                    </w:rPr>
                    <w:t>层，</w:t>
                  </w:r>
                  <w:r>
                    <w:rPr>
                      <w:rFonts w:hint="eastAsia"/>
                      <w:bCs/>
                      <w:color w:val="auto"/>
                      <w:szCs w:val="21"/>
                    </w:rPr>
                    <w:t>高度10m，</w:t>
                  </w:r>
                  <w:r>
                    <w:rPr>
                      <w:bCs/>
                      <w:color w:val="auto"/>
                      <w:szCs w:val="21"/>
                    </w:rPr>
                    <w:t>钢架结构，建筑面积</w:t>
                  </w:r>
                  <w:r>
                    <w:rPr>
                      <w:rFonts w:hint="eastAsia"/>
                      <w:bCs/>
                      <w:color w:val="auto"/>
                      <w:szCs w:val="21"/>
                    </w:rPr>
                    <w:t>1287</w:t>
                  </w:r>
                  <w:r>
                    <w:rPr>
                      <w:bCs/>
                      <w:color w:val="auto"/>
                      <w:szCs w:val="21"/>
                    </w:rPr>
                    <w:t>m</w:t>
                  </w:r>
                  <w:r>
                    <w:rPr>
                      <w:bCs/>
                      <w:color w:val="auto"/>
                      <w:szCs w:val="21"/>
                      <w:vertAlign w:val="superscript"/>
                    </w:rPr>
                    <w:t>2</w:t>
                  </w:r>
                  <w:r>
                    <w:rPr>
                      <w:rFonts w:hint="eastAsia"/>
                      <w:bCs/>
                      <w:color w:val="auto"/>
                      <w:szCs w:val="21"/>
                    </w:rPr>
                    <w:t>。拟建2条高频焊管机生产线（8#~9#）。</w:t>
                  </w:r>
                </w:p>
              </w:tc>
              <w:tc>
                <w:tcPr>
                  <w:tcW w:w="1005" w:type="dxa"/>
                  <w:vAlign w:val="center"/>
                </w:tcPr>
                <w:p w14:paraId="62FA309E">
                  <w:pPr>
                    <w:autoSpaceDE w:val="0"/>
                    <w:autoSpaceDN w:val="0"/>
                    <w:adjustRightInd w:val="0"/>
                    <w:jc w:val="center"/>
                    <w:rPr>
                      <w:bCs/>
                      <w:color w:val="auto"/>
                      <w:szCs w:val="21"/>
                    </w:rPr>
                  </w:pPr>
                  <w:r>
                    <w:rPr>
                      <w:rFonts w:hint="eastAsia"/>
                      <w:bCs/>
                      <w:color w:val="auto"/>
                      <w:szCs w:val="21"/>
                    </w:rPr>
                    <w:t>利用已有厂房改造后新建生产线</w:t>
                  </w:r>
                </w:p>
              </w:tc>
            </w:tr>
            <w:tr w14:paraId="5A70B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44" w:type="dxa"/>
                  <w:vMerge w:val="restart"/>
                  <w:vAlign w:val="center"/>
                </w:tcPr>
                <w:p w14:paraId="508B3166">
                  <w:pPr>
                    <w:autoSpaceDE w:val="0"/>
                    <w:autoSpaceDN w:val="0"/>
                    <w:adjustRightInd w:val="0"/>
                    <w:jc w:val="center"/>
                    <w:rPr>
                      <w:b/>
                      <w:color w:val="auto"/>
                      <w:szCs w:val="21"/>
                    </w:rPr>
                  </w:pPr>
                  <w:r>
                    <w:rPr>
                      <w:b/>
                      <w:color w:val="auto"/>
                      <w:szCs w:val="21"/>
                    </w:rPr>
                    <w:t>辅助工程</w:t>
                  </w:r>
                </w:p>
              </w:tc>
              <w:tc>
                <w:tcPr>
                  <w:tcW w:w="1307" w:type="dxa"/>
                  <w:vAlign w:val="center"/>
                </w:tcPr>
                <w:p w14:paraId="06F2EDB9">
                  <w:pPr>
                    <w:autoSpaceDE w:val="0"/>
                    <w:autoSpaceDN w:val="0"/>
                    <w:adjustRightInd w:val="0"/>
                    <w:jc w:val="center"/>
                    <w:rPr>
                      <w:color w:val="auto"/>
                      <w:kern w:val="0"/>
                      <w:szCs w:val="21"/>
                    </w:rPr>
                  </w:pPr>
                  <w:r>
                    <w:rPr>
                      <w:rFonts w:hint="eastAsia"/>
                      <w:color w:val="auto"/>
                      <w:kern w:val="0"/>
                      <w:szCs w:val="21"/>
                    </w:rPr>
                    <w:t>成品库</w:t>
                  </w:r>
                </w:p>
              </w:tc>
              <w:tc>
                <w:tcPr>
                  <w:tcW w:w="6187" w:type="dxa"/>
                  <w:gridSpan w:val="2"/>
                  <w:vAlign w:val="center"/>
                </w:tcPr>
                <w:p w14:paraId="3096999D">
                  <w:pPr>
                    <w:autoSpaceDE w:val="0"/>
                    <w:autoSpaceDN w:val="0"/>
                    <w:adjustRightInd w:val="0"/>
                    <w:jc w:val="center"/>
                    <w:rPr>
                      <w:bCs/>
                      <w:color w:val="auto"/>
                      <w:szCs w:val="21"/>
                    </w:rPr>
                  </w:pPr>
                  <w:r>
                    <w:rPr>
                      <w:rFonts w:hint="eastAsia"/>
                      <w:bCs/>
                      <w:color w:val="auto"/>
                      <w:szCs w:val="21"/>
                    </w:rPr>
                    <w:t>现有厂房，1栋，1</w:t>
                  </w:r>
                  <w:r>
                    <w:rPr>
                      <w:bCs/>
                      <w:color w:val="auto"/>
                      <w:szCs w:val="21"/>
                    </w:rPr>
                    <w:t>层，</w:t>
                  </w:r>
                  <w:r>
                    <w:rPr>
                      <w:rFonts w:hint="eastAsia"/>
                      <w:bCs/>
                      <w:color w:val="auto"/>
                      <w:szCs w:val="21"/>
                    </w:rPr>
                    <w:t>高度10m，</w:t>
                  </w:r>
                  <w:r>
                    <w:rPr>
                      <w:bCs/>
                      <w:color w:val="auto"/>
                      <w:szCs w:val="21"/>
                    </w:rPr>
                    <w:t>钢架结构，建筑面积</w:t>
                  </w:r>
                  <w:r>
                    <w:rPr>
                      <w:rFonts w:hint="eastAsia"/>
                      <w:bCs/>
                      <w:color w:val="auto"/>
                      <w:szCs w:val="21"/>
                    </w:rPr>
                    <w:t>825</w:t>
                  </w:r>
                  <w:r>
                    <w:rPr>
                      <w:bCs/>
                      <w:color w:val="auto"/>
                      <w:szCs w:val="21"/>
                    </w:rPr>
                    <w:t>m</w:t>
                  </w:r>
                  <w:r>
                    <w:rPr>
                      <w:bCs/>
                      <w:color w:val="auto"/>
                      <w:szCs w:val="21"/>
                      <w:vertAlign w:val="superscript"/>
                    </w:rPr>
                    <w:t>2</w:t>
                  </w:r>
                  <w:r>
                    <w:rPr>
                      <w:rFonts w:hint="eastAsia"/>
                      <w:bCs/>
                      <w:color w:val="auto"/>
                      <w:szCs w:val="21"/>
                    </w:rPr>
                    <w:t>。</w:t>
                  </w:r>
                </w:p>
              </w:tc>
              <w:tc>
                <w:tcPr>
                  <w:tcW w:w="1005" w:type="dxa"/>
                  <w:vAlign w:val="center"/>
                </w:tcPr>
                <w:p w14:paraId="1C8FF9D9">
                  <w:pPr>
                    <w:autoSpaceDE w:val="0"/>
                    <w:autoSpaceDN w:val="0"/>
                    <w:adjustRightInd w:val="0"/>
                    <w:jc w:val="center"/>
                    <w:rPr>
                      <w:bCs/>
                      <w:color w:val="auto"/>
                      <w:szCs w:val="21"/>
                    </w:rPr>
                  </w:pPr>
                  <w:r>
                    <w:rPr>
                      <w:rFonts w:hint="eastAsia"/>
                      <w:bCs/>
                      <w:color w:val="auto"/>
                      <w:szCs w:val="21"/>
                    </w:rPr>
                    <w:t>依托现有</w:t>
                  </w:r>
                </w:p>
              </w:tc>
            </w:tr>
            <w:tr w14:paraId="034FD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744" w:type="dxa"/>
                  <w:vMerge w:val="continue"/>
                  <w:vAlign w:val="center"/>
                </w:tcPr>
                <w:p w14:paraId="5A810EA4">
                  <w:pPr>
                    <w:autoSpaceDE w:val="0"/>
                    <w:autoSpaceDN w:val="0"/>
                    <w:adjustRightInd w:val="0"/>
                    <w:jc w:val="center"/>
                    <w:rPr>
                      <w:b/>
                      <w:color w:val="auto"/>
                      <w:szCs w:val="21"/>
                    </w:rPr>
                  </w:pPr>
                </w:p>
              </w:tc>
              <w:tc>
                <w:tcPr>
                  <w:tcW w:w="1307" w:type="dxa"/>
                  <w:vAlign w:val="center"/>
                </w:tcPr>
                <w:p w14:paraId="241B95B4">
                  <w:pPr>
                    <w:autoSpaceDE w:val="0"/>
                    <w:autoSpaceDN w:val="0"/>
                    <w:adjustRightInd w:val="0"/>
                    <w:jc w:val="center"/>
                    <w:rPr>
                      <w:b/>
                      <w:color w:val="auto"/>
                      <w:szCs w:val="21"/>
                    </w:rPr>
                  </w:pPr>
                  <w:r>
                    <w:rPr>
                      <w:rFonts w:hint="eastAsia"/>
                      <w:color w:val="auto"/>
                      <w:kern w:val="0"/>
                      <w:szCs w:val="21"/>
                    </w:rPr>
                    <w:t>办公楼</w:t>
                  </w:r>
                </w:p>
              </w:tc>
              <w:tc>
                <w:tcPr>
                  <w:tcW w:w="6187" w:type="dxa"/>
                  <w:gridSpan w:val="2"/>
                  <w:vAlign w:val="center"/>
                </w:tcPr>
                <w:p w14:paraId="514AD1FD">
                  <w:pPr>
                    <w:autoSpaceDE w:val="0"/>
                    <w:autoSpaceDN w:val="0"/>
                    <w:adjustRightInd w:val="0"/>
                    <w:jc w:val="center"/>
                    <w:rPr>
                      <w:bCs/>
                      <w:color w:val="auto"/>
                      <w:szCs w:val="21"/>
                    </w:rPr>
                  </w:pPr>
                  <w:r>
                    <w:rPr>
                      <w:rFonts w:hint="eastAsia"/>
                      <w:bCs/>
                      <w:color w:val="auto"/>
                      <w:szCs w:val="21"/>
                    </w:rPr>
                    <w:t>租用现有办公楼，</w:t>
                  </w:r>
                  <w:r>
                    <w:rPr>
                      <w:bCs/>
                      <w:color w:val="auto"/>
                      <w:szCs w:val="21"/>
                    </w:rPr>
                    <w:t>1</w:t>
                  </w:r>
                  <w:r>
                    <w:rPr>
                      <w:rFonts w:hint="eastAsia"/>
                      <w:bCs/>
                      <w:color w:val="auto"/>
                      <w:szCs w:val="21"/>
                    </w:rPr>
                    <w:t>栋，3层，高度9</w:t>
                  </w:r>
                  <w:r>
                    <w:rPr>
                      <w:bCs/>
                      <w:color w:val="auto"/>
                      <w:szCs w:val="21"/>
                    </w:rPr>
                    <w:t>m</w:t>
                  </w:r>
                  <w:r>
                    <w:rPr>
                      <w:rFonts w:hint="eastAsia"/>
                      <w:bCs/>
                      <w:color w:val="auto"/>
                      <w:szCs w:val="21"/>
                    </w:rPr>
                    <w:t>，</w:t>
                  </w:r>
                  <w:r>
                    <w:rPr>
                      <w:bCs/>
                      <w:color w:val="auto"/>
                      <w:szCs w:val="21"/>
                    </w:rPr>
                    <w:t>建筑面积</w:t>
                  </w:r>
                  <w:r>
                    <w:rPr>
                      <w:rFonts w:hint="eastAsia"/>
                      <w:bCs/>
                      <w:color w:val="auto"/>
                      <w:szCs w:val="21"/>
                    </w:rPr>
                    <w:t>119</w:t>
                  </w:r>
                  <w:r>
                    <w:rPr>
                      <w:bCs/>
                      <w:color w:val="auto"/>
                      <w:szCs w:val="21"/>
                    </w:rPr>
                    <w:t>m</w:t>
                  </w:r>
                  <w:r>
                    <w:rPr>
                      <w:bCs/>
                      <w:color w:val="auto"/>
                      <w:szCs w:val="21"/>
                      <w:vertAlign w:val="superscript"/>
                    </w:rPr>
                    <w:t>2</w:t>
                  </w:r>
                  <w:r>
                    <w:rPr>
                      <w:rFonts w:hint="eastAsia"/>
                      <w:bCs/>
                      <w:color w:val="auto"/>
                      <w:szCs w:val="21"/>
                    </w:rPr>
                    <w:t>。设置办公区，厕所。</w:t>
                  </w:r>
                </w:p>
              </w:tc>
              <w:tc>
                <w:tcPr>
                  <w:tcW w:w="1005" w:type="dxa"/>
                  <w:vAlign w:val="center"/>
                </w:tcPr>
                <w:p w14:paraId="3E66A835">
                  <w:pPr>
                    <w:autoSpaceDE w:val="0"/>
                    <w:autoSpaceDN w:val="0"/>
                    <w:adjustRightInd w:val="0"/>
                    <w:jc w:val="center"/>
                    <w:rPr>
                      <w:bCs/>
                      <w:color w:val="auto"/>
                      <w:szCs w:val="21"/>
                    </w:rPr>
                  </w:pPr>
                  <w:r>
                    <w:rPr>
                      <w:rFonts w:hint="eastAsia"/>
                      <w:bCs/>
                      <w:color w:val="auto"/>
                      <w:szCs w:val="21"/>
                    </w:rPr>
                    <w:t>依托现有</w:t>
                  </w:r>
                </w:p>
              </w:tc>
            </w:tr>
            <w:tr w14:paraId="5929E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744" w:type="dxa"/>
                  <w:vMerge w:val="continue"/>
                  <w:vAlign w:val="center"/>
                </w:tcPr>
                <w:p w14:paraId="3C99E5BE">
                  <w:pPr>
                    <w:autoSpaceDE w:val="0"/>
                    <w:autoSpaceDN w:val="0"/>
                    <w:adjustRightInd w:val="0"/>
                    <w:jc w:val="center"/>
                    <w:rPr>
                      <w:b/>
                      <w:color w:val="auto"/>
                      <w:szCs w:val="21"/>
                    </w:rPr>
                  </w:pPr>
                </w:p>
              </w:tc>
              <w:tc>
                <w:tcPr>
                  <w:tcW w:w="1307" w:type="dxa"/>
                  <w:vAlign w:val="center"/>
                </w:tcPr>
                <w:p w14:paraId="770F6FA1">
                  <w:pPr>
                    <w:autoSpaceDE w:val="0"/>
                    <w:autoSpaceDN w:val="0"/>
                    <w:adjustRightInd w:val="0"/>
                    <w:jc w:val="center"/>
                    <w:rPr>
                      <w:color w:val="auto"/>
                      <w:kern w:val="0"/>
                      <w:szCs w:val="21"/>
                    </w:rPr>
                  </w:pPr>
                  <w:r>
                    <w:rPr>
                      <w:rFonts w:hint="eastAsia"/>
                      <w:color w:val="auto"/>
                      <w:kern w:val="0"/>
                      <w:szCs w:val="21"/>
                    </w:rPr>
                    <w:t>配电室</w:t>
                  </w:r>
                </w:p>
              </w:tc>
              <w:tc>
                <w:tcPr>
                  <w:tcW w:w="6187" w:type="dxa"/>
                  <w:gridSpan w:val="2"/>
                  <w:vAlign w:val="center"/>
                </w:tcPr>
                <w:p w14:paraId="263A69E0">
                  <w:pPr>
                    <w:autoSpaceDE w:val="0"/>
                    <w:autoSpaceDN w:val="0"/>
                    <w:adjustRightInd w:val="0"/>
                    <w:jc w:val="center"/>
                    <w:rPr>
                      <w:bCs/>
                      <w:color w:val="auto"/>
                      <w:szCs w:val="21"/>
                    </w:rPr>
                  </w:pPr>
                  <w:r>
                    <w:rPr>
                      <w:rFonts w:hint="eastAsia"/>
                      <w:bCs/>
                      <w:color w:val="auto"/>
                      <w:szCs w:val="21"/>
                    </w:rPr>
                    <w:t>现有，1栋，1</w:t>
                  </w:r>
                  <w:r>
                    <w:rPr>
                      <w:bCs/>
                      <w:color w:val="auto"/>
                      <w:szCs w:val="21"/>
                    </w:rPr>
                    <w:t>层，</w:t>
                  </w:r>
                  <w:r>
                    <w:rPr>
                      <w:rFonts w:hint="eastAsia"/>
                      <w:bCs/>
                      <w:color w:val="auto"/>
                      <w:szCs w:val="21"/>
                    </w:rPr>
                    <w:t>高度3m，</w:t>
                  </w:r>
                  <w:r>
                    <w:rPr>
                      <w:bCs/>
                      <w:color w:val="auto"/>
                      <w:szCs w:val="21"/>
                    </w:rPr>
                    <w:t>建筑面积</w:t>
                  </w:r>
                  <w:r>
                    <w:rPr>
                      <w:rFonts w:hint="eastAsia"/>
                      <w:bCs/>
                      <w:color w:val="auto"/>
                      <w:szCs w:val="21"/>
                    </w:rPr>
                    <w:t>198</w:t>
                  </w:r>
                  <w:r>
                    <w:rPr>
                      <w:bCs/>
                      <w:color w:val="auto"/>
                      <w:szCs w:val="21"/>
                    </w:rPr>
                    <w:t>m</w:t>
                  </w:r>
                  <w:r>
                    <w:rPr>
                      <w:bCs/>
                      <w:color w:val="auto"/>
                      <w:szCs w:val="21"/>
                      <w:vertAlign w:val="superscript"/>
                    </w:rPr>
                    <w:t>2</w:t>
                  </w:r>
                  <w:r>
                    <w:rPr>
                      <w:rFonts w:hint="eastAsia"/>
                      <w:bCs/>
                      <w:color w:val="auto"/>
                      <w:szCs w:val="21"/>
                    </w:rPr>
                    <w:t>。</w:t>
                  </w:r>
                </w:p>
              </w:tc>
              <w:tc>
                <w:tcPr>
                  <w:tcW w:w="1005" w:type="dxa"/>
                  <w:vAlign w:val="center"/>
                </w:tcPr>
                <w:p w14:paraId="29FC8FEA">
                  <w:pPr>
                    <w:autoSpaceDE w:val="0"/>
                    <w:autoSpaceDN w:val="0"/>
                    <w:adjustRightInd w:val="0"/>
                    <w:jc w:val="center"/>
                    <w:rPr>
                      <w:bCs/>
                      <w:color w:val="auto"/>
                      <w:szCs w:val="21"/>
                    </w:rPr>
                  </w:pPr>
                  <w:r>
                    <w:rPr>
                      <w:rFonts w:hint="eastAsia"/>
                      <w:bCs/>
                      <w:color w:val="auto"/>
                      <w:szCs w:val="21"/>
                    </w:rPr>
                    <w:t>依托现有</w:t>
                  </w:r>
                </w:p>
              </w:tc>
            </w:tr>
            <w:tr w14:paraId="7669B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744" w:type="dxa"/>
                  <w:vMerge w:val="restart"/>
                  <w:vAlign w:val="center"/>
                </w:tcPr>
                <w:p w14:paraId="28D7EC17">
                  <w:pPr>
                    <w:autoSpaceDE w:val="0"/>
                    <w:autoSpaceDN w:val="0"/>
                    <w:adjustRightInd w:val="0"/>
                    <w:jc w:val="center"/>
                    <w:rPr>
                      <w:b/>
                      <w:color w:val="auto"/>
                      <w:szCs w:val="21"/>
                    </w:rPr>
                  </w:pPr>
                  <w:r>
                    <w:rPr>
                      <w:b/>
                      <w:color w:val="auto"/>
                      <w:szCs w:val="21"/>
                    </w:rPr>
                    <w:t>公用工程</w:t>
                  </w:r>
                </w:p>
              </w:tc>
              <w:tc>
                <w:tcPr>
                  <w:tcW w:w="1307" w:type="dxa"/>
                  <w:vAlign w:val="center"/>
                </w:tcPr>
                <w:p w14:paraId="7E88F83C">
                  <w:pPr>
                    <w:autoSpaceDE w:val="0"/>
                    <w:autoSpaceDN w:val="0"/>
                    <w:adjustRightInd w:val="0"/>
                    <w:jc w:val="center"/>
                    <w:rPr>
                      <w:color w:val="auto"/>
                      <w:kern w:val="0"/>
                      <w:szCs w:val="21"/>
                    </w:rPr>
                  </w:pPr>
                  <w:r>
                    <w:rPr>
                      <w:color w:val="auto"/>
                      <w:kern w:val="0"/>
                      <w:szCs w:val="21"/>
                    </w:rPr>
                    <w:t>给水</w:t>
                  </w:r>
                </w:p>
              </w:tc>
              <w:tc>
                <w:tcPr>
                  <w:tcW w:w="6187" w:type="dxa"/>
                  <w:gridSpan w:val="2"/>
                  <w:vAlign w:val="center"/>
                </w:tcPr>
                <w:p w14:paraId="67A80A62">
                  <w:pPr>
                    <w:autoSpaceDE w:val="0"/>
                    <w:autoSpaceDN w:val="0"/>
                    <w:adjustRightInd w:val="0"/>
                    <w:jc w:val="center"/>
                    <w:rPr>
                      <w:bCs/>
                      <w:color w:val="auto"/>
                      <w:szCs w:val="21"/>
                    </w:rPr>
                  </w:pPr>
                  <w:r>
                    <w:rPr>
                      <w:bCs/>
                      <w:color w:val="auto"/>
                      <w:szCs w:val="21"/>
                    </w:rPr>
                    <w:t>项目生产用水、生活用水均采用由</w:t>
                  </w:r>
                  <w:r>
                    <w:rPr>
                      <w:rFonts w:hint="eastAsia"/>
                      <w:bCs/>
                      <w:color w:val="auto"/>
                      <w:szCs w:val="21"/>
                    </w:rPr>
                    <w:t>纳古镇自来水管网提供</w:t>
                  </w:r>
                  <w:r>
                    <w:rPr>
                      <w:bCs/>
                      <w:color w:val="auto"/>
                      <w:szCs w:val="21"/>
                    </w:rPr>
                    <w:t>，水压、水量可以满足本项目用水需求</w:t>
                  </w:r>
                  <w:r>
                    <w:rPr>
                      <w:rFonts w:hint="eastAsia"/>
                      <w:bCs/>
                      <w:color w:val="auto"/>
                      <w:szCs w:val="21"/>
                    </w:rPr>
                    <w:t>。</w:t>
                  </w:r>
                </w:p>
              </w:tc>
              <w:tc>
                <w:tcPr>
                  <w:tcW w:w="1005" w:type="dxa"/>
                  <w:vAlign w:val="center"/>
                </w:tcPr>
                <w:p w14:paraId="34A343B8">
                  <w:pPr>
                    <w:autoSpaceDE w:val="0"/>
                    <w:autoSpaceDN w:val="0"/>
                    <w:adjustRightInd w:val="0"/>
                    <w:jc w:val="center"/>
                    <w:rPr>
                      <w:bCs/>
                      <w:color w:val="auto"/>
                      <w:szCs w:val="21"/>
                    </w:rPr>
                  </w:pPr>
                  <w:r>
                    <w:rPr>
                      <w:rFonts w:hint="eastAsia"/>
                      <w:bCs/>
                      <w:color w:val="auto"/>
                      <w:szCs w:val="21"/>
                    </w:rPr>
                    <w:t>依托现有</w:t>
                  </w:r>
                </w:p>
              </w:tc>
            </w:tr>
            <w:tr w14:paraId="4A529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744" w:type="dxa"/>
                  <w:vMerge w:val="continue"/>
                  <w:vAlign w:val="center"/>
                </w:tcPr>
                <w:p w14:paraId="50711A2C">
                  <w:pPr>
                    <w:autoSpaceDE w:val="0"/>
                    <w:autoSpaceDN w:val="0"/>
                    <w:adjustRightInd w:val="0"/>
                    <w:jc w:val="center"/>
                    <w:rPr>
                      <w:b/>
                      <w:color w:val="auto"/>
                      <w:szCs w:val="21"/>
                    </w:rPr>
                  </w:pPr>
                </w:p>
              </w:tc>
              <w:tc>
                <w:tcPr>
                  <w:tcW w:w="1307" w:type="dxa"/>
                  <w:vAlign w:val="center"/>
                </w:tcPr>
                <w:p w14:paraId="1E05DE95">
                  <w:pPr>
                    <w:autoSpaceDE w:val="0"/>
                    <w:autoSpaceDN w:val="0"/>
                    <w:adjustRightInd w:val="0"/>
                    <w:jc w:val="center"/>
                    <w:rPr>
                      <w:color w:val="auto"/>
                      <w:kern w:val="0"/>
                      <w:szCs w:val="21"/>
                    </w:rPr>
                  </w:pPr>
                  <w:r>
                    <w:rPr>
                      <w:color w:val="auto"/>
                      <w:kern w:val="0"/>
                      <w:szCs w:val="21"/>
                    </w:rPr>
                    <w:t>排水</w:t>
                  </w:r>
                </w:p>
              </w:tc>
              <w:tc>
                <w:tcPr>
                  <w:tcW w:w="6187" w:type="dxa"/>
                  <w:gridSpan w:val="2"/>
                  <w:vAlign w:val="center"/>
                </w:tcPr>
                <w:p w14:paraId="6238B060">
                  <w:pPr>
                    <w:autoSpaceDE w:val="0"/>
                    <w:autoSpaceDN w:val="0"/>
                    <w:adjustRightInd w:val="0"/>
                    <w:jc w:val="left"/>
                    <w:rPr>
                      <w:color w:val="auto"/>
                      <w:szCs w:val="21"/>
                    </w:rPr>
                  </w:pPr>
                  <w:r>
                    <w:rPr>
                      <w:rFonts w:hint="eastAsia"/>
                      <w:color w:val="auto"/>
                      <w:szCs w:val="21"/>
                    </w:rPr>
                    <w:t>项目采用雨污分流制。厂区顶棚设置排水坡度和雨水沟，</w:t>
                  </w:r>
                  <w:r>
                    <w:rPr>
                      <w:color w:val="auto"/>
                      <w:szCs w:val="21"/>
                    </w:rPr>
                    <w:t>初期雨水经雨水沟收集后进入1个容积为</w:t>
                  </w:r>
                  <w:r>
                    <w:rPr>
                      <w:rFonts w:hint="eastAsia"/>
                      <w:color w:val="auto"/>
                      <w:szCs w:val="21"/>
                    </w:rPr>
                    <w:t>5</w:t>
                  </w:r>
                  <w:r>
                    <w:rPr>
                      <w:color w:val="auto"/>
                      <w:szCs w:val="21"/>
                    </w:rPr>
                    <w:t>0m</w:t>
                  </w:r>
                  <w:r>
                    <w:rPr>
                      <w:color w:val="auto"/>
                      <w:szCs w:val="21"/>
                      <w:vertAlign w:val="superscript"/>
                    </w:rPr>
                    <w:t>3</w:t>
                  </w:r>
                  <w:r>
                    <w:rPr>
                      <w:color w:val="auto"/>
                      <w:szCs w:val="21"/>
                    </w:rPr>
                    <w:t>的初期雨水收集池收集沉淀后回用于厂区洒水降尘，不外排</w:t>
                  </w:r>
                  <w:r>
                    <w:rPr>
                      <w:rFonts w:hint="eastAsia"/>
                      <w:color w:val="auto"/>
                      <w:szCs w:val="21"/>
                    </w:rPr>
                    <w:t>；后期雨水沿边沟汇集至厂外雨水沟。项目生产废水主要为焊管生产车间产品冷却水，经生产车间循环水池冷却后循环使用，不外排；项目生活污水经化粪池预处理后，利用罐车拉运至纳古镇污水处理站处理</w:t>
                  </w:r>
                  <w:r>
                    <w:rPr>
                      <w:color w:val="auto"/>
                      <w:szCs w:val="21"/>
                    </w:rPr>
                    <w:t>。</w:t>
                  </w:r>
                </w:p>
              </w:tc>
              <w:tc>
                <w:tcPr>
                  <w:tcW w:w="1005" w:type="dxa"/>
                  <w:vAlign w:val="center"/>
                </w:tcPr>
                <w:p w14:paraId="33D34032">
                  <w:pPr>
                    <w:autoSpaceDE w:val="0"/>
                    <w:autoSpaceDN w:val="0"/>
                    <w:adjustRightInd w:val="0"/>
                    <w:jc w:val="center"/>
                    <w:rPr>
                      <w:bCs/>
                      <w:color w:val="auto"/>
                      <w:szCs w:val="21"/>
                    </w:rPr>
                  </w:pPr>
                  <w:r>
                    <w:rPr>
                      <w:rFonts w:hint="eastAsia"/>
                      <w:bCs/>
                      <w:color w:val="auto"/>
                      <w:szCs w:val="21"/>
                    </w:rPr>
                    <w:t>依托现有</w:t>
                  </w:r>
                </w:p>
              </w:tc>
            </w:tr>
            <w:tr w14:paraId="5FED3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744" w:type="dxa"/>
                  <w:vMerge w:val="continue"/>
                  <w:vAlign w:val="center"/>
                </w:tcPr>
                <w:p w14:paraId="5DB24F21">
                  <w:pPr>
                    <w:autoSpaceDE w:val="0"/>
                    <w:autoSpaceDN w:val="0"/>
                    <w:adjustRightInd w:val="0"/>
                    <w:jc w:val="center"/>
                    <w:rPr>
                      <w:b/>
                      <w:color w:val="auto"/>
                      <w:szCs w:val="21"/>
                    </w:rPr>
                  </w:pPr>
                </w:p>
              </w:tc>
              <w:tc>
                <w:tcPr>
                  <w:tcW w:w="1307" w:type="dxa"/>
                  <w:vAlign w:val="center"/>
                </w:tcPr>
                <w:p w14:paraId="1C9287E5">
                  <w:pPr>
                    <w:adjustRightInd w:val="0"/>
                    <w:snapToGrid w:val="0"/>
                    <w:spacing w:line="320" w:lineRule="exact"/>
                    <w:jc w:val="center"/>
                    <w:rPr>
                      <w:color w:val="auto"/>
                      <w:szCs w:val="21"/>
                    </w:rPr>
                  </w:pPr>
                  <w:r>
                    <w:rPr>
                      <w:rFonts w:hint="eastAsia"/>
                      <w:color w:val="auto"/>
                      <w:szCs w:val="21"/>
                    </w:rPr>
                    <w:t>供电</w:t>
                  </w:r>
                </w:p>
              </w:tc>
              <w:tc>
                <w:tcPr>
                  <w:tcW w:w="6187" w:type="dxa"/>
                  <w:gridSpan w:val="2"/>
                  <w:vAlign w:val="center"/>
                </w:tcPr>
                <w:p w14:paraId="3C742D0A">
                  <w:pPr>
                    <w:adjustRightInd w:val="0"/>
                    <w:snapToGrid w:val="0"/>
                    <w:spacing w:line="320" w:lineRule="exact"/>
                    <w:rPr>
                      <w:color w:val="auto"/>
                      <w:szCs w:val="21"/>
                    </w:rPr>
                  </w:pPr>
                  <w:r>
                    <w:rPr>
                      <w:rFonts w:hint="eastAsia"/>
                      <w:color w:val="auto"/>
                      <w:szCs w:val="21"/>
                    </w:rPr>
                    <w:t>项目供电采用</w:t>
                  </w:r>
                  <w:r>
                    <w:rPr>
                      <w:color w:val="auto"/>
                      <w:szCs w:val="21"/>
                    </w:rPr>
                    <w:t>35kV</w:t>
                  </w:r>
                  <w:r>
                    <w:rPr>
                      <w:rFonts w:hint="eastAsia"/>
                      <w:color w:val="auto"/>
                      <w:szCs w:val="21"/>
                    </w:rPr>
                    <w:t>狮山变电站供电，经厂区现有1台变压器降压后，接入配电室调配后供各用电单元使用。</w:t>
                  </w:r>
                </w:p>
              </w:tc>
              <w:tc>
                <w:tcPr>
                  <w:tcW w:w="1005" w:type="dxa"/>
                  <w:vAlign w:val="center"/>
                </w:tcPr>
                <w:p w14:paraId="4FF0B219">
                  <w:pPr>
                    <w:autoSpaceDE w:val="0"/>
                    <w:autoSpaceDN w:val="0"/>
                    <w:adjustRightInd w:val="0"/>
                    <w:jc w:val="center"/>
                    <w:rPr>
                      <w:bCs/>
                      <w:color w:val="auto"/>
                      <w:szCs w:val="21"/>
                    </w:rPr>
                  </w:pPr>
                  <w:r>
                    <w:rPr>
                      <w:rFonts w:hint="eastAsia"/>
                      <w:bCs/>
                      <w:color w:val="auto"/>
                      <w:szCs w:val="21"/>
                    </w:rPr>
                    <w:t>依托现有</w:t>
                  </w:r>
                </w:p>
              </w:tc>
            </w:tr>
            <w:tr w14:paraId="54AEF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744" w:type="dxa"/>
                  <w:vMerge w:val="restart"/>
                  <w:vAlign w:val="center"/>
                </w:tcPr>
                <w:p w14:paraId="670821EE">
                  <w:pPr>
                    <w:autoSpaceDE w:val="0"/>
                    <w:autoSpaceDN w:val="0"/>
                    <w:adjustRightInd w:val="0"/>
                    <w:jc w:val="center"/>
                    <w:rPr>
                      <w:b/>
                      <w:color w:val="auto"/>
                      <w:szCs w:val="21"/>
                    </w:rPr>
                  </w:pPr>
                  <w:r>
                    <w:rPr>
                      <w:rFonts w:hint="eastAsia"/>
                      <w:b/>
                      <w:color w:val="auto"/>
                      <w:szCs w:val="21"/>
                    </w:rPr>
                    <w:t>储运</w:t>
                  </w:r>
                  <w:r>
                    <w:rPr>
                      <w:b/>
                      <w:color w:val="auto"/>
                      <w:szCs w:val="21"/>
                    </w:rPr>
                    <w:t>工程</w:t>
                  </w:r>
                </w:p>
              </w:tc>
              <w:tc>
                <w:tcPr>
                  <w:tcW w:w="1307" w:type="dxa"/>
                  <w:vAlign w:val="center"/>
                </w:tcPr>
                <w:p w14:paraId="3E0A8C51">
                  <w:pPr>
                    <w:adjustRightInd w:val="0"/>
                    <w:snapToGrid w:val="0"/>
                    <w:spacing w:line="320" w:lineRule="exact"/>
                    <w:jc w:val="center"/>
                    <w:rPr>
                      <w:color w:val="auto"/>
                      <w:szCs w:val="21"/>
                    </w:rPr>
                  </w:pPr>
                  <w:r>
                    <w:rPr>
                      <w:rFonts w:hint="eastAsia"/>
                      <w:color w:val="auto"/>
                      <w:szCs w:val="21"/>
                    </w:rPr>
                    <w:t>仓库</w:t>
                  </w:r>
                </w:p>
              </w:tc>
              <w:tc>
                <w:tcPr>
                  <w:tcW w:w="6187" w:type="dxa"/>
                  <w:gridSpan w:val="2"/>
                  <w:vAlign w:val="center"/>
                </w:tcPr>
                <w:p w14:paraId="35B5C5A2">
                  <w:pPr>
                    <w:adjustRightInd w:val="0"/>
                    <w:snapToGrid w:val="0"/>
                    <w:spacing w:line="320" w:lineRule="exact"/>
                    <w:rPr>
                      <w:color w:val="auto"/>
                      <w:szCs w:val="21"/>
                    </w:rPr>
                  </w:pPr>
                  <w:r>
                    <w:rPr>
                      <w:rFonts w:hint="eastAsia"/>
                      <w:color w:val="auto"/>
                      <w:szCs w:val="21"/>
                    </w:rPr>
                    <w:t>生产车间1号内设置有1个原料</w:t>
                  </w:r>
                  <w:r>
                    <w:rPr>
                      <w:rFonts w:hint="eastAsia"/>
                      <w:bCs/>
                      <w:color w:val="auto"/>
                      <w:szCs w:val="21"/>
                    </w:rPr>
                    <w:t>堆放区，占地面积约</w:t>
                  </w:r>
                  <w:r>
                    <w:rPr>
                      <w:bCs/>
                      <w:color w:val="auto"/>
                      <w:szCs w:val="21"/>
                    </w:rPr>
                    <w:t>200m</w:t>
                  </w:r>
                  <w:r>
                    <w:rPr>
                      <w:bCs/>
                      <w:color w:val="auto"/>
                      <w:szCs w:val="21"/>
                      <w:vertAlign w:val="superscript"/>
                    </w:rPr>
                    <w:t>2</w:t>
                  </w:r>
                  <w:r>
                    <w:rPr>
                      <w:rFonts w:hint="eastAsia"/>
                      <w:bCs/>
                      <w:color w:val="auto"/>
                      <w:szCs w:val="21"/>
                    </w:rPr>
                    <w:t>；厂区内设1个成品库，占地面积约825</w:t>
                  </w:r>
                  <w:r>
                    <w:rPr>
                      <w:bCs/>
                      <w:color w:val="auto"/>
                      <w:szCs w:val="21"/>
                    </w:rPr>
                    <w:t>m</w:t>
                  </w:r>
                  <w:r>
                    <w:rPr>
                      <w:bCs/>
                      <w:color w:val="auto"/>
                      <w:szCs w:val="21"/>
                      <w:vertAlign w:val="superscript"/>
                    </w:rPr>
                    <w:t>2</w:t>
                  </w:r>
                  <w:r>
                    <w:rPr>
                      <w:rFonts w:hint="eastAsia"/>
                      <w:bCs/>
                      <w:color w:val="auto"/>
                      <w:szCs w:val="21"/>
                    </w:rPr>
                    <w:t>。</w:t>
                  </w:r>
                </w:p>
              </w:tc>
              <w:tc>
                <w:tcPr>
                  <w:tcW w:w="1005" w:type="dxa"/>
                  <w:vAlign w:val="center"/>
                </w:tcPr>
                <w:p w14:paraId="196BB943">
                  <w:pPr>
                    <w:autoSpaceDE w:val="0"/>
                    <w:autoSpaceDN w:val="0"/>
                    <w:adjustRightInd w:val="0"/>
                    <w:jc w:val="center"/>
                    <w:rPr>
                      <w:bCs/>
                      <w:color w:val="auto"/>
                      <w:szCs w:val="21"/>
                    </w:rPr>
                  </w:pPr>
                  <w:r>
                    <w:rPr>
                      <w:rFonts w:hint="eastAsia"/>
                      <w:bCs/>
                      <w:color w:val="auto"/>
                      <w:szCs w:val="21"/>
                    </w:rPr>
                    <w:t>依托现有</w:t>
                  </w:r>
                </w:p>
              </w:tc>
            </w:tr>
            <w:tr w14:paraId="68AE7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744" w:type="dxa"/>
                  <w:vMerge w:val="continue"/>
                  <w:vAlign w:val="center"/>
                </w:tcPr>
                <w:p w14:paraId="58334D84">
                  <w:pPr>
                    <w:autoSpaceDE w:val="0"/>
                    <w:autoSpaceDN w:val="0"/>
                    <w:adjustRightInd w:val="0"/>
                    <w:jc w:val="center"/>
                    <w:rPr>
                      <w:b/>
                      <w:color w:val="auto"/>
                      <w:szCs w:val="21"/>
                    </w:rPr>
                  </w:pPr>
                  <w:bookmarkStart w:id="53" w:name="_Hlk218436081"/>
                </w:p>
              </w:tc>
              <w:tc>
                <w:tcPr>
                  <w:tcW w:w="1307" w:type="dxa"/>
                  <w:vAlign w:val="center"/>
                </w:tcPr>
                <w:p w14:paraId="43319758">
                  <w:pPr>
                    <w:adjustRightInd w:val="0"/>
                    <w:snapToGrid w:val="0"/>
                    <w:spacing w:line="320" w:lineRule="exact"/>
                    <w:jc w:val="center"/>
                    <w:rPr>
                      <w:color w:val="auto"/>
                      <w:kern w:val="0"/>
                      <w:szCs w:val="21"/>
                    </w:rPr>
                  </w:pPr>
                  <w:r>
                    <w:rPr>
                      <w:rFonts w:hint="eastAsia"/>
                      <w:color w:val="auto"/>
                      <w:szCs w:val="21"/>
                    </w:rPr>
                    <w:t>一般固废暂存间</w:t>
                  </w:r>
                </w:p>
              </w:tc>
              <w:tc>
                <w:tcPr>
                  <w:tcW w:w="6187" w:type="dxa"/>
                  <w:gridSpan w:val="2"/>
                  <w:vAlign w:val="center"/>
                </w:tcPr>
                <w:p w14:paraId="6087F55E">
                  <w:pPr>
                    <w:adjustRightInd w:val="0"/>
                    <w:snapToGrid w:val="0"/>
                    <w:spacing w:line="320" w:lineRule="exact"/>
                    <w:rPr>
                      <w:color w:val="auto"/>
                      <w:kern w:val="0"/>
                      <w:szCs w:val="21"/>
                    </w:rPr>
                  </w:pPr>
                  <w:r>
                    <w:rPr>
                      <w:rFonts w:hint="eastAsia"/>
                      <w:color w:val="auto"/>
                      <w:szCs w:val="21"/>
                    </w:rPr>
                    <w:t>成品库内</w:t>
                  </w:r>
                  <w:r>
                    <w:rPr>
                      <w:rFonts w:hint="eastAsia"/>
                      <w:color w:val="auto"/>
                      <w:kern w:val="0"/>
                      <w:szCs w:val="21"/>
                    </w:rPr>
                    <w:t>设置面积20 m</w:t>
                  </w:r>
                  <w:r>
                    <w:rPr>
                      <w:rFonts w:hint="eastAsia"/>
                      <w:color w:val="auto"/>
                      <w:kern w:val="0"/>
                      <w:szCs w:val="21"/>
                      <w:vertAlign w:val="superscript"/>
                    </w:rPr>
                    <w:t>2</w:t>
                  </w:r>
                  <w:r>
                    <w:rPr>
                      <w:rFonts w:hint="eastAsia"/>
                      <w:color w:val="auto"/>
                      <w:kern w:val="0"/>
                      <w:szCs w:val="21"/>
                    </w:rPr>
                    <w:t>的</w:t>
                  </w:r>
                  <w:r>
                    <w:rPr>
                      <w:rFonts w:hint="eastAsia"/>
                      <w:color w:val="auto"/>
                      <w:szCs w:val="21"/>
                    </w:rPr>
                    <w:t>一般固废暂存间。</w:t>
                  </w:r>
                </w:p>
              </w:tc>
              <w:tc>
                <w:tcPr>
                  <w:tcW w:w="1005" w:type="dxa"/>
                  <w:vAlign w:val="center"/>
                </w:tcPr>
                <w:p w14:paraId="5ADCEE4A">
                  <w:pPr>
                    <w:autoSpaceDE w:val="0"/>
                    <w:autoSpaceDN w:val="0"/>
                    <w:adjustRightInd w:val="0"/>
                    <w:jc w:val="center"/>
                    <w:rPr>
                      <w:bCs/>
                      <w:color w:val="auto"/>
                      <w:szCs w:val="21"/>
                    </w:rPr>
                  </w:pPr>
                  <w:r>
                    <w:rPr>
                      <w:rFonts w:hint="eastAsia"/>
                      <w:bCs/>
                      <w:color w:val="auto"/>
                      <w:szCs w:val="21"/>
                    </w:rPr>
                    <w:t>新建</w:t>
                  </w:r>
                </w:p>
              </w:tc>
            </w:tr>
            <w:tr w14:paraId="4030E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744" w:type="dxa"/>
                  <w:vMerge w:val="continue"/>
                  <w:vAlign w:val="center"/>
                </w:tcPr>
                <w:p w14:paraId="030A0ACA">
                  <w:pPr>
                    <w:autoSpaceDE w:val="0"/>
                    <w:autoSpaceDN w:val="0"/>
                    <w:adjustRightInd w:val="0"/>
                    <w:jc w:val="center"/>
                    <w:rPr>
                      <w:b/>
                      <w:color w:val="auto"/>
                      <w:szCs w:val="21"/>
                    </w:rPr>
                  </w:pPr>
                </w:p>
              </w:tc>
              <w:tc>
                <w:tcPr>
                  <w:tcW w:w="1307" w:type="dxa"/>
                  <w:vAlign w:val="center"/>
                </w:tcPr>
                <w:p w14:paraId="334C9889">
                  <w:pPr>
                    <w:adjustRightInd w:val="0"/>
                    <w:snapToGrid w:val="0"/>
                    <w:spacing w:line="320" w:lineRule="exact"/>
                    <w:jc w:val="center"/>
                    <w:rPr>
                      <w:color w:val="auto"/>
                      <w:szCs w:val="21"/>
                    </w:rPr>
                  </w:pPr>
                  <w:r>
                    <w:rPr>
                      <w:rFonts w:hint="eastAsia"/>
                      <w:color w:val="auto"/>
                      <w:szCs w:val="21"/>
                    </w:rPr>
                    <w:t>危险废物暂存间</w:t>
                  </w:r>
                </w:p>
              </w:tc>
              <w:tc>
                <w:tcPr>
                  <w:tcW w:w="6187" w:type="dxa"/>
                  <w:gridSpan w:val="2"/>
                  <w:vAlign w:val="center"/>
                </w:tcPr>
                <w:p w14:paraId="1C849F9C">
                  <w:pPr>
                    <w:adjustRightInd w:val="0"/>
                    <w:snapToGrid w:val="0"/>
                    <w:spacing w:line="320" w:lineRule="exact"/>
                    <w:rPr>
                      <w:color w:val="auto"/>
                      <w:kern w:val="0"/>
                      <w:szCs w:val="21"/>
                    </w:rPr>
                  </w:pPr>
                  <w:r>
                    <w:rPr>
                      <w:rFonts w:hint="eastAsia"/>
                      <w:color w:val="auto"/>
                      <w:szCs w:val="21"/>
                    </w:rPr>
                    <w:t>成品库内</w:t>
                  </w:r>
                  <w:r>
                    <w:rPr>
                      <w:rFonts w:hint="eastAsia"/>
                      <w:color w:val="auto"/>
                      <w:kern w:val="0"/>
                      <w:szCs w:val="21"/>
                    </w:rPr>
                    <w:t>设置面积</w:t>
                  </w:r>
                  <w:r>
                    <w:rPr>
                      <w:color w:val="auto"/>
                      <w:kern w:val="0"/>
                      <w:szCs w:val="21"/>
                    </w:rPr>
                    <w:t>5</w:t>
                  </w:r>
                  <w:r>
                    <w:rPr>
                      <w:rFonts w:hint="eastAsia"/>
                      <w:color w:val="auto"/>
                      <w:kern w:val="0"/>
                      <w:szCs w:val="21"/>
                    </w:rPr>
                    <w:t xml:space="preserve"> m</w:t>
                  </w:r>
                  <w:r>
                    <w:rPr>
                      <w:rFonts w:hint="eastAsia"/>
                      <w:color w:val="auto"/>
                      <w:kern w:val="0"/>
                      <w:szCs w:val="21"/>
                      <w:vertAlign w:val="superscript"/>
                    </w:rPr>
                    <w:t>2</w:t>
                  </w:r>
                  <w:r>
                    <w:rPr>
                      <w:rFonts w:hint="eastAsia"/>
                      <w:color w:val="auto"/>
                      <w:kern w:val="0"/>
                      <w:szCs w:val="21"/>
                    </w:rPr>
                    <w:t>的</w:t>
                  </w:r>
                  <w:r>
                    <w:rPr>
                      <w:rFonts w:hint="eastAsia"/>
                      <w:color w:val="auto"/>
                      <w:szCs w:val="21"/>
                    </w:rPr>
                    <w:t>危废暂存间，临时存放危险废物。</w:t>
                  </w:r>
                </w:p>
              </w:tc>
              <w:tc>
                <w:tcPr>
                  <w:tcW w:w="1005" w:type="dxa"/>
                  <w:vAlign w:val="center"/>
                </w:tcPr>
                <w:p w14:paraId="26EBD401">
                  <w:pPr>
                    <w:autoSpaceDE w:val="0"/>
                    <w:autoSpaceDN w:val="0"/>
                    <w:adjustRightInd w:val="0"/>
                    <w:jc w:val="center"/>
                    <w:rPr>
                      <w:bCs/>
                      <w:color w:val="auto"/>
                      <w:szCs w:val="21"/>
                    </w:rPr>
                  </w:pPr>
                  <w:r>
                    <w:rPr>
                      <w:rFonts w:hint="eastAsia"/>
                      <w:bCs/>
                      <w:color w:val="auto"/>
                      <w:szCs w:val="21"/>
                    </w:rPr>
                    <w:t>新建</w:t>
                  </w:r>
                </w:p>
              </w:tc>
            </w:tr>
            <w:bookmarkEnd w:id="53"/>
            <w:tr w14:paraId="55F6A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44" w:type="dxa"/>
                  <w:vMerge w:val="restart"/>
                  <w:vAlign w:val="center"/>
                </w:tcPr>
                <w:p w14:paraId="2B7AF16D">
                  <w:pPr>
                    <w:autoSpaceDE w:val="0"/>
                    <w:autoSpaceDN w:val="0"/>
                    <w:adjustRightInd w:val="0"/>
                    <w:jc w:val="center"/>
                    <w:rPr>
                      <w:b/>
                      <w:color w:val="auto"/>
                      <w:szCs w:val="21"/>
                    </w:rPr>
                  </w:pPr>
                  <w:r>
                    <w:rPr>
                      <w:b/>
                      <w:color w:val="auto"/>
                      <w:szCs w:val="21"/>
                    </w:rPr>
                    <w:t>环保工程</w:t>
                  </w:r>
                </w:p>
              </w:tc>
              <w:tc>
                <w:tcPr>
                  <w:tcW w:w="1307" w:type="dxa"/>
                  <w:vMerge w:val="restart"/>
                  <w:vAlign w:val="center"/>
                </w:tcPr>
                <w:p w14:paraId="268CAEF4">
                  <w:pPr>
                    <w:autoSpaceDE w:val="0"/>
                    <w:autoSpaceDN w:val="0"/>
                    <w:adjustRightInd w:val="0"/>
                    <w:jc w:val="center"/>
                    <w:rPr>
                      <w:color w:val="auto"/>
                      <w:kern w:val="0"/>
                      <w:szCs w:val="21"/>
                    </w:rPr>
                  </w:pPr>
                  <w:r>
                    <w:rPr>
                      <w:color w:val="auto"/>
                      <w:szCs w:val="21"/>
                    </w:rPr>
                    <w:t>废气处理</w:t>
                  </w:r>
                </w:p>
              </w:tc>
              <w:tc>
                <w:tcPr>
                  <w:tcW w:w="1459" w:type="dxa"/>
                  <w:vAlign w:val="center"/>
                </w:tcPr>
                <w:p w14:paraId="7E207DA2">
                  <w:pPr>
                    <w:autoSpaceDE w:val="0"/>
                    <w:autoSpaceDN w:val="0"/>
                    <w:adjustRightInd w:val="0"/>
                    <w:jc w:val="center"/>
                    <w:rPr>
                      <w:rFonts w:ascii="宋体" w:cs="宋体"/>
                      <w:color w:val="auto"/>
                      <w:kern w:val="0"/>
                      <w:szCs w:val="21"/>
                    </w:rPr>
                  </w:pPr>
                  <w:r>
                    <w:rPr>
                      <w:rFonts w:hint="eastAsia"/>
                      <w:color w:val="auto"/>
                      <w:szCs w:val="21"/>
                    </w:rPr>
                    <w:t>高频焊接烟尘</w:t>
                  </w:r>
                </w:p>
              </w:tc>
              <w:tc>
                <w:tcPr>
                  <w:tcW w:w="4728" w:type="dxa"/>
                  <w:vAlign w:val="center"/>
                </w:tcPr>
                <w:p w14:paraId="5C1AB36E">
                  <w:pPr>
                    <w:autoSpaceDE w:val="0"/>
                    <w:autoSpaceDN w:val="0"/>
                    <w:adjustRightInd w:val="0"/>
                    <w:jc w:val="left"/>
                    <w:rPr>
                      <w:color w:val="auto"/>
                      <w:szCs w:val="21"/>
                    </w:rPr>
                  </w:pPr>
                  <w:r>
                    <w:rPr>
                      <w:rFonts w:hint="eastAsia"/>
                      <w:color w:val="auto"/>
                      <w:szCs w:val="21"/>
                    </w:rPr>
                    <w:t>①1#生产线焊接烟尘经集气罩+布袋除尘器（TA001）处理后经一根15m高排气筒（DA001）排放；</w:t>
                  </w:r>
                </w:p>
                <w:p w14:paraId="51C23E76">
                  <w:pPr>
                    <w:autoSpaceDE w:val="0"/>
                    <w:autoSpaceDN w:val="0"/>
                    <w:adjustRightInd w:val="0"/>
                    <w:jc w:val="left"/>
                    <w:rPr>
                      <w:color w:val="auto"/>
                      <w:szCs w:val="21"/>
                    </w:rPr>
                  </w:pPr>
                  <w:r>
                    <w:rPr>
                      <w:rFonts w:hint="eastAsia"/>
                      <w:color w:val="auto"/>
                      <w:szCs w:val="21"/>
                    </w:rPr>
                    <w:t>②2#~5#生产线焊接烟尘经集气罩+布袋除尘器（TA002~TA005）处理后合并由一根15m高排气筒（DA002）排放；</w:t>
                  </w:r>
                </w:p>
                <w:p w14:paraId="3F80BC7E">
                  <w:pPr>
                    <w:autoSpaceDE w:val="0"/>
                    <w:autoSpaceDN w:val="0"/>
                    <w:adjustRightInd w:val="0"/>
                    <w:jc w:val="left"/>
                    <w:rPr>
                      <w:color w:val="auto"/>
                      <w:szCs w:val="21"/>
                    </w:rPr>
                  </w:pPr>
                  <w:r>
                    <w:rPr>
                      <w:rFonts w:hint="eastAsia"/>
                      <w:color w:val="auto"/>
                      <w:szCs w:val="21"/>
                    </w:rPr>
                    <w:t>③6#~9#生产线焊接烟尘经集气罩+布袋除尘器（TA006~TA009）处理后合并由一根15m高排气筒（DA003）排放。</w:t>
                  </w:r>
                </w:p>
              </w:tc>
              <w:tc>
                <w:tcPr>
                  <w:tcW w:w="1005" w:type="dxa"/>
                  <w:vAlign w:val="center"/>
                </w:tcPr>
                <w:p w14:paraId="48CC055D">
                  <w:pPr>
                    <w:autoSpaceDE w:val="0"/>
                    <w:autoSpaceDN w:val="0"/>
                    <w:adjustRightInd w:val="0"/>
                    <w:jc w:val="center"/>
                    <w:rPr>
                      <w:bCs/>
                      <w:color w:val="auto"/>
                      <w:szCs w:val="21"/>
                    </w:rPr>
                  </w:pPr>
                  <w:bookmarkStart w:id="54" w:name="OLE_LINK35"/>
                  <w:r>
                    <w:rPr>
                      <w:rFonts w:hint="eastAsia"/>
                      <w:bCs/>
                      <w:color w:val="auto"/>
                      <w:szCs w:val="21"/>
                    </w:rPr>
                    <w:t>新建</w:t>
                  </w:r>
                  <w:bookmarkEnd w:id="54"/>
                </w:p>
              </w:tc>
            </w:tr>
            <w:tr w14:paraId="5CE20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44" w:type="dxa"/>
                  <w:vMerge w:val="continue"/>
                  <w:vAlign w:val="center"/>
                </w:tcPr>
                <w:p w14:paraId="7BDDA240">
                  <w:pPr>
                    <w:autoSpaceDE w:val="0"/>
                    <w:autoSpaceDN w:val="0"/>
                    <w:adjustRightInd w:val="0"/>
                    <w:jc w:val="center"/>
                    <w:rPr>
                      <w:b/>
                      <w:color w:val="auto"/>
                      <w:szCs w:val="21"/>
                    </w:rPr>
                  </w:pPr>
                </w:p>
              </w:tc>
              <w:tc>
                <w:tcPr>
                  <w:tcW w:w="1307" w:type="dxa"/>
                  <w:vMerge w:val="continue"/>
                  <w:vAlign w:val="center"/>
                </w:tcPr>
                <w:p w14:paraId="00A67CD8">
                  <w:pPr>
                    <w:autoSpaceDE w:val="0"/>
                    <w:autoSpaceDN w:val="0"/>
                    <w:adjustRightInd w:val="0"/>
                    <w:jc w:val="center"/>
                    <w:rPr>
                      <w:color w:val="auto"/>
                      <w:szCs w:val="21"/>
                    </w:rPr>
                  </w:pPr>
                </w:p>
              </w:tc>
              <w:tc>
                <w:tcPr>
                  <w:tcW w:w="1459" w:type="dxa"/>
                  <w:vAlign w:val="center"/>
                </w:tcPr>
                <w:p w14:paraId="0E102D3C">
                  <w:pPr>
                    <w:autoSpaceDE w:val="0"/>
                    <w:autoSpaceDN w:val="0"/>
                    <w:adjustRightInd w:val="0"/>
                    <w:jc w:val="center"/>
                    <w:rPr>
                      <w:color w:val="auto"/>
                      <w:szCs w:val="21"/>
                    </w:rPr>
                  </w:pPr>
                  <w:r>
                    <w:rPr>
                      <w:rFonts w:hint="eastAsia"/>
                      <w:color w:val="auto"/>
                      <w:szCs w:val="21"/>
                    </w:rPr>
                    <w:t>车间无组织烟尘</w:t>
                  </w:r>
                </w:p>
              </w:tc>
              <w:tc>
                <w:tcPr>
                  <w:tcW w:w="4728" w:type="dxa"/>
                  <w:vAlign w:val="center"/>
                </w:tcPr>
                <w:p w14:paraId="1DA40435">
                  <w:pPr>
                    <w:autoSpaceDE w:val="0"/>
                    <w:autoSpaceDN w:val="0"/>
                    <w:adjustRightInd w:val="0"/>
                    <w:jc w:val="center"/>
                    <w:rPr>
                      <w:color w:val="auto"/>
                      <w:szCs w:val="21"/>
                    </w:rPr>
                  </w:pPr>
                  <w:r>
                    <w:rPr>
                      <w:color w:val="auto"/>
                      <w:szCs w:val="21"/>
                    </w:rPr>
                    <w:t>生产线内各加工单元均设置在封闭车间内</w:t>
                  </w:r>
                  <w:r>
                    <w:rPr>
                      <w:rFonts w:hint="eastAsia"/>
                      <w:color w:val="auto"/>
                      <w:szCs w:val="21"/>
                    </w:rPr>
                    <w:t>。</w:t>
                  </w:r>
                </w:p>
              </w:tc>
              <w:tc>
                <w:tcPr>
                  <w:tcW w:w="1005" w:type="dxa"/>
                  <w:vAlign w:val="center"/>
                </w:tcPr>
                <w:p w14:paraId="38422714">
                  <w:pPr>
                    <w:autoSpaceDE w:val="0"/>
                    <w:autoSpaceDN w:val="0"/>
                    <w:adjustRightInd w:val="0"/>
                    <w:jc w:val="center"/>
                    <w:rPr>
                      <w:bCs/>
                      <w:color w:val="auto"/>
                      <w:szCs w:val="21"/>
                    </w:rPr>
                  </w:pPr>
                  <w:r>
                    <w:rPr>
                      <w:rFonts w:hint="eastAsia"/>
                      <w:color w:val="auto"/>
                      <w:szCs w:val="21"/>
                    </w:rPr>
                    <w:t>改造</w:t>
                  </w:r>
                </w:p>
              </w:tc>
            </w:tr>
            <w:tr w14:paraId="4FAC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44" w:type="dxa"/>
                  <w:vMerge w:val="continue"/>
                  <w:vAlign w:val="center"/>
                </w:tcPr>
                <w:p w14:paraId="33098C75">
                  <w:pPr>
                    <w:autoSpaceDE w:val="0"/>
                    <w:autoSpaceDN w:val="0"/>
                    <w:adjustRightInd w:val="0"/>
                    <w:jc w:val="center"/>
                    <w:rPr>
                      <w:b/>
                      <w:color w:val="auto"/>
                      <w:szCs w:val="21"/>
                    </w:rPr>
                  </w:pPr>
                </w:p>
              </w:tc>
              <w:tc>
                <w:tcPr>
                  <w:tcW w:w="1307" w:type="dxa"/>
                  <w:vMerge w:val="restart"/>
                  <w:vAlign w:val="center"/>
                </w:tcPr>
                <w:p w14:paraId="105E264B">
                  <w:pPr>
                    <w:autoSpaceDE w:val="0"/>
                    <w:autoSpaceDN w:val="0"/>
                    <w:adjustRightInd w:val="0"/>
                    <w:jc w:val="center"/>
                    <w:rPr>
                      <w:color w:val="auto"/>
                      <w:szCs w:val="21"/>
                    </w:rPr>
                  </w:pPr>
                  <w:r>
                    <w:rPr>
                      <w:color w:val="auto"/>
                      <w:szCs w:val="21"/>
                    </w:rPr>
                    <w:t>废水处理</w:t>
                  </w:r>
                </w:p>
              </w:tc>
              <w:tc>
                <w:tcPr>
                  <w:tcW w:w="1459" w:type="dxa"/>
                  <w:vAlign w:val="center"/>
                </w:tcPr>
                <w:p w14:paraId="06EFD128">
                  <w:pPr>
                    <w:autoSpaceDE w:val="0"/>
                    <w:autoSpaceDN w:val="0"/>
                    <w:adjustRightInd w:val="0"/>
                    <w:jc w:val="center"/>
                    <w:rPr>
                      <w:color w:val="auto"/>
                      <w:szCs w:val="21"/>
                    </w:rPr>
                  </w:pPr>
                  <w:r>
                    <w:rPr>
                      <w:rFonts w:hint="eastAsia"/>
                      <w:color w:val="auto"/>
                      <w:szCs w:val="21"/>
                    </w:rPr>
                    <w:t>生活污水</w:t>
                  </w:r>
                </w:p>
              </w:tc>
              <w:tc>
                <w:tcPr>
                  <w:tcW w:w="4728" w:type="dxa"/>
                  <w:vAlign w:val="center"/>
                </w:tcPr>
                <w:p w14:paraId="3937B111">
                  <w:pPr>
                    <w:autoSpaceDE w:val="0"/>
                    <w:autoSpaceDN w:val="0"/>
                    <w:adjustRightInd w:val="0"/>
                    <w:jc w:val="left"/>
                    <w:rPr>
                      <w:color w:val="auto"/>
                      <w:szCs w:val="21"/>
                    </w:rPr>
                  </w:pPr>
                  <w:r>
                    <w:rPr>
                      <w:rFonts w:hint="eastAsia"/>
                      <w:color w:val="auto"/>
                      <w:kern w:val="0"/>
                      <w:szCs w:val="21"/>
                    </w:rPr>
                    <w:t>2</w:t>
                  </w:r>
                  <w:r>
                    <w:rPr>
                      <w:color w:val="auto"/>
                      <w:kern w:val="0"/>
                      <w:szCs w:val="21"/>
                    </w:rPr>
                    <w:t>个化粪池，有效容积</w:t>
                  </w:r>
                  <w:r>
                    <w:rPr>
                      <w:rFonts w:hint="eastAsia"/>
                      <w:color w:val="auto"/>
                      <w:kern w:val="0"/>
                      <w:szCs w:val="21"/>
                    </w:rPr>
                    <w:t>为2m</w:t>
                  </w:r>
                  <w:r>
                    <w:rPr>
                      <w:rFonts w:hint="eastAsia"/>
                      <w:color w:val="auto"/>
                      <w:kern w:val="0"/>
                      <w:szCs w:val="21"/>
                      <w:vertAlign w:val="superscript"/>
                    </w:rPr>
                    <w:t>3</w:t>
                  </w:r>
                  <w:r>
                    <w:rPr>
                      <w:rFonts w:hint="eastAsia"/>
                      <w:color w:val="auto"/>
                      <w:kern w:val="0"/>
                      <w:szCs w:val="21"/>
                    </w:rPr>
                    <w:t>和5</w:t>
                  </w:r>
                  <w:r>
                    <w:rPr>
                      <w:color w:val="auto"/>
                      <w:kern w:val="0"/>
                      <w:szCs w:val="21"/>
                    </w:rPr>
                    <w:t>m</w:t>
                  </w:r>
                  <w:r>
                    <w:rPr>
                      <w:color w:val="auto"/>
                      <w:kern w:val="0"/>
                      <w:szCs w:val="21"/>
                      <w:vertAlign w:val="superscript"/>
                    </w:rPr>
                    <w:t>3</w:t>
                  </w:r>
                  <w:r>
                    <w:rPr>
                      <w:color w:val="auto"/>
                      <w:szCs w:val="21"/>
                    </w:rPr>
                    <w:t>，</w:t>
                  </w:r>
                  <w:r>
                    <w:rPr>
                      <w:rFonts w:hint="eastAsia"/>
                      <w:color w:val="auto"/>
                      <w:szCs w:val="21"/>
                    </w:rPr>
                    <w:t>分别位于办公楼旁和生产车间1号厂房外，对项目生活污水进行处理后，利用罐车拉运至纳古镇污水处理站处理</w:t>
                  </w:r>
                  <w:r>
                    <w:rPr>
                      <w:color w:val="auto"/>
                      <w:szCs w:val="21"/>
                    </w:rPr>
                    <w:t>。</w:t>
                  </w:r>
                </w:p>
              </w:tc>
              <w:tc>
                <w:tcPr>
                  <w:tcW w:w="1005" w:type="dxa"/>
                  <w:vAlign w:val="center"/>
                </w:tcPr>
                <w:p w14:paraId="2890A23C">
                  <w:pPr>
                    <w:autoSpaceDE w:val="0"/>
                    <w:autoSpaceDN w:val="0"/>
                    <w:adjustRightInd w:val="0"/>
                    <w:jc w:val="center"/>
                    <w:rPr>
                      <w:color w:val="auto"/>
                      <w:szCs w:val="21"/>
                    </w:rPr>
                  </w:pPr>
                  <w:r>
                    <w:rPr>
                      <w:rFonts w:hint="eastAsia"/>
                      <w:bCs/>
                      <w:color w:val="auto"/>
                      <w:szCs w:val="21"/>
                    </w:rPr>
                    <w:t>依托现有</w:t>
                  </w:r>
                </w:p>
              </w:tc>
            </w:tr>
            <w:tr w14:paraId="080C8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vMerge w:val="continue"/>
                  <w:vAlign w:val="center"/>
                </w:tcPr>
                <w:p w14:paraId="37BBC6F7">
                  <w:pPr>
                    <w:autoSpaceDE w:val="0"/>
                    <w:autoSpaceDN w:val="0"/>
                    <w:adjustRightInd w:val="0"/>
                    <w:jc w:val="center"/>
                    <w:rPr>
                      <w:color w:val="auto"/>
                      <w:szCs w:val="21"/>
                    </w:rPr>
                  </w:pPr>
                </w:p>
              </w:tc>
              <w:tc>
                <w:tcPr>
                  <w:tcW w:w="1307" w:type="dxa"/>
                  <w:vMerge w:val="continue"/>
                  <w:vAlign w:val="center"/>
                </w:tcPr>
                <w:p w14:paraId="39CCD3F6">
                  <w:pPr>
                    <w:autoSpaceDE w:val="0"/>
                    <w:autoSpaceDN w:val="0"/>
                    <w:adjustRightInd w:val="0"/>
                    <w:jc w:val="center"/>
                    <w:rPr>
                      <w:color w:val="auto"/>
                      <w:szCs w:val="21"/>
                    </w:rPr>
                  </w:pPr>
                </w:p>
              </w:tc>
              <w:tc>
                <w:tcPr>
                  <w:tcW w:w="1459" w:type="dxa"/>
                  <w:vAlign w:val="center"/>
                </w:tcPr>
                <w:p w14:paraId="01EC633B">
                  <w:pPr>
                    <w:autoSpaceDE w:val="0"/>
                    <w:autoSpaceDN w:val="0"/>
                    <w:adjustRightInd w:val="0"/>
                    <w:jc w:val="center"/>
                    <w:rPr>
                      <w:color w:val="auto"/>
                      <w:kern w:val="0"/>
                      <w:szCs w:val="21"/>
                    </w:rPr>
                  </w:pPr>
                  <w:r>
                    <w:rPr>
                      <w:rFonts w:hint="eastAsia"/>
                      <w:color w:val="auto"/>
                      <w:szCs w:val="21"/>
                    </w:rPr>
                    <w:t>直接冷却水</w:t>
                  </w:r>
                  <w:r>
                    <w:rPr>
                      <w:rFonts w:hint="eastAsia"/>
                      <w:color w:val="auto"/>
                      <w:kern w:val="0"/>
                      <w:szCs w:val="21"/>
                    </w:rPr>
                    <w:t>循环水池</w:t>
                  </w:r>
                </w:p>
              </w:tc>
              <w:tc>
                <w:tcPr>
                  <w:tcW w:w="4728" w:type="dxa"/>
                  <w:vAlign w:val="center"/>
                </w:tcPr>
                <w:p w14:paraId="64A78042">
                  <w:pPr>
                    <w:autoSpaceDE w:val="0"/>
                    <w:autoSpaceDN w:val="0"/>
                    <w:adjustRightInd w:val="0"/>
                    <w:rPr>
                      <w:color w:val="auto"/>
                      <w:kern w:val="0"/>
                      <w:szCs w:val="21"/>
                    </w:rPr>
                  </w:pPr>
                  <w:r>
                    <w:rPr>
                      <w:rFonts w:hint="eastAsia"/>
                      <w:color w:val="auto"/>
                      <w:kern w:val="0"/>
                      <w:szCs w:val="21"/>
                    </w:rPr>
                    <w:t>生产车间3号设一个循环水池，容积150m</w:t>
                  </w:r>
                  <w:r>
                    <w:rPr>
                      <w:rFonts w:hint="eastAsia"/>
                      <w:color w:val="auto"/>
                      <w:kern w:val="0"/>
                      <w:szCs w:val="21"/>
                      <w:vertAlign w:val="superscript"/>
                    </w:rPr>
                    <w:t>3</w:t>
                  </w:r>
                  <w:r>
                    <w:rPr>
                      <w:rFonts w:hint="eastAsia"/>
                      <w:color w:val="auto"/>
                      <w:kern w:val="0"/>
                      <w:szCs w:val="21"/>
                    </w:rPr>
                    <w:t>；生产车间4号外设一个循环水池，容积150m</w:t>
                  </w:r>
                  <w:r>
                    <w:rPr>
                      <w:rFonts w:hint="eastAsia"/>
                      <w:color w:val="auto"/>
                      <w:kern w:val="0"/>
                      <w:szCs w:val="21"/>
                      <w:vertAlign w:val="superscript"/>
                    </w:rPr>
                    <w:t>3</w:t>
                  </w:r>
                  <w:r>
                    <w:rPr>
                      <w:rFonts w:hint="eastAsia"/>
                      <w:color w:val="auto"/>
                      <w:kern w:val="0"/>
                      <w:szCs w:val="21"/>
                    </w:rPr>
                    <w:t>。主要用于对焊管直接冷却水沉淀、冷却，循环利用不外排。</w:t>
                  </w:r>
                </w:p>
              </w:tc>
              <w:tc>
                <w:tcPr>
                  <w:tcW w:w="1005" w:type="dxa"/>
                  <w:vAlign w:val="center"/>
                </w:tcPr>
                <w:p w14:paraId="08F05C2B">
                  <w:pPr>
                    <w:autoSpaceDE w:val="0"/>
                    <w:autoSpaceDN w:val="0"/>
                    <w:adjustRightInd w:val="0"/>
                    <w:jc w:val="center"/>
                    <w:rPr>
                      <w:bCs/>
                      <w:color w:val="auto"/>
                      <w:szCs w:val="21"/>
                    </w:rPr>
                  </w:pPr>
                  <w:r>
                    <w:rPr>
                      <w:rFonts w:hint="eastAsia"/>
                      <w:bCs/>
                      <w:color w:val="auto"/>
                      <w:szCs w:val="21"/>
                    </w:rPr>
                    <w:t>依托现有</w:t>
                  </w:r>
                </w:p>
              </w:tc>
            </w:tr>
            <w:tr w14:paraId="344D6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vMerge w:val="continue"/>
                  <w:vAlign w:val="center"/>
                </w:tcPr>
                <w:p w14:paraId="55AD5268">
                  <w:pPr>
                    <w:autoSpaceDE w:val="0"/>
                    <w:autoSpaceDN w:val="0"/>
                    <w:adjustRightInd w:val="0"/>
                    <w:jc w:val="center"/>
                    <w:rPr>
                      <w:color w:val="auto"/>
                      <w:szCs w:val="21"/>
                    </w:rPr>
                  </w:pPr>
                </w:p>
              </w:tc>
              <w:tc>
                <w:tcPr>
                  <w:tcW w:w="1307" w:type="dxa"/>
                  <w:vMerge w:val="continue"/>
                  <w:vAlign w:val="center"/>
                </w:tcPr>
                <w:p w14:paraId="753F4E13">
                  <w:pPr>
                    <w:autoSpaceDE w:val="0"/>
                    <w:autoSpaceDN w:val="0"/>
                    <w:adjustRightInd w:val="0"/>
                    <w:jc w:val="center"/>
                    <w:rPr>
                      <w:color w:val="auto"/>
                      <w:szCs w:val="21"/>
                    </w:rPr>
                  </w:pPr>
                </w:p>
              </w:tc>
              <w:tc>
                <w:tcPr>
                  <w:tcW w:w="1459" w:type="dxa"/>
                  <w:vAlign w:val="center"/>
                </w:tcPr>
                <w:p w14:paraId="18A31721">
                  <w:pPr>
                    <w:autoSpaceDE w:val="0"/>
                    <w:autoSpaceDN w:val="0"/>
                    <w:adjustRightInd w:val="0"/>
                    <w:jc w:val="center"/>
                    <w:rPr>
                      <w:color w:val="auto"/>
                      <w:szCs w:val="21"/>
                    </w:rPr>
                  </w:pPr>
                  <w:r>
                    <w:rPr>
                      <w:rFonts w:hint="eastAsia"/>
                      <w:color w:val="auto"/>
                      <w:szCs w:val="21"/>
                    </w:rPr>
                    <w:t>应急事故水池</w:t>
                  </w:r>
                </w:p>
              </w:tc>
              <w:tc>
                <w:tcPr>
                  <w:tcW w:w="4728" w:type="dxa"/>
                  <w:vAlign w:val="center"/>
                </w:tcPr>
                <w:p w14:paraId="43BB19F1">
                  <w:pPr>
                    <w:autoSpaceDE w:val="0"/>
                    <w:autoSpaceDN w:val="0"/>
                    <w:adjustRightInd w:val="0"/>
                    <w:rPr>
                      <w:color w:val="auto"/>
                      <w:kern w:val="0"/>
                      <w:szCs w:val="21"/>
                    </w:rPr>
                  </w:pPr>
                  <w:bookmarkStart w:id="55" w:name="OLE_LINK27"/>
                  <w:r>
                    <w:rPr>
                      <w:rFonts w:hint="eastAsia"/>
                      <w:color w:val="auto"/>
                      <w:szCs w:val="21"/>
                    </w:rPr>
                    <w:t>2个，1个位于危废暂存间旁，容积30m</w:t>
                  </w:r>
                  <w:r>
                    <w:rPr>
                      <w:rFonts w:hint="eastAsia"/>
                      <w:color w:val="auto"/>
                      <w:szCs w:val="21"/>
                      <w:vertAlign w:val="superscript"/>
                    </w:rPr>
                    <w:t>3</w:t>
                  </w:r>
                  <w:r>
                    <w:rPr>
                      <w:rFonts w:hint="eastAsia"/>
                      <w:color w:val="auto"/>
                      <w:szCs w:val="21"/>
                    </w:rPr>
                    <w:t>；1个位于生产车间1号的中段，容积30m</w:t>
                  </w:r>
                  <w:r>
                    <w:rPr>
                      <w:rFonts w:hint="eastAsia"/>
                      <w:color w:val="auto"/>
                      <w:szCs w:val="21"/>
                      <w:vertAlign w:val="superscript"/>
                    </w:rPr>
                    <w:t>3</w:t>
                  </w:r>
                  <w:r>
                    <w:rPr>
                      <w:rFonts w:hint="eastAsia"/>
                      <w:color w:val="auto"/>
                      <w:szCs w:val="21"/>
                    </w:rPr>
                    <w:t>。</w:t>
                  </w:r>
                  <w:bookmarkEnd w:id="55"/>
                </w:p>
              </w:tc>
              <w:tc>
                <w:tcPr>
                  <w:tcW w:w="1005" w:type="dxa"/>
                  <w:vAlign w:val="center"/>
                </w:tcPr>
                <w:p w14:paraId="7BDEFAEE">
                  <w:pPr>
                    <w:autoSpaceDE w:val="0"/>
                    <w:autoSpaceDN w:val="0"/>
                    <w:adjustRightInd w:val="0"/>
                    <w:jc w:val="center"/>
                    <w:rPr>
                      <w:bCs/>
                      <w:color w:val="auto"/>
                      <w:szCs w:val="21"/>
                    </w:rPr>
                  </w:pPr>
                  <w:r>
                    <w:rPr>
                      <w:rFonts w:hint="eastAsia"/>
                      <w:bCs/>
                      <w:color w:val="auto"/>
                      <w:szCs w:val="21"/>
                    </w:rPr>
                    <w:t>依托现有</w:t>
                  </w:r>
                </w:p>
              </w:tc>
            </w:tr>
            <w:tr w14:paraId="0C36E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vMerge w:val="continue"/>
                  <w:vAlign w:val="center"/>
                </w:tcPr>
                <w:p w14:paraId="1507AE0C">
                  <w:pPr>
                    <w:autoSpaceDE w:val="0"/>
                    <w:autoSpaceDN w:val="0"/>
                    <w:adjustRightInd w:val="0"/>
                    <w:jc w:val="center"/>
                    <w:rPr>
                      <w:color w:val="auto"/>
                      <w:szCs w:val="21"/>
                    </w:rPr>
                  </w:pPr>
                  <w:bookmarkStart w:id="56" w:name="_Hlk238550597"/>
                </w:p>
              </w:tc>
              <w:tc>
                <w:tcPr>
                  <w:tcW w:w="1307" w:type="dxa"/>
                  <w:vMerge w:val="continue"/>
                  <w:vAlign w:val="center"/>
                </w:tcPr>
                <w:p w14:paraId="62ACCC03">
                  <w:pPr>
                    <w:autoSpaceDE w:val="0"/>
                    <w:autoSpaceDN w:val="0"/>
                    <w:adjustRightInd w:val="0"/>
                    <w:jc w:val="center"/>
                    <w:rPr>
                      <w:color w:val="auto"/>
                      <w:szCs w:val="21"/>
                    </w:rPr>
                  </w:pPr>
                </w:p>
              </w:tc>
              <w:tc>
                <w:tcPr>
                  <w:tcW w:w="1459" w:type="dxa"/>
                  <w:vAlign w:val="center"/>
                </w:tcPr>
                <w:p w14:paraId="1A1B7E23">
                  <w:pPr>
                    <w:autoSpaceDE w:val="0"/>
                    <w:autoSpaceDN w:val="0"/>
                    <w:adjustRightInd w:val="0"/>
                    <w:jc w:val="center"/>
                    <w:rPr>
                      <w:color w:val="auto"/>
                      <w:szCs w:val="21"/>
                    </w:rPr>
                  </w:pPr>
                  <w:r>
                    <w:rPr>
                      <w:rFonts w:hint="eastAsia"/>
                      <w:color w:val="auto"/>
                      <w:szCs w:val="21"/>
                    </w:rPr>
                    <w:t>初期雨水</w:t>
                  </w:r>
                </w:p>
              </w:tc>
              <w:tc>
                <w:tcPr>
                  <w:tcW w:w="4728" w:type="dxa"/>
                  <w:vAlign w:val="center"/>
                </w:tcPr>
                <w:p w14:paraId="2BC2BF89">
                  <w:pPr>
                    <w:autoSpaceDE w:val="0"/>
                    <w:autoSpaceDN w:val="0"/>
                    <w:adjustRightInd w:val="0"/>
                    <w:rPr>
                      <w:color w:val="auto"/>
                      <w:szCs w:val="21"/>
                    </w:rPr>
                  </w:pPr>
                  <w:r>
                    <w:rPr>
                      <w:rFonts w:hint="eastAsia"/>
                      <w:color w:val="auto"/>
                    </w:rPr>
                    <w:t>设置1个容积为50m</w:t>
                  </w:r>
                  <w:r>
                    <w:rPr>
                      <w:rFonts w:hint="eastAsia"/>
                      <w:color w:val="auto"/>
                      <w:vertAlign w:val="superscript"/>
                    </w:rPr>
                    <w:t>3</w:t>
                  </w:r>
                  <w:r>
                    <w:rPr>
                      <w:rFonts w:hint="eastAsia"/>
                      <w:color w:val="auto"/>
                    </w:rPr>
                    <w:t>的初期雨水收集池，用于收集厂区初期雨水，位于生产厂房1号东侧。</w:t>
                  </w:r>
                </w:p>
              </w:tc>
              <w:tc>
                <w:tcPr>
                  <w:tcW w:w="1005" w:type="dxa"/>
                  <w:vAlign w:val="center"/>
                </w:tcPr>
                <w:p w14:paraId="693AB4CC">
                  <w:pPr>
                    <w:autoSpaceDE w:val="0"/>
                    <w:autoSpaceDN w:val="0"/>
                    <w:adjustRightInd w:val="0"/>
                    <w:jc w:val="center"/>
                    <w:rPr>
                      <w:bCs/>
                      <w:color w:val="auto"/>
                      <w:szCs w:val="21"/>
                    </w:rPr>
                  </w:pPr>
                  <w:r>
                    <w:rPr>
                      <w:rFonts w:hint="eastAsia"/>
                      <w:bCs/>
                      <w:color w:val="auto"/>
                      <w:szCs w:val="21"/>
                    </w:rPr>
                    <w:t>依托现有</w:t>
                  </w:r>
                </w:p>
              </w:tc>
            </w:tr>
            <w:bookmarkEnd w:id="56"/>
            <w:tr w14:paraId="5D138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vMerge w:val="continue"/>
                  <w:vAlign w:val="center"/>
                </w:tcPr>
                <w:p w14:paraId="2D8D420A">
                  <w:pPr>
                    <w:autoSpaceDE w:val="0"/>
                    <w:autoSpaceDN w:val="0"/>
                    <w:adjustRightInd w:val="0"/>
                    <w:jc w:val="center"/>
                    <w:rPr>
                      <w:color w:val="auto"/>
                      <w:szCs w:val="21"/>
                    </w:rPr>
                  </w:pPr>
                </w:p>
              </w:tc>
              <w:tc>
                <w:tcPr>
                  <w:tcW w:w="1307" w:type="dxa"/>
                  <w:vAlign w:val="center"/>
                </w:tcPr>
                <w:p w14:paraId="1F2B4773">
                  <w:pPr>
                    <w:autoSpaceDE w:val="0"/>
                    <w:autoSpaceDN w:val="0"/>
                    <w:adjustRightInd w:val="0"/>
                    <w:jc w:val="center"/>
                    <w:rPr>
                      <w:color w:val="auto"/>
                      <w:kern w:val="0"/>
                      <w:szCs w:val="21"/>
                    </w:rPr>
                  </w:pPr>
                  <w:r>
                    <w:rPr>
                      <w:color w:val="auto"/>
                      <w:szCs w:val="21"/>
                    </w:rPr>
                    <w:t>噪声处理</w:t>
                  </w:r>
                </w:p>
              </w:tc>
              <w:tc>
                <w:tcPr>
                  <w:tcW w:w="1459" w:type="dxa"/>
                  <w:vAlign w:val="center"/>
                </w:tcPr>
                <w:p w14:paraId="5A60BF62">
                  <w:pPr>
                    <w:autoSpaceDE w:val="0"/>
                    <w:autoSpaceDN w:val="0"/>
                    <w:adjustRightInd w:val="0"/>
                    <w:jc w:val="center"/>
                    <w:rPr>
                      <w:bCs/>
                      <w:color w:val="auto"/>
                      <w:szCs w:val="21"/>
                    </w:rPr>
                  </w:pPr>
                  <w:r>
                    <w:rPr>
                      <w:rFonts w:hint="eastAsia"/>
                      <w:bCs/>
                      <w:color w:val="auto"/>
                      <w:szCs w:val="21"/>
                    </w:rPr>
                    <w:t>生产设备噪声</w:t>
                  </w:r>
                </w:p>
              </w:tc>
              <w:tc>
                <w:tcPr>
                  <w:tcW w:w="4728" w:type="dxa"/>
                  <w:vAlign w:val="center"/>
                </w:tcPr>
                <w:p w14:paraId="4C9B086D">
                  <w:pPr>
                    <w:autoSpaceDE w:val="0"/>
                    <w:autoSpaceDN w:val="0"/>
                    <w:adjustRightInd w:val="0"/>
                    <w:jc w:val="center"/>
                    <w:rPr>
                      <w:bCs/>
                      <w:color w:val="auto"/>
                      <w:szCs w:val="21"/>
                    </w:rPr>
                  </w:pPr>
                  <w:r>
                    <w:rPr>
                      <w:rFonts w:hint="eastAsia"/>
                      <w:color w:val="auto"/>
                      <w:szCs w:val="21"/>
                    </w:rPr>
                    <w:t>项目采取合理布局，通过厂房隔声，基础减振，对产生气流噪声的噪声源加装消声器。</w:t>
                  </w:r>
                </w:p>
              </w:tc>
              <w:tc>
                <w:tcPr>
                  <w:tcW w:w="1005" w:type="dxa"/>
                  <w:vAlign w:val="center"/>
                </w:tcPr>
                <w:p w14:paraId="729F1C74">
                  <w:pPr>
                    <w:autoSpaceDE w:val="0"/>
                    <w:autoSpaceDN w:val="0"/>
                    <w:adjustRightInd w:val="0"/>
                    <w:jc w:val="center"/>
                    <w:rPr>
                      <w:bCs/>
                      <w:color w:val="auto"/>
                      <w:szCs w:val="21"/>
                    </w:rPr>
                  </w:pPr>
                  <w:r>
                    <w:rPr>
                      <w:rFonts w:hint="eastAsia"/>
                      <w:bCs/>
                      <w:color w:val="auto"/>
                      <w:szCs w:val="21"/>
                    </w:rPr>
                    <w:t>新建</w:t>
                  </w:r>
                </w:p>
              </w:tc>
            </w:tr>
            <w:tr w14:paraId="6EB92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vMerge w:val="continue"/>
                  <w:vAlign w:val="center"/>
                </w:tcPr>
                <w:p w14:paraId="52095A8F">
                  <w:pPr>
                    <w:autoSpaceDE w:val="0"/>
                    <w:autoSpaceDN w:val="0"/>
                    <w:adjustRightInd w:val="0"/>
                    <w:jc w:val="center"/>
                    <w:rPr>
                      <w:color w:val="auto"/>
                      <w:szCs w:val="21"/>
                    </w:rPr>
                  </w:pPr>
                </w:p>
              </w:tc>
              <w:tc>
                <w:tcPr>
                  <w:tcW w:w="1307" w:type="dxa"/>
                  <w:vMerge w:val="restart"/>
                  <w:vAlign w:val="center"/>
                </w:tcPr>
                <w:p w14:paraId="4BE40E3E">
                  <w:pPr>
                    <w:autoSpaceDE w:val="0"/>
                    <w:autoSpaceDN w:val="0"/>
                    <w:adjustRightInd w:val="0"/>
                    <w:jc w:val="center"/>
                    <w:rPr>
                      <w:color w:val="auto"/>
                      <w:szCs w:val="21"/>
                    </w:rPr>
                  </w:pPr>
                  <w:r>
                    <w:rPr>
                      <w:rFonts w:hint="eastAsia"/>
                      <w:color w:val="auto"/>
                      <w:szCs w:val="21"/>
                    </w:rPr>
                    <w:t>固废处理</w:t>
                  </w:r>
                </w:p>
              </w:tc>
              <w:tc>
                <w:tcPr>
                  <w:tcW w:w="1459" w:type="dxa"/>
                  <w:vAlign w:val="center"/>
                </w:tcPr>
                <w:p w14:paraId="070348C1">
                  <w:pPr>
                    <w:adjustRightInd w:val="0"/>
                    <w:snapToGrid w:val="0"/>
                    <w:spacing w:line="320" w:lineRule="exact"/>
                    <w:jc w:val="center"/>
                    <w:rPr>
                      <w:color w:val="auto"/>
                      <w:szCs w:val="21"/>
                    </w:rPr>
                  </w:pPr>
                  <w:r>
                    <w:rPr>
                      <w:color w:val="auto"/>
                    </w:rPr>
                    <w:t>废边角料</w:t>
                  </w:r>
                  <w:r>
                    <w:rPr>
                      <w:rFonts w:hint="eastAsia"/>
                      <w:color w:val="auto"/>
                    </w:rPr>
                    <w:t>、不合格产品</w:t>
                  </w:r>
                </w:p>
              </w:tc>
              <w:tc>
                <w:tcPr>
                  <w:tcW w:w="4728" w:type="dxa"/>
                  <w:vAlign w:val="center"/>
                </w:tcPr>
                <w:p w14:paraId="240ABAA1">
                  <w:pPr>
                    <w:adjustRightInd w:val="0"/>
                    <w:snapToGrid w:val="0"/>
                    <w:spacing w:line="320" w:lineRule="exact"/>
                    <w:rPr>
                      <w:color w:val="auto"/>
                      <w:szCs w:val="21"/>
                    </w:rPr>
                  </w:pPr>
                  <w:r>
                    <w:rPr>
                      <w:rFonts w:hint="eastAsia"/>
                      <w:color w:val="auto"/>
                      <w:szCs w:val="21"/>
                    </w:rPr>
                    <w:t>分类收集后临时存放于一般固废暂存间，</w:t>
                  </w:r>
                  <w:r>
                    <w:rPr>
                      <w:rFonts w:hint="eastAsia"/>
                      <w:bCs/>
                      <w:color w:val="auto"/>
                      <w:szCs w:val="21"/>
                    </w:rPr>
                    <w:t>进行外售处置</w:t>
                  </w:r>
                  <w:r>
                    <w:rPr>
                      <w:rFonts w:hint="eastAsia"/>
                      <w:color w:val="auto"/>
                      <w:szCs w:val="21"/>
                    </w:rPr>
                    <w:t>。</w:t>
                  </w:r>
                </w:p>
              </w:tc>
              <w:tc>
                <w:tcPr>
                  <w:tcW w:w="1005" w:type="dxa"/>
                  <w:vAlign w:val="center"/>
                </w:tcPr>
                <w:p w14:paraId="4AA673E6">
                  <w:pPr>
                    <w:jc w:val="center"/>
                    <w:rPr>
                      <w:color w:val="auto"/>
                    </w:rPr>
                  </w:pPr>
                  <w:r>
                    <w:rPr>
                      <w:rFonts w:hint="eastAsia"/>
                      <w:bCs/>
                      <w:color w:val="auto"/>
                      <w:szCs w:val="21"/>
                    </w:rPr>
                    <w:t>新建</w:t>
                  </w:r>
                </w:p>
              </w:tc>
            </w:tr>
            <w:tr w14:paraId="124D0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vMerge w:val="continue"/>
                  <w:vAlign w:val="center"/>
                </w:tcPr>
                <w:p w14:paraId="6BD28AD3">
                  <w:pPr>
                    <w:autoSpaceDE w:val="0"/>
                    <w:autoSpaceDN w:val="0"/>
                    <w:adjustRightInd w:val="0"/>
                    <w:jc w:val="center"/>
                    <w:rPr>
                      <w:color w:val="auto"/>
                      <w:szCs w:val="21"/>
                    </w:rPr>
                  </w:pPr>
                </w:p>
              </w:tc>
              <w:tc>
                <w:tcPr>
                  <w:tcW w:w="1307" w:type="dxa"/>
                  <w:vMerge w:val="continue"/>
                  <w:vAlign w:val="center"/>
                </w:tcPr>
                <w:p w14:paraId="0724A330">
                  <w:pPr>
                    <w:autoSpaceDE w:val="0"/>
                    <w:autoSpaceDN w:val="0"/>
                    <w:adjustRightInd w:val="0"/>
                    <w:jc w:val="center"/>
                    <w:rPr>
                      <w:color w:val="auto"/>
                      <w:szCs w:val="21"/>
                    </w:rPr>
                  </w:pPr>
                </w:p>
              </w:tc>
              <w:tc>
                <w:tcPr>
                  <w:tcW w:w="1459" w:type="dxa"/>
                  <w:vAlign w:val="center"/>
                </w:tcPr>
                <w:p w14:paraId="23951685">
                  <w:pPr>
                    <w:adjustRightInd w:val="0"/>
                    <w:snapToGrid w:val="0"/>
                    <w:spacing w:line="320" w:lineRule="exact"/>
                    <w:jc w:val="center"/>
                    <w:rPr>
                      <w:color w:val="auto"/>
                    </w:rPr>
                  </w:pPr>
                  <w:r>
                    <w:rPr>
                      <w:rFonts w:hint="eastAsia"/>
                      <w:color w:val="auto"/>
                    </w:rPr>
                    <w:t>金属沉渣</w:t>
                  </w:r>
                </w:p>
              </w:tc>
              <w:tc>
                <w:tcPr>
                  <w:tcW w:w="4728" w:type="dxa"/>
                  <w:vAlign w:val="center"/>
                </w:tcPr>
                <w:p w14:paraId="298DBAFE">
                  <w:pPr>
                    <w:adjustRightInd w:val="0"/>
                    <w:snapToGrid w:val="0"/>
                    <w:spacing w:line="320" w:lineRule="exact"/>
                    <w:rPr>
                      <w:color w:val="auto"/>
                      <w:szCs w:val="21"/>
                    </w:rPr>
                  </w:pPr>
                  <w:bookmarkStart w:id="57" w:name="OLE_LINK50"/>
                  <w:r>
                    <w:rPr>
                      <w:color w:val="auto"/>
                      <w:szCs w:val="21"/>
                    </w:rPr>
                    <w:t>金属沉渣可能含有重金属等有毒有害物质，无法判定是否具有危险性</w:t>
                  </w:r>
                  <w:r>
                    <w:rPr>
                      <w:rFonts w:hint="eastAsia"/>
                      <w:color w:val="auto"/>
                      <w:szCs w:val="21"/>
                    </w:rPr>
                    <w:t>，在每次清掏前取样</w:t>
                  </w:r>
                  <w:r>
                    <w:rPr>
                      <w:color w:val="auto"/>
                      <w:szCs w:val="21"/>
                    </w:rPr>
                    <w:t>委托有相关资质单位进行浸出毒性检测，</w:t>
                  </w:r>
                  <w:r>
                    <w:rPr>
                      <w:rFonts w:hint="eastAsia"/>
                      <w:color w:val="auto"/>
                      <w:szCs w:val="21"/>
                    </w:rPr>
                    <w:t>若检测结果为危险固废，则在</w:t>
                  </w:r>
                  <w:r>
                    <w:rPr>
                      <w:color w:val="auto"/>
                      <w:szCs w:val="21"/>
                    </w:rPr>
                    <w:t>脱水后废水回流至循环水池</w:t>
                  </w:r>
                  <w:r>
                    <w:rPr>
                      <w:rFonts w:hint="eastAsia"/>
                      <w:color w:val="auto"/>
                      <w:szCs w:val="21"/>
                    </w:rPr>
                    <w:t>，</w:t>
                  </w:r>
                  <w:r>
                    <w:rPr>
                      <w:color w:val="auto"/>
                      <w:szCs w:val="21"/>
                    </w:rPr>
                    <w:t>脱水后的沉渣</w:t>
                  </w:r>
                  <w:r>
                    <w:rPr>
                      <w:rFonts w:hint="eastAsia"/>
                      <w:color w:val="auto"/>
                      <w:szCs w:val="21"/>
                    </w:rPr>
                    <w:t>进入危废暂存间暂存，</w:t>
                  </w:r>
                  <w:r>
                    <w:rPr>
                      <w:color w:val="auto"/>
                      <w:szCs w:val="21"/>
                    </w:rPr>
                    <w:t>委托有相关危废处置资质</w:t>
                  </w:r>
                  <w:r>
                    <w:rPr>
                      <w:rFonts w:hint="eastAsia"/>
                      <w:color w:val="auto"/>
                      <w:szCs w:val="21"/>
                    </w:rPr>
                    <w:t>单位进行处理；若检测结果为一般固废，则在</w:t>
                  </w:r>
                  <w:r>
                    <w:rPr>
                      <w:color w:val="auto"/>
                      <w:szCs w:val="21"/>
                    </w:rPr>
                    <w:t>脱水后</w:t>
                  </w:r>
                  <w:r>
                    <w:rPr>
                      <w:rFonts w:hint="eastAsia"/>
                      <w:color w:val="auto"/>
                      <w:szCs w:val="21"/>
                    </w:rPr>
                    <w:t>沉渣进入一般固废暂存间储存，后续外售处置。</w:t>
                  </w:r>
                  <w:bookmarkEnd w:id="57"/>
                </w:p>
              </w:tc>
              <w:tc>
                <w:tcPr>
                  <w:tcW w:w="1005" w:type="dxa"/>
                  <w:vAlign w:val="center"/>
                </w:tcPr>
                <w:p w14:paraId="3D4B7179">
                  <w:pPr>
                    <w:jc w:val="center"/>
                    <w:rPr>
                      <w:bCs/>
                      <w:color w:val="auto"/>
                      <w:szCs w:val="21"/>
                    </w:rPr>
                  </w:pPr>
                  <w:r>
                    <w:rPr>
                      <w:rFonts w:hint="eastAsia"/>
                      <w:bCs/>
                      <w:color w:val="auto"/>
                      <w:szCs w:val="21"/>
                    </w:rPr>
                    <w:t>新建</w:t>
                  </w:r>
                </w:p>
              </w:tc>
            </w:tr>
            <w:tr w14:paraId="43E05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vMerge w:val="continue"/>
                  <w:vAlign w:val="center"/>
                </w:tcPr>
                <w:p w14:paraId="5FC74C8A">
                  <w:pPr>
                    <w:autoSpaceDE w:val="0"/>
                    <w:autoSpaceDN w:val="0"/>
                    <w:adjustRightInd w:val="0"/>
                    <w:jc w:val="center"/>
                    <w:rPr>
                      <w:color w:val="auto"/>
                      <w:szCs w:val="21"/>
                    </w:rPr>
                  </w:pPr>
                </w:p>
              </w:tc>
              <w:tc>
                <w:tcPr>
                  <w:tcW w:w="1307" w:type="dxa"/>
                  <w:vMerge w:val="continue"/>
                  <w:vAlign w:val="center"/>
                </w:tcPr>
                <w:p w14:paraId="7BD02E75">
                  <w:pPr>
                    <w:autoSpaceDE w:val="0"/>
                    <w:autoSpaceDN w:val="0"/>
                    <w:adjustRightInd w:val="0"/>
                    <w:jc w:val="center"/>
                    <w:rPr>
                      <w:color w:val="auto"/>
                      <w:szCs w:val="21"/>
                    </w:rPr>
                  </w:pPr>
                </w:p>
              </w:tc>
              <w:tc>
                <w:tcPr>
                  <w:tcW w:w="1459" w:type="dxa"/>
                  <w:vAlign w:val="center"/>
                </w:tcPr>
                <w:p w14:paraId="7C934705">
                  <w:pPr>
                    <w:adjustRightInd w:val="0"/>
                    <w:snapToGrid w:val="0"/>
                    <w:spacing w:line="320" w:lineRule="exact"/>
                    <w:jc w:val="center"/>
                    <w:rPr>
                      <w:color w:val="auto"/>
                      <w:szCs w:val="21"/>
                    </w:rPr>
                  </w:pPr>
                  <w:r>
                    <w:rPr>
                      <w:rFonts w:hint="eastAsia"/>
                      <w:color w:val="auto"/>
                      <w:szCs w:val="21"/>
                    </w:rPr>
                    <w:t>除尘灰</w:t>
                  </w:r>
                </w:p>
              </w:tc>
              <w:tc>
                <w:tcPr>
                  <w:tcW w:w="4728" w:type="dxa"/>
                  <w:vAlign w:val="center"/>
                </w:tcPr>
                <w:p w14:paraId="39188939">
                  <w:pPr>
                    <w:adjustRightInd w:val="0"/>
                    <w:snapToGrid w:val="0"/>
                    <w:spacing w:line="320" w:lineRule="exact"/>
                    <w:rPr>
                      <w:color w:val="auto"/>
                      <w:kern w:val="0"/>
                      <w:szCs w:val="21"/>
                    </w:rPr>
                  </w:pPr>
                  <w:r>
                    <w:rPr>
                      <w:rFonts w:hint="eastAsia"/>
                      <w:color w:val="auto"/>
                      <w:szCs w:val="21"/>
                    </w:rPr>
                    <w:t>收集后暂存于一般固废暂存间，外售处置。</w:t>
                  </w:r>
                </w:p>
              </w:tc>
              <w:tc>
                <w:tcPr>
                  <w:tcW w:w="1005" w:type="dxa"/>
                  <w:vAlign w:val="center"/>
                </w:tcPr>
                <w:p w14:paraId="7D5513AA">
                  <w:pPr>
                    <w:jc w:val="center"/>
                    <w:rPr>
                      <w:bCs/>
                      <w:color w:val="auto"/>
                      <w:szCs w:val="21"/>
                    </w:rPr>
                  </w:pPr>
                  <w:r>
                    <w:rPr>
                      <w:rFonts w:hint="eastAsia"/>
                      <w:bCs/>
                      <w:color w:val="auto"/>
                      <w:szCs w:val="21"/>
                    </w:rPr>
                    <w:t>新建</w:t>
                  </w:r>
                </w:p>
              </w:tc>
            </w:tr>
            <w:tr w14:paraId="6D923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44" w:type="dxa"/>
                  <w:vMerge w:val="continue"/>
                  <w:vAlign w:val="center"/>
                </w:tcPr>
                <w:p w14:paraId="5133E678">
                  <w:pPr>
                    <w:autoSpaceDE w:val="0"/>
                    <w:autoSpaceDN w:val="0"/>
                    <w:adjustRightInd w:val="0"/>
                    <w:jc w:val="center"/>
                    <w:rPr>
                      <w:color w:val="auto"/>
                      <w:szCs w:val="21"/>
                    </w:rPr>
                  </w:pPr>
                </w:p>
              </w:tc>
              <w:tc>
                <w:tcPr>
                  <w:tcW w:w="1307" w:type="dxa"/>
                  <w:vMerge w:val="continue"/>
                  <w:vAlign w:val="center"/>
                </w:tcPr>
                <w:p w14:paraId="4F1D7737">
                  <w:pPr>
                    <w:autoSpaceDE w:val="0"/>
                    <w:autoSpaceDN w:val="0"/>
                    <w:adjustRightInd w:val="0"/>
                    <w:jc w:val="center"/>
                    <w:rPr>
                      <w:color w:val="auto"/>
                      <w:szCs w:val="21"/>
                    </w:rPr>
                  </w:pPr>
                </w:p>
              </w:tc>
              <w:tc>
                <w:tcPr>
                  <w:tcW w:w="1459" w:type="dxa"/>
                  <w:vAlign w:val="center"/>
                </w:tcPr>
                <w:p w14:paraId="387348DB">
                  <w:pPr>
                    <w:adjustRightInd w:val="0"/>
                    <w:snapToGrid w:val="0"/>
                    <w:spacing w:line="320" w:lineRule="exact"/>
                    <w:jc w:val="center"/>
                    <w:rPr>
                      <w:color w:val="auto"/>
                      <w:szCs w:val="21"/>
                    </w:rPr>
                  </w:pPr>
                  <w:r>
                    <w:rPr>
                      <w:rFonts w:hint="eastAsia"/>
                      <w:color w:val="auto"/>
                      <w:szCs w:val="21"/>
                    </w:rPr>
                    <w:t>废机油和废油桶</w:t>
                  </w:r>
                </w:p>
              </w:tc>
              <w:tc>
                <w:tcPr>
                  <w:tcW w:w="4728" w:type="dxa"/>
                  <w:vAlign w:val="center"/>
                </w:tcPr>
                <w:p w14:paraId="39BEC529">
                  <w:pPr>
                    <w:adjustRightInd w:val="0"/>
                    <w:snapToGrid w:val="0"/>
                    <w:spacing w:line="320" w:lineRule="exact"/>
                    <w:rPr>
                      <w:color w:val="auto"/>
                      <w:kern w:val="0"/>
                      <w:szCs w:val="21"/>
                    </w:rPr>
                  </w:pPr>
                  <w:r>
                    <w:rPr>
                      <w:rFonts w:hint="eastAsia"/>
                      <w:color w:val="auto"/>
                      <w:szCs w:val="21"/>
                    </w:rPr>
                    <w:t>统一收集后暂存于危废暂存间，定期交由有资质的单位进行处置。</w:t>
                  </w:r>
                </w:p>
              </w:tc>
              <w:tc>
                <w:tcPr>
                  <w:tcW w:w="1005" w:type="dxa"/>
                  <w:vAlign w:val="center"/>
                </w:tcPr>
                <w:p w14:paraId="669E9A4C">
                  <w:pPr>
                    <w:jc w:val="center"/>
                    <w:rPr>
                      <w:bCs/>
                      <w:color w:val="auto"/>
                      <w:szCs w:val="21"/>
                    </w:rPr>
                  </w:pPr>
                  <w:r>
                    <w:rPr>
                      <w:rFonts w:hint="eastAsia"/>
                      <w:bCs/>
                      <w:color w:val="auto"/>
                      <w:szCs w:val="21"/>
                    </w:rPr>
                    <w:t>新建</w:t>
                  </w:r>
                </w:p>
              </w:tc>
            </w:tr>
            <w:tr w14:paraId="1DC98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vMerge w:val="continue"/>
                  <w:vAlign w:val="center"/>
                </w:tcPr>
                <w:p w14:paraId="28BC91E8">
                  <w:pPr>
                    <w:autoSpaceDE w:val="0"/>
                    <w:autoSpaceDN w:val="0"/>
                    <w:adjustRightInd w:val="0"/>
                    <w:jc w:val="center"/>
                    <w:rPr>
                      <w:color w:val="auto"/>
                      <w:szCs w:val="21"/>
                    </w:rPr>
                  </w:pPr>
                </w:p>
              </w:tc>
              <w:tc>
                <w:tcPr>
                  <w:tcW w:w="1307" w:type="dxa"/>
                  <w:vMerge w:val="continue"/>
                  <w:vAlign w:val="center"/>
                </w:tcPr>
                <w:p w14:paraId="65363D1B">
                  <w:pPr>
                    <w:autoSpaceDE w:val="0"/>
                    <w:autoSpaceDN w:val="0"/>
                    <w:adjustRightInd w:val="0"/>
                    <w:jc w:val="center"/>
                    <w:rPr>
                      <w:color w:val="auto"/>
                      <w:szCs w:val="21"/>
                    </w:rPr>
                  </w:pPr>
                </w:p>
              </w:tc>
              <w:tc>
                <w:tcPr>
                  <w:tcW w:w="1459" w:type="dxa"/>
                  <w:vAlign w:val="center"/>
                </w:tcPr>
                <w:p w14:paraId="6CD32E1D">
                  <w:pPr>
                    <w:adjustRightInd w:val="0"/>
                    <w:snapToGrid w:val="0"/>
                    <w:jc w:val="center"/>
                    <w:textAlignment w:val="baseline"/>
                    <w:rPr>
                      <w:color w:val="auto"/>
                      <w:szCs w:val="21"/>
                    </w:rPr>
                  </w:pPr>
                  <w:r>
                    <w:rPr>
                      <w:rFonts w:hint="eastAsia"/>
                      <w:color w:val="auto"/>
                      <w:szCs w:val="21"/>
                    </w:rPr>
                    <w:t>化粪池污泥</w:t>
                  </w:r>
                </w:p>
              </w:tc>
              <w:tc>
                <w:tcPr>
                  <w:tcW w:w="4728" w:type="dxa"/>
                  <w:vAlign w:val="center"/>
                </w:tcPr>
                <w:p w14:paraId="7C9D11A8">
                  <w:pPr>
                    <w:adjustRightInd w:val="0"/>
                    <w:snapToGrid w:val="0"/>
                    <w:spacing w:line="320" w:lineRule="exact"/>
                    <w:rPr>
                      <w:color w:val="auto"/>
                      <w:szCs w:val="21"/>
                    </w:rPr>
                  </w:pPr>
                  <w:r>
                    <w:rPr>
                      <w:rFonts w:hint="eastAsia"/>
                      <w:color w:val="auto"/>
                    </w:rPr>
                    <w:t>化粪池污泥委托环卫部门</w:t>
                  </w:r>
                  <w:r>
                    <w:rPr>
                      <w:rFonts w:hint="eastAsia"/>
                      <w:color w:val="auto"/>
                      <w:kern w:val="24"/>
                    </w:rPr>
                    <w:t>清掏处置。</w:t>
                  </w:r>
                </w:p>
              </w:tc>
              <w:tc>
                <w:tcPr>
                  <w:tcW w:w="1005" w:type="dxa"/>
                  <w:vAlign w:val="center"/>
                </w:tcPr>
                <w:p w14:paraId="30BB5570">
                  <w:pPr>
                    <w:jc w:val="center"/>
                    <w:rPr>
                      <w:bCs/>
                      <w:color w:val="auto"/>
                      <w:szCs w:val="21"/>
                    </w:rPr>
                  </w:pPr>
                  <w:r>
                    <w:rPr>
                      <w:rFonts w:hint="eastAsia"/>
                      <w:bCs/>
                      <w:color w:val="auto"/>
                      <w:szCs w:val="21"/>
                    </w:rPr>
                    <w:t>新建</w:t>
                  </w:r>
                </w:p>
              </w:tc>
            </w:tr>
            <w:tr w14:paraId="1230E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744" w:type="dxa"/>
                  <w:vMerge w:val="continue"/>
                  <w:vAlign w:val="center"/>
                </w:tcPr>
                <w:p w14:paraId="1E7D8612">
                  <w:pPr>
                    <w:autoSpaceDE w:val="0"/>
                    <w:autoSpaceDN w:val="0"/>
                    <w:adjustRightInd w:val="0"/>
                    <w:jc w:val="center"/>
                    <w:rPr>
                      <w:color w:val="auto"/>
                      <w:szCs w:val="21"/>
                    </w:rPr>
                  </w:pPr>
                </w:p>
              </w:tc>
              <w:tc>
                <w:tcPr>
                  <w:tcW w:w="1307" w:type="dxa"/>
                  <w:vMerge w:val="continue"/>
                  <w:vAlign w:val="center"/>
                </w:tcPr>
                <w:p w14:paraId="508D1703">
                  <w:pPr>
                    <w:autoSpaceDE w:val="0"/>
                    <w:autoSpaceDN w:val="0"/>
                    <w:adjustRightInd w:val="0"/>
                    <w:jc w:val="center"/>
                    <w:rPr>
                      <w:color w:val="auto"/>
                      <w:szCs w:val="21"/>
                    </w:rPr>
                  </w:pPr>
                </w:p>
              </w:tc>
              <w:tc>
                <w:tcPr>
                  <w:tcW w:w="1459" w:type="dxa"/>
                  <w:vAlign w:val="center"/>
                </w:tcPr>
                <w:p w14:paraId="4FB8A9F4">
                  <w:pPr>
                    <w:adjustRightInd w:val="0"/>
                    <w:snapToGrid w:val="0"/>
                    <w:spacing w:line="320" w:lineRule="exact"/>
                    <w:jc w:val="center"/>
                    <w:rPr>
                      <w:color w:val="auto"/>
                      <w:szCs w:val="21"/>
                    </w:rPr>
                  </w:pPr>
                  <w:r>
                    <w:rPr>
                      <w:rFonts w:hint="eastAsia"/>
                      <w:color w:val="auto"/>
                      <w:szCs w:val="21"/>
                    </w:rPr>
                    <w:t>生活垃圾</w:t>
                  </w:r>
                </w:p>
              </w:tc>
              <w:tc>
                <w:tcPr>
                  <w:tcW w:w="4728" w:type="dxa"/>
                  <w:vAlign w:val="center"/>
                </w:tcPr>
                <w:p w14:paraId="7A5CC3A3">
                  <w:pPr>
                    <w:adjustRightInd w:val="0"/>
                    <w:snapToGrid w:val="0"/>
                    <w:spacing w:line="320" w:lineRule="exact"/>
                    <w:rPr>
                      <w:color w:val="auto"/>
                      <w:szCs w:val="21"/>
                    </w:rPr>
                  </w:pPr>
                  <w:r>
                    <w:rPr>
                      <w:rFonts w:hint="eastAsia"/>
                      <w:color w:val="auto"/>
                      <w:szCs w:val="21"/>
                    </w:rPr>
                    <w:t>设置1个生活垃圾箱，用于收集生活垃圾，生活垃圾经集中收集后</w:t>
                  </w:r>
                  <w:r>
                    <w:rPr>
                      <w:rFonts w:hint="eastAsia" w:asciiTheme="minorEastAsia" w:hAnsiTheme="minorEastAsia" w:eastAsiaTheme="minorEastAsia"/>
                      <w:color w:val="auto"/>
                      <w:szCs w:val="21"/>
                    </w:rPr>
                    <w:t>委托环卫部门清运处置。</w:t>
                  </w:r>
                </w:p>
              </w:tc>
              <w:tc>
                <w:tcPr>
                  <w:tcW w:w="1005" w:type="dxa"/>
                  <w:vAlign w:val="center"/>
                </w:tcPr>
                <w:p w14:paraId="53CA47CA">
                  <w:pPr>
                    <w:jc w:val="center"/>
                    <w:rPr>
                      <w:bCs/>
                      <w:color w:val="auto"/>
                      <w:szCs w:val="21"/>
                    </w:rPr>
                  </w:pPr>
                  <w:r>
                    <w:rPr>
                      <w:rFonts w:hint="eastAsia"/>
                      <w:bCs/>
                      <w:color w:val="auto"/>
                      <w:szCs w:val="21"/>
                    </w:rPr>
                    <w:t>新建</w:t>
                  </w:r>
                </w:p>
              </w:tc>
            </w:tr>
            <w:tr w14:paraId="1C2BB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744" w:type="dxa"/>
                  <w:vMerge w:val="continue"/>
                  <w:vAlign w:val="center"/>
                </w:tcPr>
                <w:p w14:paraId="2FE3E6EF">
                  <w:pPr>
                    <w:autoSpaceDE w:val="0"/>
                    <w:autoSpaceDN w:val="0"/>
                    <w:adjustRightInd w:val="0"/>
                    <w:jc w:val="center"/>
                    <w:rPr>
                      <w:color w:val="auto"/>
                      <w:szCs w:val="21"/>
                    </w:rPr>
                  </w:pPr>
                </w:p>
              </w:tc>
              <w:tc>
                <w:tcPr>
                  <w:tcW w:w="1307" w:type="dxa"/>
                  <w:vMerge w:val="restart"/>
                  <w:vAlign w:val="center"/>
                </w:tcPr>
                <w:p w14:paraId="551F1D63">
                  <w:pPr>
                    <w:autoSpaceDE w:val="0"/>
                    <w:autoSpaceDN w:val="0"/>
                    <w:adjustRightInd w:val="0"/>
                    <w:jc w:val="center"/>
                    <w:rPr>
                      <w:color w:val="auto"/>
                      <w:szCs w:val="21"/>
                    </w:rPr>
                  </w:pPr>
                  <w:r>
                    <w:rPr>
                      <w:rFonts w:hint="eastAsia"/>
                      <w:color w:val="auto"/>
                      <w:szCs w:val="21"/>
                    </w:rPr>
                    <w:t>防渗措施</w:t>
                  </w:r>
                </w:p>
              </w:tc>
              <w:tc>
                <w:tcPr>
                  <w:tcW w:w="1459" w:type="dxa"/>
                  <w:vAlign w:val="center"/>
                </w:tcPr>
                <w:p w14:paraId="25B75282">
                  <w:pPr>
                    <w:widowControl/>
                    <w:jc w:val="center"/>
                    <w:textAlignment w:val="center"/>
                    <w:rPr>
                      <w:color w:val="auto"/>
                      <w:kern w:val="0"/>
                      <w:szCs w:val="21"/>
                      <w:lang w:bidi="ar"/>
                    </w:rPr>
                  </w:pPr>
                  <w:r>
                    <w:rPr>
                      <w:rFonts w:hint="eastAsia"/>
                      <w:color w:val="auto"/>
                      <w:kern w:val="0"/>
                      <w:szCs w:val="21"/>
                      <w:lang w:bidi="ar"/>
                    </w:rPr>
                    <w:t>重点防渗区</w:t>
                  </w:r>
                </w:p>
              </w:tc>
              <w:tc>
                <w:tcPr>
                  <w:tcW w:w="4728" w:type="dxa"/>
                  <w:vAlign w:val="center"/>
                </w:tcPr>
                <w:p w14:paraId="04E4FC27">
                  <w:pPr>
                    <w:adjustRightInd w:val="0"/>
                    <w:snapToGrid w:val="0"/>
                    <w:spacing w:line="320" w:lineRule="exact"/>
                    <w:rPr>
                      <w:color w:val="auto"/>
                      <w:szCs w:val="21"/>
                    </w:rPr>
                  </w:pPr>
                  <w:r>
                    <w:rPr>
                      <w:color w:val="auto"/>
                      <w:kern w:val="0"/>
                      <w:szCs w:val="21"/>
                      <w:lang w:bidi="ar"/>
                    </w:rPr>
                    <w:t>危废暂存间</w:t>
                  </w:r>
                  <w:r>
                    <w:rPr>
                      <w:rFonts w:hint="eastAsia"/>
                      <w:color w:val="auto"/>
                      <w:kern w:val="0"/>
                      <w:szCs w:val="21"/>
                      <w:lang w:bidi="ar"/>
                    </w:rPr>
                    <w:t>进行重点防渗</w:t>
                  </w:r>
                  <w:r>
                    <w:rPr>
                      <w:color w:val="auto"/>
                      <w:kern w:val="0"/>
                      <w:szCs w:val="21"/>
                      <w:lang w:bidi="ar"/>
                    </w:rPr>
                    <w:t>，其防渗措施</w:t>
                  </w:r>
                  <w:r>
                    <w:rPr>
                      <w:rFonts w:hint="eastAsia"/>
                      <w:color w:val="auto"/>
                      <w:kern w:val="0"/>
                      <w:szCs w:val="21"/>
                      <w:lang w:bidi="ar"/>
                    </w:rPr>
                    <w:t>采用抗渗混凝土+2mm厚高密度聚乙烯膜+环氧树脂涂层</w:t>
                  </w:r>
                  <w:r>
                    <w:rPr>
                      <w:color w:val="auto"/>
                      <w:kern w:val="0"/>
                      <w:szCs w:val="21"/>
                      <w:lang w:bidi="ar"/>
                    </w:rPr>
                    <w:t>。</w:t>
                  </w:r>
                </w:p>
              </w:tc>
              <w:tc>
                <w:tcPr>
                  <w:tcW w:w="1005" w:type="dxa"/>
                  <w:vAlign w:val="center"/>
                </w:tcPr>
                <w:p w14:paraId="5FAA1D1D">
                  <w:pPr>
                    <w:jc w:val="center"/>
                    <w:rPr>
                      <w:bCs/>
                      <w:color w:val="auto"/>
                      <w:szCs w:val="21"/>
                    </w:rPr>
                  </w:pPr>
                  <w:r>
                    <w:rPr>
                      <w:rFonts w:hint="eastAsia"/>
                      <w:bCs/>
                      <w:color w:val="auto"/>
                      <w:szCs w:val="21"/>
                    </w:rPr>
                    <w:t>新建</w:t>
                  </w:r>
                </w:p>
              </w:tc>
            </w:tr>
            <w:tr w14:paraId="63512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744" w:type="dxa"/>
                  <w:vMerge w:val="continue"/>
                  <w:vAlign w:val="center"/>
                </w:tcPr>
                <w:p w14:paraId="5728587A">
                  <w:pPr>
                    <w:autoSpaceDE w:val="0"/>
                    <w:autoSpaceDN w:val="0"/>
                    <w:adjustRightInd w:val="0"/>
                    <w:jc w:val="center"/>
                    <w:rPr>
                      <w:color w:val="auto"/>
                      <w:szCs w:val="21"/>
                    </w:rPr>
                  </w:pPr>
                </w:p>
              </w:tc>
              <w:tc>
                <w:tcPr>
                  <w:tcW w:w="1307" w:type="dxa"/>
                  <w:vMerge w:val="continue"/>
                  <w:vAlign w:val="center"/>
                </w:tcPr>
                <w:p w14:paraId="41D7222D">
                  <w:pPr>
                    <w:autoSpaceDE w:val="0"/>
                    <w:autoSpaceDN w:val="0"/>
                    <w:adjustRightInd w:val="0"/>
                    <w:jc w:val="center"/>
                    <w:rPr>
                      <w:color w:val="auto"/>
                      <w:szCs w:val="21"/>
                    </w:rPr>
                  </w:pPr>
                </w:p>
              </w:tc>
              <w:tc>
                <w:tcPr>
                  <w:tcW w:w="1459" w:type="dxa"/>
                  <w:vAlign w:val="center"/>
                </w:tcPr>
                <w:p w14:paraId="7546FABA">
                  <w:pPr>
                    <w:widowControl/>
                    <w:jc w:val="center"/>
                    <w:textAlignment w:val="center"/>
                    <w:rPr>
                      <w:color w:val="auto"/>
                      <w:kern w:val="0"/>
                      <w:szCs w:val="21"/>
                      <w:lang w:bidi="ar"/>
                    </w:rPr>
                  </w:pPr>
                  <w:r>
                    <w:rPr>
                      <w:color w:val="auto"/>
                      <w:kern w:val="0"/>
                      <w:szCs w:val="21"/>
                      <w:lang w:bidi="ar"/>
                    </w:rPr>
                    <w:t>一般防渗区</w:t>
                  </w:r>
                </w:p>
              </w:tc>
              <w:tc>
                <w:tcPr>
                  <w:tcW w:w="4728" w:type="dxa"/>
                  <w:vAlign w:val="center"/>
                </w:tcPr>
                <w:p w14:paraId="3F0D9E5E">
                  <w:pPr>
                    <w:adjustRightInd w:val="0"/>
                    <w:snapToGrid w:val="0"/>
                    <w:spacing w:line="320" w:lineRule="exact"/>
                    <w:rPr>
                      <w:color w:val="auto"/>
                      <w:szCs w:val="21"/>
                    </w:rPr>
                  </w:pPr>
                  <w:r>
                    <w:rPr>
                      <w:rFonts w:hint="eastAsia"/>
                      <w:color w:val="auto"/>
                    </w:rPr>
                    <w:t>化粪池、循环水池、</w:t>
                  </w:r>
                  <w:r>
                    <w:rPr>
                      <w:rFonts w:hint="eastAsia"/>
                      <w:color w:val="auto"/>
                      <w:szCs w:val="21"/>
                    </w:rPr>
                    <w:t>应急事故水罐地面</w:t>
                  </w:r>
                  <w:r>
                    <w:rPr>
                      <w:rFonts w:hint="eastAsia"/>
                      <w:color w:val="auto"/>
                      <w:kern w:val="0"/>
                      <w:szCs w:val="21"/>
                      <w:lang w:bidi="ar"/>
                    </w:rPr>
                    <w:t>进行一般防渗</w:t>
                  </w:r>
                  <w:r>
                    <w:rPr>
                      <w:color w:val="auto"/>
                      <w:kern w:val="0"/>
                      <w:szCs w:val="21"/>
                      <w:lang w:bidi="ar"/>
                    </w:rPr>
                    <w:t>，</w:t>
                  </w:r>
                  <w:r>
                    <w:rPr>
                      <w:rFonts w:hint="eastAsia"/>
                      <w:color w:val="auto"/>
                      <w:kern w:val="0"/>
                      <w:szCs w:val="21"/>
                      <w:lang w:bidi="ar"/>
                    </w:rPr>
                    <w:t>采用抗渗混凝土硬化。</w:t>
                  </w:r>
                </w:p>
              </w:tc>
              <w:tc>
                <w:tcPr>
                  <w:tcW w:w="1005" w:type="dxa"/>
                  <w:vAlign w:val="center"/>
                </w:tcPr>
                <w:p w14:paraId="08814C1A">
                  <w:pPr>
                    <w:jc w:val="center"/>
                    <w:rPr>
                      <w:bCs/>
                      <w:color w:val="auto"/>
                      <w:szCs w:val="21"/>
                    </w:rPr>
                  </w:pPr>
                  <w:r>
                    <w:rPr>
                      <w:rFonts w:hint="eastAsia"/>
                      <w:bCs/>
                      <w:color w:val="auto"/>
                      <w:szCs w:val="21"/>
                    </w:rPr>
                    <w:t>新建</w:t>
                  </w:r>
                </w:p>
              </w:tc>
            </w:tr>
            <w:tr w14:paraId="71FA2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744" w:type="dxa"/>
                  <w:vMerge w:val="continue"/>
                  <w:vAlign w:val="center"/>
                </w:tcPr>
                <w:p w14:paraId="4580244F">
                  <w:pPr>
                    <w:autoSpaceDE w:val="0"/>
                    <w:autoSpaceDN w:val="0"/>
                    <w:adjustRightInd w:val="0"/>
                    <w:jc w:val="center"/>
                    <w:rPr>
                      <w:color w:val="auto"/>
                      <w:szCs w:val="21"/>
                    </w:rPr>
                  </w:pPr>
                </w:p>
              </w:tc>
              <w:tc>
                <w:tcPr>
                  <w:tcW w:w="1307" w:type="dxa"/>
                  <w:vMerge w:val="continue"/>
                  <w:vAlign w:val="center"/>
                </w:tcPr>
                <w:p w14:paraId="5FFDD339">
                  <w:pPr>
                    <w:autoSpaceDE w:val="0"/>
                    <w:autoSpaceDN w:val="0"/>
                    <w:adjustRightInd w:val="0"/>
                    <w:jc w:val="center"/>
                    <w:rPr>
                      <w:color w:val="auto"/>
                      <w:szCs w:val="21"/>
                    </w:rPr>
                  </w:pPr>
                </w:p>
              </w:tc>
              <w:tc>
                <w:tcPr>
                  <w:tcW w:w="1459" w:type="dxa"/>
                  <w:vAlign w:val="center"/>
                </w:tcPr>
                <w:p w14:paraId="279D1A75">
                  <w:pPr>
                    <w:widowControl/>
                    <w:jc w:val="center"/>
                    <w:textAlignment w:val="center"/>
                    <w:rPr>
                      <w:color w:val="auto"/>
                      <w:kern w:val="0"/>
                      <w:szCs w:val="21"/>
                      <w:lang w:bidi="ar"/>
                    </w:rPr>
                  </w:pPr>
                  <w:r>
                    <w:rPr>
                      <w:color w:val="auto"/>
                      <w:kern w:val="0"/>
                      <w:szCs w:val="21"/>
                      <w:lang w:bidi="ar"/>
                    </w:rPr>
                    <w:t>简单防渗区</w:t>
                  </w:r>
                </w:p>
              </w:tc>
              <w:tc>
                <w:tcPr>
                  <w:tcW w:w="4728" w:type="dxa"/>
                  <w:vAlign w:val="center"/>
                </w:tcPr>
                <w:p w14:paraId="510CD1CB">
                  <w:pPr>
                    <w:adjustRightInd w:val="0"/>
                    <w:snapToGrid w:val="0"/>
                    <w:spacing w:line="320" w:lineRule="exact"/>
                    <w:rPr>
                      <w:color w:val="auto"/>
                      <w:szCs w:val="21"/>
                    </w:rPr>
                  </w:pPr>
                  <w:r>
                    <w:rPr>
                      <w:rFonts w:hint="eastAsia"/>
                      <w:color w:val="auto"/>
                      <w:kern w:val="0"/>
                      <w:szCs w:val="21"/>
                      <w:lang w:bidi="ar"/>
                    </w:rPr>
                    <w:t>生产车间、厂内道路等一般区域进行简单防渗，采用一般混凝土地面硬化。</w:t>
                  </w:r>
                </w:p>
              </w:tc>
              <w:tc>
                <w:tcPr>
                  <w:tcW w:w="1005" w:type="dxa"/>
                  <w:vAlign w:val="center"/>
                </w:tcPr>
                <w:p w14:paraId="73D94A09">
                  <w:pPr>
                    <w:jc w:val="center"/>
                    <w:rPr>
                      <w:bCs/>
                      <w:color w:val="auto"/>
                      <w:szCs w:val="21"/>
                    </w:rPr>
                  </w:pPr>
                  <w:r>
                    <w:rPr>
                      <w:rFonts w:hint="eastAsia"/>
                      <w:bCs/>
                      <w:color w:val="auto"/>
                      <w:szCs w:val="21"/>
                    </w:rPr>
                    <w:t>改造</w:t>
                  </w:r>
                </w:p>
              </w:tc>
            </w:tr>
            <w:tr w14:paraId="3E300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trPr>
              <w:tc>
                <w:tcPr>
                  <w:tcW w:w="744" w:type="dxa"/>
                  <w:vMerge w:val="continue"/>
                  <w:vAlign w:val="center"/>
                </w:tcPr>
                <w:p w14:paraId="44075D35">
                  <w:pPr>
                    <w:autoSpaceDE w:val="0"/>
                    <w:autoSpaceDN w:val="0"/>
                    <w:adjustRightInd w:val="0"/>
                    <w:jc w:val="center"/>
                    <w:rPr>
                      <w:color w:val="auto"/>
                      <w:szCs w:val="21"/>
                    </w:rPr>
                  </w:pPr>
                </w:p>
              </w:tc>
              <w:tc>
                <w:tcPr>
                  <w:tcW w:w="1307" w:type="dxa"/>
                  <w:vAlign w:val="center"/>
                </w:tcPr>
                <w:p w14:paraId="698FA39A">
                  <w:pPr>
                    <w:autoSpaceDE w:val="0"/>
                    <w:autoSpaceDN w:val="0"/>
                    <w:adjustRightInd w:val="0"/>
                    <w:jc w:val="center"/>
                    <w:rPr>
                      <w:color w:val="auto"/>
                      <w:szCs w:val="21"/>
                    </w:rPr>
                  </w:pPr>
                  <w:r>
                    <w:rPr>
                      <w:rFonts w:hint="eastAsia"/>
                      <w:color w:val="auto"/>
                      <w:szCs w:val="21"/>
                    </w:rPr>
                    <w:t>其它</w:t>
                  </w:r>
                </w:p>
              </w:tc>
              <w:tc>
                <w:tcPr>
                  <w:tcW w:w="1459" w:type="dxa"/>
                  <w:vAlign w:val="center"/>
                </w:tcPr>
                <w:p w14:paraId="4684339F">
                  <w:pPr>
                    <w:widowControl/>
                    <w:jc w:val="center"/>
                    <w:textAlignment w:val="center"/>
                    <w:rPr>
                      <w:color w:val="auto"/>
                      <w:kern w:val="0"/>
                      <w:szCs w:val="21"/>
                      <w:lang w:bidi="ar"/>
                    </w:rPr>
                  </w:pPr>
                  <w:r>
                    <w:rPr>
                      <w:rFonts w:hint="eastAsia"/>
                      <w:color w:val="auto"/>
                      <w:kern w:val="0"/>
                      <w:szCs w:val="21"/>
                      <w:lang w:bidi="ar"/>
                    </w:rPr>
                    <w:t>绿化</w:t>
                  </w:r>
                </w:p>
              </w:tc>
              <w:tc>
                <w:tcPr>
                  <w:tcW w:w="4728" w:type="dxa"/>
                  <w:vAlign w:val="center"/>
                </w:tcPr>
                <w:p w14:paraId="58BD2B15">
                  <w:pPr>
                    <w:adjustRightInd w:val="0"/>
                    <w:snapToGrid w:val="0"/>
                    <w:spacing w:line="320" w:lineRule="exact"/>
                    <w:rPr>
                      <w:color w:val="auto"/>
                      <w:kern w:val="0"/>
                      <w:szCs w:val="21"/>
                      <w:lang w:bidi="ar"/>
                    </w:rPr>
                  </w:pPr>
                  <w:r>
                    <w:rPr>
                      <w:rFonts w:hint="eastAsia"/>
                      <w:color w:val="auto"/>
                      <w:kern w:val="0"/>
                      <w:szCs w:val="21"/>
                      <w:lang w:bidi="ar"/>
                    </w:rPr>
                    <w:t>绿化面积200m</w:t>
                  </w:r>
                  <w:r>
                    <w:rPr>
                      <w:rFonts w:hint="eastAsia"/>
                      <w:color w:val="auto"/>
                      <w:kern w:val="0"/>
                      <w:szCs w:val="21"/>
                      <w:vertAlign w:val="superscript"/>
                      <w:lang w:bidi="ar"/>
                    </w:rPr>
                    <w:t>2</w:t>
                  </w:r>
                  <w:r>
                    <w:rPr>
                      <w:rFonts w:hint="eastAsia"/>
                      <w:color w:val="auto"/>
                      <w:kern w:val="0"/>
                      <w:szCs w:val="21"/>
                      <w:lang w:bidi="ar"/>
                    </w:rPr>
                    <w:t>。</w:t>
                  </w:r>
                </w:p>
              </w:tc>
              <w:tc>
                <w:tcPr>
                  <w:tcW w:w="1005" w:type="dxa"/>
                  <w:vAlign w:val="center"/>
                </w:tcPr>
                <w:p w14:paraId="6C2ABA0A">
                  <w:pPr>
                    <w:jc w:val="center"/>
                    <w:rPr>
                      <w:bCs/>
                      <w:color w:val="auto"/>
                      <w:szCs w:val="21"/>
                    </w:rPr>
                  </w:pPr>
                  <w:r>
                    <w:rPr>
                      <w:rFonts w:hint="eastAsia"/>
                      <w:bCs/>
                      <w:color w:val="auto"/>
                      <w:szCs w:val="21"/>
                    </w:rPr>
                    <w:t>已有</w:t>
                  </w:r>
                </w:p>
              </w:tc>
            </w:tr>
            <w:bookmarkEnd w:id="52"/>
          </w:tbl>
          <w:p w14:paraId="1C0897E1">
            <w:pPr>
              <w:adjustRightInd w:val="0"/>
              <w:snapToGrid w:val="0"/>
              <w:spacing w:line="360" w:lineRule="auto"/>
              <w:jc w:val="left"/>
              <w:rPr>
                <w:b/>
                <w:bCs/>
                <w:color w:val="auto"/>
                <w:sz w:val="24"/>
              </w:rPr>
            </w:pPr>
          </w:p>
          <w:p w14:paraId="7B2F42D0">
            <w:pPr>
              <w:adjustRightInd w:val="0"/>
              <w:snapToGrid w:val="0"/>
              <w:spacing w:line="360" w:lineRule="auto"/>
              <w:jc w:val="left"/>
              <w:rPr>
                <w:bCs/>
                <w:color w:val="auto"/>
                <w:sz w:val="24"/>
              </w:rPr>
            </w:pPr>
            <w:r>
              <w:rPr>
                <w:b/>
                <w:bCs/>
                <w:color w:val="auto"/>
                <w:sz w:val="24"/>
              </w:rPr>
              <w:t>3</w:t>
            </w:r>
            <w:r>
              <w:rPr>
                <w:rFonts w:hint="eastAsia"/>
                <w:b/>
                <w:bCs/>
                <w:color w:val="auto"/>
                <w:sz w:val="24"/>
              </w:rPr>
              <w:t>、生产规模及产品方案</w:t>
            </w:r>
          </w:p>
          <w:p w14:paraId="5F2312BB">
            <w:pPr>
              <w:adjustRightInd w:val="0"/>
              <w:snapToGrid w:val="0"/>
              <w:spacing w:line="360" w:lineRule="auto"/>
              <w:ind w:firstLine="480" w:firstLineChars="200"/>
              <w:rPr>
                <w:color w:val="auto"/>
                <w:sz w:val="24"/>
                <w:lang w:val="zh-CN"/>
              </w:rPr>
            </w:pPr>
            <w:r>
              <w:rPr>
                <w:rFonts w:hint="eastAsia"/>
                <w:bCs/>
                <w:color w:val="auto"/>
                <w:sz w:val="24"/>
              </w:rPr>
              <w:t>项目建成后，年产10万吨高频直缝焊管</w:t>
            </w:r>
            <w:r>
              <w:rPr>
                <w:color w:val="auto"/>
                <w:sz w:val="24"/>
                <w:lang w:val="zh-CN"/>
              </w:rPr>
              <w:t>。项目产品类型及生产规模详见表</w:t>
            </w:r>
            <w:r>
              <w:rPr>
                <w:rFonts w:hint="eastAsia"/>
                <w:color w:val="auto"/>
                <w:sz w:val="24"/>
                <w:lang w:val="zh-CN"/>
              </w:rPr>
              <w:t>2</w:t>
            </w:r>
            <w:r>
              <w:rPr>
                <w:color w:val="auto"/>
                <w:sz w:val="24"/>
                <w:lang w:val="zh-CN"/>
              </w:rPr>
              <w:t>-</w:t>
            </w:r>
            <w:r>
              <w:rPr>
                <w:rFonts w:hint="eastAsia"/>
                <w:color w:val="auto"/>
                <w:sz w:val="24"/>
                <w:lang w:val="zh-CN"/>
              </w:rPr>
              <w:t>2</w:t>
            </w:r>
            <w:r>
              <w:rPr>
                <w:color w:val="auto"/>
                <w:sz w:val="24"/>
                <w:lang w:val="zh-CN"/>
              </w:rPr>
              <w:t>所示。</w:t>
            </w:r>
          </w:p>
          <w:p w14:paraId="5F9282CC">
            <w:pPr>
              <w:adjustRightInd w:val="0"/>
              <w:snapToGrid w:val="0"/>
              <w:spacing w:line="360" w:lineRule="auto"/>
              <w:ind w:firstLine="482" w:firstLineChars="200"/>
              <w:jc w:val="center"/>
              <w:rPr>
                <w:b/>
                <w:bCs/>
                <w:color w:val="auto"/>
                <w:kern w:val="24"/>
                <w:sz w:val="24"/>
              </w:rPr>
            </w:pPr>
            <w:r>
              <w:rPr>
                <w:b/>
                <w:bCs/>
                <w:color w:val="auto"/>
                <w:kern w:val="24"/>
                <w:sz w:val="24"/>
              </w:rPr>
              <w:t>表</w:t>
            </w:r>
            <w:r>
              <w:rPr>
                <w:rFonts w:hint="eastAsia"/>
                <w:b/>
                <w:bCs/>
                <w:color w:val="auto"/>
                <w:kern w:val="24"/>
                <w:sz w:val="24"/>
              </w:rPr>
              <w:t>2</w:t>
            </w:r>
            <w:r>
              <w:rPr>
                <w:b/>
                <w:bCs/>
                <w:color w:val="auto"/>
                <w:kern w:val="24"/>
                <w:sz w:val="24"/>
              </w:rPr>
              <w:t>-</w:t>
            </w:r>
            <w:r>
              <w:rPr>
                <w:rFonts w:hint="eastAsia"/>
                <w:b/>
                <w:bCs/>
                <w:color w:val="auto"/>
                <w:kern w:val="24"/>
                <w:sz w:val="24"/>
              </w:rPr>
              <w:t>2</w:t>
            </w:r>
            <w:r>
              <w:rPr>
                <w:b/>
                <w:bCs/>
                <w:color w:val="auto"/>
                <w:kern w:val="24"/>
                <w:sz w:val="24"/>
              </w:rPr>
              <w:t xml:space="preserve">  </w:t>
            </w:r>
            <w:r>
              <w:rPr>
                <w:rFonts w:hint="eastAsia"/>
                <w:b/>
                <w:color w:val="auto"/>
                <w:sz w:val="24"/>
              </w:rPr>
              <w:t>项目</w:t>
            </w:r>
            <w:r>
              <w:rPr>
                <w:b/>
                <w:color w:val="auto"/>
                <w:sz w:val="24"/>
              </w:rPr>
              <w:t>产品</w:t>
            </w:r>
            <w:r>
              <w:rPr>
                <w:rFonts w:hint="eastAsia"/>
                <w:b/>
                <w:color w:val="auto"/>
                <w:sz w:val="24"/>
              </w:rPr>
              <w:t>方案</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1151"/>
              <w:gridCol w:w="993"/>
              <w:gridCol w:w="1277"/>
              <w:gridCol w:w="4863"/>
            </w:tblGrid>
            <w:tr w14:paraId="4800F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00" w:type="dxa"/>
                  <w:vAlign w:val="center"/>
                </w:tcPr>
                <w:p w14:paraId="12B0B769">
                  <w:pPr>
                    <w:adjustRightInd w:val="0"/>
                    <w:jc w:val="center"/>
                    <w:textAlignment w:val="baseline"/>
                    <w:rPr>
                      <w:color w:val="auto"/>
                      <w:szCs w:val="21"/>
                    </w:rPr>
                  </w:pPr>
                  <w:r>
                    <w:rPr>
                      <w:color w:val="auto"/>
                      <w:szCs w:val="21"/>
                    </w:rPr>
                    <w:t>序号</w:t>
                  </w:r>
                </w:p>
              </w:tc>
              <w:tc>
                <w:tcPr>
                  <w:tcW w:w="1150" w:type="dxa"/>
                  <w:vAlign w:val="center"/>
                </w:tcPr>
                <w:p w14:paraId="2078EED2">
                  <w:pPr>
                    <w:adjustRightInd w:val="0"/>
                    <w:jc w:val="center"/>
                    <w:textAlignment w:val="baseline"/>
                    <w:rPr>
                      <w:color w:val="auto"/>
                      <w:szCs w:val="21"/>
                    </w:rPr>
                  </w:pPr>
                  <w:r>
                    <w:rPr>
                      <w:rFonts w:hint="eastAsia"/>
                      <w:color w:val="auto"/>
                      <w:szCs w:val="21"/>
                    </w:rPr>
                    <w:t>产品名称</w:t>
                  </w:r>
                </w:p>
              </w:tc>
              <w:tc>
                <w:tcPr>
                  <w:tcW w:w="992" w:type="dxa"/>
                  <w:vAlign w:val="center"/>
                </w:tcPr>
                <w:p w14:paraId="5A6EA031">
                  <w:pPr>
                    <w:adjustRightInd w:val="0"/>
                    <w:jc w:val="center"/>
                    <w:textAlignment w:val="baseline"/>
                    <w:rPr>
                      <w:color w:val="auto"/>
                      <w:szCs w:val="21"/>
                    </w:rPr>
                  </w:pPr>
                  <w:r>
                    <w:rPr>
                      <w:rFonts w:hint="eastAsia"/>
                      <w:color w:val="auto"/>
                      <w:szCs w:val="21"/>
                    </w:rPr>
                    <w:t>单位</w:t>
                  </w:r>
                </w:p>
              </w:tc>
              <w:tc>
                <w:tcPr>
                  <w:tcW w:w="1276" w:type="dxa"/>
                  <w:vAlign w:val="center"/>
                </w:tcPr>
                <w:p w14:paraId="61045097">
                  <w:pPr>
                    <w:adjustRightInd w:val="0"/>
                    <w:jc w:val="center"/>
                    <w:textAlignment w:val="baseline"/>
                    <w:rPr>
                      <w:color w:val="auto"/>
                      <w:szCs w:val="21"/>
                    </w:rPr>
                  </w:pPr>
                  <w:r>
                    <w:rPr>
                      <w:rFonts w:hint="eastAsia"/>
                      <w:color w:val="auto"/>
                      <w:szCs w:val="21"/>
                    </w:rPr>
                    <w:t>设计产量</w:t>
                  </w:r>
                </w:p>
              </w:tc>
              <w:tc>
                <w:tcPr>
                  <w:tcW w:w="4859" w:type="dxa"/>
                  <w:vAlign w:val="center"/>
                </w:tcPr>
                <w:p w14:paraId="7D94940F">
                  <w:pPr>
                    <w:adjustRightInd w:val="0"/>
                    <w:jc w:val="center"/>
                    <w:textAlignment w:val="baseline"/>
                    <w:rPr>
                      <w:color w:val="auto"/>
                      <w:szCs w:val="21"/>
                    </w:rPr>
                  </w:pPr>
                  <w:r>
                    <w:rPr>
                      <w:rFonts w:hint="eastAsia"/>
                      <w:color w:val="auto"/>
                      <w:szCs w:val="21"/>
                    </w:rPr>
                    <w:t>备注</w:t>
                  </w:r>
                </w:p>
              </w:tc>
            </w:tr>
            <w:tr w14:paraId="32567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00" w:type="dxa"/>
                  <w:vAlign w:val="center"/>
                </w:tcPr>
                <w:p w14:paraId="670A910A">
                  <w:pPr>
                    <w:adjustRightInd w:val="0"/>
                    <w:jc w:val="center"/>
                    <w:textAlignment w:val="baseline"/>
                    <w:rPr>
                      <w:color w:val="auto"/>
                      <w:szCs w:val="21"/>
                    </w:rPr>
                  </w:pPr>
                  <w:r>
                    <w:rPr>
                      <w:snapToGrid w:val="0"/>
                      <w:color w:val="auto"/>
                      <w:szCs w:val="21"/>
                    </w:rPr>
                    <w:fldChar w:fldCharType="begin"/>
                  </w:r>
                  <w:r>
                    <w:rPr>
                      <w:snapToGrid w:val="0"/>
                      <w:color w:val="auto"/>
                      <w:szCs w:val="21"/>
                    </w:rPr>
                    <w:instrText xml:space="preserve"> seq 表1-2 </w:instrText>
                  </w:r>
                  <w:r>
                    <w:rPr>
                      <w:snapToGrid w:val="0"/>
                      <w:color w:val="auto"/>
                      <w:szCs w:val="21"/>
                    </w:rPr>
                    <w:fldChar w:fldCharType="separate"/>
                  </w:r>
                  <w:r>
                    <w:rPr>
                      <w:snapToGrid w:val="0"/>
                      <w:color w:val="auto"/>
                      <w:szCs w:val="21"/>
                    </w:rPr>
                    <w:t>1</w:t>
                  </w:r>
                  <w:r>
                    <w:rPr>
                      <w:snapToGrid w:val="0"/>
                      <w:color w:val="auto"/>
                      <w:szCs w:val="21"/>
                    </w:rPr>
                    <w:fldChar w:fldCharType="end"/>
                  </w:r>
                </w:p>
              </w:tc>
              <w:tc>
                <w:tcPr>
                  <w:tcW w:w="1150" w:type="dxa"/>
                  <w:vAlign w:val="center"/>
                </w:tcPr>
                <w:p w14:paraId="1B6B0A4C">
                  <w:pPr>
                    <w:adjustRightInd w:val="0"/>
                    <w:jc w:val="center"/>
                    <w:textAlignment w:val="baseline"/>
                    <w:rPr>
                      <w:color w:val="auto"/>
                      <w:szCs w:val="21"/>
                    </w:rPr>
                  </w:pPr>
                  <w:r>
                    <w:rPr>
                      <w:rFonts w:hint="eastAsia"/>
                      <w:color w:val="auto"/>
                      <w:szCs w:val="21"/>
                    </w:rPr>
                    <w:t>高频直缝焊管</w:t>
                  </w:r>
                </w:p>
              </w:tc>
              <w:tc>
                <w:tcPr>
                  <w:tcW w:w="992" w:type="dxa"/>
                  <w:vAlign w:val="center"/>
                </w:tcPr>
                <w:p w14:paraId="7476BB08">
                  <w:pPr>
                    <w:adjustRightInd w:val="0"/>
                    <w:jc w:val="center"/>
                    <w:textAlignment w:val="baseline"/>
                    <w:rPr>
                      <w:color w:val="auto"/>
                      <w:szCs w:val="21"/>
                    </w:rPr>
                  </w:pPr>
                  <w:r>
                    <w:rPr>
                      <w:rFonts w:hint="eastAsia"/>
                      <w:color w:val="auto"/>
                      <w:szCs w:val="21"/>
                    </w:rPr>
                    <w:t>万t/a</w:t>
                  </w:r>
                </w:p>
              </w:tc>
              <w:tc>
                <w:tcPr>
                  <w:tcW w:w="1276" w:type="dxa"/>
                  <w:vAlign w:val="center"/>
                </w:tcPr>
                <w:p w14:paraId="09F20F4E">
                  <w:pPr>
                    <w:adjustRightInd w:val="0"/>
                    <w:jc w:val="center"/>
                    <w:textAlignment w:val="baseline"/>
                    <w:rPr>
                      <w:color w:val="auto"/>
                      <w:szCs w:val="21"/>
                    </w:rPr>
                  </w:pPr>
                  <w:r>
                    <w:rPr>
                      <w:rFonts w:hint="eastAsia"/>
                      <w:color w:val="auto"/>
                      <w:szCs w:val="21"/>
                    </w:rPr>
                    <w:t>10</w:t>
                  </w:r>
                </w:p>
              </w:tc>
              <w:tc>
                <w:tcPr>
                  <w:tcW w:w="4859" w:type="dxa"/>
                  <w:vAlign w:val="center"/>
                </w:tcPr>
                <w:p w14:paraId="329E6E56">
                  <w:pPr>
                    <w:adjustRightInd w:val="0"/>
                    <w:jc w:val="center"/>
                    <w:textAlignment w:val="baseline"/>
                    <w:rPr>
                      <w:color w:val="auto"/>
                      <w:szCs w:val="21"/>
                    </w:rPr>
                  </w:pPr>
                  <w:r>
                    <w:rPr>
                      <w:color w:val="auto"/>
                      <w:szCs w:val="21"/>
                    </w:rPr>
                    <w:t>方管：</w:t>
                  </w:r>
                </w:p>
                <w:p w14:paraId="02FBA752">
                  <w:pPr>
                    <w:adjustRightInd w:val="0"/>
                    <w:jc w:val="center"/>
                    <w:textAlignment w:val="baseline"/>
                    <w:rPr>
                      <w:color w:val="auto"/>
                      <w:szCs w:val="21"/>
                    </w:rPr>
                  </w:pPr>
                  <w:r>
                    <w:rPr>
                      <w:rFonts w:hint="eastAsia"/>
                      <w:color w:val="auto"/>
                      <w:szCs w:val="21"/>
                    </w:rPr>
                    <w:t>1</w:t>
                  </w:r>
                  <w:r>
                    <w:rPr>
                      <w:color w:val="auto"/>
                      <w:szCs w:val="21"/>
                    </w:rPr>
                    <w:t>0mm×</w:t>
                  </w:r>
                  <w:r>
                    <w:rPr>
                      <w:rFonts w:hint="eastAsia"/>
                      <w:color w:val="auto"/>
                      <w:szCs w:val="21"/>
                    </w:rPr>
                    <w:t>2</w:t>
                  </w:r>
                  <w:r>
                    <w:rPr>
                      <w:color w:val="auto"/>
                      <w:szCs w:val="21"/>
                    </w:rPr>
                    <w:t>0mm、</w:t>
                  </w:r>
                  <w:r>
                    <w:rPr>
                      <w:rFonts w:hint="eastAsia"/>
                      <w:color w:val="auto"/>
                      <w:szCs w:val="21"/>
                    </w:rPr>
                    <w:t>2</w:t>
                  </w:r>
                  <w:r>
                    <w:rPr>
                      <w:color w:val="auto"/>
                      <w:szCs w:val="21"/>
                    </w:rPr>
                    <w:t>0mm×</w:t>
                  </w:r>
                  <w:r>
                    <w:rPr>
                      <w:rFonts w:hint="eastAsia"/>
                      <w:color w:val="auto"/>
                      <w:szCs w:val="21"/>
                    </w:rPr>
                    <w:t>2</w:t>
                  </w:r>
                  <w:r>
                    <w:rPr>
                      <w:color w:val="auto"/>
                      <w:szCs w:val="21"/>
                    </w:rPr>
                    <w:t>0mm、</w:t>
                  </w:r>
                  <w:r>
                    <w:rPr>
                      <w:rFonts w:hint="eastAsia"/>
                      <w:color w:val="auto"/>
                      <w:szCs w:val="21"/>
                    </w:rPr>
                    <w:t>25</w:t>
                  </w:r>
                  <w:r>
                    <w:rPr>
                      <w:color w:val="auto"/>
                      <w:szCs w:val="21"/>
                    </w:rPr>
                    <w:t>mm×</w:t>
                  </w:r>
                  <w:r>
                    <w:rPr>
                      <w:rFonts w:hint="eastAsia"/>
                      <w:color w:val="auto"/>
                      <w:szCs w:val="21"/>
                    </w:rPr>
                    <w:t>25</w:t>
                  </w:r>
                  <w:r>
                    <w:rPr>
                      <w:color w:val="auto"/>
                      <w:szCs w:val="21"/>
                    </w:rPr>
                    <w:t>mm、</w:t>
                  </w:r>
                  <w:r>
                    <w:rPr>
                      <w:rFonts w:hint="eastAsia"/>
                      <w:color w:val="auto"/>
                      <w:szCs w:val="21"/>
                    </w:rPr>
                    <w:t>25</w:t>
                  </w:r>
                  <w:r>
                    <w:rPr>
                      <w:color w:val="auto"/>
                      <w:szCs w:val="21"/>
                    </w:rPr>
                    <w:t>mm×</w:t>
                  </w:r>
                  <w:r>
                    <w:rPr>
                      <w:rFonts w:hint="eastAsia"/>
                      <w:color w:val="auto"/>
                      <w:szCs w:val="21"/>
                    </w:rPr>
                    <w:t>35</w:t>
                  </w:r>
                  <w:r>
                    <w:rPr>
                      <w:color w:val="auto"/>
                      <w:szCs w:val="21"/>
                    </w:rPr>
                    <w:t>mm、20mm×</w:t>
                  </w:r>
                  <w:r>
                    <w:rPr>
                      <w:rFonts w:hint="eastAsia"/>
                      <w:color w:val="auto"/>
                      <w:szCs w:val="21"/>
                    </w:rPr>
                    <w:t>4</w:t>
                  </w:r>
                  <w:r>
                    <w:rPr>
                      <w:color w:val="auto"/>
                      <w:szCs w:val="21"/>
                    </w:rPr>
                    <w:t>0mm、30mm×30mm、30mm×</w:t>
                  </w:r>
                  <w:r>
                    <w:rPr>
                      <w:rFonts w:hint="eastAsia"/>
                      <w:color w:val="auto"/>
                      <w:szCs w:val="21"/>
                    </w:rPr>
                    <w:t>4</w:t>
                  </w:r>
                  <w:r>
                    <w:rPr>
                      <w:color w:val="auto"/>
                      <w:szCs w:val="21"/>
                    </w:rPr>
                    <w:t>0mm、30mm×50mm、40mm×40mm、40mm×60mm、</w:t>
                  </w:r>
                  <w:r>
                    <w:rPr>
                      <w:rFonts w:hint="eastAsia"/>
                      <w:color w:val="auto"/>
                      <w:szCs w:val="21"/>
                    </w:rPr>
                    <w:t>4</w:t>
                  </w:r>
                  <w:r>
                    <w:rPr>
                      <w:color w:val="auto"/>
                      <w:szCs w:val="21"/>
                    </w:rPr>
                    <w:t>0mm×</w:t>
                  </w:r>
                  <w:r>
                    <w:rPr>
                      <w:rFonts w:hint="eastAsia"/>
                      <w:color w:val="auto"/>
                      <w:szCs w:val="21"/>
                    </w:rPr>
                    <w:t>8</w:t>
                  </w:r>
                  <w:r>
                    <w:rPr>
                      <w:color w:val="auto"/>
                      <w:szCs w:val="21"/>
                    </w:rPr>
                    <w:t>0mm、</w:t>
                  </w:r>
                  <w:r>
                    <w:rPr>
                      <w:rFonts w:hint="eastAsia"/>
                      <w:color w:val="auto"/>
                      <w:szCs w:val="21"/>
                    </w:rPr>
                    <w:t>5</w:t>
                  </w:r>
                  <w:r>
                    <w:rPr>
                      <w:color w:val="auto"/>
                      <w:szCs w:val="21"/>
                    </w:rPr>
                    <w:t>0mm×</w:t>
                  </w:r>
                  <w:r>
                    <w:rPr>
                      <w:rFonts w:hint="eastAsia"/>
                      <w:color w:val="auto"/>
                      <w:szCs w:val="21"/>
                    </w:rPr>
                    <w:t>5</w:t>
                  </w:r>
                  <w:r>
                    <w:rPr>
                      <w:color w:val="auto"/>
                      <w:szCs w:val="21"/>
                    </w:rPr>
                    <w:t>0mm</w:t>
                  </w:r>
                  <w:r>
                    <w:rPr>
                      <w:rFonts w:hint="eastAsia"/>
                      <w:color w:val="auto"/>
                      <w:szCs w:val="21"/>
                    </w:rPr>
                    <w:t>、6</w:t>
                  </w:r>
                  <w:r>
                    <w:rPr>
                      <w:color w:val="auto"/>
                      <w:szCs w:val="21"/>
                    </w:rPr>
                    <w:t>0mm×</w:t>
                  </w:r>
                  <w:r>
                    <w:rPr>
                      <w:rFonts w:hint="eastAsia"/>
                      <w:color w:val="auto"/>
                      <w:szCs w:val="21"/>
                    </w:rPr>
                    <w:t>6</w:t>
                  </w:r>
                  <w:r>
                    <w:rPr>
                      <w:color w:val="auto"/>
                      <w:szCs w:val="21"/>
                    </w:rPr>
                    <w:t>0mm</w:t>
                  </w:r>
                  <w:r>
                    <w:rPr>
                      <w:rFonts w:hint="eastAsia"/>
                      <w:color w:val="auto"/>
                      <w:szCs w:val="21"/>
                    </w:rPr>
                    <w:t>、8</w:t>
                  </w:r>
                  <w:r>
                    <w:rPr>
                      <w:color w:val="auto"/>
                      <w:szCs w:val="21"/>
                    </w:rPr>
                    <w:t>0mm×</w:t>
                  </w:r>
                  <w:r>
                    <w:rPr>
                      <w:rFonts w:hint="eastAsia"/>
                      <w:color w:val="auto"/>
                      <w:szCs w:val="21"/>
                    </w:rPr>
                    <w:t>8</w:t>
                  </w:r>
                  <w:r>
                    <w:rPr>
                      <w:color w:val="auto"/>
                      <w:szCs w:val="21"/>
                    </w:rPr>
                    <w:t>0mm、</w:t>
                  </w:r>
                  <w:r>
                    <w:rPr>
                      <w:rFonts w:hint="eastAsia"/>
                      <w:color w:val="auto"/>
                      <w:szCs w:val="21"/>
                    </w:rPr>
                    <w:t>10</w:t>
                  </w:r>
                  <w:r>
                    <w:rPr>
                      <w:color w:val="auto"/>
                      <w:szCs w:val="21"/>
                    </w:rPr>
                    <w:t>0mm×</w:t>
                  </w:r>
                  <w:r>
                    <w:rPr>
                      <w:rFonts w:hint="eastAsia"/>
                      <w:color w:val="auto"/>
                      <w:szCs w:val="21"/>
                    </w:rPr>
                    <w:t>10</w:t>
                  </w:r>
                  <w:r>
                    <w:rPr>
                      <w:color w:val="auto"/>
                      <w:szCs w:val="21"/>
                    </w:rPr>
                    <w:t>0mm；</w:t>
                  </w:r>
                </w:p>
                <w:p w14:paraId="0B4EB29C">
                  <w:pPr>
                    <w:adjustRightInd w:val="0"/>
                    <w:jc w:val="center"/>
                    <w:textAlignment w:val="baseline"/>
                    <w:rPr>
                      <w:color w:val="auto"/>
                      <w:szCs w:val="21"/>
                    </w:rPr>
                  </w:pPr>
                  <w:r>
                    <w:rPr>
                      <w:color w:val="auto"/>
                      <w:szCs w:val="21"/>
                    </w:rPr>
                    <w:t>圆管：</w:t>
                  </w:r>
                </w:p>
                <w:p w14:paraId="1C8841F1">
                  <w:pPr>
                    <w:adjustRightInd w:val="0"/>
                    <w:jc w:val="center"/>
                    <w:textAlignment w:val="baseline"/>
                    <w:rPr>
                      <w:color w:val="auto"/>
                      <w:szCs w:val="21"/>
                    </w:rPr>
                  </w:pPr>
                  <w:r>
                    <w:rPr>
                      <w:color w:val="auto"/>
                      <w:szCs w:val="21"/>
                    </w:rPr>
                    <w:t>φ19mm、φ25mm、φ3</w:t>
                  </w:r>
                  <w:r>
                    <w:rPr>
                      <w:rFonts w:hint="eastAsia"/>
                      <w:color w:val="auto"/>
                      <w:szCs w:val="21"/>
                    </w:rPr>
                    <w:t>2</w:t>
                  </w:r>
                  <w:r>
                    <w:rPr>
                      <w:color w:val="auto"/>
                      <w:szCs w:val="21"/>
                    </w:rPr>
                    <w:t>mm、φ</w:t>
                  </w:r>
                  <w:r>
                    <w:rPr>
                      <w:rFonts w:hint="eastAsia"/>
                      <w:color w:val="auto"/>
                      <w:szCs w:val="21"/>
                    </w:rPr>
                    <w:t>38</w:t>
                  </w:r>
                  <w:r>
                    <w:rPr>
                      <w:color w:val="auto"/>
                      <w:szCs w:val="21"/>
                    </w:rPr>
                    <w:t>mm、φ</w:t>
                  </w:r>
                  <w:r>
                    <w:rPr>
                      <w:rFonts w:hint="eastAsia"/>
                      <w:color w:val="auto"/>
                      <w:szCs w:val="21"/>
                    </w:rPr>
                    <w:t>40</w:t>
                  </w:r>
                  <w:r>
                    <w:rPr>
                      <w:color w:val="auto"/>
                      <w:szCs w:val="21"/>
                    </w:rPr>
                    <w:t>mm、φ</w:t>
                  </w:r>
                  <w:r>
                    <w:rPr>
                      <w:rFonts w:hint="eastAsia"/>
                      <w:color w:val="auto"/>
                      <w:szCs w:val="21"/>
                    </w:rPr>
                    <w:t>42</w:t>
                  </w:r>
                  <w:r>
                    <w:rPr>
                      <w:color w:val="auto"/>
                      <w:szCs w:val="21"/>
                    </w:rPr>
                    <w:t>mm、φ48mm、φ</w:t>
                  </w:r>
                  <w:r>
                    <w:rPr>
                      <w:rFonts w:hint="eastAsia"/>
                      <w:color w:val="auto"/>
                      <w:szCs w:val="21"/>
                    </w:rPr>
                    <w:t>50</w:t>
                  </w:r>
                  <w:r>
                    <w:rPr>
                      <w:color w:val="auto"/>
                      <w:szCs w:val="21"/>
                    </w:rPr>
                    <w:t>mm、φ</w:t>
                  </w:r>
                  <w:r>
                    <w:rPr>
                      <w:rFonts w:hint="eastAsia"/>
                      <w:color w:val="auto"/>
                      <w:szCs w:val="21"/>
                    </w:rPr>
                    <w:t>57</w:t>
                  </w:r>
                  <w:r>
                    <w:rPr>
                      <w:color w:val="auto"/>
                      <w:szCs w:val="21"/>
                    </w:rPr>
                    <w:t>mm、φ60mm、φ</w:t>
                  </w:r>
                  <w:r>
                    <w:rPr>
                      <w:rFonts w:hint="eastAsia"/>
                      <w:color w:val="auto"/>
                      <w:szCs w:val="21"/>
                    </w:rPr>
                    <w:t>89</w:t>
                  </w:r>
                  <w:r>
                    <w:rPr>
                      <w:color w:val="auto"/>
                      <w:szCs w:val="21"/>
                    </w:rPr>
                    <w:t>mm、φ</w:t>
                  </w:r>
                  <w:r>
                    <w:rPr>
                      <w:rFonts w:hint="eastAsia"/>
                      <w:color w:val="auto"/>
                      <w:szCs w:val="21"/>
                    </w:rPr>
                    <w:t>114</w:t>
                  </w:r>
                  <w:r>
                    <w:rPr>
                      <w:color w:val="auto"/>
                      <w:szCs w:val="21"/>
                    </w:rPr>
                    <w:t>mm。</w:t>
                  </w:r>
                </w:p>
              </w:tc>
            </w:tr>
          </w:tbl>
          <w:p w14:paraId="3B62B636">
            <w:pPr>
              <w:adjustRightInd w:val="0"/>
              <w:snapToGrid w:val="0"/>
              <w:spacing w:line="360" w:lineRule="auto"/>
              <w:jc w:val="left"/>
              <w:rPr>
                <w:b/>
                <w:bCs/>
                <w:color w:val="auto"/>
                <w:sz w:val="24"/>
              </w:rPr>
            </w:pPr>
          </w:p>
          <w:p w14:paraId="7BE321C3">
            <w:pPr>
              <w:adjustRightInd w:val="0"/>
              <w:snapToGrid w:val="0"/>
              <w:spacing w:line="360" w:lineRule="auto"/>
              <w:jc w:val="left"/>
              <w:rPr>
                <w:b/>
                <w:bCs/>
                <w:color w:val="auto"/>
                <w:sz w:val="24"/>
              </w:rPr>
            </w:pPr>
            <w:r>
              <w:rPr>
                <w:b/>
                <w:bCs/>
                <w:color w:val="auto"/>
                <w:sz w:val="24"/>
              </w:rPr>
              <w:t>4</w:t>
            </w:r>
            <w:r>
              <w:rPr>
                <w:rFonts w:hint="eastAsia"/>
                <w:b/>
                <w:bCs/>
                <w:color w:val="auto"/>
                <w:sz w:val="24"/>
              </w:rPr>
              <w:t>、</w:t>
            </w:r>
            <w:r>
              <w:rPr>
                <w:b/>
                <w:bCs/>
                <w:color w:val="auto"/>
                <w:sz w:val="24"/>
              </w:rPr>
              <w:t>主要生产设备</w:t>
            </w:r>
          </w:p>
          <w:p w14:paraId="294D98AD">
            <w:pPr>
              <w:adjustRightInd w:val="0"/>
              <w:snapToGrid w:val="0"/>
              <w:spacing w:line="360" w:lineRule="auto"/>
              <w:ind w:firstLine="480" w:firstLineChars="200"/>
              <w:jc w:val="left"/>
              <w:rPr>
                <w:color w:val="auto"/>
                <w:sz w:val="24"/>
              </w:rPr>
            </w:pPr>
            <w:r>
              <w:rPr>
                <w:rFonts w:hint="eastAsia"/>
                <w:color w:val="auto"/>
                <w:sz w:val="24"/>
              </w:rPr>
              <w:t>本项目主要生产设备及设备参数如下表所示。</w:t>
            </w:r>
          </w:p>
          <w:p w14:paraId="4F458FEC">
            <w:pPr>
              <w:adjustRightInd w:val="0"/>
              <w:snapToGrid w:val="0"/>
              <w:spacing w:line="360" w:lineRule="auto"/>
              <w:ind w:firstLine="482" w:firstLineChars="200"/>
              <w:jc w:val="center"/>
              <w:rPr>
                <w:b/>
                <w:bCs/>
                <w:color w:val="auto"/>
                <w:kern w:val="24"/>
                <w:sz w:val="24"/>
              </w:rPr>
            </w:pPr>
            <w:r>
              <w:rPr>
                <w:b/>
                <w:bCs/>
                <w:color w:val="auto"/>
                <w:kern w:val="24"/>
                <w:sz w:val="24"/>
              </w:rPr>
              <w:t>表</w:t>
            </w:r>
            <w:r>
              <w:rPr>
                <w:rFonts w:hint="eastAsia"/>
                <w:b/>
                <w:bCs/>
                <w:color w:val="auto"/>
                <w:kern w:val="24"/>
                <w:sz w:val="24"/>
              </w:rPr>
              <w:t>2</w:t>
            </w:r>
            <w:r>
              <w:rPr>
                <w:b/>
                <w:bCs/>
                <w:color w:val="auto"/>
                <w:kern w:val="24"/>
                <w:sz w:val="24"/>
              </w:rPr>
              <w:t xml:space="preserve">-3  </w:t>
            </w:r>
            <w:r>
              <w:rPr>
                <w:rFonts w:hint="eastAsia"/>
                <w:b/>
                <w:bCs/>
                <w:color w:val="auto"/>
                <w:kern w:val="24"/>
                <w:sz w:val="24"/>
              </w:rPr>
              <w:t>本项目主要生产设备一览表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2735"/>
              <w:gridCol w:w="1702"/>
              <w:gridCol w:w="992"/>
              <w:gridCol w:w="1134"/>
              <w:gridCol w:w="1621"/>
            </w:tblGrid>
            <w:tr w14:paraId="1789E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shd w:val="clear" w:color="auto" w:fill="D9D9D9"/>
                  <w:vAlign w:val="center"/>
                </w:tcPr>
                <w:p w14:paraId="17FFEB3E">
                  <w:pPr>
                    <w:adjustRightInd w:val="0"/>
                    <w:jc w:val="center"/>
                    <w:textAlignment w:val="baseline"/>
                    <w:rPr>
                      <w:color w:val="auto"/>
                      <w:szCs w:val="21"/>
                    </w:rPr>
                  </w:pPr>
                  <w:r>
                    <w:rPr>
                      <w:color w:val="auto"/>
                      <w:szCs w:val="21"/>
                    </w:rPr>
                    <w:t>序号</w:t>
                  </w:r>
                </w:p>
              </w:tc>
              <w:tc>
                <w:tcPr>
                  <w:tcW w:w="1522" w:type="pct"/>
                  <w:shd w:val="clear" w:color="auto" w:fill="D9D9D9"/>
                  <w:vAlign w:val="center"/>
                </w:tcPr>
                <w:p w14:paraId="4FF062B1">
                  <w:pPr>
                    <w:pStyle w:val="61"/>
                    <w:snapToGrid/>
                    <w:textAlignment w:val="baseline"/>
                    <w:rPr>
                      <w:rFonts w:ascii="Times New Roman" w:hAnsi="Times New Roman"/>
                      <w:color w:val="auto"/>
                      <w:kern w:val="2"/>
                      <w:szCs w:val="21"/>
                    </w:rPr>
                  </w:pPr>
                  <w:r>
                    <w:rPr>
                      <w:rFonts w:ascii="Times New Roman" w:hAnsi="Times New Roman"/>
                      <w:color w:val="auto"/>
                      <w:kern w:val="2"/>
                      <w:szCs w:val="21"/>
                    </w:rPr>
                    <w:t>设备名称</w:t>
                  </w:r>
                </w:p>
              </w:tc>
              <w:tc>
                <w:tcPr>
                  <w:tcW w:w="947" w:type="pct"/>
                  <w:shd w:val="clear" w:color="auto" w:fill="D9D9D9"/>
                  <w:vAlign w:val="center"/>
                </w:tcPr>
                <w:p w14:paraId="540710D8">
                  <w:pPr>
                    <w:pStyle w:val="61"/>
                    <w:snapToGrid/>
                    <w:textAlignment w:val="baseline"/>
                    <w:rPr>
                      <w:rFonts w:ascii="Times New Roman" w:hAnsi="Times New Roman"/>
                      <w:color w:val="auto"/>
                      <w:kern w:val="2"/>
                      <w:szCs w:val="21"/>
                    </w:rPr>
                  </w:pPr>
                  <w:r>
                    <w:rPr>
                      <w:rFonts w:ascii="Times New Roman" w:hAnsi="Times New Roman"/>
                      <w:color w:val="auto"/>
                      <w:kern w:val="2"/>
                      <w:szCs w:val="21"/>
                    </w:rPr>
                    <w:t>规格型号</w:t>
                  </w:r>
                </w:p>
              </w:tc>
              <w:tc>
                <w:tcPr>
                  <w:tcW w:w="552" w:type="pct"/>
                  <w:shd w:val="clear" w:color="auto" w:fill="D9D9D9"/>
                  <w:vAlign w:val="center"/>
                </w:tcPr>
                <w:p w14:paraId="2E1E0191">
                  <w:pPr>
                    <w:pStyle w:val="61"/>
                    <w:snapToGrid/>
                    <w:textAlignment w:val="baseline"/>
                    <w:rPr>
                      <w:rFonts w:ascii="Times New Roman" w:hAnsi="Times New Roman"/>
                      <w:color w:val="auto"/>
                      <w:kern w:val="2"/>
                      <w:szCs w:val="21"/>
                    </w:rPr>
                  </w:pPr>
                  <w:r>
                    <w:rPr>
                      <w:rFonts w:ascii="Times New Roman" w:hAnsi="Times New Roman"/>
                      <w:color w:val="auto"/>
                      <w:kern w:val="2"/>
                      <w:szCs w:val="21"/>
                    </w:rPr>
                    <w:t>数量</w:t>
                  </w:r>
                </w:p>
              </w:tc>
              <w:tc>
                <w:tcPr>
                  <w:tcW w:w="631" w:type="pct"/>
                  <w:shd w:val="clear" w:color="auto" w:fill="D9D9D9"/>
                  <w:vAlign w:val="center"/>
                </w:tcPr>
                <w:p w14:paraId="502EDC02">
                  <w:pPr>
                    <w:pStyle w:val="61"/>
                    <w:snapToGrid/>
                    <w:textAlignment w:val="baseline"/>
                    <w:rPr>
                      <w:rFonts w:ascii="Times New Roman" w:hAnsi="Times New Roman"/>
                      <w:color w:val="auto"/>
                      <w:kern w:val="2"/>
                      <w:szCs w:val="21"/>
                    </w:rPr>
                  </w:pPr>
                  <w:r>
                    <w:rPr>
                      <w:rFonts w:ascii="Times New Roman" w:hAnsi="Times New Roman"/>
                      <w:color w:val="auto"/>
                      <w:kern w:val="2"/>
                      <w:szCs w:val="21"/>
                    </w:rPr>
                    <w:t>安装地点</w:t>
                  </w:r>
                </w:p>
              </w:tc>
              <w:tc>
                <w:tcPr>
                  <w:tcW w:w="902" w:type="pct"/>
                  <w:shd w:val="clear" w:color="auto" w:fill="D9D9D9"/>
                  <w:vAlign w:val="center"/>
                </w:tcPr>
                <w:p w14:paraId="30BB2BBE">
                  <w:pPr>
                    <w:pStyle w:val="61"/>
                    <w:snapToGrid/>
                    <w:textAlignment w:val="baseline"/>
                    <w:rPr>
                      <w:rFonts w:ascii="Times New Roman" w:hAnsi="Times New Roman"/>
                      <w:color w:val="auto"/>
                      <w:kern w:val="2"/>
                      <w:szCs w:val="21"/>
                    </w:rPr>
                  </w:pPr>
                  <w:r>
                    <w:rPr>
                      <w:rFonts w:ascii="Times New Roman" w:hAnsi="Times New Roman"/>
                      <w:color w:val="auto"/>
                      <w:kern w:val="2"/>
                      <w:szCs w:val="21"/>
                    </w:rPr>
                    <w:t>备注</w:t>
                  </w:r>
                </w:p>
              </w:tc>
            </w:tr>
            <w:tr w14:paraId="68B26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210528FD">
                  <w:pPr>
                    <w:adjustRightInd w:val="0"/>
                    <w:jc w:val="center"/>
                    <w:textAlignment w:val="baseline"/>
                    <w:rPr>
                      <w:color w:val="auto"/>
                      <w:szCs w:val="21"/>
                    </w:rPr>
                  </w:pPr>
                  <w:r>
                    <w:rPr>
                      <w:color w:val="auto"/>
                      <w:szCs w:val="21"/>
                    </w:rPr>
                    <w:t>1</w:t>
                  </w:r>
                </w:p>
              </w:tc>
              <w:tc>
                <w:tcPr>
                  <w:tcW w:w="1522" w:type="pct"/>
                  <w:vAlign w:val="center"/>
                </w:tcPr>
                <w:p w14:paraId="5E02248F">
                  <w:pPr>
                    <w:adjustRightInd w:val="0"/>
                    <w:jc w:val="center"/>
                    <w:textAlignment w:val="baseline"/>
                    <w:rPr>
                      <w:color w:val="auto"/>
                      <w:szCs w:val="21"/>
                    </w:rPr>
                  </w:pPr>
                  <w:r>
                    <w:rPr>
                      <w:color w:val="auto"/>
                      <w:szCs w:val="21"/>
                    </w:rPr>
                    <w:t>高频直缝焊管机</w:t>
                  </w:r>
                </w:p>
              </w:tc>
              <w:tc>
                <w:tcPr>
                  <w:tcW w:w="947" w:type="pct"/>
                  <w:vAlign w:val="center"/>
                </w:tcPr>
                <w:p w14:paraId="13417A10">
                  <w:pPr>
                    <w:adjustRightInd w:val="0"/>
                    <w:jc w:val="center"/>
                    <w:textAlignment w:val="baseline"/>
                    <w:rPr>
                      <w:color w:val="auto"/>
                      <w:szCs w:val="21"/>
                    </w:rPr>
                  </w:pPr>
                  <w:r>
                    <w:rPr>
                      <w:rFonts w:hint="eastAsia"/>
                      <w:color w:val="auto"/>
                      <w:szCs w:val="21"/>
                    </w:rPr>
                    <w:t>250kW</w:t>
                  </w:r>
                </w:p>
              </w:tc>
              <w:tc>
                <w:tcPr>
                  <w:tcW w:w="552" w:type="pct"/>
                  <w:vAlign w:val="center"/>
                </w:tcPr>
                <w:p w14:paraId="51F471CE">
                  <w:pPr>
                    <w:adjustRightInd w:val="0"/>
                    <w:jc w:val="center"/>
                    <w:textAlignment w:val="baseline"/>
                    <w:rPr>
                      <w:color w:val="auto"/>
                      <w:szCs w:val="21"/>
                    </w:rPr>
                  </w:pPr>
                  <w:r>
                    <w:rPr>
                      <w:color w:val="auto"/>
                      <w:szCs w:val="21"/>
                    </w:rPr>
                    <w:t>1</w:t>
                  </w:r>
                  <w:r>
                    <w:rPr>
                      <w:rFonts w:hint="eastAsia"/>
                      <w:color w:val="auto"/>
                      <w:szCs w:val="21"/>
                    </w:rPr>
                    <w:t>台</w:t>
                  </w:r>
                </w:p>
              </w:tc>
              <w:tc>
                <w:tcPr>
                  <w:tcW w:w="631" w:type="pct"/>
                  <w:vMerge w:val="restart"/>
                  <w:vAlign w:val="center"/>
                </w:tcPr>
                <w:p w14:paraId="29BEDC4E">
                  <w:pPr>
                    <w:adjustRightInd w:val="0"/>
                    <w:jc w:val="center"/>
                    <w:textAlignment w:val="baseline"/>
                    <w:rPr>
                      <w:color w:val="auto"/>
                      <w:szCs w:val="21"/>
                    </w:rPr>
                  </w:pPr>
                  <w:r>
                    <w:rPr>
                      <w:color w:val="auto"/>
                      <w:szCs w:val="21"/>
                    </w:rPr>
                    <w:t>生产车间1#</w:t>
                  </w:r>
                </w:p>
              </w:tc>
              <w:tc>
                <w:tcPr>
                  <w:tcW w:w="902" w:type="pct"/>
                  <w:vAlign w:val="center"/>
                </w:tcPr>
                <w:p w14:paraId="1A166877">
                  <w:pPr>
                    <w:adjustRightInd w:val="0"/>
                    <w:jc w:val="center"/>
                    <w:textAlignment w:val="baseline"/>
                    <w:rPr>
                      <w:color w:val="auto"/>
                      <w:szCs w:val="21"/>
                    </w:rPr>
                  </w:pPr>
                  <w:r>
                    <w:rPr>
                      <w:color w:val="auto"/>
                      <w:szCs w:val="21"/>
                    </w:rPr>
                    <w:t>新建</w:t>
                  </w:r>
                </w:p>
              </w:tc>
            </w:tr>
            <w:tr w14:paraId="681DD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1EF3DD38">
                  <w:pPr>
                    <w:adjustRightInd w:val="0"/>
                    <w:jc w:val="center"/>
                    <w:textAlignment w:val="baseline"/>
                    <w:rPr>
                      <w:color w:val="auto"/>
                      <w:szCs w:val="21"/>
                    </w:rPr>
                  </w:pPr>
                  <w:r>
                    <w:rPr>
                      <w:color w:val="auto"/>
                      <w:szCs w:val="21"/>
                    </w:rPr>
                    <w:t>2</w:t>
                  </w:r>
                </w:p>
              </w:tc>
              <w:tc>
                <w:tcPr>
                  <w:tcW w:w="1522" w:type="pct"/>
                  <w:vAlign w:val="center"/>
                </w:tcPr>
                <w:p w14:paraId="0C7A5D60">
                  <w:pPr>
                    <w:adjustRightInd w:val="0"/>
                    <w:jc w:val="center"/>
                    <w:textAlignment w:val="baseline"/>
                    <w:rPr>
                      <w:color w:val="auto"/>
                      <w:szCs w:val="21"/>
                    </w:rPr>
                  </w:pPr>
                  <w:r>
                    <w:rPr>
                      <w:rFonts w:hint="eastAsia"/>
                      <w:color w:val="auto"/>
                      <w:szCs w:val="21"/>
                    </w:rPr>
                    <w:t>分剪机</w:t>
                  </w:r>
                </w:p>
              </w:tc>
              <w:tc>
                <w:tcPr>
                  <w:tcW w:w="947" w:type="pct"/>
                  <w:vAlign w:val="center"/>
                </w:tcPr>
                <w:p w14:paraId="4D5CEFE9">
                  <w:pPr>
                    <w:adjustRightInd w:val="0"/>
                    <w:jc w:val="center"/>
                    <w:textAlignment w:val="baseline"/>
                    <w:rPr>
                      <w:color w:val="auto"/>
                      <w:szCs w:val="21"/>
                    </w:rPr>
                  </w:pPr>
                  <w:r>
                    <w:rPr>
                      <w:rFonts w:hint="eastAsia"/>
                      <w:color w:val="auto"/>
                      <w:szCs w:val="21"/>
                    </w:rPr>
                    <w:t>800型、1400型</w:t>
                  </w:r>
                </w:p>
              </w:tc>
              <w:tc>
                <w:tcPr>
                  <w:tcW w:w="552" w:type="pct"/>
                  <w:vAlign w:val="center"/>
                </w:tcPr>
                <w:p w14:paraId="016C94CA">
                  <w:pPr>
                    <w:adjustRightInd w:val="0"/>
                    <w:jc w:val="center"/>
                    <w:textAlignment w:val="baseline"/>
                    <w:rPr>
                      <w:color w:val="auto"/>
                      <w:szCs w:val="21"/>
                    </w:rPr>
                  </w:pPr>
                  <w:r>
                    <w:rPr>
                      <w:rFonts w:hint="eastAsia"/>
                      <w:color w:val="auto"/>
                      <w:szCs w:val="21"/>
                    </w:rPr>
                    <w:t>4</w:t>
                  </w:r>
                  <w:r>
                    <w:rPr>
                      <w:color w:val="auto"/>
                      <w:szCs w:val="21"/>
                    </w:rPr>
                    <w:t>台</w:t>
                  </w:r>
                </w:p>
              </w:tc>
              <w:tc>
                <w:tcPr>
                  <w:tcW w:w="631" w:type="pct"/>
                  <w:vMerge w:val="continue"/>
                  <w:vAlign w:val="center"/>
                </w:tcPr>
                <w:p w14:paraId="3D94C660">
                  <w:pPr>
                    <w:adjustRightInd w:val="0"/>
                    <w:jc w:val="center"/>
                    <w:textAlignment w:val="baseline"/>
                    <w:rPr>
                      <w:color w:val="auto"/>
                      <w:szCs w:val="21"/>
                    </w:rPr>
                  </w:pPr>
                </w:p>
              </w:tc>
              <w:tc>
                <w:tcPr>
                  <w:tcW w:w="902" w:type="pct"/>
                  <w:vAlign w:val="center"/>
                </w:tcPr>
                <w:p w14:paraId="0F8B252C">
                  <w:pPr>
                    <w:adjustRightInd w:val="0"/>
                    <w:jc w:val="center"/>
                    <w:textAlignment w:val="baseline"/>
                    <w:rPr>
                      <w:color w:val="auto"/>
                      <w:szCs w:val="21"/>
                    </w:rPr>
                  </w:pPr>
                  <w:r>
                    <w:rPr>
                      <w:rFonts w:hint="eastAsia"/>
                      <w:color w:val="auto"/>
                      <w:szCs w:val="21"/>
                    </w:rPr>
                    <w:t>已有2台，新建2台</w:t>
                  </w:r>
                </w:p>
              </w:tc>
            </w:tr>
            <w:tr w14:paraId="74BDF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5B8861DC">
                  <w:pPr>
                    <w:adjustRightInd w:val="0"/>
                    <w:jc w:val="center"/>
                    <w:textAlignment w:val="baseline"/>
                    <w:rPr>
                      <w:color w:val="auto"/>
                      <w:szCs w:val="21"/>
                    </w:rPr>
                  </w:pPr>
                  <w:r>
                    <w:rPr>
                      <w:color w:val="auto"/>
                      <w:szCs w:val="21"/>
                    </w:rPr>
                    <w:t>3</w:t>
                  </w:r>
                </w:p>
              </w:tc>
              <w:tc>
                <w:tcPr>
                  <w:tcW w:w="1522" w:type="pct"/>
                  <w:vAlign w:val="center"/>
                </w:tcPr>
                <w:p w14:paraId="1A1F2372">
                  <w:pPr>
                    <w:adjustRightInd w:val="0"/>
                    <w:jc w:val="center"/>
                    <w:textAlignment w:val="baseline"/>
                    <w:rPr>
                      <w:color w:val="auto"/>
                      <w:szCs w:val="21"/>
                    </w:rPr>
                  </w:pPr>
                  <w:r>
                    <w:rPr>
                      <w:rFonts w:hint="eastAsia"/>
                      <w:color w:val="auto"/>
                      <w:szCs w:val="21"/>
                    </w:rPr>
                    <w:t>气动开卷机</w:t>
                  </w:r>
                </w:p>
              </w:tc>
              <w:tc>
                <w:tcPr>
                  <w:tcW w:w="947" w:type="pct"/>
                  <w:vAlign w:val="center"/>
                </w:tcPr>
                <w:p w14:paraId="379F7CD2">
                  <w:pPr>
                    <w:adjustRightInd w:val="0"/>
                    <w:jc w:val="center"/>
                    <w:textAlignment w:val="baseline"/>
                    <w:rPr>
                      <w:color w:val="auto"/>
                      <w:szCs w:val="21"/>
                    </w:rPr>
                  </w:pPr>
                  <w:r>
                    <w:rPr>
                      <w:rFonts w:hint="eastAsia"/>
                      <w:color w:val="auto"/>
                      <w:szCs w:val="21"/>
                    </w:rPr>
                    <w:t>200型</w:t>
                  </w:r>
                </w:p>
              </w:tc>
              <w:tc>
                <w:tcPr>
                  <w:tcW w:w="552" w:type="pct"/>
                  <w:vAlign w:val="center"/>
                </w:tcPr>
                <w:p w14:paraId="7C8444CD">
                  <w:pPr>
                    <w:adjustRightInd w:val="0"/>
                    <w:jc w:val="center"/>
                    <w:textAlignment w:val="baseline"/>
                    <w:rPr>
                      <w:color w:val="auto"/>
                      <w:szCs w:val="21"/>
                    </w:rPr>
                  </w:pPr>
                  <w:r>
                    <w:rPr>
                      <w:color w:val="auto"/>
                      <w:szCs w:val="21"/>
                    </w:rPr>
                    <w:t>1台</w:t>
                  </w:r>
                </w:p>
              </w:tc>
              <w:tc>
                <w:tcPr>
                  <w:tcW w:w="631" w:type="pct"/>
                  <w:vMerge w:val="continue"/>
                  <w:vAlign w:val="center"/>
                </w:tcPr>
                <w:p w14:paraId="7950555E">
                  <w:pPr>
                    <w:adjustRightInd w:val="0"/>
                    <w:jc w:val="center"/>
                    <w:textAlignment w:val="baseline"/>
                    <w:rPr>
                      <w:color w:val="auto"/>
                      <w:szCs w:val="21"/>
                    </w:rPr>
                  </w:pPr>
                </w:p>
              </w:tc>
              <w:tc>
                <w:tcPr>
                  <w:tcW w:w="902" w:type="pct"/>
                  <w:vAlign w:val="center"/>
                </w:tcPr>
                <w:p w14:paraId="19E802BE">
                  <w:pPr>
                    <w:adjustRightInd w:val="0"/>
                    <w:jc w:val="center"/>
                    <w:textAlignment w:val="baseline"/>
                    <w:rPr>
                      <w:color w:val="auto"/>
                      <w:szCs w:val="21"/>
                    </w:rPr>
                  </w:pPr>
                  <w:r>
                    <w:rPr>
                      <w:color w:val="auto"/>
                      <w:szCs w:val="21"/>
                    </w:rPr>
                    <w:t>新建</w:t>
                  </w:r>
                </w:p>
              </w:tc>
            </w:tr>
            <w:tr w14:paraId="28EFE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368AF3CA">
                  <w:pPr>
                    <w:adjustRightInd w:val="0"/>
                    <w:jc w:val="center"/>
                    <w:textAlignment w:val="baseline"/>
                    <w:rPr>
                      <w:color w:val="auto"/>
                      <w:szCs w:val="21"/>
                    </w:rPr>
                  </w:pPr>
                  <w:r>
                    <w:rPr>
                      <w:color w:val="auto"/>
                      <w:szCs w:val="21"/>
                    </w:rPr>
                    <w:t>4</w:t>
                  </w:r>
                </w:p>
              </w:tc>
              <w:tc>
                <w:tcPr>
                  <w:tcW w:w="1522" w:type="pct"/>
                  <w:vAlign w:val="center"/>
                </w:tcPr>
                <w:p w14:paraId="0BB76939">
                  <w:pPr>
                    <w:adjustRightInd w:val="0"/>
                    <w:jc w:val="center"/>
                    <w:textAlignment w:val="baseline"/>
                    <w:rPr>
                      <w:color w:val="auto"/>
                      <w:szCs w:val="21"/>
                    </w:rPr>
                  </w:pPr>
                  <w:r>
                    <w:rPr>
                      <w:rFonts w:hint="eastAsia"/>
                      <w:color w:val="auto"/>
                      <w:szCs w:val="21"/>
                    </w:rPr>
                    <w:t>立式储料仓</w:t>
                  </w:r>
                </w:p>
              </w:tc>
              <w:tc>
                <w:tcPr>
                  <w:tcW w:w="947" w:type="pct"/>
                  <w:vAlign w:val="center"/>
                </w:tcPr>
                <w:p w14:paraId="164C6535">
                  <w:pPr>
                    <w:adjustRightInd w:val="0"/>
                    <w:jc w:val="center"/>
                    <w:textAlignment w:val="baseline"/>
                    <w:rPr>
                      <w:color w:val="auto"/>
                      <w:szCs w:val="21"/>
                    </w:rPr>
                  </w:pPr>
                  <w:r>
                    <w:rPr>
                      <w:rFonts w:hint="eastAsia"/>
                      <w:color w:val="auto"/>
                      <w:szCs w:val="21"/>
                    </w:rPr>
                    <w:t>200型</w:t>
                  </w:r>
                </w:p>
              </w:tc>
              <w:tc>
                <w:tcPr>
                  <w:tcW w:w="552" w:type="pct"/>
                  <w:vAlign w:val="center"/>
                </w:tcPr>
                <w:p w14:paraId="0BD37042">
                  <w:pPr>
                    <w:adjustRightInd w:val="0"/>
                    <w:jc w:val="center"/>
                    <w:textAlignment w:val="baseline"/>
                    <w:rPr>
                      <w:color w:val="auto"/>
                      <w:szCs w:val="21"/>
                    </w:rPr>
                  </w:pPr>
                  <w:r>
                    <w:rPr>
                      <w:color w:val="auto"/>
                      <w:szCs w:val="21"/>
                    </w:rPr>
                    <w:t>1台</w:t>
                  </w:r>
                </w:p>
              </w:tc>
              <w:tc>
                <w:tcPr>
                  <w:tcW w:w="631" w:type="pct"/>
                  <w:vMerge w:val="continue"/>
                  <w:vAlign w:val="center"/>
                </w:tcPr>
                <w:p w14:paraId="49864AD3">
                  <w:pPr>
                    <w:adjustRightInd w:val="0"/>
                    <w:jc w:val="center"/>
                    <w:textAlignment w:val="baseline"/>
                    <w:rPr>
                      <w:color w:val="auto"/>
                      <w:szCs w:val="21"/>
                    </w:rPr>
                  </w:pPr>
                </w:p>
              </w:tc>
              <w:tc>
                <w:tcPr>
                  <w:tcW w:w="902" w:type="pct"/>
                  <w:vAlign w:val="center"/>
                </w:tcPr>
                <w:p w14:paraId="3FF158FE">
                  <w:pPr>
                    <w:adjustRightInd w:val="0"/>
                    <w:jc w:val="center"/>
                    <w:textAlignment w:val="baseline"/>
                    <w:rPr>
                      <w:color w:val="auto"/>
                      <w:szCs w:val="21"/>
                    </w:rPr>
                  </w:pPr>
                  <w:r>
                    <w:rPr>
                      <w:color w:val="auto"/>
                      <w:szCs w:val="21"/>
                    </w:rPr>
                    <w:t>新建</w:t>
                  </w:r>
                </w:p>
              </w:tc>
            </w:tr>
            <w:tr w14:paraId="19BB0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16A559FE">
                  <w:pPr>
                    <w:adjustRightInd w:val="0"/>
                    <w:jc w:val="center"/>
                    <w:textAlignment w:val="baseline"/>
                    <w:rPr>
                      <w:color w:val="auto"/>
                      <w:szCs w:val="21"/>
                    </w:rPr>
                  </w:pPr>
                  <w:r>
                    <w:rPr>
                      <w:color w:val="auto"/>
                      <w:szCs w:val="21"/>
                    </w:rPr>
                    <w:t>5</w:t>
                  </w:r>
                </w:p>
              </w:tc>
              <w:tc>
                <w:tcPr>
                  <w:tcW w:w="1522" w:type="pct"/>
                  <w:vAlign w:val="center"/>
                </w:tcPr>
                <w:p w14:paraId="607A2C01">
                  <w:pPr>
                    <w:adjustRightInd w:val="0"/>
                    <w:jc w:val="center"/>
                    <w:textAlignment w:val="baseline"/>
                    <w:rPr>
                      <w:color w:val="auto"/>
                      <w:szCs w:val="21"/>
                    </w:rPr>
                  </w:pPr>
                  <w:r>
                    <w:rPr>
                      <w:rFonts w:hint="eastAsia"/>
                      <w:color w:val="auto"/>
                      <w:szCs w:val="21"/>
                    </w:rPr>
                    <w:t>飞锯</w:t>
                  </w:r>
                </w:p>
              </w:tc>
              <w:tc>
                <w:tcPr>
                  <w:tcW w:w="947" w:type="pct"/>
                  <w:vAlign w:val="center"/>
                </w:tcPr>
                <w:p w14:paraId="49F70E2F">
                  <w:pPr>
                    <w:adjustRightInd w:val="0"/>
                    <w:jc w:val="center"/>
                    <w:textAlignment w:val="baseline"/>
                    <w:rPr>
                      <w:color w:val="auto"/>
                      <w:szCs w:val="21"/>
                    </w:rPr>
                  </w:pPr>
                  <w:r>
                    <w:rPr>
                      <w:rFonts w:hint="eastAsia"/>
                      <w:color w:val="auto"/>
                      <w:szCs w:val="21"/>
                    </w:rPr>
                    <w:t>50型</w:t>
                  </w:r>
                </w:p>
              </w:tc>
              <w:tc>
                <w:tcPr>
                  <w:tcW w:w="552" w:type="pct"/>
                  <w:vAlign w:val="center"/>
                </w:tcPr>
                <w:p w14:paraId="25E80987">
                  <w:pPr>
                    <w:adjustRightInd w:val="0"/>
                    <w:jc w:val="center"/>
                    <w:textAlignment w:val="baseline"/>
                    <w:rPr>
                      <w:color w:val="auto"/>
                      <w:szCs w:val="21"/>
                    </w:rPr>
                  </w:pPr>
                  <w:r>
                    <w:rPr>
                      <w:color w:val="auto"/>
                      <w:szCs w:val="21"/>
                    </w:rPr>
                    <w:t>1台</w:t>
                  </w:r>
                </w:p>
              </w:tc>
              <w:tc>
                <w:tcPr>
                  <w:tcW w:w="631" w:type="pct"/>
                  <w:vMerge w:val="continue"/>
                  <w:vAlign w:val="center"/>
                </w:tcPr>
                <w:p w14:paraId="51C23B76">
                  <w:pPr>
                    <w:adjustRightInd w:val="0"/>
                    <w:jc w:val="center"/>
                    <w:textAlignment w:val="baseline"/>
                    <w:rPr>
                      <w:color w:val="auto"/>
                      <w:szCs w:val="21"/>
                    </w:rPr>
                  </w:pPr>
                </w:p>
              </w:tc>
              <w:tc>
                <w:tcPr>
                  <w:tcW w:w="902" w:type="pct"/>
                  <w:vAlign w:val="center"/>
                </w:tcPr>
                <w:p w14:paraId="236FF948">
                  <w:pPr>
                    <w:adjustRightInd w:val="0"/>
                    <w:jc w:val="center"/>
                    <w:textAlignment w:val="baseline"/>
                    <w:rPr>
                      <w:color w:val="auto"/>
                      <w:szCs w:val="21"/>
                    </w:rPr>
                  </w:pPr>
                  <w:r>
                    <w:rPr>
                      <w:color w:val="auto"/>
                      <w:szCs w:val="21"/>
                    </w:rPr>
                    <w:t>新建</w:t>
                  </w:r>
                </w:p>
              </w:tc>
            </w:tr>
            <w:tr w14:paraId="27488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37705AB1">
                  <w:pPr>
                    <w:adjustRightInd w:val="0"/>
                    <w:jc w:val="center"/>
                    <w:textAlignment w:val="baseline"/>
                    <w:rPr>
                      <w:color w:val="auto"/>
                      <w:szCs w:val="21"/>
                    </w:rPr>
                  </w:pPr>
                  <w:r>
                    <w:rPr>
                      <w:color w:val="auto"/>
                      <w:szCs w:val="21"/>
                    </w:rPr>
                    <w:t>6</w:t>
                  </w:r>
                </w:p>
              </w:tc>
              <w:tc>
                <w:tcPr>
                  <w:tcW w:w="1522" w:type="pct"/>
                  <w:vAlign w:val="center"/>
                </w:tcPr>
                <w:p w14:paraId="6C540E64">
                  <w:pPr>
                    <w:adjustRightInd w:val="0"/>
                    <w:jc w:val="center"/>
                    <w:textAlignment w:val="baseline"/>
                    <w:rPr>
                      <w:color w:val="auto"/>
                      <w:szCs w:val="21"/>
                    </w:rPr>
                  </w:pPr>
                  <w:r>
                    <w:rPr>
                      <w:rFonts w:hint="eastAsia"/>
                      <w:color w:val="auto"/>
                      <w:szCs w:val="21"/>
                    </w:rPr>
                    <w:t>码垛机</w:t>
                  </w:r>
                </w:p>
              </w:tc>
              <w:tc>
                <w:tcPr>
                  <w:tcW w:w="947" w:type="pct"/>
                  <w:vAlign w:val="center"/>
                </w:tcPr>
                <w:p w14:paraId="6FB90737">
                  <w:pPr>
                    <w:adjustRightInd w:val="0"/>
                    <w:jc w:val="center"/>
                    <w:textAlignment w:val="baseline"/>
                    <w:rPr>
                      <w:color w:val="auto"/>
                      <w:szCs w:val="21"/>
                    </w:rPr>
                  </w:pPr>
                  <w:r>
                    <w:rPr>
                      <w:rFonts w:hint="eastAsia"/>
                      <w:color w:val="auto"/>
                      <w:szCs w:val="21"/>
                    </w:rPr>
                    <w:t>50型</w:t>
                  </w:r>
                </w:p>
              </w:tc>
              <w:tc>
                <w:tcPr>
                  <w:tcW w:w="552" w:type="pct"/>
                  <w:vAlign w:val="center"/>
                </w:tcPr>
                <w:p w14:paraId="2856B09C">
                  <w:pPr>
                    <w:adjustRightInd w:val="0"/>
                    <w:jc w:val="center"/>
                    <w:textAlignment w:val="baseline"/>
                    <w:rPr>
                      <w:color w:val="auto"/>
                      <w:szCs w:val="21"/>
                    </w:rPr>
                  </w:pPr>
                  <w:r>
                    <w:rPr>
                      <w:color w:val="auto"/>
                      <w:szCs w:val="21"/>
                    </w:rPr>
                    <w:t>1台</w:t>
                  </w:r>
                </w:p>
              </w:tc>
              <w:tc>
                <w:tcPr>
                  <w:tcW w:w="631" w:type="pct"/>
                  <w:vMerge w:val="continue"/>
                  <w:vAlign w:val="center"/>
                </w:tcPr>
                <w:p w14:paraId="20C20C3E">
                  <w:pPr>
                    <w:adjustRightInd w:val="0"/>
                    <w:jc w:val="center"/>
                    <w:textAlignment w:val="baseline"/>
                    <w:rPr>
                      <w:color w:val="auto"/>
                      <w:szCs w:val="21"/>
                    </w:rPr>
                  </w:pPr>
                </w:p>
              </w:tc>
              <w:tc>
                <w:tcPr>
                  <w:tcW w:w="902" w:type="pct"/>
                  <w:vAlign w:val="center"/>
                </w:tcPr>
                <w:p w14:paraId="4F5C6982">
                  <w:pPr>
                    <w:adjustRightInd w:val="0"/>
                    <w:jc w:val="center"/>
                    <w:textAlignment w:val="baseline"/>
                    <w:rPr>
                      <w:color w:val="auto"/>
                      <w:szCs w:val="21"/>
                    </w:rPr>
                  </w:pPr>
                  <w:r>
                    <w:rPr>
                      <w:color w:val="auto"/>
                      <w:szCs w:val="21"/>
                    </w:rPr>
                    <w:t>新建</w:t>
                  </w:r>
                </w:p>
              </w:tc>
            </w:tr>
            <w:tr w14:paraId="3CB18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12F3CA57">
                  <w:pPr>
                    <w:adjustRightInd w:val="0"/>
                    <w:jc w:val="center"/>
                    <w:textAlignment w:val="baseline"/>
                    <w:rPr>
                      <w:color w:val="auto"/>
                      <w:szCs w:val="21"/>
                    </w:rPr>
                  </w:pPr>
                  <w:r>
                    <w:rPr>
                      <w:rFonts w:hint="eastAsia"/>
                      <w:color w:val="auto"/>
                      <w:szCs w:val="21"/>
                    </w:rPr>
                    <w:t>7</w:t>
                  </w:r>
                </w:p>
              </w:tc>
              <w:tc>
                <w:tcPr>
                  <w:tcW w:w="1522" w:type="pct"/>
                  <w:vAlign w:val="center"/>
                </w:tcPr>
                <w:p w14:paraId="2DA6192A">
                  <w:pPr>
                    <w:adjustRightInd w:val="0"/>
                    <w:jc w:val="center"/>
                    <w:textAlignment w:val="baseline"/>
                    <w:rPr>
                      <w:color w:val="auto"/>
                      <w:szCs w:val="21"/>
                    </w:rPr>
                  </w:pPr>
                  <w:r>
                    <w:rPr>
                      <w:rFonts w:hint="eastAsia"/>
                      <w:color w:val="auto"/>
                      <w:szCs w:val="21"/>
                    </w:rPr>
                    <w:t>集气罩+风机+布袋除尘器</w:t>
                  </w:r>
                </w:p>
              </w:tc>
              <w:tc>
                <w:tcPr>
                  <w:tcW w:w="947" w:type="pct"/>
                  <w:vAlign w:val="center"/>
                </w:tcPr>
                <w:p w14:paraId="58202484">
                  <w:pPr>
                    <w:adjustRightInd w:val="0"/>
                    <w:jc w:val="center"/>
                    <w:textAlignment w:val="baseline"/>
                    <w:rPr>
                      <w:color w:val="auto"/>
                      <w:szCs w:val="21"/>
                    </w:rPr>
                  </w:pPr>
                  <w:r>
                    <w:rPr>
                      <w:rFonts w:hint="eastAsia"/>
                      <w:color w:val="auto"/>
                      <w:szCs w:val="21"/>
                    </w:rPr>
                    <w:t>/</w:t>
                  </w:r>
                </w:p>
              </w:tc>
              <w:tc>
                <w:tcPr>
                  <w:tcW w:w="552" w:type="pct"/>
                  <w:vAlign w:val="center"/>
                </w:tcPr>
                <w:p w14:paraId="6425C7FF">
                  <w:pPr>
                    <w:adjustRightInd w:val="0"/>
                    <w:jc w:val="center"/>
                    <w:textAlignment w:val="baseline"/>
                    <w:rPr>
                      <w:color w:val="auto"/>
                      <w:szCs w:val="21"/>
                    </w:rPr>
                  </w:pPr>
                  <w:r>
                    <w:rPr>
                      <w:rFonts w:hint="eastAsia"/>
                      <w:color w:val="auto"/>
                      <w:szCs w:val="21"/>
                    </w:rPr>
                    <w:t>1套</w:t>
                  </w:r>
                </w:p>
              </w:tc>
              <w:tc>
                <w:tcPr>
                  <w:tcW w:w="631" w:type="pct"/>
                  <w:vMerge w:val="continue"/>
                  <w:vAlign w:val="center"/>
                </w:tcPr>
                <w:p w14:paraId="18767EFF">
                  <w:pPr>
                    <w:adjustRightInd w:val="0"/>
                    <w:jc w:val="center"/>
                    <w:textAlignment w:val="baseline"/>
                    <w:rPr>
                      <w:color w:val="auto"/>
                      <w:szCs w:val="21"/>
                    </w:rPr>
                  </w:pPr>
                </w:p>
              </w:tc>
              <w:tc>
                <w:tcPr>
                  <w:tcW w:w="902" w:type="pct"/>
                  <w:vAlign w:val="center"/>
                </w:tcPr>
                <w:p w14:paraId="14F2ABB2">
                  <w:pPr>
                    <w:adjustRightInd w:val="0"/>
                    <w:jc w:val="center"/>
                    <w:textAlignment w:val="baseline"/>
                    <w:rPr>
                      <w:color w:val="auto"/>
                      <w:szCs w:val="21"/>
                    </w:rPr>
                  </w:pPr>
                  <w:r>
                    <w:rPr>
                      <w:rFonts w:hint="eastAsia"/>
                      <w:color w:val="auto"/>
                      <w:szCs w:val="21"/>
                    </w:rPr>
                    <w:t>新建</w:t>
                  </w:r>
                </w:p>
              </w:tc>
            </w:tr>
            <w:tr w14:paraId="3183D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2A95D163">
                  <w:pPr>
                    <w:adjustRightInd w:val="0"/>
                    <w:jc w:val="center"/>
                    <w:textAlignment w:val="baseline"/>
                    <w:rPr>
                      <w:color w:val="auto"/>
                      <w:szCs w:val="21"/>
                    </w:rPr>
                  </w:pPr>
                  <w:r>
                    <w:rPr>
                      <w:rFonts w:hint="eastAsia"/>
                      <w:color w:val="auto"/>
                      <w:szCs w:val="21"/>
                    </w:rPr>
                    <w:t>8</w:t>
                  </w:r>
                </w:p>
              </w:tc>
              <w:tc>
                <w:tcPr>
                  <w:tcW w:w="1522" w:type="pct"/>
                  <w:vAlign w:val="center"/>
                </w:tcPr>
                <w:p w14:paraId="508E86D9">
                  <w:pPr>
                    <w:adjustRightInd w:val="0"/>
                    <w:jc w:val="center"/>
                    <w:textAlignment w:val="baseline"/>
                    <w:rPr>
                      <w:color w:val="auto"/>
                      <w:szCs w:val="21"/>
                    </w:rPr>
                  </w:pPr>
                  <w:r>
                    <w:rPr>
                      <w:color w:val="auto"/>
                      <w:szCs w:val="21"/>
                    </w:rPr>
                    <w:t>高频直缝焊管机</w:t>
                  </w:r>
                </w:p>
              </w:tc>
              <w:tc>
                <w:tcPr>
                  <w:tcW w:w="947" w:type="pct"/>
                  <w:vAlign w:val="center"/>
                </w:tcPr>
                <w:p w14:paraId="06D82267">
                  <w:pPr>
                    <w:adjustRightInd w:val="0"/>
                    <w:jc w:val="center"/>
                    <w:textAlignment w:val="baseline"/>
                    <w:rPr>
                      <w:color w:val="auto"/>
                      <w:szCs w:val="21"/>
                    </w:rPr>
                  </w:pPr>
                  <w:r>
                    <w:rPr>
                      <w:rFonts w:hint="eastAsia"/>
                      <w:color w:val="auto"/>
                      <w:szCs w:val="21"/>
                    </w:rPr>
                    <w:t>200</w:t>
                  </w:r>
                  <w:r>
                    <w:rPr>
                      <w:color w:val="auto"/>
                      <w:szCs w:val="21"/>
                    </w:rPr>
                    <w:t xml:space="preserve"> kW</w:t>
                  </w:r>
                </w:p>
              </w:tc>
              <w:tc>
                <w:tcPr>
                  <w:tcW w:w="552" w:type="pct"/>
                  <w:vAlign w:val="center"/>
                </w:tcPr>
                <w:p w14:paraId="2CAC8EA7">
                  <w:pPr>
                    <w:adjustRightInd w:val="0"/>
                    <w:jc w:val="center"/>
                    <w:textAlignment w:val="baseline"/>
                    <w:rPr>
                      <w:color w:val="auto"/>
                      <w:szCs w:val="21"/>
                    </w:rPr>
                  </w:pPr>
                  <w:r>
                    <w:rPr>
                      <w:color w:val="auto"/>
                      <w:szCs w:val="21"/>
                    </w:rPr>
                    <w:t>1台</w:t>
                  </w:r>
                </w:p>
              </w:tc>
              <w:tc>
                <w:tcPr>
                  <w:tcW w:w="631" w:type="pct"/>
                  <w:vMerge w:val="restart"/>
                  <w:vAlign w:val="center"/>
                </w:tcPr>
                <w:p w14:paraId="72E97036">
                  <w:pPr>
                    <w:adjustRightInd w:val="0"/>
                    <w:jc w:val="center"/>
                    <w:textAlignment w:val="baseline"/>
                    <w:rPr>
                      <w:color w:val="auto"/>
                      <w:szCs w:val="21"/>
                    </w:rPr>
                  </w:pPr>
                  <w:r>
                    <w:rPr>
                      <w:color w:val="auto"/>
                      <w:szCs w:val="21"/>
                    </w:rPr>
                    <w:t>生产车间2#</w:t>
                  </w:r>
                </w:p>
              </w:tc>
              <w:tc>
                <w:tcPr>
                  <w:tcW w:w="902" w:type="pct"/>
                  <w:vAlign w:val="center"/>
                </w:tcPr>
                <w:p w14:paraId="0082B5C4">
                  <w:pPr>
                    <w:adjustRightInd w:val="0"/>
                    <w:jc w:val="center"/>
                    <w:textAlignment w:val="baseline"/>
                    <w:rPr>
                      <w:color w:val="auto"/>
                      <w:szCs w:val="21"/>
                    </w:rPr>
                  </w:pPr>
                  <w:r>
                    <w:rPr>
                      <w:rFonts w:hint="eastAsia"/>
                      <w:color w:val="auto"/>
                      <w:szCs w:val="21"/>
                    </w:rPr>
                    <w:t>已有</w:t>
                  </w:r>
                </w:p>
              </w:tc>
            </w:tr>
            <w:tr w14:paraId="4D3B9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29738ADA">
                  <w:pPr>
                    <w:adjustRightInd w:val="0"/>
                    <w:jc w:val="center"/>
                    <w:textAlignment w:val="baseline"/>
                    <w:rPr>
                      <w:color w:val="auto"/>
                      <w:szCs w:val="21"/>
                    </w:rPr>
                  </w:pPr>
                  <w:r>
                    <w:rPr>
                      <w:rFonts w:hint="eastAsia"/>
                      <w:color w:val="auto"/>
                      <w:szCs w:val="21"/>
                    </w:rPr>
                    <w:t>9</w:t>
                  </w:r>
                </w:p>
              </w:tc>
              <w:tc>
                <w:tcPr>
                  <w:tcW w:w="1522" w:type="pct"/>
                  <w:vAlign w:val="center"/>
                </w:tcPr>
                <w:p w14:paraId="50A2911E">
                  <w:pPr>
                    <w:adjustRightInd w:val="0"/>
                    <w:jc w:val="center"/>
                    <w:textAlignment w:val="baseline"/>
                    <w:rPr>
                      <w:color w:val="auto"/>
                      <w:szCs w:val="21"/>
                    </w:rPr>
                  </w:pPr>
                  <w:r>
                    <w:rPr>
                      <w:rFonts w:hint="eastAsia"/>
                      <w:color w:val="auto"/>
                      <w:szCs w:val="21"/>
                    </w:rPr>
                    <w:t>气动开卷机</w:t>
                  </w:r>
                </w:p>
              </w:tc>
              <w:tc>
                <w:tcPr>
                  <w:tcW w:w="947" w:type="pct"/>
                  <w:vAlign w:val="center"/>
                </w:tcPr>
                <w:p w14:paraId="07A60BC6">
                  <w:pPr>
                    <w:adjustRightInd w:val="0"/>
                    <w:jc w:val="center"/>
                    <w:textAlignment w:val="baseline"/>
                    <w:rPr>
                      <w:color w:val="auto"/>
                      <w:szCs w:val="21"/>
                    </w:rPr>
                  </w:pPr>
                  <w:r>
                    <w:rPr>
                      <w:rFonts w:hint="eastAsia"/>
                      <w:color w:val="auto"/>
                      <w:szCs w:val="21"/>
                    </w:rPr>
                    <w:t>200型</w:t>
                  </w:r>
                </w:p>
              </w:tc>
              <w:tc>
                <w:tcPr>
                  <w:tcW w:w="552" w:type="pct"/>
                  <w:vAlign w:val="center"/>
                </w:tcPr>
                <w:p w14:paraId="081E5AE3">
                  <w:pPr>
                    <w:adjustRightInd w:val="0"/>
                    <w:jc w:val="center"/>
                    <w:textAlignment w:val="baseline"/>
                    <w:rPr>
                      <w:color w:val="auto"/>
                      <w:szCs w:val="21"/>
                    </w:rPr>
                  </w:pPr>
                  <w:r>
                    <w:rPr>
                      <w:rFonts w:hint="eastAsia"/>
                      <w:color w:val="auto"/>
                      <w:szCs w:val="21"/>
                    </w:rPr>
                    <w:t>2</w:t>
                  </w:r>
                  <w:r>
                    <w:rPr>
                      <w:color w:val="auto"/>
                      <w:szCs w:val="21"/>
                    </w:rPr>
                    <w:t>台</w:t>
                  </w:r>
                </w:p>
              </w:tc>
              <w:tc>
                <w:tcPr>
                  <w:tcW w:w="631" w:type="pct"/>
                  <w:vMerge w:val="continue"/>
                  <w:vAlign w:val="center"/>
                </w:tcPr>
                <w:p w14:paraId="0F917389">
                  <w:pPr>
                    <w:adjustRightInd w:val="0"/>
                    <w:jc w:val="center"/>
                    <w:textAlignment w:val="baseline"/>
                    <w:rPr>
                      <w:color w:val="auto"/>
                      <w:szCs w:val="21"/>
                    </w:rPr>
                  </w:pPr>
                </w:p>
              </w:tc>
              <w:tc>
                <w:tcPr>
                  <w:tcW w:w="902" w:type="pct"/>
                  <w:vAlign w:val="center"/>
                </w:tcPr>
                <w:p w14:paraId="5A0A03AB">
                  <w:pPr>
                    <w:adjustRightInd w:val="0"/>
                    <w:jc w:val="center"/>
                    <w:textAlignment w:val="baseline"/>
                    <w:rPr>
                      <w:color w:val="auto"/>
                      <w:szCs w:val="21"/>
                    </w:rPr>
                  </w:pPr>
                  <w:r>
                    <w:rPr>
                      <w:rFonts w:hint="eastAsia"/>
                      <w:color w:val="auto"/>
                      <w:szCs w:val="21"/>
                    </w:rPr>
                    <w:t>已有</w:t>
                  </w:r>
                </w:p>
              </w:tc>
            </w:tr>
            <w:tr w14:paraId="1E212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5" w:type="pct"/>
                  <w:vAlign w:val="center"/>
                </w:tcPr>
                <w:p w14:paraId="0293AF44">
                  <w:pPr>
                    <w:adjustRightInd w:val="0"/>
                    <w:jc w:val="center"/>
                    <w:textAlignment w:val="baseline"/>
                    <w:rPr>
                      <w:color w:val="auto"/>
                      <w:szCs w:val="21"/>
                    </w:rPr>
                  </w:pPr>
                  <w:r>
                    <w:rPr>
                      <w:rFonts w:hint="eastAsia"/>
                      <w:color w:val="auto"/>
                      <w:szCs w:val="21"/>
                    </w:rPr>
                    <w:t>10</w:t>
                  </w:r>
                </w:p>
              </w:tc>
              <w:tc>
                <w:tcPr>
                  <w:tcW w:w="1522" w:type="pct"/>
                  <w:vAlign w:val="center"/>
                </w:tcPr>
                <w:p w14:paraId="76B772AE">
                  <w:pPr>
                    <w:adjustRightInd w:val="0"/>
                    <w:jc w:val="center"/>
                    <w:textAlignment w:val="baseline"/>
                    <w:rPr>
                      <w:color w:val="auto"/>
                      <w:szCs w:val="21"/>
                    </w:rPr>
                  </w:pPr>
                  <w:r>
                    <w:rPr>
                      <w:rFonts w:hint="eastAsia"/>
                      <w:color w:val="auto"/>
                      <w:szCs w:val="21"/>
                    </w:rPr>
                    <w:t>立式储料仓</w:t>
                  </w:r>
                </w:p>
              </w:tc>
              <w:tc>
                <w:tcPr>
                  <w:tcW w:w="947" w:type="pct"/>
                  <w:vAlign w:val="center"/>
                </w:tcPr>
                <w:p w14:paraId="76B77924">
                  <w:pPr>
                    <w:adjustRightInd w:val="0"/>
                    <w:jc w:val="center"/>
                    <w:textAlignment w:val="baseline"/>
                    <w:rPr>
                      <w:color w:val="auto"/>
                      <w:szCs w:val="21"/>
                    </w:rPr>
                  </w:pPr>
                  <w:r>
                    <w:rPr>
                      <w:rFonts w:hint="eastAsia"/>
                      <w:color w:val="auto"/>
                      <w:szCs w:val="21"/>
                    </w:rPr>
                    <w:t>200型</w:t>
                  </w:r>
                </w:p>
              </w:tc>
              <w:tc>
                <w:tcPr>
                  <w:tcW w:w="552" w:type="pct"/>
                  <w:vAlign w:val="center"/>
                </w:tcPr>
                <w:p w14:paraId="77AF5BA0">
                  <w:pPr>
                    <w:adjustRightInd w:val="0"/>
                    <w:jc w:val="center"/>
                    <w:textAlignment w:val="baseline"/>
                    <w:rPr>
                      <w:color w:val="auto"/>
                      <w:szCs w:val="21"/>
                    </w:rPr>
                  </w:pPr>
                  <w:r>
                    <w:rPr>
                      <w:rFonts w:hint="eastAsia"/>
                      <w:color w:val="auto"/>
                      <w:szCs w:val="21"/>
                    </w:rPr>
                    <w:t>2</w:t>
                  </w:r>
                  <w:r>
                    <w:rPr>
                      <w:color w:val="auto"/>
                      <w:szCs w:val="21"/>
                    </w:rPr>
                    <w:t>台</w:t>
                  </w:r>
                </w:p>
              </w:tc>
              <w:tc>
                <w:tcPr>
                  <w:tcW w:w="631" w:type="pct"/>
                  <w:vMerge w:val="continue"/>
                  <w:vAlign w:val="center"/>
                </w:tcPr>
                <w:p w14:paraId="1D5B0B94">
                  <w:pPr>
                    <w:adjustRightInd w:val="0"/>
                    <w:jc w:val="center"/>
                    <w:textAlignment w:val="baseline"/>
                    <w:rPr>
                      <w:color w:val="auto"/>
                      <w:szCs w:val="21"/>
                    </w:rPr>
                  </w:pPr>
                </w:p>
              </w:tc>
              <w:tc>
                <w:tcPr>
                  <w:tcW w:w="902" w:type="pct"/>
                  <w:vAlign w:val="center"/>
                </w:tcPr>
                <w:p w14:paraId="48D7E962">
                  <w:pPr>
                    <w:adjustRightInd w:val="0"/>
                    <w:jc w:val="center"/>
                    <w:textAlignment w:val="baseline"/>
                    <w:rPr>
                      <w:color w:val="auto"/>
                      <w:szCs w:val="21"/>
                    </w:rPr>
                  </w:pPr>
                  <w:r>
                    <w:rPr>
                      <w:rFonts w:hint="eastAsia"/>
                      <w:color w:val="auto"/>
                      <w:szCs w:val="21"/>
                    </w:rPr>
                    <w:t>已有</w:t>
                  </w:r>
                </w:p>
              </w:tc>
            </w:tr>
            <w:tr w14:paraId="041B2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79B1DA36">
                  <w:pPr>
                    <w:adjustRightInd w:val="0"/>
                    <w:jc w:val="center"/>
                    <w:textAlignment w:val="baseline"/>
                    <w:rPr>
                      <w:color w:val="auto"/>
                      <w:szCs w:val="21"/>
                    </w:rPr>
                  </w:pPr>
                  <w:r>
                    <w:rPr>
                      <w:rFonts w:hint="eastAsia"/>
                      <w:color w:val="auto"/>
                      <w:szCs w:val="21"/>
                    </w:rPr>
                    <w:t>11</w:t>
                  </w:r>
                </w:p>
              </w:tc>
              <w:tc>
                <w:tcPr>
                  <w:tcW w:w="1522" w:type="pct"/>
                  <w:vAlign w:val="center"/>
                </w:tcPr>
                <w:p w14:paraId="370D458D">
                  <w:pPr>
                    <w:adjustRightInd w:val="0"/>
                    <w:jc w:val="center"/>
                    <w:textAlignment w:val="baseline"/>
                    <w:rPr>
                      <w:color w:val="auto"/>
                      <w:szCs w:val="21"/>
                    </w:rPr>
                  </w:pPr>
                  <w:r>
                    <w:rPr>
                      <w:rFonts w:hint="eastAsia"/>
                      <w:color w:val="auto"/>
                      <w:szCs w:val="21"/>
                    </w:rPr>
                    <w:t>飞锯</w:t>
                  </w:r>
                </w:p>
              </w:tc>
              <w:tc>
                <w:tcPr>
                  <w:tcW w:w="947" w:type="pct"/>
                  <w:vAlign w:val="center"/>
                </w:tcPr>
                <w:p w14:paraId="1331F67C">
                  <w:pPr>
                    <w:adjustRightInd w:val="0"/>
                    <w:jc w:val="center"/>
                    <w:textAlignment w:val="baseline"/>
                    <w:rPr>
                      <w:color w:val="auto"/>
                      <w:szCs w:val="21"/>
                    </w:rPr>
                  </w:pPr>
                  <w:r>
                    <w:rPr>
                      <w:rFonts w:hint="eastAsia"/>
                      <w:color w:val="auto"/>
                      <w:szCs w:val="21"/>
                    </w:rPr>
                    <w:t>50型</w:t>
                  </w:r>
                </w:p>
              </w:tc>
              <w:tc>
                <w:tcPr>
                  <w:tcW w:w="552" w:type="pct"/>
                  <w:vAlign w:val="center"/>
                </w:tcPr>
                <w:p w14:paraId="7EC9B8BA">
                  <w:pPr>
                    <w:adjustRightInd w:val="0"/>
                    <w:jc w:val="center"/>
                    <w:textAlignment w:val="baseline"/>
                    <w:rPr>
                      <w:color w:val="auto"/>
                      <w:szCs w:val="21"/>
                    </w:rPr>
                  </w:pPr>
                  <w:r>
                    <w:rPr>
                      <w:rFonts w:hint="eastAsia"/>
                      <w:color w:val="auto"/>
                      <w:szCs w:val="21"/>
                    </w:rPr>
                    <w:t>2</w:t>
                  </w:r>
                  <w:r>
                    <w:rPr>
                      <w:color w:val="auto"/>
                      <w:szCs w:val="21"/>
                    </w:rPr>
                    <w:t>台</w:t>
                  </w:r>
                </w:p>
              </w:tc>
              <w:tc>
                <w:tcPr>
                  <w:tcW w:w="631" w:type="pct"/>
                  <w:vMerge w:val="continue"/>
                  <w:vAlign w:val="center"/>
                </w:tcPr>
                <w:p w14:paraId="1BC0B4EE">
                  <w:pPr>
                    <w:adjustRightInd w:val="0"/>
                    <w:jc w:val="center"/>
                    <w:textAlignment w:val="baseline"/>
                    <w:rPr>
                      <w:color w:val="auto"/>
                      <w:szCs w:val="21"/>
                    </w:rPr>
                  </w:pPr>
                </w:p>
              </w:tc>
              <w:tc>
                <w:tcPr>
                  <w:tcW w:w="902" w:type="pct"/>
                  <w:vAlign w:val="center"/>
                </w:tcPr>
                <w:p w14:paraId="4AE9BD97">
                  <w:pPr>
                    <w:adjustRightInd w:val="0"/>
                    <w:jc w:val="center"/>
                    <w:textAlignment w:val="baseline"/>
                    <w:rPr>
                      <w:color w:val="auto"/>
                      <w:szCs w:val="21"/>
                    </w:rPr>
                  </w:pPr>
                  <w:r>
                    <w:rPr>
                      <w:rFonts w:hint="eastAsia"/>
                      <w:color w:val="auto"/>
                      <w:szCs w:val="21"/>
                    </w:rPr>
                    <w:t>已有</w:t>
                  </w:r>
                </w:p>
              </w:tc>
            </w:tr>
            <w:tr w14:paraId="3E142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21A804A8">
                  <w:pPr>
                    <w:adjustRightInd w:val="0"/>
                    <w:jc w:val="center"/>
                    <w:textAlignment w:val="baseline"/>
                    <w:rPr>
                      <w:color w:val="auto"/>
                      <w:szCs w:val="21"/>
                    </w:rPr>
                  </w:pPr>
                  <w:r>
                    <w:rPr>
                      <w:rFonts w:hint="eastAsia"/>
                      <w:color w:val="auto"/>
                      <w:szCs w:val="21"/>
                    </w:rPr>
                    <w:t>12</w:t>
                  </w:r>
                </w:p>
              </w:tc>
              <w:tc>
                <w:tcPr>
                  <w:tcW w:w="1522" w:type="pct"/>
                  <w:vAlign w:val="center"/>
                </w:tcPr>
                <w:p w14:paraId="45C75987">
                  <w:pPr>
                    <w:adjustRightInd w:val="0"/>
                    <w:jc w:val="center"/>
                    <w:textAlignment w:val="baseline"/>
                    <w:rPr>
                      <w:color w:val="auto"/>
                      <w:szCs w:val="21"/>
                    </w:rPr>
                  </w:pPr>
                  <w:r>
                    <w:rPr>
                      <w:rFonts w:hint="eastAsia"/>
                      <w:color w:val="auto"/>
                      <w:szCs w:val="21"/>
                    </w:rPr>
                    <w:t>码垛机</w:t>
                  </w:r>
                </w:p>
              </w:tc>
              <w:tc>
                <w:tcPr>
                  <w:tcW w:w="947" w:type="pct"/>
                  <w:vAlign w:val="center"/>
                </w:tcPr>
                <w:p w14:paraId="0BC2683D">
                  <w:pPr>
                    <w:adjustRightInd w:val="0"/>
                    <w:jc w:val="center"/>
                    <w:textAlignment w:val="baseline"/>
                    <w:rPr>
                      <w:color w:val="auto"/>
                      <w:szCs w:val="21"/>
                    </w:rPr>
                  </w:pPr>
                  <w:r>
                    <w:rPr>
                      <w:rFonts w:hint="eastAsia"/>
                      <w:color w:val="auto"/>
                      <w:szCs w:val="21"/>
                    </w:rPr>
                    <w:t>50型</w:t>
                  </w:r>
                </w:p>
              </w:tc>
              <w:tc>
                <w:tcPr>
                  <w:tcW w:w="552" w:type="pct"/>
                  <w:vAlign w:val="center"/>
                </w:tcPr>
                <w:p w14:paraId="3C25979E">
                  <w:pPr>
                    <w:adjustRightInd w:val="0"/>
                    <w:jc w:val="center"/>
                    <w:textAlignment w:val="baseline"/>
                    <w:rPr>
                      <w:color w:val="auto"/>
                      <w:szCs w:val="21"/>
                    </w:rPr>
                  </w:pPr>
                  <w:r>
                    <w:rPr>
                      <w:rFonts w:hint="eastAsia"/>
                      <w:color w:val="auto"/>
                      <w:szCs w:val="21"/>
                    </w:rPr>
                    <w:t>2</w:t>
                  </w:r>
                  <w:r>
                    <w:rPr>
                      <w:color w:val="auto"/>
                      <w:szCs w:val="21"/>
                    </w:rPr>
                    <w:t>台</w:t>
                  </w:r>
                </w:p>
              </w:tc>
              <w:tc>
                <w:tcPr>
                  <w:tcW w:w="631" w:type="pct"/>
                  <w:vMerge w:val="continue"/>
                  <w:vAlign w:val="center"/>
                </w:tcPr>
                <w:p w14:paraId="09366FBA">
                  <w:pPr>
                    <w:adjustRightInd w:val="0"/>
                    <w:jc w:val="center"/>
                    <w:textAlignment w:val="baseline"/>
                    <w:rPr>
                      <w:color w:val="auto"/>
                      <w:szCs w:val="21"/>
                    </w:rPr>
                  </w:pPr>
                </w:p>
              </w:tc>
              <w:tc>
                <w:tcPr>
                  <w:tcW w:w="902" w:type="pct"/>
                  <w:vAlign w:val="center"/>
                </w:tcPr>
                <w:p w14:paraId="0868F88F">
                  <w:pPr>
                    <w:adjustRightInd w:val="0"/>
                    <w:jc w:val="center"/>
                    <w:textAlignment w:val="baseline"/>
                    <w:rPr>
                      <w:color w:val="auto"/>
                      <w:szCs w:val="21"/>
                    </w:rPr>
                  </w:pPr>
                  <w:r>
                    <w:rPr>
                      <w:rFonts w:hint="eastAsia"/>
                      <w:color w:val="auto"/>
                      <w:szCs w:val="21"/>
                    </w:rPr>
                    <w:t>已有</w:t>
                  </w:r>
                </w:p>
              </w:tc>
            </w:tr>
            <w:tr w14:paraId="18349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26EC334B">
                  <w:pPr>
                    <w:adjustRightInd w:val="0"/>
                    <w:jc w:val="center"/>
                    <w:textAlignment w:val="baseline"/>
                    <w:rPr>
                      <w:color w:val="auto"/>
                      <w:szCs w:val="21"/>
                    </w:rPr>
                  </w:pPr>
                  <w:r>
                    <w:rPr>
                      <w:rFonts w:hint="eastAsia"/>
                      <w:color w:val="auto"/>
                      <w:szCs w:val="21"/>
                    </w:rPr>
                    <w:t>13</w:t>
                  </w:r>
                </w:p>
              </w:tc>
              <w:tc>
                <w:tcPr>
                  <w:tcW w:w="1522" w:type="pct"/>
                  <w:vAlign w:val="center"/>
                </w:tcPr>
                <w:p w14:paraId="4E787BEB">
                  <w:pPr>
                    <w:adjustRightInd w:val="0"/>
                    <w:jc w:val="center"/>
                    <w:textAlignment w:val="baseline"/>
                    <w:rPr>
                      <w:color w:val="auto"/>
                      <w:szCs w:val="21"/>
                    </w:rPr>
                  </w:pPr>
                  <w:r>
                    <w:rPr>
                      <w:color w:val="auto"/>
                      <w:szCs w:val="21"/>
                    </w:rPr>
                    <w:t>高频直缝焊管机</w:t>
                  </w:r>
                </w:p>
              </w:tc>
              <w:tc>
                <w:tcPr>
                  <w:tcW w:w="947" w:type="pct"/>
                  <w:vAlign w:val="center"/>
                </w:tcPr>
                <w:p w14:paraId="7F36BEA2">
                  <w:pPr>
                    <w:adjustRightInd w:val="0"/>
                    <w:jc w:val="center"/>
                    <w:textAlignment w:val="baseline"/>
                    <w:rPr>
                      <w:color w:val="auto"/>
                      <w:szCs w:val="21"/>
                    </w:rPr>
                  </w:pPr>
                  <w:r>
                    <w:rPr>
                      <w:rFonts w:hint="eastAsia"/>
                      <w:color w:val="auto"/>
                      <w:szCs w:val="21"/>
                    </w:rPr>
                    <w:t>150</w:t>
                  </w:r>
                  <w:r>
                    <w:rPr>
                      <w:color w:val="auto"/>
                      <w:szCs w:val="21"/>
                    </w:rPr>
                    <w:t xml:space="preserve"> kW</w:t>
                  </w:r>
                </w:p>
              </w:tc>
              <w:tc>
                <w:tcPr>
                  <w:tcW w:w="552" w:type="pct"/>
                  <w:vAlign w:val="center"/>
                </w:tcPr>
                <w:p w14:paraId="723C4C01">
                  <w:pPr>
                    <w:adjustRightInd w:val="0"/>
                    <w:jc w:val="center"/>
                    <w:textAlignment w:val="baseline"/>
                    <w:rPr>
                      <w:color w:val="auto"/>
                      <w:szCs w:val="21"/>
                    </w:rPr>
                  </w:pPr>
                  <w:r>
                    <w:rPr>
                      <w:color w:val="auto"/>
                      <w:szCs w:val="21"/>
                    </w:rPr>
                    <w:t>1台</w:t>
                  </w:r>
                </w:p>
              </w:tc>
              <w:tc>
                <w:tcPr>
                  <w:tcW w:w="631" w:type="pct"/>
                  <w:vMerge w:val="continue"/>
                  <w:vAlign w:val="center"/>
                </w:tcPr>
                <w:p w14:paraId="0E3CA5A6">
                  <w:pPr>
                    <w:adjustRightInd w:val="0"/>
                    <w:jc w:val="center"/>
                    <w:textAlignment w:val="baseline"/>
                    <w:rPr>
                      <w:color w:val="auto"/>
                      <w:szCs w:val="21"/>
                    </w:rPr>
                  </w:pPr>
                </w:p>
              </w:tc>
              <w:tc>
                <w:tcPr>
                  <w:tcW w:w="902" w:type="pct"/>
                  <w:vAlign w:val="center"/>
                </w:tcPr>
                <w:p w14:paraId="47AB7858">
                  <w:pPr>
                    <w:adjustRightInd w:val="0"/>
                    <w:jc w:val="center"/>
                    <w:textAlignment w:val="baseline"/>
                    <w:rPr>
                      <w:color w:val="auto"/>
                      <w:szCs w:val="21"/>
                    </w:rPr>
                  </w:pPr>
                  <w:r>
                    <w:rPr>
                      <w:rFonts w:hint="eastAsia"/>
                      <w:color w:val="auto"/>
                      <w:szCs w:val="21"/>
                    </w:rPr>
                    <w:t>已有</w:t>
                  </w:r>
                </w:p>
              </w:tc>
            </w:tr>
            <w:tr w14:paraId="4E3D0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3416CC0E">
                  <w:pPr>
                    <w:adjustRightInd w:val="0"/>
                    <w:jc w:val="center"/>
                    <w:textAlignment w:val="baseline"/>
                    <w:rPr>
                      <w:color w:val="auto"/>
                      <w:szCs w:val="21"/>
                    </w:rPr>
                  </w:pPr>
                  <w:r>
                    <w:rPr>
                      <w:rFonts w:hint="eastAsia"/>
                      <w:color w:val="auto"/>
                      <w:szCs w:val="21"/>
                    </w:rPr>
                    <w:t>14</w:t>
                  </w:r>
                </w:p>
              </w:tc>
              <w:tc>
                <w:tcPr>
                  <w:tcW w:w="1522" w:type="pct"/>
                  <w:vAlign w:val="center"/>
                </w:tcPr>
                <w:p w14:paraId="699F11D8">
                  <w:pPr>
                    <w:adjustRightInd w:val="0"/>
                    <w:jc w:val="center"/>
                    <w:textAlignment w:val="baseline"/>
                    <w:rPr>
                      <w:color w:val="auto"/>
                      <w:szCs w:val="21"/>
                    </w:rPr>
                  </w:pPr>
                  <w:r>
                    <w:rPr>
                      <w:rFonts w:hint="eastAsia"/>
                      <w:color w:val="auto"/>
                      <w:szCs w:val="21"/>
                    </w:rPr>
                    <w:t>集气罩+风机+布袋除尘器</w:t>
                  </w:r>
                </w:p>
              </w:tc>
              <w:tc>
                <w:tcPr>
                  <w:tcW w:w="947" w:type="pct"/>
                  <w:vAlign w:val="center"/>
                </w:tcPr>
                <w:p w14:paraId="167C86BB">
                  <w:pPr>
                    <w:adjustRightInd w:val="0"/>
                    <w:jc w:val="center"/>
                    <w:textAlignment w:val="baseline"/>
                    <w:rPr>
                      <w:color w:val="auto"/>
                      <w:szCs w:val="21"/>
                    </w:rPr>
                  </w:pPr>
                </w:p>
              </w:tc>
              <w:tc>
                <w:tcPr>
                  <w:tcW w:w="552" w:type="pct"/>
                  <w:vAlign w:val="center"/>
                </w:tcPr>
                <w:p w14:paraId="42495FB1">
                  <w:pPr>
                    <w:adjustRightInd w:val="0"/>
                    <w:jc w:val="center"/>
                    <w:textAlignment w:val="baseline"/>
                    <w:rPr>
                      <w:color w:val="auto"/>
                      <w:szCs w:val="21"/>
                    </w:rPr>
                  </w:pPr>
                  <w:r>
                    <w:rPr>
                      <w:rFonts w:hint="eastAsia"/>
                      <w:color w:val="auto"/>
                      <w:szCs w:val="21"/>
                    </w:rPr>
                    <w:t>2套</w:t>
                  </w:r>
                </w:p>
              </w:tc>
              <w:tc>
                <w:tcPr>
                  <w:tcW w:w="631" w:type="pct"/>
                  <w:vMerge w:val="continue"/>
                  <w:vAlign w:val="center"/>
                </w:tcPr>
                <w:p w14:paraId="13E8E624">
                  <w:pPr>
                    <w:adjustRightInd w:val="0"/>
                    <w:jc w:val="center"/>
                    <w:textAlignment w:val="baseline"/>
                    <w:rPr>
                      <w:color w:val="auto"/>
                      <w:szCs w:val="21"/>
                    </w:rPr>
                  </w:pPr>
                </w:p>
              </w:tc>
              <w:tc>
                <w:tcPr>
                  <w:tcW w:w="902" w:type="pct"/>
                  <w:vAlign w:val="center"/>
                </w:tcPr>
                <w:p w14:paraId="68D1A893">
                  <w:pPr>
                    <w:adjustRightInd w:val="0"/>
                    <w:jc w:val="center"/>
                    <w:textAlignment w:val="baseline"/>
                    <w:rPr>
                      <w:color w:val="auto"/>
                      <w:szCs w:val="21"/>
                    </w:rPr>
                  </w:pPr>
                  <w:r>
                    <w:rPr>
                      <w:color w:val="auto"/>
                      <w:szCs w:val="21"/>
                    </w:rPr>
                    <w:t>新建</w:t>
                  </w:r>
                </w:p>
              </w:tc>
            </w:tr>
            <w:tr w14:paraId="25224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5D6B3796">
                  <w:pPr>
                    <w:adjustRightInd w:val="0"/>
                    <w:jc w:val="center"/>
                    <w:textAlignment w:val="baseline"/>
                    <w:rPr>
                      <w:color w:val="auto"/>
                      <w:szCs w:val="21"/>
                    </w:rPr>
                  </w:pPr>
                  <w:r>
                    <w:rPr>
                      <w:rFonts w:hint="eastAsia"/>
                      <w:color w:val="auto"/>
                      <w:szCs w:val="21"/>
                    </w:rPr>
                    <w:t>15</w:t>
                  </w:r>
                </w:p>
              </w:tc>
              <w:tc>
                <w:tcPr>
                  <w:tcW w:w="1522" w:type="pct"/>
                  <w:vAlign w:val="center"/>
                </w:tcPr>
                <w:p w14:paraId="75404E21">
                  <w:pPr>
                    <w:adjustRightInd w:val="0"/>
                    <w:jc w:val="center"/>
                    <w:textAlignment w:val="baseline"/>
                    <w:rPr>
                      <w:color w:val="auto"/>
                      <w:szCs w:val="21"/>
                    </w:rPr>
                  </w:pPr>
                  <w:r>
                    <w:rPr>
                      <w:color w:val="auto"/>
                      <w:szCs w:val="21"/>
                    </w:rPr>
                    <w:t>高频直缝焊管机</w:t>
                  </w:r>
                </w:p>
              </w:tc>
              <w:tc>
                <w:tcPr>
                  <w:tcW w:w="947" w:type="pct"/>
                  <w:vAlign w:val="center"/>
                </w:tcPr>
                <w:p w14:paraId="3F02439F">
                  <w:pPr>
                    <w:adjustRightInd w:val="0"/>
                    <w:jc w:val="center"/>
                    <w:textAlignment w:val="baseline"/>
                    <w:rPr>
                      <w:color w:val="auto"/>
                      <w:szCs w:val="21"/>
                    </w:rPr>
                  </w:pPr>
                  <w:r>
                    <w:rPr>
                      <w:rFonts w:hint="eastAsia"/>
                      <w:color w:val="auto"/>
                      <w:szCs w:val="21"/>
                    </w:rPr>
                    <w:t>200</w:t>
                  </w:r>
                  <w:r>
                    <w:rPr>
                      <w:color w:val="auto"/>
                      <w:szCs w:val="21"/>
                    </w:rPr>
                    <w:t xml:space="preserve"> kW</w:t>
                  </w:r>
                </w:p>
              </w:tc>
              <w:tc>
                <w:tcPr>
                  <w:tcW w:w="552" w:type="pct"/>
                  <w:vAlign w:val="center"/>
                </w:tcPr>
                <w:p w14:paraId="54E8F983">
                  <w:pPr>
                    <w:adjustRightInd w:val="0"/>
                    <w:jc w:val="center"/>
                    <w:textAlignment w:val="baseline"/>
                    <w:rPr>
                      <w:color w:val="auto"/>
                      <w:szCs w:val="21"/>
                    </w:rPr>
                  </w:pPr>
                  <w:r>
                    <w:rPr>
                      <w:color w:val="auto"/>
                      <w:szCs w:val="21"/>
                    </w:rPr>
                    <w:t>1台</w:t>
                  </w:r>
                </w:p>
              </w:tc>
              <w:tc>
                <w:tcPr>
                  <w:tcW w:w="631" w:type="pct"/>
                  <w:vMerge w:val="restart"/>
                  <w:vAlign w:val="center"/>
                </w:tcPr>
                <w:p w14:paraId="08B8ECC3">
                  <w:pPr>
                    <w:adjustRightInd w:val="0"/>
                    <w:jc w:val="center"/>
                    <w:textAlignment w:val="baseline"/>
                    <w:rPr>
                      <w:color w:val="auto"/>
                      <w:szCs w:val="21"/>
                    </w:rPr>
                  </w:pPr>
                  <w:r>
                    <w:rPr>
                      <w:color w:val="auto"/>
                      <w:szCs w:val="21"/>
                    </w:rPr>
                    <w:t>生产车间3#</w:t>
                  </w:r>
                </w:p>
              </w:tc>
              <w:tc>
                <w:tcPr>
                  <w:tcW w:w="902" w:type="pct"/>
                  <w:vAlign w:val="center"/>
                </w:tcPr>
                <w:p w14:paraId="395FA3F8">
                  <w:pPr>
                    <w:adjustRightInd w:val="0"/>
                    <w:jc w:val="center"/>
                    <w:textAlignment w:val="baseline"/>
                    <w:rPr>
                      <w:color w:val="auto"/>
                      <w:szCs w:val="21"/>
                    </w:rPr>
                  </w:pPr>
                  <w:r>
                    <w:rPr>
                      <w:rFonts w:hint="eastAsia"/>
                      <w:color w:val="auto"/>
                      <w:szCs w:val="21"/>
                    </w:rPr>
                    <w:t>已有</w:t>
                  </w:r>
                </w:p>
              </w:tc>
            </w:tr>
            <w:tr w14:paraId="0AA13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2EAE83D0">
                  <w:pPr>
                    <w:adjustRightInd w:val="0"/>
                    <w:jc w:val="center"/>
                    <w:textAlignment w:val="baseline"/>
                    <w:rPr>
                      <w:color w:val="auto"/>
                      <w:szCs w:val="21"/>
                    </w:rPr>
                  </w:pPr>
                  <w:r>
                    <w:rPr>
                      <w:rFonts w:hint="eastAsia"/>
                      <w:color w:val="auto"/>
                      <w:szCs w:val="21"/>
                    </w:rPr>
                    <w:t>16</w:t>
                  </w:r>
                </w:p>
              </w:tc>
              <w:tc>
                <w:tcPr>
                  <w:tcW w:w="1522" w:type="pct"/>
                  <w:vAlign w:val="center"/>
                </w:tcPr>
                <w:p w14:paraId="7803A16B">
                  <w:pPr>
                    <w:adjustRightInd w:val="0"/>
                    <w:jc w:val="center"/>
                    <w:textAlignment w:val="baseline"/>
                    <w:rPr>
                      <w:color w:val="auto"/>
                      <w:szCs w:val="21"/>
                    </w:rPr>
                  </w:pPr>
                  <w:r>
                    <w:rPr>
                      <w:rFonts w:hint="eastAsia"/>
                      <w:color w:val="auto"/>
                      <w:szCs w:val="21"/>
                    </w:rPr>
                    <w:t>气动开卷机</w:t>
                  </w:r>
                </w:p>
              </w:tc>
              <w:tc>
                <w:tcPr>
                  <w:tcW w:w="947" w:type="pct"/>
                  <w:vAlign w:val="center"/>
                </w:tcPr>
                <w:p w14:paraId="3E54846D">
                  <w:pPr>
                    <w:adjustRightInd w:val="0"/>
                    <w:jc w:val="center"/>
                    <w:textAlignment w:val="baseline"/>
                    <w:rPr>
                      <w:color w:val="auto"/>
                      <w:szCs w:val="21"/>
                    </w:rPr>
                  </w:pPr>
                  <w:r>
                    <w:rPr>
                      <w:rFonts w:hint="eastAsia"/>
                      <w:color w:val="auto"/>
                      <w:szCs w:val="21"/>
                    </w:rPr>
                    <w:t>200型</w:t>
                  </w:r>
                </w:p>
              </w:tc>
              <w:tc>
                <w:tcPr>
                  <w:tcW w:w="552" w:type="pct"/>
                  <w:vAlign w:val="center"/>
                </w:tcPr>
                <w:p w14:paraId="4B691B7E">
                  <w:pPr>
                    <w:adjustRightInd w:val="0"/>
                    <w:jc w:val="center"/>
                    <w:textAlignment w:val="baseline"/>
                    <w:rPr>
                      <w:color w:val="auto"/>
                      <w:szCs w:val="21"/>
                    </w:rPr>
                  </w:pPr>
                  <w:r>
                    <w:rPr>
                      <w:rFonts w:hint="eastAsia"/>
                      <w:color w:val="auto"/>
                      <w:szCs w:val="21"/>
                    </w:rPr>
                    <w:t>2</w:t>
                  </w:r>
                  <w:r>
                    <w:rPr>
                      <w:color w:val="auto"/>
                      <w:szCs w:val="21"/>
                    </w:rPr>
                    <w:t>台</w:t>
                  </w:r>
                </w:p>
              </w:tc>
              <w:tc>
                <w:tcPr>
                  <w:tcW w:w="631" w:type="pct"/>
                  <w:vMerge w:val="continue"/>
                  <w:vAlign w:val="center"/>
                </w:tcPr>
                <w:p w14:paraId="1A509F12">
                  <w:pPr>
                    <w:adjustRightInd w:val="0"/>
                    <w:jc w:val="center"/>
                    <w:textAlignment w:val="baseline"/>
                    <w:rPr>
                      <w:color w:val="auto"/>
                      <w:szCs w:val="21"/>
                    </w:rPr>
                  </w:pPr>
                </w:p>
              </w:tc>
              <w:tc>
                <w:tcPr>
                  <w:tcW w:w="902" w:type="pct"/>
                  <w:vAlign w:val="center"/>
                </w:tcPr>
                <w:p w14:paraId="21F33767">
                  <w:pPr>
                    <w:adjustRightInd w:val="0"/>
                    <w:jc w:val="center"/>
                    <w:textAlignment w:val="baseline"/>
                    <w:rPr>
                      <w:color w:val="auto"/>
                      <w:szCs w:val="21"/>
                    </w:rPr>
                  </w:pPr>
                  <w:r>
                    <w:rPr>
                      <w:rFonts w:hint="eastAsia"/>
                      <w:color w:val="auto"/>
                      <w:szCs w:val="21"/>
                    </w:rPr>
                    <w:t>已有</w:t>
                  </w:r>
                </w:p>
              </w:tc>
            </w:tr>
            <w:tr w14:paraId="79EF9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65D32005">
                  <w:pPr>
                    <w:adjustRightInd w:val="0"/>
                    <w:jc w:val="center"/>
                    <w:textAlignment w:val="baseline"/>
                    <w:rPr>
                      <w:color w:val="auto"/>
                      <w:szCs w:val="21"/>
                    </w:rPr>
                  </w:pPr>
                  <w:r>
                    <w:rPr>
                      <w:rFonts w:hint="eastAsia"/>
                      <w:color w:val="auto"/>
                      <w:szCs w:val="21"/>
                    </w:rPr>
                    <w:t>17</w:t>
                  </w:r>
                </w:p>
              </w:tc>
              <w:tc>
                <w:tcPr>
                  <w:tcW w:w="1522" w:type="pct"/>
                  <w:vAlign w:val="center"/>
                </w:tcPr>
                <w:p w14:paraId="6F804F9B">
                  <w:pPr>
                    <w:adjustRightInd w:val="0"/>
                    <w:jc w:val="center"/>
                    <w:textAlignment w:val="baseline"/>
                    <w:rPr>
                      <w:color w:val="auto"/>
                      <w:szCs w:val="21"/>
                    </w:rPr>
                  </w:pPr>
                  <w:r>
                    <w:rPr>
                      <w:rFonts w:hint="eastAsia"/>
                      <w:color w:val="auto"/>
                      <w:szCs w:val="21"/>
                    </w:rPr>
                    <w:t>立式储料仓</w:t>
                  </w:r>
                </w:p>
              </w:tc>
              <w:tc>
                <w:tcPr>
                  <w:tcW w:w="947" w:type="pct"/>
                  <w:vAlign w:val="center"/>
                </w:tcPr>
                <w:p w14:paraId="287AEDD0">
                  <w:pPr>
                    <w:adjustRightInd w:val="0"/>
                    <w:jc w:val="center"/>
                    <w:textAlignment w:val="baseline"/>
                    <w:rPr>
                      <w:color w:val="auto"/>
                      <w:szCs w:val="21"/>
                    </w:rPr>
                  </w:pPr>
                  <w:r>
                    <w:rPr>
                      <w:rFonts w:hint="eastAsia"/>
                      <w:color w:val="auto"/>
                      <w:szCs w:val="21"/>
                    </w:rPr>
                    <w:t>200型</w:t>
                  </w:r>
                </w:p>
              </w:tc>
              <w:tc>
                <w:tcPr>
                  <w:tcW w:w="552" w:type="pct"/>
                  <w:vAlign w:val="center"/>
                </w:tcPr>
                <w:p w14:paraId="0F020BD3">
                  <w:pPr>
                    <w:adjustRightInd w:val="0"/>
                    <w:jc w:val="center"/>
                    <w:textAlignment w:val="baseline"/>
                    <w:rPr>
                      <w:color w:val="auto"/>
                      <w:szCs w:val="21"/>
                    </w:rPr>
                  </w:pPr>
                  <w:r>
                    <w:rPr>
                      <w:rFonts w:hint="eastAsia"/>
                      <w:color w:val="auto"/>
                      <w:szCs w:val="21"/>
                    </w:rPr>
                    <w:t>2</w:t>
                  </w:r>
                  <w:r>
                    <w:rPr>
                      <w:color w:val="auto"/>
                      <w:szCs w:val="21"/>
                    </w:rPr>
                    <w:t>台</w:t>
                  </w:r>
                </w:p>
              </w:tc>
              <w:tc>
                <w:tcPr>
                  <w:tcW w:w="631" w:type="pct"/>
                  <w:vMerge w:val="continue"/>
                  <w:vAlign w:val="center"/>
                </w:tcPr>
                <w:p w14:paraId="5C8C4729">
                  <w:pPr>
                    <w:adjustRightInd w:val="0"/>
                    <w:jc w:val="center"/>
                    <w:textAlignment w:val="baseline"/>
                    <w:rPr>
                      <w:color w:val="auto"/>
                      <w:szCs w:val="21"/>
                    </w:rPr>
                  </w:pPr>
                </w:p>
              </w:tc>
              <w:tc>
                <w:tcPr>
                  <w:tcW w:w="902" w:type="pct"/>
                  <w:vAlign w:val="center"/>
                </w:tcPr>
                <w:p w14:paraId="0C92E1DD">
                  <w:pPr>
                    <w:adjustRightInd w:val="0"/>
                    <w:jc w:val="center"/>
                    <w:textAlignment w:val="baseline"/>
                    <w:rPr>
                      <w:color w:val="auto"/>
                      <w:szCs w:val="21"/>
                    </w:rPr>
                  </w:pPr>
                  <w:r>
                    <w:rPr>
                      <w:rFonts w:hint="eastAsia"/>
                      <w:color w:val="auto"/>
                      <w:szCs w:val="21"/>
                    </w:rPr>
                    <w:t>已有</w:t>
                  </w:r>
                </w:p>
              </w:tc>
            </w:tr>
            <w:tr w14:paraId="7C612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77D9EE46">
                  <w:pPr>
                    <w:adjustRightInd w:val="0"/>
                    <w:jc w:val="center"/>
                    <w:textAlignment w:val="baseline"/>
                    <w:rPr>
                      <w:color w:val="auto"/>
                      <w:szCs w:val="21"/>
                    </w:rPr>
                  </w:pPr>
                  <w:r>
                    <w:rPr>
                      <w:rFonts w:hint="eastAsia"/>
                      <w:color w:val="auto"/>
                      <w:szCs w:val="21"/>
                    </w:rPr>
                    <w:t>18</w:t>
                  </w:r>
                </w:p>
              </w:tc>
              <w:tc>
                <w:tcPr>
                  <w:tcW w:w="1522" w:type="pct"/>
                  <w:vAlign w:val="center"/>
                </w:tcPr>
                <w:p w14:paraId="7E96EDA2">
                  <w:pPr>
                    <w:adjustRightInd w:val="0"/>
                    <w:jc w:val="center"/>
                    <w:textAlignment w:val="baseline"/>
                    <w:rPr>
                      <w:color w:val="auto"/>
                      <w:szCs w:val="21"/>
                    </w:rPr>
                  </w:pPr>
                  <w:r>
                    <w:rPr>
                      <w:rFonts w:hint="eastAsia"/>
                      <w:color w:val="auto"/>
                      <w:szCs w:val="21"/>
                    </w:rPr>
                    <w:t>飞锯</w:t>
                  </w:r>
                </w:p>
              </w:tc>
              <w:tc>
                <w:tcPr>
                  <w:tcW w:w="947" w:type="pct"/>
                  <w:vAlign w:val="center"/>
                </w:tcPr>
                <w:p w14:paraId="7F2769F1">
                  <w:pPr>
                    <w:adjustRightInd w:val="0"/>
                    <w:jc w:val="center"/>
                    <w:textAlignment w:val="baseline"/>
                    <w:rPr>
                      <w:color w:val="auto"/>
                      <w:szCs w:val="21"/>
                    </w:rPr>
                  </w:pPr>
                  <w:r>
                    <w:rPr>
                      <w:rFonts w:hint="eastAsia"/>
                      <w:color w:val="auto"/>
                      <w:szCs w:val="21"/>
                    </w:rPr>
                    <w:t>40型</w:t>
                  </w:r>
                </w:p>
              </w:tc>
              <w:tc>
                <w:tcPr>
                  <w:tcW w:w="552" w:type="pct"/>
                  <w:vAlign w:val="center"/>
                </w:tcPr>
                <w:p w14:paraId="261839C3">
                  <w:pPr>
                    <w:adjustRightInd w:val="0"/>
                    <w:jc w:val="center"/>
                    <w:textAlignment w:val="baseline"/>
                    <w:rPr>
                      <w:color w:val="auto"/>
                      <w:szCs w:val="21"/>
                    </w:rPr>
                  </w:pPr>
                  <w:r>
                    <w:rPr>
                      <w:rFonts w:hint="eastAsia"/>
                      <w:color w:val="auto"/>
                      <w:szCs w:val="21"/>
                    </w:rPr>
                    <w:t>1</w:t>
                  </w:r>
                  <w:r>
                    <w:rPr>
                      <w:color w:val="auto"/>
                      <w:szCs w:val="21"/>
                    </w:rPr>
                    <w:t>台</w:t>
                  </w:r>
                </w:p>
              </w:tc>
              <w:tc>
                <w:tcPr>
                  <w:tcW w:w="631" w:type="pct"/>
                  <w:vMerge w:val="continue"/>
                  <w:vAlign w:val="center"/>
                </w:tcPr>
                <w:p w14:paraId="0A6CC762">
                  <w:pPr>
                    <w:adjustRightInd w:val="0"/>
                    <w:jc w:val="center"/>
                    <w:textAlignment w:val="baseline"/>
                    <w:rPr>
                      <w:color w:val="auto"/>
                      <w:szCs w:val="21"/>
                    </w:rPr>
                  </w:pPr>
                </w:p>
              </w:tc>
              <w:tc>
                <w:tcPr>
                  <w:tcW w:w="902" w:type="pct"/>
                  <w:vAlign w:val="center"/>
                </w:tcPr>
                <w:p w14:paraId="0A29B067">
                  <w:pPr>
                    <w:adjustRightInd w:val="0"/>
                    <w:jc w:val="center"/>
                    <w:textAlignment w:val="baseline"/>
                    <w:rPr>
                      <w:color w:val="auto"/>
                      <w:szCs w:val="21"/>
                    </w:rPr>
                  </w:pPr>
                  <w:r>
                    <w:rPr>
                      <w:rFonts w:hint="eastAsia"/>
                      <w:color w:val="auto"/>
                      <w:szCs w:val="21"/>
                    </w:rPr>
                    <w:t>已有</w:t>
                  </w:r>
                </w:p>
              </w:tc>
            </w:tr>
            <w:tr w14:paraId="6155F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3585D130">
                  <w:pPr>
                    <w:adjustRightInd w:val="0"/>
                    <w:jc w:val="center"/>
                    <w:textAlignment w:val="baseline"/>
                    <w:rPr>
                      <w:color w:val="auto"/>
                      <w:szCs w:val="21"/>
                    </w:rPr>
                  </w:pPr>
                  <w:r>
                    <w:rPr>
                      <w:rFonts w:hint="eastAsia"/>
                      <w:color w:val="auto"/>
                      <w:szCs w:val="21"/>
                    </w:rPr>
                    <w:t>19</w:t>
                  </w:r>
                </w:p>
              </w:tc>
              <w:tc>
                <w:tcPr>
                  <w:tcW w:w="1522" w:type="pct"/>
                  <w:vAlign w:val="center"/>
                </w:tcPr>
                <w:p w14:paraId="69B6F846">
                  <w:pPr>
                    <w:adjustRightInd w:val="0"/>
                    <w:jc w:val="center"/>
                    <w:textAlignment w:val="baseline"/>
                    <w:rPr>
                      <w:color w:val="auto"/>
                      <w:szCs w:val="21"/>
                    </w:rPr>
                  </w:pPr>
                  <w:r>
                    <w:rPr>
                      <w:rFonts w:hint="eastAsia"/>
                      <w:color w:val="auto"/>
                      <w:szCs w:val="21"/>
                    </w:rPr>
                    <w:t>码垛机</w:t>
                  </w:r>
                </w:p>
              </w:tc>
              <w:tc>
                <w:tcPr>
                  <w:tcW w:w="947" w:type="pct"/>
                  <w:vAlign w:val="center"/>
                </w:tcPr>
                <w:p w14:paraId="2B5F8D77">
                  <w:pPr>
                    <w:adjustRightInd w:val="0"/>
                    <w:jc w:val="center"/>
                    <w:textAlignment w:val="baseline"/>
                    <w:rPr>
                      <w:color w:val="auto"/>
                      <w:szCs w:val="21"/>
                    </w:rPr>
                  </w:pPr>
                  <w:r>
                    <w:rPr>
                      <w:rFonts w:hint="eastAsia"/>
                      <w:color w:val="auto"/>
                      <w:szCs w:val="21"/>
                    </w:rPr>
                    <w:t>50型</w:t>
                  </w:r>
                </w:p>
              </w:tc>
              <w:tc>
                <w:tcPr>
                  <w:tcW w:w="552" w:type="pct"/>
                  <w:vAlign w:val="center"/>
                </w:tcPr>
                <w:p w14:paraId="0BC2E7A0">
                  <w:pPr>
                    <w:adjustRightInd w:val="0"/>
                    <w:jc w:val="center"/>
                    <w:textAlignment w:val="baseline"/>
                    <w:rPr>
                      <w:color w:val="auto"/>
                      <w:szCs w:val="21"/>
                    </w:rPr>
                  </w:pPr>
                  <w:r>
                    <w:rPr>
                      <w:rFonts w:hint="eastAsia"/>
                      <w:color w:val="auto"/>
                      <w:szCs w:val="21"/>
                    </w:rPr>
                    <w:t>1</w:t>
                  </w:r>
                  <w:r>
                    <w:rPr>
                      <w:color w:val="auto"/>
                      <w:szCs w:val="21"/>
                    </w:rPr>
                    <w:t>台</w:t>
                  </w:r>
                </w:p>
              </w:tc>
              <w:tc>
                <w:tcPr>
                  <w:tcW w:w="631" w:type="pct"/>
                  <w:vMerge w:val="continue"/>
                  <w:vAlign w:val="center"/>
                </w:tcPr>
                <w:p w14:paraId="4F3C8CFC">
                  <w:pPr>
                    <w:adjustRightInd w:val="0"/>
                    <w:jc w:val="center"/>
                    <w:textAlignment w:val="baseline"/>
                    <w:rPr>
                      <w:color w:val="auto"/>
                      <w:szCs w:val="21"/>
                    </w:rPr>
                  </w:pPr>
                </w:p>
              </w:tc>
              <w:tc>
                <w:tcPr>
                  <w:tcW w:w="902" w:type="pct"/>
                  <w:vAlign w:val="center"/>
                </w:tcPr>
                <w:p w14:paraId="60F991A9">
                  <w:pPr>
                    <w:adjustRightInd w:val="0"/>
                    <w:jc w:val="center"/>
                    <w:textAlignment w:val="baseline"/>
                    <w:rPr>
                      <w:color w:val="auto"/>
                      <w:szCs w:val="21"/>
                    </w:rPr>
                  </w:pPr>
                  <w:r>
                    <w:rPr>
                      <w:rFonts w:hint="eastAsia"/>
                      <w:color w:val="auto"/>
                      <w:szCs w:val="21"/>
                    </w:rPr>
                    <w:t>已有</w:t>
                  </w:r>
                </w:p>
              </w:tc>
            </w:tr>
            <w:tr w14:paraId="72A5C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394DF72E">
                  <w:pPr>
                    <w:adjustRightInd w:val="0"/>
                    <w:jc w:val="center"/>
                    <w:textAlignment w:val="baseline"/>
                    <w:rPr>
                      <w:color w:val="auto"/>
                      <w:szCs w:val="21"/>
                    </w:rPr>
                  </w:pPr>
                  <w:r>
                    <w:rPr>
                      <w:rFonts w:hint="eastAsia"/>
                      <w:color w:val="auto"/>
                      <w:szCs w:val="21"/>
                    </w:rPr>
                    <w:t>20</w:t>
                  </w:r>
                </w:p>
              </w:tc>
              <w:tc>
                <w:tcPr>
                  <w:tcW w:w="1522" w:type="pct"/>
                  <w:vAlign w:val="center"/>
                </w:tcPr>
                <w:p w14:paraId="7F10743A">
                  <w:pPr>
                    <w:adjustRightInd w:val="0"/>
                    <w:jc w:val="center"/>
                    <w:textAlignment w:val="baseline"/>
                    <w:rPr>
                      <w:color w:val="auto"/>
                      <w:szCs w:val="21"/>
                    </w:rPr>
                  </w:pPr>
                  <w:r>
                    <w:rPr>
                      <w:color w:val="auto"/>
                      <w:szCs w:val="21"/>
                    </w:rPr>
                    <w:t>高频直缝焊管机</w:t>
                  </w:r>
                </w:p>
              </w:tc>
              <w:tc>
                <w:tcPr>
                  <w:tcW w:w="947" w:type="pct"/>
                  <w:vAlign w:val="center"/>
                </w:tcPr>
                <w:p w14:paraId="3547D114">
                  <w:pPr>
                    <w:adjustRightInd w:val="0"/>
                    <w:jc w:val="center"/>
                    <w:textAlignment w:val="baseline"/>
                    <w:rPr>
                      <w:color w:val="auto"/>
                      <w:szCs w:val="21"/>
                    </w:rPr>
                  </w:pPr>
                  <w:r>
                    <w:rPr>
                      <w:rFonts w:hint="eastAsia"/>
                      <w:color w:val="auto"/>
                      <w:szCs w:val="21"/>
                    </w:rPr>
                    <w:t>250</w:t>
                  </w:r>
                  <w:r>
                    <w:rPr>
                      <w:color w:val="auto"/>
                      <w:szCs w:val="21"/>
                    </w:rPr>
                    <w:t xml:space="preserve"> kW</w:t>
                  </w:r>
                </w:p>
              </w:tc>
              <w:tc>
                <w:tcPr>
                  <w:tcW w:w="552" w:type="pct"/>
                  <w:vAlign w:val="center"/>
                </w:tcPr>
                <w:p w14:paraId="1F2CB76C">
                  <w:pPr>
                    <w:adjustRightInd w:val="0"/>
                    <w:jc w:val="center"/>
                    <w:textAlignment w:val="baseline"/>
                    <w:rPr>
                      <w:color w:val="auto"/>
                      <w:szCs w:val="21"/>
                    </w:rPr>
                  </w:pPr>
                  <w:r>
                    <w:rPr>
                      <w:color w:val="auto"/>
                      <w:szCs w:val="21"/>
                    </w:rPr>
                    <w:t>1台</w:t>
                  </w:r>
                </w:p>
              </w:tc>
              <w:tc>
                <w:tcPr>
                  <w:tcW w:w="631" w:type="pct"/>
                  <w:vMerge w:val="continue"/>
                  <w:vAlign w:val="center"/>
                </w:tcPr>
                <w:p w14:paraId="118564D5">
                  <w:pPr>
                    <w:adjustRightInd w:val="0"/>
                    <w:jc w:val="center"/>
                    <w:textAlignment w:val="baseline"/>
                    <w:rPr>
                      <w:color w:val="auto"/>
                      <w:szCs w:val="21"/>
                    </w:rPr>
                  </w:pPr>
                </w:p>
              </w:tc>
              <w:tc>
                <w:tcPr>
                  <w:tcW w:w="902" w:type="pct"/>
                  <w:vAlign w:val="center"/>
                </w:tcPr>
                <w:p w14:paraId="4579F481">
                  <w:pPr>
                    <w:adjustRightInd w:val="0"/>
                    <w:jc w:val="center"/>
                    <w:textAlignment w:val="baseline"/>
                    <w:rPr>
                      <w:color w:val="auto"/>
                      <w:szCs w:val="21"/>
                    </w:rPr>
                  </w:pPr>
                  <w:r>
                    <w:rPr>
                      <w:rFonts w:hint="eastAsia"/>
                      <w:color w:val="auto"/>
                      <w:szCs w:val="21"/>
                    </w:rPr>
                    <w:t>已有</w:t>
                  </w:r>
                </w:p>
              </w:tc>
            </w:tr>
            <w:tr w14:paraId="582A4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5D52036B">
                  <w:pPr>
                    <w:adjustRightInd w:val="0"/>
                    <w:jc w:val="center"/>
                    <w:textAlignment w:val="baseline"/>
                    <w:rPr>
                      <w:color w:val="auto"/>
                      <w:szCs w:val="21"/>
                    </w:rPr>
                  </w:pPr>
                  <w:r>
                    <w:rPr>
                      <w:rFonts w:hint="eastAsia"/>
                      <w:color w:val="auto"/>
                      <w:szCs w:val="21"/>
                    </w:rPr>
                    <w:t>21</w:t>
                  </w:r>
                </w:p>
              </w:tc>
              <w:tc>
                <w:tcPr>
                  <w:tcW w:w="1522" w:type="pct"/>
                  <w:vAlign w:val="center"/>
                </w:tcPr>
                <w:p w14:paraId="2E59F66A">
                  <w:pPr>
                    <w:adjustRightInd w:val="0"/>
                    <w:jc w:val="center"/>
                    <w:textAlignment w:val="baseline"/>
                    <w:rPr>
                      <w:color w:val="auto"/>
                      <w:szCs w:val="21"/>
                    </w:rPr>
                  </w:pPr>
                  <w:r>
                    <w:rPr>
                      <w:rFonts w:hint="eastAsia"/>
                      <w:color w:val="auto"/>
                      <w:szCs w:val="21"/>
                    </w:rPr>
                    <w:t>飞锯</w:t>
                  </w:r>
                </w:p>
              </w:tc>
              <w:tc>
                <w:tcPr>
                  <w:tcW w:w="947" w:type="pct"/>
                  <w:vAlign w:val="center"/>
                </w:tcPr>
                <w:p w14:paraId="4C4F127B">
                  <w:pPr>
                    <w:adjustRightInd w:val="0"/>
                    <w:jc w:val="center"/>
                    <w:textAlignment w:val="baseline"/>
                    <w:rPr>
                      <w:color w:val="auto"/>
                      <w:szCs w:val="21"/>
                    </w:rPr>
                  </w:pPr>
                  <w:r>
                    <w:rPr>
                      <w:rFonts w:hint="eastAsia"/>
                      <w:color w:val="auto"/>
                      <w:szCs w:val="21"/>
                    </w:rPr>
                    <w:t>89型</w:t>
                  </w:r>
                </w:p>
              </w:tc>
              <w:tc>
                <w:tcPr>
                  <w:tcW w:w="552" w:type="pct"/>
                  <w:vAlign w:val="center"/>
                </w:tcPr>
                <w:p w14:paraId="1084C796">
                  <w:pPr>
                    <w:adjustRightInd w:val="0"/>
                    <w:jc w:val="center"/>
                    <w:textAlignment w:val="baseline"/>
                    <w:rPr>
                      <w:color w:val="auto"/>
                      <w:szCs w:val="21"/>
                    </w:rPr>
                  </w:pPr>
                  <w:r>
                    <w:rPr>
                      <w:rFonts w:hint="eastAsia"/>
                      <w:color w:val="auto"/>
                      <w:szCs w:val="21"/>
                    </w:rPr>
                    <w:t>1台</w:t>
                  </w:r>
                </w:p>
              </w:tc>
              <w:tc>
                <w:tcPr>
                  <w:tcW w:w="631" w:type="pct"/>
                  <w:vMerge w:val="continue"/>
                  <w:vAlign w:val="center"/>
                </w:tcPr>
                <w:p w14:paraId="50E9833B">
                  <w:pPr>
                    <w:adjustRightInd w:val="0"/>
                    <w:jc w:val="center"/>
                    <w:textAlignment w:val="baseline"/>
                    <w:rPr>
                      <w:color w:val="auto"/>
                      <w:szCs w:val="21"/>
                    </w:rPr>
                  </w:pPr>
                </w:p>
              </w:tc>
              <w:tc>
                <w:tcPr>
                  <w:tcW w:w="902" w:type="pct"/>
                  <w:vAlign w:val="center"/>
                </w:tcPr>
                <w:p w14:paraId="295C620D">
                  <w:pPr>
                    <w:adjustRightInd w:val="0"/>
                    <w:jc w:val="center"/>
                    <w:textAlignment w:val="baseline"/>
                    <w:rPr>
                      <w:color w:val="auto"/>
                      <w:szCs w:val="21"/>
                    </w:rPr>
                  </w:pPr>
                  <w:r>
                    <w:rPr>
                      <w:rFonts w:hint="eastAsia"/>
                      <w:color w:val="auto"/>
                      <w:szCs w:val="21"/>
                    </w:rPr>
                    <w:t>已有</w:t>
                  </w:r>
                </w:p>
              </w:tc>
            </w:tr>
            <w:tr w14:paraId="292DF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194DAEB6">
                  <w:pPr>
                    <w:adjustRightInd w:val="0"/>
                    <w:jc w:val="center"/>
                    <w:textAlignment w:val="baseline"/>
                    <w:rPr>
                      <w:color w:val="auto"/>
                      <w:szCs w:val="21"/>
                    </w:rPr>
                  </w:pPr>
                  <w:r>
                    <w:rPr>
                      <w:rFonts w:hint="eastAsia"/>
                      <w:color w:val="auto"/>
                      <w:szCs w:val="21"/>
                    </w:rPr>
                    <w:t>22</w:t>
                  </w:r>
                </w:p>
              </w:tc>
              <w:tc>
                <w:tcPr>
                  <w:tcW w:w="1522" w:type="pct"/>
                  <w:vAlign w:val="center"/>
                </w:tcPr>
                <w:p w14:paraId="54343E5A">
                  <w:pPr>
                    <w:adjustRightInd w:val="0"/>
                    <w:jc w:val="center"/>
                    <w:textAlignment w:val="baseline"/>
                    <w:rPr>
                      <w:color w:val="auto"/>
                      <w:szCs w:val="21"/>
                    </w:rPr>
                  </w:pPr>
                  <w:r>
                    <w:rPr>
                      <w:rFonts w:hint="eastAsia"/>
                      <w:color w:val="auto"/>
                      <w:szCs w:val="21"/>
                    </w:rPr>
                    <w:t>码垛机</w:t>
                  </w:r>
                </w:p>
              </w:tc>
              <w:tc>
                <w:tcPr>
                  <w:tcW w:w="947" w:type="pct"/>
                  <w:vAlign w:val="center"/>
                </w:tcPr>
                <w:p w14:paraId="7348F269">
                  <w:pPr>
                    <w:adjustRightInd w:val="0"/>
                    <w:jc w:val="center"/>
                    <w:textAlignment w:val="baseline"/>
                    <w:rPr>
                      <w:color w:val="auto"/>
                      <w:szCs w:val="21"/>
                    </w:rPr>
                  </w:pPr>
                  <w:r>
                    <w:rPr>
                      <w:rFonts w:hint="eastAsia"/>
                      <w:color w:val="auto"/>
                      <w:szCs w:val="21"/>
                    </w:rPr>
                    <w:t>89型</w:t>
                  </w:r>
                </w:p>
              </w:tc>
              <w:tc>
                <w:tcPr>
                  <w:tcW w:w="552" w:type="pct"/>
                  <w:vAlign w:val="center"/>
                </w:tcPr>
                <w:p w14:paraId="50889FAD">
                  <w:pPr>
                    <w:adjustRightInd w:val="0"/>
                    <w:jc w:val="center"/>
                    <w:textAlignment w:val="baseline"/>
                    <w:rPr>
                      <w:color w:val="auto"/>
                      <w:szCs w:val="21"/>
                    </w:rPr>
                  </w:pPr>
                  <w:r>
                    <w:rPr>
                      <w:rFonts w:hint="eastAsia"/>
                      <w:color w:val="auto"/>
                      <w:szCs w:val="21"/>
                    </w:rPr>
                    <w:t>1</w:t>
                  </w:r>
                  <w:r>
                    <w:rPr>
                      <w:color w:val="auto"/>
                      <w:szCs w:val="21"/>
                    </w:rPr>
                    <w:t>台</w:t>
                  </w:r>
                </w:p>
              </w:tc>
              <w:tc>
                <w:tcPr>
                  <w:tcW w:w="631" w:type="pct"/>
                  <w:vMerge w:val="continue"/>
                  <w:vAlign w:val="center"/>
                </w:tcPr>
                <w:p w14:paraId="2462A1AA">
                  <w:pPr>
                    <w:adjustRightInd w:val="0"/>
                    <w:jc w:val="center"/>
                    <w:textAlignment w:val="baseline"/>
                    <w:rPr>
                      <w:color w:val="auto"/>
                      <w:szCs w:val="21"/>
                    </w:rPr>
                  </w:pPr>
                </w:p>
              </w:tc>
              <w:tc>
                <w:tcPr>
                  <w:tcW w:w="902" w:type="pct"/>
                  <w:vAlign w:val="center"/>
                </w:tcPr>
                <w:p w14:paraId="76E0CD39">
                  <w:pPr>
                    <w:adjustRightInd w:val="0"/>
                    <w:jc w:val="center"/>
                    <w:textAlignment w:val="baseline"/>
                    <w:rPr>
                      <w:color w:val="auto"/>
                      <w:szCs w:val="21"/>
                    </w:rPr>
                  </w:pPr>
                  <w:r>
                    <w:rPr>
                      <w:rFonts w:hint="eastAsia"/>
                      <w:color w:val="auto"/>
                      <w:szCs w:val="21"/>
                    </w:rPr>
                    <w:t>已有</w:t>
                  </w:r>
                </w:p>
              </w:tc>
            </w:tr>
            <w:tr w14:paraId="253A1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697D4438">
                  <w:pPr>
                    <w:adjustRightInd w:val="0"/>
                    <w:jc w:val="center"/>
                    <w:textAlignment w:val="baseline"/>
                    <w:rPr>
                      <w:color w:val="auto"/>
                      <w:szCs w:val="21"/>
                    </w:rPr>
                  </w:pPr>
                  <w:r>
                    <w:rPr>
                      <w:rFonts w:hint="eastAsia"/>
                      <w:color w:val="auto"/>
                      <w:szCs w:val="21"/>
                    </w:rPr>
                    <w:t>23</w:t>
                  </w:r>
                </w:p>
              </w:tc>
              <w:tc>
                <w:tcPr>
                  <w:tcW w:w="1522" w:type="pct"/>
                  <w:vAlign w:val="center"/>
                </w:tcPr>
                <w:p w14:paraId="05AF1AB9">
                  <w:pPr>
                    <w:adjustRightInd w:val="0"/>
                    <w:jc w:val="center"/>
                    <w:textAlignment w:val="baseline"/>
                    <w:rPr>
                      <w:color w:val="auto"/>
                      <w:szCs w:val="21"/>
                    </w:rPr>
                  </w:pPr>
                  <w:r>
                    <w:rPr>
                      <w:rFonts w:hint="eastAsia"/>
                      <w:color w:val="auto"/>
                      <w:szCs w:val="21"/>
                    </w:rPr>
                    <w:t>集气罩+风机+布袋除尘器</w:t>
                  </w:r>
                </w:p>
              </w:tc>
              <w:tc>
                <w:tcPr>
                  <w:tcW w:w="947" w:type="pct"/>
                  <w:vAlign w:val="center"/>
                </w:tcPr>
                <w:p w14:paraId="29A0E0C8">
                  <w:pPr>
                    <w:adjustRightInd w:val="0"/>
                    <w:jc w:val="center"/>
                    <w:textAlignment w:val="baseline"/>
                    <w:rPr>
                      <w:color w:val="auto"/>
                      <w:szCs w:val="21"/>
                    </w:rPr>
                  </w:pPr>
                </w:p>
              </w:tc>
              <w:tc>
                <w:tcPr>
                  <w:tcW w:w="552" w:type="pct"/>
                  <w:vAlign w:val="center"/>
                </w:tcPr>
                <w:p w14:paraId="1BDC2DA1">
                  <w:pPr>
                    <w:adjustRightInd w:val="0"/>
                    <w:jc w:val="center"/>
                    <w:textAlignment w:val="baseline"/>
                    <w:rPr>
                      <w:color w:val="auto"/>
                      <w:szCs w:val="21"/>
                    </w:rPr>
                  </w:pPr>
                  <w:r>
                    <w:rPr>
                      <w:rFonts w:hint="eastAsia"/>
                      <w:color w:val="auto"/>
                      <w:szCs w:val="21"/>
                    </w:rPr>
                    <w:t>2套</w:t>
                  </w:r>
                </w:p>
              </w:tc>
              <w:tc>
                <w:tcPr>
                  <w:tcW w:w="631" w:type="pct"/>
                  <w:vMerge w:val="continue"/>
                  <w:vAlign w:val="center"/>
                </w:tcPr>
                <w:p w14:paraId="68CF2C36">
                  <w:pPr>
                    <w:adjustRightInd w:val="0"/>
                    <w:jc w:val="center"/>
                    <w:textAlignment w:val="baseline"/>
                    <w:rPr>
                      <w:color w:val="auto"/>
                      <w:szCs w:val="21"/>
                    </w:rPr>
                  </w:pPr>
                </w:p>
              </w:tc>
              <w:tc>
                <w:tcPr>
                  <w:tcW w:w="902" w:type="pct"/>
                  <w:vAlign w:val="center"/>
                </w:tcPr>
                <w:p w14:paraId="6EE012B1">
                  <w:pPr>
                    <w:adjustRightInd w:val="0"/>
                    <w:jc w:val="center"/>
                    <w:textAlignment w:val="baseline"/>
                    <w:rPr>
                      <w:color w:val="auto"/>
                      <w:szCs w:val="21"/>
                    </w:rPr>
                  </w:pPr>
                  <w:r>
                    <w:rPr>
                      <w:rFonts w:hint="eastAsia"/>
                      <w:color w:val="auto"/>
                      <w:szCs w:val="21"/>
                    </w:rPr>
                    <w:t>新建</w:t>
                  </w:r>
                </w:p>
              </w:tc>
            </w:tr>
            <w:tr w14:paraId="1955B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3FF3F279">
                  <w:pPr>
                    <w:adjustRightInd w:val="0"/>
                    <w:jc w:val="center"/>
                    <w:textAlignment w:val="baseline"/>
                    <w:rPr>
                      <w:color w:val="auto"/>
                      <w:szCs w:val="21"/>
                    </w:rPr>
                  </w:pPr>
                  <w:r>
                    <w:rPr>
                      <w:rFonts w:hint="eastAsia"/>
                      <w:color w:val="auto"/>
                      <w:szCs w:val="21"/>
                    </w:rPr>
                    <w:t>24</w:t>
                  </w:r>
                </w:p>
              </w:tc>
              <w:tc>
                <w:tcPr>
                  <w:tcW w:w="1522" w:type="pct"/>
                  <w:vAlign w:val="center"/>
                </w:tcPr>
                <w:p w14:paraId="0CA9DB89">
                  <w:pPr>
                    <w:adjustRightInd w:val="0"/>
                    <w:jc w:val="center"/>
                    <w:textAlignment w:val="baseline"/>
                    <w:rPr>
                      <w:color w:val="auto"/>
                      <w:szCs w:val="21"/>
                    </w:rPr>
                  </w:pPr>
                  <w:r>
                    <w:rPr>
                      <w:color w:val="auto"/>
                      <w:szCs w:val="21"/>
                    </w:rPr>
                    <w:t>高频直缝焊管机</w:t>
                  </w:r>
                </w:p>
              </w:tc>
              <w:tc>
                <w:tcPr>
                  <w:tcW w:w="947" w:type="pct"/>
                  <w:vAlign w:val="center"/>
                </w:tcPr>
                <w:p w14:paraId="6B57C67F">
                  <w:pPr>
                    <w:adjustRightInd w:val="0"/>
                    <w:jc w:val="center"/>
                    <w:textAlignment w:val="baseline"/>
                    <w:rPr>
                      <w:color w:val="auto"/>
                      <w:szCs w:val="21"/>
                    </w:rPr>
                  </w:pPr>
                  <w:r>
                    <w:rPr>
                      <w:rFonts w:hint="eastAsia"/>
                      <w:color w:val="auto"/>
                      <w:szCs w:val="21"/>
                    </w:rPr>
                    <w:t>300</w:t>
                  </w:r>
                  <w:r>
                    <w:rPr>
                      <w:color w:val="auto"/>
                      <w:szCs w:val="21"/>
                    </w:rPr>
                    <w:t xml:space="preserve"> kW</w:t>
                  </w:r>
                </w:p>
              </w:tc>
              <w:tc>
                <w:tcPr>
                  <w:tcW w:w="552" w:type="pct"/>
                  <w:vAlign w:val="center"/>
                </w:tcPr>
                <w:p w14:paraId="2166EB07">
                  <w:pPr>
                    <w:adjustRightInd w:val="0"/>
                    <w:jc w:val="center"/>
                    <w:textAlignment w:val="baseline"/>
                    <w:rPr>
                      <w:color w:val="auto"/>
                      <w:szCs w:val="21"/>
                    </w:rPr>
                  </w:pPr>
                  <w:r>
                    <w:rPr>
                      <w:color w:val="auto"/>
                      <w:szCs w:val="21"/>
                    </w:rPr>
                    <w:t>1台</w:t>
                  </w:r>
                </w:p>
              </w:tc>
              <w:tc>
                <w:tcPr>
                  <w:tcW w:w="631" w:type="pct"/>
                  <w:vMerge w:val="restart"/>
                  <w:vAlign w:val="center"/>
                </w:tcPr>
                <w:p w14:paraId="77D07C11">
                  <w:pPr>
                    <w:adjustRightInd w:val="0"/>
                    <w:jc w:val="center"/>
                    <w:textAlignment w:val="baseline"/>
                    <w:rPr>
                      <w:color w:val="auto"/>
                      <w:szCs w:val="21"/>
                    </w:rPr>
                  </w:pPr>
                  <w:r>
                    <w:rPr>
                      <w:color w:val="auto"/>
                      <w:szCs w:val="21"/>
                    </w:rPr>
                    <w:t>生产车间4#</w:t>
                  </w:r>
                </w:p>
                <w:p w14:paraId="04532CCF">
                  <w:pPr>
                    <w:adjustRightInd w:val="0"/>
                    <w:jc w:val="center"/>
                    <w:textAlignment w:val="baseline"/>
                    <w:rPr>
                      <w:color w:val="auto"/>
                      <w:szCs w:val="21"/>
                    </w:rPr>
                  </w:pPr>
                  <w:r>
                    <w:rPr>
                      <w:rFonts w:hint="eastAsia"/>
                      <w:color w:val="auto"/>
                      <w:szCs w:val="21"/>
                    </w:rPr>
                    <w:t>该车间生产设备为未批先建设备</w:t>
                  </w:r>
                </w:p>
              </w:tc>
              <w:tc>
                <w:tcPr>
                  <w:tcW w:w="902" w:type="pct"/>
                  <w:vAlign w:val="center"/>
                </w:tcPr>
                <w:p w14:paraId="05EABCB2">
                  <w:pPr>
                    <w:adjustRightInd w:val="0"/>
                    <w:jc w:val="center"/>
                    <w:textAlignment w:val="baseline"/>
                    <w:rPr>
                      <w:color w:val="auto"/>
                      <w:szCs w:val="21"/>
                    </w:rPr>
                  </w:pPr>
                  <w:r>
                    <w:rPr>
                      <w:rFonts w:hint="eastAsia"/>
                      <w:color w:val="auto"/>
                      <w:szCs w:val="21"/>
                    </w:rPr>
                    <w:t>已有</w:t>
                  </w:r>
                </w:p>
              </w:tc>
            </w:tr>
            <w:tr w14:paraId="21116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08016403">
                  <w:pPr>
                    <w:adjustRightInd w:val="0"/>
                    <w:jc w:val="center"/>
                    <w:textAlignment w:val="baseline"/>
                    <w:rPr>
                      <w:color w:val="auto"/>
                      <w:szCs w:val="21"/>
                    </w:rPr>
                  </w:pPr>
                  <w:r>
                    <w:rPr>
                      <w:rFonts w:hint="eastAsia"/>
                      <w:color w:val="auto"/>
                      <w:szCs w:val="21"/>
                    </w:rPr>
                    <w:t>25</w:t>
                  </w:r>
                </w:p>
              </w:tc>
              <w:tc>
                <w:tcPr>
                  <w:tcW w:w="1522" w:type="pct"/>
                  <w:vAlign w:val="center"/>
                </w:tcPr>
                <w:p w14:paraId="386670AD">
                  <w:pPr>
                    <w:adjustRightInd w:val="0"/>
                    <w:jc w:val="center"/>
                    <w:textAlignment w:val="baseline"/>
                    <w:rPr>
                      <w:color w:val="auto"/>
                      <w:szCs w:val="21"/>
                    </w:rPr>
                  </w:pPr>
                  <w:r>
                    <w:rPr>
                      <w:rFonts w:hint="eastAsia"/>
                      <w:color w:val="auto"/>
                      <w:szCs w:val="21"/>
                    </w:rPr>
                    <w:t>气动开卷机</w:t>
                  </w:r>
                </w:p>
              </w:tc>
              <w:tc>
                <w:tcPr>
                  <w:tcW w:w="947" w:type="pct"/>
                  <w:vAlign w:val="center"/>
                </w:tcPr>
                <w:p w14:paraId="4CFD6F6B">
                  <w:pPr>
                    <w:adjustRightInd w:val="0"/>
                    <w:jc w:val="center"/>
                    <w:textAlignment w:val="baseline"/>
                    <w:rPr>
                      <w:color w:val="auto"/>
                      <w:szCs w:val="21"/>
                    </w:rPr>
                  </w:pPr>
                  <w:r>
                    <w:rPr>
                      <w:rFonts w:hint="eastAsia"/>
                      <w:color w:val="auto"/>
                      <w:szCs w:val="21"/>
                    </w:rPr>
                    <w:t>200型</w:t>
                  </w:r>
                </w:p>
              </w:tc>
              <w:tc>
                <w:tcPr>
                  <w:tcW w:w="552" w:type="pct"/>
                  <w:vAlign w:val="center"/>
                </w:tcPr>
                <w:p w14:paraId="31A83C28">
                  <w:pPr>
                    <w:adjustRightInd w:val="0"/>
                    <w:jc w:val="center"/>
                    <w:textAlignment w:val="baseline"/>
                    <w:rPr>
                      <w:color w:val="auto"/>
                      <w:szCs w:val="21"/>
                    </w:rPr>
                  </w:pPr>
                  <w:r>
                    <w:rPr>
                      <w:rFonts w:hint="eastAsia"/>
                      <w:color w:val="auto"/>
                      <w:szCs w:val="21"/>
                    </w:rPr>
                    <w:t>2</w:t>
                  </w:r>
                  <w:r>
                    <w:rPr>
                      <w:color w:val="auto"/>
                      <w:szCs w:val="21"/>
                    </w:rPr>
                    <w:t>台</w:t>
                  </w:r>
                </w:p>
              </w:tc>
              <w:tc>
                <w:tcPr>
                  <w:tcW w:w="631" w:type="pct"/>
                  <w:vMerge w:val="continue"/>
                  <w:vAlign w:val="center"/>
                </w:tcPr>
                <w:p w14:paraId="1E188DAB">
                  <w:pPr>
                    <w:adjustRightInd w:val="0"/>
                    <w:jc w:val="center"/>
                    <w:textAlignment w:val="baseline"/>
                    <w:rPr>
                      <w:color w:val="auto"/>
                      <w:szCs w:val="21"/>
                    </w:rPr>
                  </w:pPr>
                </w:p>
              </w:tc>
              <w:tc>
                <w:tcPr>
                  <w:tcW w:w="902" w:type="pct"/>
                  <w:vAlign w:val="center"/>
                </w:tcPr>
                <w:p w14:paraId="2EFFA95F">
                  <w:pPr>
                    <w:adjustRightInd w:val="0"/>
                    <w:jc w:val="center"/>
                    <w:textAlignment w:val="baseline"/>
                    <w:rPr>
                      <w:color w:val="auto"/>
                      <w:szCs w:val="21"/>
                    </w:rPr>
                  </w:pPr>
                  <w:r>
                    <w:rPr>
                      <w:rFonts w:hint="eastAsia"/>
                      <w:color w:val="auto"/>
                      <w:szCs w:val="21"/>
                    </w:rPr>
                    <w:t>已有</w:t>
                  </w:r>
                </w:p>
              </w:tc>
            </w:tr>
            <w:tr w14:paraId="6B79C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340CBC05">
                  <w:pPr>
                    <w:adjustRightInd w:val="0"/>
                    <w:jc w:val="center"/>
                    <w:textAlignment w:val="baseline"/>
                    <w:rPr>
                      <w:color w:val="auto"/>
                      <w:szCs w:val="21"/>
                    </w:rPr>
                  </w:pPr>
                  <w:r>
                    <w:rPr>
                      <w:rFonts w:hint="eastAsia"/>
                      <w:color w:val="auto"/>
                      <w:szCs w:val="21"/>
                    </w:rPr>
                    <w:t>26</w:t>
                  </w:r>
                </w:p>
              </w:tc>
              <w:tc>
                <w:tcPr>
                  <w:tcW w:w="1522" w:type="pct"/>
                  <w:vAlign w:val="center"/>
                </w:tcPr>
                <w:p w14:paraId="6795D073">
                  <w:pPr>
                    <w:adjustRightInd w:val="0"/>
                    <w:jc w:val="center"/>
                    <w:textAlignment w:val="baseline"/>
                    <w:rPr>
                      <w:color w:val="auto"/>
                      <w:szCs w:val="21"/>
                    </w:rPr>
                  </w:pPr>
                  <w:r>
                    <w:rPr>
                      <w:rFonts w:hint="eastAsia"/>
                      <w:color w:val="auto"/>
                      <w:szCs w:val="21"/>
                    </w:rPr>
                    <w:t>立式储料仓</w:t>
                  </w:r>
                </w:p>
              </w:tc>
              <w:tc>
                <w:tcPr>
                  <w:tcW w:w="947" w:type="pct"/>
                  <w:vAlign w:val="center"/>
                </w:tcPr>
                <w:p w14:paraId="796AB44D">
                  <w:pPr>
                    <w:adjustRightInd w:val="0"/>
                    <w:jc w:val="center"/>
                    <w:textAlignment w:val="baseline"/>
                    <w:rPr>
                      <w:color w:val="auto"/>
                      <w:szCs w:val="21"/>
                    </w:rPr>
                  </w:pPr>
                  <w:r>
                    <w:rPr>
                      <w:rFonts w:hint="eastAsia"/>
                      <w:color w:val="auto"/>
                      <w:szCs w:val="21"/>
                    </w:rPr>
                    <w:t>200型</w:t>
                  </w:r>
                </w:p>
              </w:tc>
              <w:tc>
                <w:tcPr>
                  <w:tcW w:w="552" w:type="pct"/>
                  <w:vAlign w:val="center"/>
                </w:tcPr>
                <w:p w14:paraId="0D93D6BA">
                  <w:pPr>
                    <w:adjustRightInd w:val="0"/>
                    <w:jc w:val="center"/>
                    <w:textAlignment w:val="baseline"/>
                    <w:rPr>
                      <w:color w:val="auto"/>
                      <w:szCs w:val="21"/>
                    </w:rPr>
                  </w:pPr>
                  <w:r>
                    <w:rPr>
                      <w:rFonts w:hint="eastAsia"/>
                      <w:color w:val="auto"/>
                      <w:szCs w:val="21"/>
                    </w:rPr>
                    <w:t>2</w:t>
                  </w:r>
                  <w:r>
                    <w:rPr>
                      <w:color w:val="auto"/>
                      <w:szCs w:val="21"/>
                    </w:rPr>
                    <w:t>台</w:t>
                  </w:r>
                </w:p>
              </w:tc>
              <w:tc>
                <w:tcPr>
                  <w:tcW w:w="631" w:type="pct"/>
                  <w:vMerge w:val="continue"/>
                  <w:vAlign w:val="center"/>
                </w:tcPr>
                <w:p w14:paraId="7BA14EA5">
                  <w:pPr>
                    <w:adjustRightInd w:val="0"/>
                    <w:jc w:val="center"/>
                    <w:textAlignment w:val="baseline"/>
                    <w:rPr>
                      <w:color w:val="auto"/>
                      <w:szCs w:val="21"/>
                    </w:rPr>
                  </w:pPr>
                </w:p>
              </w:tc>
              <w:tc>
                <w:tcPr>
                  <w:tcW w:w="902" w:type="pct"/>
                  <w:vAlign w:val="center"/>
                </w:tcPr>
                <w:p w14:paraId="76530F2B">
                  <w:pPr>
                    <w:adjustRightInd w:val="0"/>
                    <w:jc w:val="center"/>
                    <w:textAlignment w:val="baseline"/>
                    <w:rPr>
                      <w:color w:val="auto"/>
                      <w:szCs w:val="21"/>
                    </w:rPr>
                  </w:pPr>
                  <w:r>
                    <w:rPr>
                      <w:rFonts w:hint="eastAsia"/>
                      <w:color w:val="auto"/>
                      <w:szCs w:val="21"/>
                    </w:rPr>
                    <w:t>已有</w:t>
                  </w:r>
                </w:p>
              </w:tc>
            </w:tr>
            <w:tr w14:paraId="22A6D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3B04EA2A">
                  <w:pPr>
                    <w:adjustRightInd w:val="0"/>
                    <w:jc w:val="center"/>
                    <w:textAlignment w:val="baseline"/>
                    <w:rPr>
                      <w:color w:val="auto"/>
                      <w:szCs w:val="21"/>
                    </w:rPr>
                  </w:pPr>
                  <w:r>
                    <w:rPr>
                      <w:rFonts w:hint="eastAsia"/>
                      <w:color w:val="auto"/>
                      <w:szCs w:val="21"/>
                    </w:rPr>
                    <w:t>27</w:t>
                  </w:r>
                </w:p>
              </w:tc>
              <w:tc>
                <w:tcPr>
                  <w:tcW w:w="1522" w:type="pct"/>
                  <w:vAlign w:val="center"/>
                </w:tcPr>
                <w:p w14:paraId="4698156A">
                  <w:pPr>
                    <w:adjustRightInd w:val="0"/>
                    <w:jc w:val="center"/>
                    <w:textAlignment w:val="baseline"/>
                    <w:rPr>
                      <w:color w:val="auto"/>
                      <w:szCs w:val="21"/>
                    </w:rPr>
                  </w:pPr>
                  <w:r>
                    <w:rPr>
                      <w:rFonts w:hint="eastAsia"/>
                      <w:color w:val="auto"/>
                      <w:szCs w:val="21"/>
                    </w:rPr>
                    <w:t>飞锯</w:t>
                  </w:r>
                </w:p>
              </w:tc>
              <w:tc>
                <w:tcPr>
                  <w:tcW w:w="947" w:type="pct"/>
                  <w:vAlign w:val="center"/>
                </w:tcPr>
                <w:p w14:paraId="537A5A46">
                  <w:pPr>
                    <w:adjustRightInd w:val="0"/>
                    <w:jc w:val="center"/>
                    <w:textAlignment w:val="baseline"/>
                    <w:rPr>
                      <w:color w:val="auto"/>
                      <w:szCs w:val="21"/>
                    </w:rPr>
                  </w:pPr>
                  <w:r>
                    <w:rPr>
                      <w:rFonts w:hint="eastAsia"/>
                      <w:color w:val="auto"/>
                      <w:szCs w:val="21"/>
                    </w:rPr>
                    <w:t>50型</w:t>
                  </w:r>
                </w:p>
              </w:tc>
              <w:tc>
                <w:tcPr>
                  <w:tcW w:w="552" w:type="pct"/>
                  <w:vAlign w:val="center"/>
                </w:tcPr>
                <w:p w14:paraId="17E6164F">
                  <w:pPr>
                    <w:adjustRightInd w:val="0"/>
                    <w:jc w:val="center"/>
                    <w:textAlignment w:val="baseline"/>
                    <w:rPr>
                      <w:color w:val="auto"/>
                      <w:szCs w:val="21"/>
                    </w:rPr>
                  </w:pPr>
                  <w:r>
                    <w:rPr>
                      <w:rFonts w:hint="eastAsia"/>
                      <w:color w:val="auto"/>
                      <w:szCs w:val="21"/>
                    </w:rPr>
                    <w:t>1</w:t>
                  </w:r>
                  <w:r>
                    <w:rPr>
                      <w:color w:val="auto"/>
                      <w:szCs w:val="21"/>
                    </w:rPr>
                    <w:t>台</w:t>
                  </w:r>
                </w:p>
              </w:tc>
              <w:tc>
                <w:tcPr>
                  <w:tcW w:w="631" w:type="pct"/>
                  <w:vMerge w:val="continue"/>
                  <w:vAlign w:val="center"/>
                </w:tcPr>
                <w:p w14:paraId="70F2973C">
                  <w:pPr>
                    <w:adjustRightInd w:val="0"/>
                    <w:jc w:val="center"/>
                    <w:textAlignment w:val="baseline"/>
                    <w:rPr>
                      <w:color w:val="auto"/>
                      <w:szCs w:val="21"/>
                    </w:rPr>
                  </w:pPr>
                </w:p>
              </w:tc>
              <w:tc>
                <w:tcPr>
                  <w:tcW w:w="902" w:type="pct"/>
                  <w:vAlign w:val="center"/>
                </w:tcPr>
                <w:p w14:paraId="25A0BE07">
                  <w:pPr>
                    <w:adjustRightInd w:val="0"/>
                    <w:jc w:val="center"/>
                    <w:textAlignment w:val="baseline"/>
                    <w:rPr>
                      <w:color w:val="auto"/>
                      <w:szCs w:val="21"/>
                    </w:rPr>
                  </w:pPr>
                  <w:r>
                    <w:rPr>
                      <w:rFonts w:hint="eastAsia"/>
                      <w:color w:val="auto"/>
                      <w:szCs w:val="21"/>
                    </w:rPr>
                    <w:t>已有</w:t>
                  </w:r>
                </w:p>
              </w:tc>
            </w:tr>
            <w:tr w14:paraId="4F589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7551E51A">
                  <w:pPr>
                    <w:adjustRightInd w:val="0"/>
                    <w:jc w:val="center"/>
                    <w:textAlignment w:val="baseline"/>
                    <w:rPr>
                      <w:color w:val="auto"/>
                      <w:szCs w:val="21"/>
                    </w:rPr>
                  </w:pPr>
                  <w:r>
                    <w:rPr>
                      <w:rFonts w:hint="eastAsia"/>
                      <w:color w:val="auto"/>
                      <w:szCs w:val="21"/>
                    </w:rPr>
                    <w:t>28</w:t>
                  </w:r>
                </w:p>
              </w:tc>
              <w:tc>
                <w:tcPr>
                  <w:tcW w:w="1522" w:type="pct"/>
                  <w:vAlign w:val="center"/>
                </w:tcPr>
                <w:p w14:paraId="61CF197E">
                  <w:pPr>
                    <w:adjustRightInd w:val="0"/>
                    <w:jc w:val="center"/>
                    <w:textAlignment w:val="baseline"/>
                    <w:rPr>
                      <w:color w:val="auto"/>
                      <w:szCs w:val="21"/>
                    </w:rPr>
                  </w:pPr>
                  <w:r>
                    <w:rPr>
                      <w:rFonts w:hint="eastAsia"/>
                      <w:color w:val="auto"/>
                      <w:szCs w:val="21"/>
                    </w:rPr>
                    <w:t>码垛机</w:t>
                  </w:r>
                </w:p>
              </w:tc>
              <w:tc>
                <w:tcPr>
                  <w:tcW w:w="947" w:type="pct"/>
                  <w:vAlign w:val="center"/>
                </w:tcPr>
                <w:p w14:paraId="6111EB23">
                  <w:pPr>
                    <w:adjustRightInd w:val="0"/>
                    <w:jc w:val="center"/>
                    <w:textAlignment w:val="baseline"/>
                    <w:rPr>
                      <w:color w:val="auto"/>
                      <w:szCs w:val="21"/>
                    </w:rPr>
                  </w:pPr>
                  <w:r>
                    <w:rPr>
                      <w:rFonts w:hint="eastAsia"/>
                      <w:color w:val="auto"/>
                      <w:szCs w:val="21"/>
                    </w:rPr>
                    <w:t>50型</w:t>
                  </w:r>
                </w:p>
              </w:tc>
              <w:tc>
                <w:tcPr>
                  <w:tcW w:w="552" w:type="pct"/>
                  <w:vAlign w:val="center"/>
                </w:tcPr>
                <w:p w14:paraId="07767AEE">
                  <w:pPr>
                    <w:adjustRightInd w:val="0"/>
                    <w:jc w:val="center"/>
                    <w:textAlignment w:val="baseline"/>
                    <w:rPr>
                      <w:color w:val="auto"/>
                      <w:szCs w:val="21"/>
                    </w:rPr>
                  </w:pPr>
                  <w:r>
                    <w:rPr>
                      <w:rFonts w:hint="eastAsia"/>
                      <w:color w:val="auto"/>
                      <w:szCs w:val="21"/>
                    </w:rPr>
                    <w:t>1</w:t>
                  </w:r>
                  <w:r>
                    <w:rPr>
                      <w:color w:val="auto"/>
                      <w:szCs w:val="21"/>
                    </w:rPr>
                    <w:t>台</w:t>
                  </w:r>
                </w:p>
              </w:tc>
              <w:tc>
                <w:tcPr>
                  <w:tcW w:w="631" w:type="pct"/>
                  <w:vMerge w:val="continue"/>
                  <w:vAlign w:val="center"/>
                </w:tcPr>
                <w:p w14:paraId="6756AE70">
                  <w:pPr>
                    <w:adjustRightInd w:val="0"/>
                    <w:jc w:val="center"/>
                    <w:textAlignment w:val="baseline"/>
                    <w:rPr>
                      <w:color w:val="auto"/>
                      <w:szCs w:val="21"/>
                    </w:rPr>
                  </w:pPr>
                </w:p>
              </w:tc>
              <w:tc>
                <w:tcPr>
                  <w:tcW w:w="902" w:type="pct"/>
                  <w:vAlign w:val="center"/>
                </w:tcPr>
                <w:p w14:paraId="036EDE73">
                  <w:pPr>
                    <w:adjustRightInd w:val="0"/>
                    <w:jc w:val="center"/>
                    <w:textAlignment w:val="baseline"/>
                    <w:rPr>
                      <w:color w:val="auto"/>
                      <w:szCs w:val="21"/>
                    </w:rPr>
                  </w:pPr>
                  <w:r>
                    <w:rPr>
                      <w:rFonts w:hint="eastAsia"/>
                      <w:color w:val="auto"/>
                      <w:szCs w:val="21"/>
                    </w:rPr>
                    <w:t>已有</w:t>
                  </w:r>
                </w:p>
              </w:tc>
            </w:tr>
            <w:tr w14:paraId="420CC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152BE73C">
                  <w:pPr>
                    <w:adjustRightInd w:val="0"/>
                    <w:jc w:val="center"/>
                    <w:textAlignment w:val="baseline"/>
                    <w:rPr>
                      <w:color w:val="auto"/>
                      <w:szCs w:val="21"/>
                    </w:rPr>
                  </w:pPr>
                  <w:r>
                    <w:rPr>
                      <w:rFonts w:hint="eastAsia"/>
                      <w:color w:val="auto"/>
                      <w:szCs w:val="21"/>
                    </w:rPr>
                    <w:t>29</w:t>
                  </w:r>
                </w:p>
              </w:tc>
              <w:tc>
                <w:tcPr>
                  <w:tcW w:w="1522" w:type="pct"/>
                  <w:vAlign w:val="center"/>
                </w:tcPr>
                <w:p w14:paraId="5052AE41">
                  <w:pPr>
                    <w:adjustRightInd w:val="0"/>
                    <w:jc w:val="center"/>
                    <w:textAlignment w:val="baseline"/>
                    <w:rPr>
                      <w:color w:val="auto"/>
                      <w:szCs w:val="21"/>
                    </w:rPr>
                  </w:pPr>
                  <w:r>
                    <w:rPr>
                      <w:color w:val="auto"/>
                      <w:szCs w:val="21"/>
                    </w:rPr>
                    <w:t>高频直缝焊管机</w:t>
                  </w:r>
                </w:p>
              </w:tc>
              <w:tc>
                <w:tcPr>
                  <w:tcW w:w="947" w:type="pct"/>
                  <w:vAlign w:val="center"/>
                </w:tcPr>
                <w:p w14:paraId="0EF3DC11">
                  <w:pPr>
                    <w:adjustRightInd w:val="0"/>
                    <w:jc w:val="center"/>
                    <w:textAlignment w:val="baseline"/>
                    <w:rPr>
                      <w:color w:val="auto"/>
                      <w:szCs w:val="21"/>
                    </w:rPr>
                  </w:pPr>
                  <w:r>
                    <w:rPr>
                      <w:rFonts w:hint="eastAsia"/>
                      <w:color w:val="auto"/>
                      <w:szCs w:val="21"/>
                    </w:rPr>
                    <w:t>250</w:t>
                  </w:r>
                  <w:r>
                    <w:rPr>
                      <w:color w:val="auto"/>
                      <w:szCs w:val="21"/>
                    </w:rPr>
                    <w:t xml:space="preserve"> kW</w:t>
                  </w:r>
                </w:p>
              </w:tc>
              <w:tc>
                <w:tcPr>
                  <w:tcW w:w="552" w:type="pct"/>
                  <w:vAlign w:val="center"/>
                </w:tcPr>
                <w:p w14:paraId="3C4E3398">
                  <w:pPr>
                    <w:adjustRightInd w:val="0"/>
                    <w:jc w:val="center"/>
                    <w:textAlignment w:val="baseline"/>
                    <w:rPr>
                      <w:color w:val="auto"/>
                      <w:szCs w:val="21"/>
                    </w:rPr>
                  </w:pPr>
                  <w:r>
                    <w:rPr>
                      <w:color w:val="auto"/>
                      <w:szCs w:val="21"/>
                    </w:rPr>
                    <w:t>1台</w:t>
                  </w:r>
                </w:p>
              </w:tc>
              <w:tc>
                <w:tcPr>
                  <w:tcW w:w="631" w:type="pct"/>
                  <w:vMerge w:val="continue"/>
                  <w:vAlign w:val="center"/>
                </w:tcPr>
                <w:p w14:paraId="1F1E29A2">
                  <w:pPr>
                    <w:adjustRightInd w:val="0"/>
                    <w:jc w:val="center"/>
                    <w:textAlignment w:val="baseline"/>
                    <w:rPr>
                      <w:color w:val="auto"/>
                      <w:szCs w:val="21"/>
                    </w:rPr>
                  </w:pPr>
                </w:p>
              </w:tc>
              <w:tc>
                <w:tcPr>
                  <w:tcW w:w="902" w:type="pct"/>
                  <w:vAlign w:val="center"/>
                </w:tcPr>
                <w:p w14:paraId="632FF667">
                  <w:pPr>
                    <w:adjustRightInd w:val="0"/>
                    <w:jc w:val="center"/>
                    <w:textAlignment w:val="baseline"/>
                    <w:rPr>
                      <w:color w:val="auto"/>
                      <w:szCs w:val="21"/>
                    </w:rPr>
                  </w:pPr>
                  <w:r>
                    <w:rPr>
                      <w:rFonts w:hint="eastAsia"/>
                      <w:color w:val="auto"/>
                      <w:szCs w:val="21"/>
                    </w:rPr>
                    <w:t>已有</w:t>
                  </w:r>
                </w:p>
              </w:tc>
            </w:tr>
            <w:tr w14:paraId="538D9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7EAF5026">
                  <w:pPr>
                    <w:adjustRightInd w:val="0"/>
                    <w:jc w:val="center"/>
                    <w:textAlignment w:val="baseline"/>
                    <w:rPr>
                      <w:color w:val="auto"/>
                      <w:szCs w:val="21"/>
                    </w:rPr>
                  </w:pPr>
                  <w:r>
                    <w:rPr>
                      <w:rFonts w:hint="eastAsia"/>
                      <w:color w:val="auto"/>
                      <w:szCs w:val="21"/>
                    </w:rPr>
                    <w:t>30</w:t>
                  </w:r>
                </w:p>
              </w:tc>
              <w:tc>
                <w:tcPr>
                  <w:tcW w:w="1522" w:type="pct"/>
                  <w:vAlign w:val="center"/>
                </w:tcPr>
                <w:p w14:paraId="26A2B6B2">
                  <w:pPr>
                    <w:adjustRightInd w:val="0"/>
                    <w:jc w:val="center"/>
                    <w:textAlignment w:val="baseline"/>
                    <w:rPr>
                      <w:color w:val="auto"/>
                      <w:szCs w:val="21"/>
                    </w:rPr>
                  </w:pPr>
                  <w:r>
                    <w:rPr>
                      <w:rFonts w:hint="eastAsia"/>
                      <w:color w:val="auto"/>
                      <w:szCs w:val="21"/>
                    </w:rPr>
                    <w:t>飞锯</w:t>
                  </w:r>
                </w:p>
              </w:tc>
              <w:tc>
                <w:tcPr>
                  <w:tcW w:w="947" w:type="pct"/>
                  <w:vAlign w:val="center"/>
                </w:tcPr>
                <w:p w14:paraId="4B478BED">
                  <w:pPr>
                    <w:adjustRightInd w:val="0"/>
                    <w:jc w:val="center"/>
                    <w:textAlignment w:val="baseline"/>
                    <w:rPr>
                      <w:color w:val="auto"/>
                      <w:szCs w:val="21"/>
                    </w:rPr>
                  </w:pPr>
                  <w:r>
                    <w:rPr>
                      <w:rFonts w:hint="eastAsia"/>
                      <w:color w:val="auto"/>
                      <w:szCs w:val="21"/>
                    </w:rPr>
                    <w:t>76型</w:t>
                  </w:r>
                </w:p>
              </w:tc>
              <w:tc>
                <w:tcPr>
                  <w:tcW w:w="552" w:type="pct"/>
                  <w:vAlign w:val="center"/>
                </w:tcPr>
                <w:p w14:paraId="12CFE4F5">
                  <w:pPr>
                    <w:adjustRightInd w:val="0"/>
                    <w:jc w:val="center"/>
                    <w:textAlignment w:val="baseline"/>
                    <w:rPr>
                      <w:color w:val="auto"/>
                      <w:szCs w:val="21"/>
                    </w:rPr>
                  </w:pPr>
                  <w:r>
                    <w:rPr>
                      <w:rFonts w:hint="eastAsia"/>
                      <w:color w:val="auto"/>
                      <w:szCs w:val="21"/>
                    </w:rPr>
                    <w:t>1台</w:t>
                  </w:r>
                </w:p>
              </w:tc>
              <w:tc>
                <w:tcPr>
                  <w:tcW w:w="631" w:type="pct"/>
                  <w:vMerge w:val="continue"/>
                  <w:vAlign w:val="center"/>
                </w:tcPr>
                <w:p w14:paraId="4C8F4705">
                  <w:pPr>
                    <w:adjustRightInd w:val="0"/>
                    <w:jc w:val="center"/>
                    <w:textAlignment w:val="baseline"/>
                    <w:rPr>
                      <w:color w:val="auto"/>
                      <w:szCs w:val="21"/>
                    </w:rPr>
                  </w:pPr>
                </w:p>
              </w:tc>
              <w:tc>
                <w:tcPr>
                  <w:tcW w:w="902" w:type="pct"/>
                  <w:vAlign w:val="center"/>
                </w:tcPr>
                <w:p w14:paraId="2FA4779D">
                  <w:pPr>
                    <w:adjustRightInd w:val="0"/>
                    <w:jc w:val="center"/>
                    <w:textAlignment w:val="baseline"/>
                    <w:rPr>
                      <w:color w:val="auto"/>
                      <w:szCs w:val="21"/>
                    </w:rPr>
                  </w:pPr>
                  <w:r>
                    <w:rPr>
                      <w:rFonts w:hint="eastAsia"/>
                      <w:color w:val="auto"/>
                      <w:szCs w:val="21"/>
                    </w:rPr>
                    <w:t>已有</w:t>
                  </w:r>
                </w:p>
              </w:tc>
            </w:tr>
            <w:tr w14:paraId="0A33C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7926431D">
                  <w:pPr>
                    <w:adjustRightInd w:val="0"/>
                    <w:jc w:val="center"/>
                    <w:textAlignment w:val="baseline"/>
                    <w:rPr>
                      <w:color w:val="auto"/>
                      <w:szCs w:val="21"/>
                    </w:rPr>
                  </w:pPr>
                  <w:r>
                    <w:rPr>
                      <w:rFonts w:hint="eastAsia"/>
                      <w:color w:val="auto"/>
                      <w:szCs w:val="21"/>
                    </w:rPr>
                    <w:t>31</w:t>
                  </w:r>
                </w:p>
              </w:tc>
              <w:tc>
                <w:tcPr>
                  <w:tcW w:w="1522" w:type="pct"/>
                  <w:vAlign w:val="center"/>
                </w:tcPr>
                <w:p w14:paraId="4BE9B62E">
                  <w:pPr>
                    <w:adjustRightInd w:val="0"/>
                    <w:jc w:val="center"/>
                    <w:textAlignment w:val="baseline"/>
                    <w:rPr>
                      <w:color w:val="auto"/>
                      <w:szCs w:val="21"/>
                    </w:rPr>
                  </w:pPr>
                  <w:r>
                    <w:rPr>
                      <w:rFonts w:hint="eastAsia"/>
                      <w:color w:val="auto"/>
                      <w:szCs w:val="21"/>
                    </w:rPr>
                    <w:t>码垛机</w:t>
                  </w:r>
                </w:p>
              </w:tc>
              <w:tc>
                <w:tcPr>
                  <w:tcW w:w="947" w:type="pct"/>
                  <w:vAlign w:val="center"/>
                </w:tcPr>
                <w:p w14:paraId="5FFEEC49">
                  <w:pPr>
                    <w:adjustRightInd w:val="0"/>
                    <w:jc w:val="center"/>
                    <w:textAlignment w:val="baseline"/>
                    <w:rPr>
                      <w:color w:val="auto"/>
                      <w:szCs w:val="21"/>
                    </w:rPr>
                  </w:pPr>
                  <w:r>
                    <w:rPr>
                      <w:rFonts w:hint="eastAsia"/>
                      <w:color w:val="auto"/>
                      <w:szCs w:val="21"/>
                    </w:rPr>
                    <w:t>76型</w:t>
                  </w:r>
                </w:p>
              </w:tc>
              <w:tc>
                <w:tcPr>
                  <w:tcW w:w="552" w:type="pct"/>
                  <w:vAlign w:val="center"/>
                </w:tcPr>
                <w:p w14:paraId="51BB83BC">
                  <w:pPr>
                    <w:adjustRightInd w:val="0"/>
                    <w:jc w:val="center"/>
                    <w:textAlignment w:val="baseline"/>
                    <w:rPr>
                      <w:color w:val="auto"/>
                      <w:szCs w:val="21"/>
                    </w:rPr>
                  </w:pPr>
                  <w:r>
                    <w:rPr>
                      <w:rFonts w:hint="eastAsia"/>
                      <w:color w:val="auto"/>
                      <w:szCs w:val="21"/>
                    </w:rPr>
                    <w:t>1</w:t>
                  </w:r>
                  <w:r>
                    <w:rPr>
                      <w:color w:val="auto"/>
                      <w:szCs w:val="21"/>
                    </w:rPr>
                    <w:t>台</w:t>
                  </w:r>
                </w:p>
              </w:tc>
              <w:tc>
                <w:tcPr>
                  <w:tcW w:w="631" w:type="pct"/>
                  <w:vMerge w:val="continue"/>
                  <w:vAlign w:val="center"/>
                </w:tcPr>
                <w:p w14:paraId="21B9AD9F">
                  <w:pPr>
                    <w:adjustRightInd w:val="0"/>
                    <w:jc w:val="center"/>
                    <w:textAlignment w:val="baseline"/>
                    <w:rPr>
                      <w:color w:val="auto"/>
                      <w:szCs w:val="21"/>
                    </w:rPr>
                  </w:pPr>
                </w:p>
              </w:tc>
              <w:tc>
                <w:tcPr>
                  <w:tcW w:w="902" w:type="pct"/>
                  <w:vAlign w:val="center"/>
                </w:tcPr>
                <w:p w14:paraId="6B467CEF">
                  <w:pPr>
                    <w:adjustRightInd w:val="0"/>
                    <w:jc w:val="center"/>
                    <w:textAlignment w:val="baseline"/>
                    <w:rPr>
                      <w:color w:val="auto"/>
                      <w:szCs w:val="21"/>
                    </w:rPr>
                  </w:pPr>
                  <w:r>
                    <w:rPr>
                      <w:rFonts w:hint="eastAsia"/>
                      <w:color w:val="auto"/>
                      <w:szCs w:val="21"/>
                    </w:rPr>
                    <w:t>已有</w:t>
                  </w:r>
                </w:p>
              </w:tc>
            </w:tr>
            <w:tr w14:paraId="7F1E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1217C660">
                  <w:pPr>
                    <w:adjustRightInd w:val="0"/>
                    <w:jc w:val="center"/>
                    <w:textAlignment w:val="baseline"/>
                    <w:rPr>
                      <w:color w:val="auto"/>
                      <w:szCs w:val="21"/>
                    </w:rPr>
                  </w:pPr>
                  <w:r>
                    <w:rPr>
                      <w:rFonts w:hint="eastAsia"/>
                      <w:color w:val="auto"/>
                      <w:szCs w:val="21"/>
                    </w:rPr>
                    <w:t>32</w:t>
                  </w:r>
                </w:p>
              </w:tc>
              <w:tc>
                <w:tcPr>
                  <w:tcW w:w="1522" w:type="pct"/>
                  <w:vAlign w:val="center"/>
                </w:tcPr>
                <w:p w14:paraId="35221DFA">
                  <w:pPr>
                    <w:adjustRightInd w:val="0"/>
                    <w:jc w:val="center"/>
                    <w:textAlignment w:val="baseline"/>
                    <w:rPr>
                      <w:color w:val="auto"/>
                      <w:szCs w:val="21"/>
                    </w:rPr>
                  </w:pPr>
                  <w:r>
                    <w:rPr>
                      <w:rFonts w:hint="eastAsia"/>
                      <w:color w:val="auto"/>
                      <w:szCs w:val="21"/>
                    </w:rPr>
                    <w:t>集气罩+风机+布袋除尘器</w:t>
                  </w:r>
                </w:p>
              </w:tc>
              <w:tc>
                <w:tcPr>
                  <w:tcW w:w="947" w:type="pct"/>
                  <w:vAlign w:val="center"/>
                </w:tcPr>
                <w:p w14:paraId="78E4D622">
                  <w:pPr>
                    <w:adjustRightInd w:val="0"/>
                    <w:jc w:val="center"/>
                    <w:textAlignment w:val="baseline"/>
                    <w:rPr>
                      <w:color w:val="auto"/>
                      <w:szCs w:val="21"/>
                    </w:rPr>
                  </w:pPr>
                </w:p>
              </w:tc>
              <w:tc>
                <w:tcPr>
                  <w:tcW w:w="552" w:type="pct"/>
                  <w:vAlign w:val="center"/>
                </w:tcPr>
                <w:p w14:paraId="7DF7E024">
                  <w:pPr>
                    <w:adjustRightInd w:val="0"/>
                    <w:jc w:val="center"/>
                    <w:textAlignment w:val="baseline"/>
                    <w:rPr>
                      <w:color w:val="auto"/>
                      <w:szCs w:val="21"/>
                    </w:rPr>
                  </w:pPr>
                  <w:r>
                    <w:rPr>
                      <w:rFonts w:hint="eastAsia"/>
                      <w:color w:val="auto"/>
                      <w:szCs w:val="21"/>
                    </w:rPr>
                    <w:t>2套</w:t>
                  </w:r>
                </w:p>
              </w:tc>
              <w:tc>
                <w:tcPr>
                  <w:tcW w:w="631" w:type="pct"/>
                  <w:vMerge w:val="continue"/>
                  <w:vAlign w:val="center"/>
                </w:tcPr>
                <w:p w14:paraId="295EC6C8">
                  <w:pPr>
                    <w:adjustRightInd w:val="0"/>
                    <w:jc w:val="center"/>
                    <w:textAlignment w:val="baseline"/>
                    <w:rPr>
                      <w:color w:val="auto"/>
                      <w:szCs w:val="21"/>
                    </w:rPr>
                  </w:pPr>
                </w:p>
              </w:tc>
              <w:tc>
                <w:tcPr>
                  <w:tcW w:w="902" w:type="pct"/>
                  <w:vAlign w:val="center"/>
                </w:tcPr>
                <w:p w14:paraId="33FCAA51">
                  <w:pPr>
                    <w:adjustRightInd w:val="0"/>
                    <w:jc w:val="center"/>
                    <w:textAlignment w:val="baseline"/>
                    <w:rPr>
                      <w:color w:val="auto"/>
                      <w:szCs w:val="21"/>
                    </w:rPr>
                  </w:pPr>
                  <w:r>
                    <w:rPr>
                      <w:rFonts w:hint="eastAsia"/>
                      <w:color w:val="auto"/>
                      <w:szCs w:val="21"/>
                    </w:rPr>
                    <w:t>新建</w:t>
                  </w:r>
                </w:p>
              </w:tc>
            </w:tr>
            <w:tr w14:paraId="69AEE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54582D5A">
                  <w:pPr>
                    <w:adjustRightInd w:val="0"/>
                    <w:jc w:val="center"/>
                    <w:textAlignment w:val="baseline"/>
                    <w:rPr>
                      <w:color w:val="auto"/>
                      <w:szCs w:val="21"/>
                    </w:rPr>
                  </w:pPr>
                  <w:r>
                    <w:rPr>
                      <w:rFonts w:hint="eastAsia"/>
                      <w:color w:val="auto"/>
                      <w:szCs w:val="21"/>
                    </w:rPr>
                    <w:t>33</w:t>
                  </w:r>
                </w:p>
              </w:tc>
              <w:tc>
                <w:tcPr>
                  <w:tcW w:w="1522" w:type="pct"/>
                  <w:vAlign w:val="center"/>
                </w:tcPr>
                <w:p w14:paraId="55D0BD3F">
                  <w:pPr>
                    <w:adjustRightInd w:val="0"/>
                    <w:jc w:val="center"/>
                    <w:textAlignment w:val="baseline"/>
                    <w:rPr>
                      <w:color w:val="auto"/>
                      <w:szCs w:val="21"/>
                    </w:rPr>
                  </w:pPr>
                  <w:r>
                    <w:rPr>
                      <w:color w:val="auto"/>
                      <w:szCs w:val="21"/>
                    </w:rPr>
                    <w:t>高频直缝焊管机</w:t>
                  </w:r>
                </w:p>
              </w:tc>
              <w:tc>
                <w:tcPr>
                  <w:tcW w:w="947" w:type="pct"/>
                  <w:vAlign w:val="center"/>
                </w:tcPr>
                <w:p w14:paraId="43F8F4C6">
                  <w:pPr>
                    <w:adjustRightInd w:val="0"/>
                    <w:jc w:val="center"/>
                    <w:textAlignment w:val="baseline"/>
                    <w:rPr>
                      <w:color w:val="auto"/>
                      <w:szCs w:val="21"/>
                    </w:rPr>
                  </w:pPr>
                  <w:r>
                    <w:rPr>
                      <w:rFonts w:hint="eastAsia"/>
                      <w:color w:val="auto"/>
                      <w:szCs w:val="21"/>
                    </w:rPr>
                    <w:t>250</w:t>
                  </w:r>
                  <w:r>
                    <w:rPr>
                      <w:color w:val="auto"/>
                      <w:szCs w:val="21"/>
                    </w:rPr>
                    <w:t xml:space="preserve"> kW</w:t>
                  </w:r>
                </w:p>
              </w:tc>
              <w:tc>
                <w:tcPr>
                  <w:tcW w:w="552" w:type="pct"/>
                  <w:vAlign w:val="center"/>
                </w:tcPr>
                <w:p w14:paraId="40D3366F">
                  <w:pPr>
                    <w:adjustRightInd w:val="0"/>
                    <w:jc w:val="center"/>
                    <w:textAlignment w:val="baseline"/>
                    <w:rPr>
                      <w:color w:val="auto"/>
                      <w:szCs w:val="21"/>
                    </w:rPr>
                  </w:pPr>
                  <w:r>
                    <w:rPr>
                      <w:color w:val="auto"/>
                      <w:szCs w:val="21"/>
                    </w:rPr>
                    <w:t>1台</w:t>
                  </w:r>
                </w:p>
              </w:tc>
              <w:tc>
                <w:tcPr>
                  <w:tcW w:w="631" w:type="pct"/>
                  <w:vMerge w:val="restart"/>
                  <w:vAlign w:val="center"/>
                </w:tcPr>
                <w:p w14:paraId="01DC0663">
                  <w:pPr>
                    <w:adjustRightInd w:val="0"/>
                    <w:jc w:val="center"/>
                    <w:textAlignment w:val="baseline"/>
                    <w:rPr>
                      <w:color w:val="auto"/>
                      <w:szCs w:val="21"/>
                    </w:rPr>
                  </w:pPr>
                  <w:r>
                    <w:rPr>
                      <w:rFonts w:hint="eastAsia"/>
                      <w:color w:val="auto"/>
                      <w:szCs w:val="21"/>
                    </w:rPr>
                    <w:t>生产车间5#</w:t>
                  </w:r>
                </w:p>
              </w:tc>
              <w:tc>
                <w:tcPr>
                  <w:tcW w:w="902" w:type="pct"/>
                  <w:vAlign w:val="center"/>
                </w:tcPr>
                <w:p w14:paraId="70EDB112">
                  <w:pPr>
                    <w:adjustRightInd w:val="0"/>
                    <w:jc w:val="center"/>
                    <w:textAlignment w:val="baseline"/>
                    <w:rPr>
                      <w:color w:val="auto"/>
                      <w:szCs w:val="21"/>
                    </w:rPr>
                  </w:pPr>
                  <w:r>
                    <w:rPr>
                      <w:rFonts w:hint="eastAsia"/>
                      <w:color w:val="auto"/>
                      <w:szCs w:val="21"/>
                    </w:rPr>
                    <w:t>新建</w:t>
                  </w:r>
                </w:p>
              </w:tc>
            </w:tr>
            <w:tr w14:paraId="23A21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43BDBF53">
                  <w:pPr>
                    <w:adjustRightInd w:val="0"/>
                    <w:jc w:val="center"/>
                    <w:textAlignment w:val="baseline"/>
                    <w:rPr>
                      <w:color w:val="auto"/>
                      <w:szCs w:val="21"/>
                    </w:rPr>
                  </w:pPr>
                  <w:r>
                    <w:rPr>
                      <w:rFonts w:hint="eastAsia"/>
                      <w:color w:val="auto"/>
                      <w:szCs w:val="21"/>
                    </w:rPr>
                    <w:t>34</w:t>
                  </w:r>
                </w:p>
              </w:tc>
              <w:tc>
                <w:tcPr>
                  <w:tcW w:w="1522" w:type="pct"/>
                  <w:vAlign w:val="center"/>
                </w:tcPr>
                <w:p w14:paraId="6161B1B6">
                  <w:pPr>
                    <w:adjustRightInd w:val="0"/>
                    <w:jc w:val="center"/>
                    <w:textAlignment w:val="baseline"/>
                    <w:rPr>
                      <w:color w:val="auto"/>
                      <w:szCs w:val="21"/>
                    </w:rPr>
                  </w:pPr>
                  <w:r>
                    <w:rPr>
                      <w:rFonts w:hint="eastAsia"/>
                      <w:color w:val="auto"/>
                      <w:szCs w:val="21"/>
                    </w:rPr>
                    <w:t>气动开卷机</w:t>
                  </w:r>
                </w:p>
              </w:tc>
              <w:tc>
                <w:tcPr>
                  <w:tcW w:w="947" w:type="pct"/>
                  <w:vAlign w:val="center"/>
                </w:tcPr>
                <w:p w14:paraId="7BEB75CB">
                  <w:pPr>
                    <w:adjustRightInd w:val="0"/>
                    <w:jc w:val="center"/>
                    <w:textAlignment w:val="baseline"/>
                    <w:rPr>
                      <w:color w:val="auto"/>
                      <w:szCs w:val="21"/>
                    </w:rPr>
                  </w:pPr>
                  <w:r>
                    <w:rPr>
                      <w:rFonts w:hint="eastAsia"/>
                      <w:color w:val="auto"/>
                      <w:szCs w:val="21"/>
                    </w:rPr>
                    <w:t>300型</w:t>
                  </w:r>
                </w:p>
              </w:tc>
              <w:tc>
                <w:tcPr>
                  <w:tcW w:w="552" w:type="pct"/>
                  <w:vAlign w:val="center"/>
                </w:tcPr>
                <w:p w14:paraId="1312F56B">
                  <w:pPr>
                    <w:adjustRightInd w:val="0"/>
                    <w:jc w:val="center"/>
                    <w:textAlignment w:val="baseline"/>
                    <w:rPr>
                      <w:color w:val="auto"/>
                      <w:szCs w:val="21"/>
                    </w:rPr>
                  </w:pPr>
                  <w:r>
                    <w:rPr>
                      <w:rFonts w:hint="eastAsia"/>
                      <w:color w:val="auto"/>
                      <w:szCs w:val="21"/>
                    </w:rPr>
                    <w:t>1</w:t>
                  </w:r>
                  <w:r>
                    <w:rPr>
                      <w:color w:val="auto"/>
                      <w:szCs w:val="21"/>
                    </w:rPr>
                    <w:t>台</w:t>
                  </w:r>
                </w:p>
              </w:tc>
              <w:tc>
                <w:tcPr>
                  <w:tcW w:w="631" w:type="pct"/>
                  <w:vMerge w:val="continue"/>
                  <w:vAlign w:val="center"/>
                </w:tcPr>
                <w:p w14:paraId="595DC956">
                  <w:pPr>
                    <w:adjustRightInd w:val="0"/>
                    <w:jc w:val="center"/>
                    <w:textAlignment w:val="baseline"/>
                    <w:rPr>
                      <w:color w:val="auto"/>
                      <w:szCs w:val="21"/>
                    </w:rPr>
                  </w:pPr>
                </w:p>
              </w:tc>
              <w:tc>
                <w:tcPr>
                  <w:tcW w:w="902" w:type="pct"/>
                  <w:vAlign w:val="center"/>
                </w:tcPr>
                <w:p w14:paraId="7E01BC4F">
                  <w:pPr>
                    <w:adjustRightInd w:val="0"/>
                    <w:jc w:val="center"/>
                    <w:textAlignment w:val="baseline"/>
                    <w:rPr>
                      <w:color w:val="auto"/>
                      <w:szCs w:val="21"/>
                    </w:rPr>
                  </w:pPr>
                  <w:r>
                    <w:rPr>
                      <w:rFonts w:hint="eastAsia"/>
                      <w:color w:val="auto"/>
                      <w:szCs w:val="21"/>
                    </w:rPr>
                    <w:t>新建</w:t>
                  </w:r>
                </w:p>
              </w:tc>
            </w:tr>
            <w:tr w14:paraId="54302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36865CD1">
                  <w:pPr>
                    <w:adjustRightInd w:val="0"/>
                    <w:jc w:val="center"/>
                    <w:textAlignment w:val="baseline"/>
                    <w:rPr>
                      <w:color w:val="auto"/>
                      <w:szCs w:val="21"/>
                    </w:rPr>
                  </w:pPr>
                  <w:r>
                    <w:rPr>
                      <w:rFonts w:hint="eastAsia"/>
                      <w:color w:val="auto"/>
                      <w:szCs w:val="21"/>
                    </w:rPr>
                    <w:t>35</w:t>
                  </w:r>
                </w:p>
              </w:tc>
              <w:tc>
                <w:tcPr>
                  <w:tcW w:w="1522" w:type="pct"/>
                  <w:vAlign w:val="center"/>
                </w:tcPr>
                <w:p w14:paraId="5BA38914">
                  <w:pPr>
                    <w:adjustRightInd w:val="0"/>
                    <w:jc w:val="center"/>
                    <w:textAlignment w:val="baseline"/>
                    <w:rPr>
                      <w:color w:val="auto"/>
                      <w:szCs w:val="21"/>
                    </w:rPr>
                  </w:pPr>
                  <w:r>
                    <w:rPr>
                      <w:rFonts w:hint="eastAsia"/>
                      <w:color w:val="auto"/>
                      <w:szCs w:val="21"/>
                    </w:rPr>
                    <w:t>立式储料仓</w:t>
                  </w:r>
                </w:p>
              </w:tc>
              <w:tc>
                <w:tcPr>
                  <w:tcW w:w="947" w:type="pct"/>
                  <w:vAlign w:val="center"/>
                </w:tcPr>
                <w:p w14:paraId="2BCEA539">
                  <w:pPr>
                    <w:adjustRightInd w:val="0"/>
                    <w:jc w:val="center"/>
                    <w:textAlignment w:val="baseline"/>
                    <w:rPr>
                      <w:color w:val="auto"/>
                      <w:szCs w:val="21"/>
                    </w:rPr>
                  </w:pPr>
                  <w:r>
                    <w:rPr>
                      <w:rFonts w:hint="eastAsia"/>
                      <w:color w:val="auto"/>
                      <w:szCs w:val="21"/>
                    </w:rPr>
                    <w:t>300型</w:t>
                  </w:r>
                </w:p>
              </w:tc>
              <w:tc>
                <w:tcPr>
                  <w:tcW w:w="552" w:type="pct"/>
                  <w:vAlign w:val="center"/>
                </w:tcPr>
                <w:p w14:paraId="31A55732">
                  <w:pPr>
                    <w:adjustRightInd w:val="0"/>
                    <w:jc w:val="center"/>
                    <w:textAlignment w:val="baseline"/>
                    <w:rPr>
                      <w:color w:val="auto"/>
                      <w:szCs w:val="21"/>
                    </w:rPr>
                  </w:pPr>
                  <w:r>
                    <w:rPr>
                      <w:rFonts w:hint="eastAsia"/>
                      <w:color w:val="auto"/>
                      <w:szCs w:val="21"/>
                    </w:rPr>
                    <w:t>1</w:t>
                  </w:r>
                  <w:r>
                    <w:rPr>
                      <w:color w:val="auto"/>
                      <w:szCs w:val="21"/>
                    </w:rPr>
                    <w:t>台</w:t>
                  </w:r>
                </w:p>
              </w:tc>
              <w:tc>
                <w:tcPr>
                  <w:tcW w:w="631" w:type="pct"/>
                  <w:vMerge w:val="continue"/>
                  <w:vAlign w:val="center"/>
                </w:tcPr>
                <w:p w14:paraId="2F0EEAB0">
                  <w:pPr>
                    <w:adjustRightInd w:val="0"/>
                    <w:jc w:val="center"/>
                    <w:textAlignment w:val="baseline"/>
                    <w:rPr>
                      <w:color w:val="auto"/>
                      <w:szCs w:val="21"/>
                    </w:rPr>
                  </w:pPr>
                </w:p>
              </w:tc>
              <w:tc>
                <w:tcPr>
                  <w:tcW w:w="902" w:type="pct"/>
                  <w:vAlign w:val="center"/>
                </w:tcPr>
                <w:p w14:paraId="6A4E2D63">
                  <w:pPr>
                    <w:adjustRightInd w:val="0"/>
                    <w:jc w:val="center"/>
                    <w:textAlignment w:val="baseline"/>
                    <w:rPr>
                      <w:color w:val="auto"/>
                      <w:szCs w:val="21"/>
                    </w:rPr>
                  </w:pPr>
                  <w:r>
                    <w:rPr>
                      <w:rFonts w:hint="eastAsia"/>
                      <w:color w:val="auto"/>
                      <w:szCs w:val="21"/>
                    </w:rPr>
                    <w:t>新建</w:t>
                  </w:r>
                </w:p>
              </w:tc>
            </w:tr>
            <w:tr w14:paraId="59C6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427C79CB">
                  <w:pPr>
                    <w:adjustRightInd w:val="0"/>
                    <w:jc w:val="center"/>
                    <w:textAlignment w:val="baseline"/>
                    <w:rPr>
                      <w:color w:val="auto"/>
                      <w:szCs w:val="21"/>
                    </w:rPr>
                  </w:pPr>
                  <w:r>
                    <w:rPr>
                      <w:rFonts w:hint="eastAsia"/>
                      <w:color w:val="auto"/>
                      <w:szCs w:val="21"/>
                    </w:rPr>
                    <w:t>36</w:t>
                  </w:r>
                </w:p>
              </w:tc>
              <w:tc>
                <w:tcPr>
                  <w:tcW w:w="1522" w:type="pct"/>
                  <w:vAlign w:val="center"/>
                </w:tcPr>
                <w:p w14:paraId="3C5935DD">
                  <w:pPr>
                    <w:adjustRightInd w:val="0"/>
                    <w:jc w:val="center"/>
                    <w:textAlignment w:val="baseline"/>
                    <w:rPr>
                      <w:color w:val="auto"/>
                      <w:szCs w:val="21"/>
                    </w:rPr>
                  </w:pPr>
                  <w:r>
                    <w:rPr>
                      <w:rFonts w:hint="eastAsia"/>
                      <w:color w:val="auto"/>
                      <w:szCs w:val="21"/>
                    </w:rPr>
                    <w:t>飞锯</w:t>
                  </w:r>
                </w:p>
              </w:tc>
              <w:tc>
                <w:tcPr>
                  <w:tcW w:w="947" w:type="pct"/>
                  <w:vAlign w:val="center"/>
                </w:tcPr>
                <w:p w14:paraId="45744650">
                  <w:pPr>
                    <w:adjustRightInd w:val="0"/>
                    <w:jc w:val="center"/>
                    <w:textAlignment w:val="baseline"/>
                    <w:rPr>
                      <w:color w:val="auto"/>
                      <w:szCs w:val="21"/>
                    </w:rPr>
                  </w:pPr>
                  <w:r>
                    <w:rPr>
                      <w:rFonts w:hint="eastAsia"/>
                      <w:color w:val="auto"/>
                      <w:szCs w:val="21"/>
                    </w:rPr>
                    <w:t>76型</w:t>
                  </w:r>
                </w:p>
              </w:tc>
              <w:tc>
                <w:tcPr>
                  <w:tcW w:w="552" w:type="pct"/>
                  <w:vAlign w:val="center"/>
                </w:tcPr>
                <w:p w14:paraId="18BA3B8A">
                  <w:pPr>
                    <w:adjustRightInd w:val="0"/>
                    <w:jc w:val="center"/>
                    <w:textAlignment w:val="baseline"/>
                    <w:rPr>
                      <w:color w:val="auto"/>
                      <w:szCs w:val="21"/>
                    </w:rPr>
                  </w:pPr>
                  <w:r>
                    <w:rPr>
                      <w:rFonts w:hint="eastAsia"/>
                      <w:color w:val="auto"/>
                      <w:szCs w:val="21"/>
                    </w:rPr>
                    <w:t>1</w:t>
                  </w:r>
                  <w:r>
                    <w:rPr>
                      <w:color w:val="auto"/>
                      <w:szCs w:val="21"/>
                    </w:rPr>
                    <w:t>台</w:t>
                  </w:r>
                </w:p>
              </w:tc>
              <w:tc>
                <w:tcPr>
                  <w:tcW w:w="631" w:type="pct"/>
                  <w:vMerge w:val="continue"/>
                  <w:vAlign w:val="center"/>
                </w:tcPr>
                <w:p w14:paraId="3B8AD3C2">
                  <w:pPr>
                    <w:adjustRightInd w:val="0"/>
                    <w:jc w:val="center"/>
                    <w:textAlignment w:val="baseline"/>
                    <w:rPr>
                      <w:color w:val="auto"/>
                      <w:szCs w:val="21"/>
                    </w:rPr>
                  </w:pPr>
                </w:p>
              </w:tc>
              <w:tc>
                <w:tcPr>
                  <w:tcW w:w="902" w:type="pct"/>
                  <w:vAlign w:val="center"/>
                </w:tcPr>
                <w:p w14:paraId="57EA7CE9">
                  <w:pPr>
                    <w:adjustRightInd w:val="0"/>
                    <w:jc w:val="center"/>
                    <w:textAlignment w:val="baseline"/>
                    <w:rPr>
                      <w:color w:val="auto"/>
                      <w:szCs w:val="21"/>
                    </w:rPr>
                  </w:pPr>
                  <w:r>
                    <w:rPr>
                      <w:rFonts w:hint="eastAsia"/>
                      <w:color w:val="auto"/>
                      <w:szCs w:val="21"/>
                    </w:rPr>
                    <w:t>新建</w:t>
                  </w:r>
                </w:p>
              </w:tc>
            </w:tr>
            <w:tr w14:paraId="4EFFA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17888E2E">
                  <w:pPr>
                    <w:adjustRightInd w:val="0"/>
                    <w:jc w:val="center"/>
                    <w:textAlignment w:val="baseline"/>
                    <w:rPr>
                      <w:color w:val="auto"/>
                      <w:szCs w:val="21"/>
                    </w:rPr>
                  </w:pPr>
                  <w:r>
                    <w:rPr>
                      <w:rFonts w:hint="eastAsia"/>
                      <w:color w:val="auto"/>
                      <w:szCs w:val="21"/>
                    </w:rPr>
                    <w:t>37</w:t>
                  </w:r>
                </w:p>
              </w:tc>
              <w:tc>
                <w:tcPr>
                  <w:tcW w:w="1522" w:type="pct"/>
                  <w:vAlign w:val="center"/>
                </w:tcPr>
                <w:p w14:paraId="6CC34929">
                  <w:pPr>
                    <w:adjustRightInd w:val="0"/>
                    <w:jc w:val="center"/>
                    <w:textAlignment w:val="baseline"/>
                    <w:rPr>
                      <w:color w:val="auto"/>
                      <w:szCs w:val="21"/>
                    </w:rPr>
                  </w:pPr>
                  <w:r>
                    <w:rPr>
                      <w:rFonts w:hint="eastAsia"/>
                      <w:color w:val="auto"/>
                      <w:szCs w:val="21"/>
                    </w:rPr>
                    <w:t>码垛机</w:t>
                  </w:r>
                </w:p>
              </w:tc>
              <w:tc>
                <w:tcPr>
                  <w:tcW w:w="947" w:type="pct"/>
                  <w:vAlign w:val="center"/>
                </w:tcPr>
                <w:p w14:paraId="1ADA8A8E">
                  <w:pPr>
                    <w:adjustRightInd w:val="0"/>
                    <w:jc w:val="center"/>
                    <w:textAlignment w:val="baseline"/>
                    <w:rPr>
                      <w:color w:val="auto"/>
                      <w:szCs w:val="21"/>
                    </w:rPr>
                  </w:pPr>
                  <w:r>
                    <w:rPr>
                      <w:rFonts w:hint="eastAsia"/>
                      <w:color w:val="auto"/>
                      <w:szCs w:val="21"/>
                    </w:rPr>
                    <w:t>76型</w:t>
                  </w:r>
                </w:p>
              </w:tc>
              <w:tc>
                <w:tcPr>
                  <w:tcW w:w="552" w:type="pct"/>
                  <w:vAlign w:val="center"/>
                </w:tcPr>
                <w:p w14:paraId="4D022959">
                  <w:pPr>
                    <w:adjustRightInd w:val="0"/>
                    <w:jc w:val="center"/>
                    <w:textAlignment w:val="baseline"/>
                    <w:rPr>
                      <w:color w:val="auto"/>
                      <w:szCs w:val="21"/>
                    </w:rPr>
                  </w:pPr>
                  <w:r>
                    <w:rPr>
                      <w:rFonts w:hint="eastAsia"/>
                      <w:color w:val="auto"/>
                      <w:szCs w:val="21"/>
                    </w:rPr>
                    <w:t>1</w:t>
                  </w:r>
                  <w:r>
                    <w:rPr>
                      <w:color w:val="auto"/>
                      <w:szCs w:val="21"/>
                    </w:rPr>
                    <w:t>台</w:t>
                  </w:r>
                </w:p>
              </w:tc>
              <w:tc>
                <w:tcPr>
                  <w:tcW w:w="631" w:type="pct"/>
                  <w:vMerge w:val="continue"/>
                  <w:vAlign w:val="center"/>
                </w:tcPr>
                <w:p w14:paraId="66F92B46">
                  <w:pPr>
                    <w:adjustRightInd w:val="0"/>
                    <w:jc w:val="center"/>
                    <w:textAlignment w:val="baseline"/>
                    <w:rPr>
                      <w:color w:val="auto"/>
                      <w:szCs w:val="21"/>
                    </w:rPr>
                  </w:pPr>
                </w:p>
              </w:tc>
              <w:tc>
                <w:tcPr>
                  <w:tcW w:w="902" w:type="pct"/>
                  <w:vAlign w:val="center"/>
                </w:tcPr>
                <w:p w14:paraId="7FFE0480">
                  <w:pPr>
                    <w:adjustRightInd w:val="0"/>
                    <w:jc w:val="center"/>
                    <w:textAlignment w:val="baseline"/>
                    <w:rPr>
                      <w:color w:val="auto"/>
                      <w:szCs w:val="21"/>
                    </w:rPr>
                  </w:pPr>
                  <w:r>
                    <w:rPr>
                      <w:rFonts w:hint="eastAsia"/>
                      <w:color w:val="auto"/>
                      <w:szCs w:val="21"/>
                    </w:rPr>
                    <w:t>新建</w:t>
                  </w:r>
                </w:p>
              </w:tc>
            </w:tr>
            <w:tr w14:paraId="79EA9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064BCAE0">
                  <w:pPr>
                    <w:adjustRightInd w:val="0"/>
                    <w:jc w:val="center"/>
                    <w:textAlignment w:val="baseline"/>
                    <w:rPr>
                      <w:color w:val="auto"/>
                      <w:szCs w:val="21"/>
                    </w:rPr>
                  </w:pPr>
                  <w:r>
                    <w:rPr>
                      <w:rFonts w:hint="eastAsia"/>
                      <w:color w:val="auto"/>
                      <w:szCs w:val="21"/>
                    </w:rPr>
                    <w:t>38</w:t>
                  </w:r>
                </w:p>
              </w:tc>
              <w:tc>
                <w:tcPr>
                  <w:tcW w:w="1522" w:type="pct"/>
                  <w:vAlign w:val="center"/>
                </w:tcPr>
                <w:p w14:paraId="24B2B4B7">
                  <w:pPr>
                    <w:adjustRightInd w:val="0"/>
                    <w:jc w:val="center"/>
                    <w:textAlignment w:val="baseline"/>
                    <w:rPr>
                      <w:color w:val="auto"/>
                      <w:szCs w:val="21"/>
                    </w:rPr>
                  </w:pPr>
                  <w:r>
                    <w:rPr>
                      <w:color w:val="auto"/>
                      <w:szCs w:val="21"/>
                    </w:rPr>
                    <w:t>高频直缝焊管机</w:t>
                  </w:r>
                </w:p>
              </w:tc>
              <w:tc>
                <w:tcPr>
                  <w:tcW w:w="947" w:type="pct"/>
                  <w:vAlign w:val="center"/>
                </w:tcPr>
                <w:p w14:paraId="76CB92F0">
                  <w:pPr>
                    <w:adjustRightInd w:val="0"/>
                    <w:jc w:val="center"/>
                    <w:textAlignment w:val="baseline"/>
                    <w:rPr>
                      <w:color w:val="auto"/>
                      <w:szCs w:val="21"/>
                    </w:rPr>
                  </w:pPr>
                  <w:r>
                    <w:rPr>
                      <w:rFonts w:hint="eastAsia"/>
                      <w:color w:val="auto"/>
                      <w:szCs w:val="21"/>
                    </w:rPr>
                    <w:t>200</w:t>
                  </w:r>
                  <w:r>
                    <w:rPr>
                      <w:color w:val="auto"/>
                      <w:szCs w:val="21"/>
                    </w:rPr>
                    <w:t xml:space="preserve"> kW</w:t>
                  </w:r>
                </w:p>
              </w:tc>
              <w:tc>
                <w:tcPr>
                  <w:tcW w:w="552" w:type="pct"/>
                  <w:vAlign w:val="center"/>
                </w:tcPr>
                <w:p w14:paraId="7AD105CF">
                  <w:pPr>
                    <w:adjustRightInd w:val="0"/>
                    <w:jc w:val="center"/>
                    <w:textAlignment w:val="baseline"/>
                    <w:rPr>
                      <w:color w:val="auto"/>
                      <w:szCs w:val="21"/>
                    </w:rPr>
                  </w:pPr>
                  <w:r>
                    <w:rPr>
                      <w:color w:val="auto"/>
                      <w:szCs w:val="21"/>
                    </w:rPr>
                    <w:t>1台</w:t>
                  </w:r>
                </w:p>
              </w:tc>
              <w:tc>
                <w:tcPr>
                  <w:tcW w:w="631" w:type="pct"/>
                  <w:vMerge w:val="continue"/>
                  <w:vAlign w:val="center"/>
                </w:tcPr>
                <w:p w14:paraId="3FD8C385">
                  <w:pPr>
                    <w:adjustRightInd w:val="0"/>
                    <w:jc w:val="center"/>
                    <w:textAlignment w:val="baseline"/>
                    <w:rPr>
                      <w:color w:val="auto"/>
                      <w:szCs w:val="21"/>
                    </w:rPr>
                  </w:pPr>
                </w:p>
              </w:tc>
              <w:tc>
                <w:tcPr>
                  <w:tcW w:w="902" w:type="pct"/>
                  <w:vAlign w:val="center"/>
                </w:tcPr>
                <w:p w14:paraId="79D19FC0">
                  <w:pPr>
                    <w:adjustRightInd w:val="0"/>
                    <w:jc w:val="center"/>
                    <w:textAlignment w:val="baseline"/>
                    <w:rPr>
                      <w:color w:val="auto"/>
                      <w:szCs w:val="21"/>
                    </w:rPr>
                  </w:pPr>
                  <w:r>
                    <w:rPr>
                      <w:rFonts w:hint="eastAsia"/>
                      <w:color w:val="auto"/>
                      <w:szCs w:val="21"/>
                    </w:rPr>
                    <w:t>新建</w:t>
                  </w:r>
                </w:p>
              </w:tc>
            </w:tr>
            <w:tr w14:paraId="19355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0E305C9D">
                  <w:pPr>
                    <w:adjustRightInd w:val="0"/>
                    <w:jc w:val="center"/>
                    <w:textAlignment w:val="baseline"/>
                    <w:rPr>
                      <w:color w:val="auto"/>
                      <w:szCs w:val="21"/>
                    </w:rPr>
                  </w:pPr>
                  <w:r>
                    <w:rPr>
                      <w:rFonts w:hint="eastAsia"/>
                      <w:color w:val="auto"/>
                      <w:szCs w:val="21"/>
                    </w:rPr>
                    <w:t>39</w:t>
                  </w:r>
                </w:p>
              </w:tc>
              <w:tc>
                <w:tcPr>
                  <w:tcW w:w="1522" w:type="pct"/>
                  <w:vAlign w:val="center"/>
                </w:tcPr>
                <w:p w14:paraId="705DB02D">
                  <w:pPr>
                    <w:adjustRightInd w:val="0"/>
                    <w:jc w:val="center"/>
                    <w:textAlignment w:val="baseline"/>
                    <w:rPr>
                      <w:color w:val="auto"/>
                      <w:szCs w:val="21"/>
                    </w:rPr>
                  </w:pPr>
                  <w:r>
                    <w:rPr>
                      <w:rFonts w:hint="eastAsia"/>
                      <w:color w:val="auto"/>
                      <w:szCs w:val="21"/>
                    </w:rPr>
                    <w:t>气动开卷机</w:t>
                  </w:r>
                </w:p>
              </w:tc>
              <w:tc>
                <w:tcPr>
                  <w:tcW w:w="947" w:type="pct"/>
                  <w:vAlign w:val="center"/>
                </w:tcPr>
                <w:p w14:paraId="553C9094">
                  <w:pPr>
                    <w:adjustRightInd w:val="0"/>
                    <w:jc w:val="center"/>
                    <w:textAlignment w:val="baseline"/>
                    <w:rPr>
                      <w:color w:val="auto"/>
                      <w:szCs w:val="21"/>
                    </w:rPr>
                  </w:pPr>
                  <w:r>
                    <w:rPr>
                      <w:rFonts w:hint="eastAsia"/>
                      <w:color w:val="auto"/>
                      <w:szCs w:val="21"/>
                    </w:rPr>
                    <w:t>200型</w:t>
                  </w:r>
                </w:p>
              </w:tc>
              <w:tc>
                <w:tcPr>
                  <w:tcW w:w="552" w:type="pct"/>
                  <w:vAlign w:val="center"/>
                </w:tcPr>
                <w:p w14:paraId="0F835CB4">
                  <w:pPr>
                    <w:adjustRightInd w:val="0"/>
                    <w:jc w:val="center"/>
                    <w:textAlignment w:val="baseline"/>
                    <w:rPr>
                      <w:color w:val="auto"/>
                      <w:szCs w:val="21"/>
                    </w:rPr>
                  </w:pPr>
                  <w:r>
                    <w:rPr>
                      <w:rFonts w:hint="eastAsia"/>
                      <w:color w:val="auto"/>
                      <w:szCs w:val="21"/>
                    </w:rPr>
                    <w:t>1台</w:t>
                  </w:r>
                </w:p>
              </w:tc>
              <w:tc>
                <w:tcPr>
                  <w:tcW w:w="631" w:type="pct"/>
                  <w:vMerge w:val="continue"/>
                  <w:vAlign w:val="center"/>
                </w:tcPr>
                <w:p w14:paraId="3D881E30">
                  <w:pPr>
                    <w:adjustRightInd w:val="0"/>
                    <w:jc w:val="center"/>
                    <w:textAlignment w:val="baseline"/>
                    <w:rPr>
                      <w:color w:val="auto"/>
                      <w:szCs w:val="21"/>
                    </w:rPr>
                  </w:pPr>
                </w:p>
              </w:tc>
              <w:tc>
                <w:tcPr>
                  <w:tcW w:w="902" w:type="pct"/>
                  <w:vAlign w:val="center"/>
                </w:tcPr>
                <w:p w14:paraId="29FAE524">
                  <w:pPr>
                    <w:adjustRightInd w:val="0"/>
                    <w:jc w:val="center"/>
                    <w:textAlignment w:val="baseline"/>
                    <w:rPr>
                      <w:color w:val="auto"/>
                      <w:szCs w:val="21"/>
                    </w:rPr>
                  </w:pPr>
                  <w:r>
                    <w:rPr>
                      <w:rFonts w:hint="eastAsia"/>
                      <w:color w:val="auto"/>
                      <w:szCs w:val="21"/>
                    </w:rPr>
                    <w:t>新建</w:t>
                  </w:r>
                </w:p>
              </w:tc>
            </w:tr>
            <w:tr w14:paraId="0DF62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3F0AFF12">
                  <w:pPr>
                    <w:adjustRightInd w:val="0"/>
                    <w:jc w:val="center"/>
                    <w:textAlignment w:val="baseline"/>
                    <w:rPr>
                      <w:color w:val="auto"/>
                      <w:szCs w:val="21"/>
                    </w:rPr>
                  </w:pPr>
                  <w:r>
                    <w:rPr>
                      <w:rFonts w:hint="eastAsia"/>
                      <w:color w:val="auto"/>
                      <w:szCs w:val="21"/>
                    </w:rPr>
                    <w:t>40</w:t>
                  </w:r>
                </w:p>
              </w:tc>
              <w:tc>
                <w:tcPr>
                  <w:tcW w:w="1522" w:type="pct"/>
                  <w:vAlign w:val="center"/>
                </w:tcPr>
                <w:p w14:paraId="23E81DEC">
                  <w:pPr>
                    <w:adjustRightInd w:val="0"/>
                    <w:jc w:val="center"/>
                    <w:textAlignment w:val="baseline"/>
                    <w:rPr>
                      <w:color w:val="auto"/>
                      <w:szCs w:val="21"/>
                    </w:rPr>
                  </w:pPr>
                  <w:r>
                    <w:rPr>
                      <w:rFonts w:hint="eastAsia"/>
                      <w:color w:val="auto"/>
                      <w:szCs w:val="21"/>
                    </w:rPr>
                    <w:t>立式储料仓</w:t>
                  </w:r>
                </w:p>
              </w:tc>
              <w:tc>
                <w:tcPr>
                  <w:tcW w:w="947" w:type="pct"/>
                  <w:vAlign w:val="center"/>
                </w:tcPr>
                <w:p w14:paraId="1AD0AC0C">
                  <w:pPr>
                    <w:adjustRightInd w:val="0"/>
                    <w:jc w:val="center"/>
                    <w:textAlignment w:val="baseline"/>
                    <w:rPr>
                      <w:color w:val="auto"/>
                      <w:szCs w:val="21"/>
                    </w:rPr>
                  </w:pPr>
                  <w:r>
                    <w:rPr>
                      <w:rFonts w:hint="eastAsia"/>
                      <w:color w:val="auto"/>
                      <w:szCs w:val="21"/>
                    </w:rPr>
                    <w:t>200型</w:t>
                  </w:r>
                </w:p>
              </w:tc>
              <w:tc>
                <w:tcPr>
                  <w:tcW w:w="552" w:type="pct"/>
                  <w:vAlign w:val="center"/>
                </w:tcPr>
                <w:p w14:paraId="5264FC82">
                  <w:pPr>
                    <w:adjustRightInd w:val="0"/>
                    <w:jc w:val="center"/>
                    <w:textAlignment w:val="baseline"/>
                    <w:rPr>
                      <w:color w:val="auto"/>
                      <w:szCs w:val="21"/>
                    </w:rPr>
                  </w:pPr>
                  <w:r>
                    <w:rPr>
                      <w:rFonts w:hint="eastAsia"/>
                      <w:color w:val="auto"/>
                      <w:szCs w:val="21"/>
                    </w:rPr>
                    <w:t>1台</w:t>
                  </w:r>
                </w:p>
              </w:tc>
              <w:tc>
                <w:tcPr>
                  <w:tcW w:w="631" w:type="pct"/>
                  <w:vMerge w:val="continue"/>
                  <w:vAlign w:val="center"/>
                </w:tcPr>
                <w:p w14:paraId="0737F141">
                  <w:pPr>
                    <w:adjustRightInd w:val="0"/>
                    <w:jc w:val="center"/>
                    <w:textAlignment w:val="baseline"/>
                    <w:rPr>
                      <w:color w:val="auto"/>
                      <w:szCs w:val="21"/>
                    </w:rPr>
                  </w:pPr>
                </w:p>
              </w:tc>
              <w:tc>
                <w:tcPr>
                  <w:tcW w:w="902" w:type="pct"/>
                  <w:vAlign w:val="center"/>
                </w:tcPr>
                <w:p w14:paraId="082EFEEB">
                  <w:pPr>
                    <w:adjustRightInd w:val="0"/>
                    <w:jc w:val="center"/>
                    <w:textAlignment w:val="baseline"/>
                    <w:rPr>
                      <w:color w:val="auto"/>
                      <w:szCs w:val="21"/>
                    </w:rPr>
                  </w:pPr>
                  <w:r>
                    <w:rPr>
                      <w:rFonts w:hint="eastAsia"/>
                      <w:color w:val="auto"/>
                      <w:szCs w:val="21"/>
                    </w:rPr>
                    <w:t>新建</w:t>
                  </w:r>
                </w:p>
              </w:tc>
            </w:tr>
            <w:tr w14:paraId="26BA8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691A071F">
                  <w:pPr>
                    <w:adjustRightInd w:val="0"/>
                    <w:jc w:val="center"/>
                    <w:textAlignment w:val="baseline"/>
                    <w:rPr>
                      <w:color w:val="auto"/>
                      <w:szCs w:val="21"/>
                    </w:rPr>
                  </w:pPr>
                  <w:r>
                    <w:rPr>
                      <w:rFonts w:hint="eastAsia"/>
                      <w:color w:val="auto"/>
                      <w:szCs w:val="21"/>
                    </w:rPr>
                    <w:t>41</w:t>
                  </w:r>
                </w:p>
              </w:tc>
              <w:tc>
                <w:tcPr>
                  <w:tcW w:w="1522" w:type="pct"/>
                  <w:vAlign w:val="center"/>
                </w:tcPr>
                <w:p w14:paraId="26902F6B">
                  <w:pPr>
                    <w:adjustRightInd w:val="0"/>
                    <w:jc w:val="center"/>
                    <w:textAlignment w:val="baseline"/>
                    <w:rPr>
                      <w:color w:val="auto"/>
                      <w:szCs w:val="21"/>
                    </w:rPr>
                  </w:pPr>
                  <w:r>
                    <w:rPr>
                      <w:rFonts w:hint="eastAsia"/>
                      <w:color w:val="auto"/>
                      <w:szCs w:val="21"/>
                    </w:rPr>
                    <w:t>飞锯</w:t>
                  </w:r>
                </w:p>
              </w:tc>
              <w:tc>
                <w:tcPr>
                  <w:tcW w:w="947" w:type="pct"/>
                  <w:vAlign w:val="center"/>
                </w:tcPr>
                <w:p w14:paraId="0477D8B8">
                  <w:pPr>
                    <w:adjustRightInd w:val="0"/>
                    <w:jc w:val="center"/>
                    <w:textAlignment w:val="baseline"/>
                    <w:rPr>
                      <w:color w:val="auto"/>
                      <w:szCs w:val="21"/>
                    </w:rPr>
                  </w:pPr>
                  <w:r>
                    <w:rPr>
                      <w:rFonts w:hint="eastAsia"/>
                      <w:color w:val="auto"/>
                      <w:szCs w:val="21"/>
                    </w:rPr>
                    <w:t>50型</w:t>
                  </w:r>
                </w:p>
              </w:tc>
              <w:tc>
                <w:tcPr>
                  <w:tcW w:w="552" w:type="pct"/>
                  <w:vAlign w:val="center"/>
                </w:tcPr>
                <w:p w14:paraId="04C1AAD8">
                  <w:pPr>
                    <w:adjustRightInd w:val="0"/>
                    <w:jc w:val="center"/>
                    <w:textAlignment w:val="baseline"/>
                    <w:rPr>
                      <w:color w:val="auto"/>
                      <w:szCs w:val="21"/>
                    </w:rPr>
                  </w:pPr>
                  <w:r>
                    <w:rPr>
                      <w:rFonts w:hint="eastAsia"/>
                      <w:color w:val="auto"/>
                      <w:szCs w:val="21"/>
                    </w:rPr>
                    <w:t>1台</w:t>
                  </w:r>
                </w:p>
              </w:tc>
              <w:tc>
                <w:tcPr>
                  <w:tcW w:w="631" w:type="pct"/>
                  <w:vMerge w:val="continue"/>
                  <w:vAlign w:val="center"/>
                </w:tcPr>
                <w:p w14:paraId="14C3C317">
                  <w:pPr>
                    <w:adjustRightInd w:val="0"/>
                    <w:jc w:val="center"/>
                    <w:textAlignment w:val="baseline"/>
                    <w:rPr>
                      <w:color w:val="auto"/>
                      <w:szCs w:val="21"/>
                    </w:rPr>
                  </w:pPr>
                </w:p>
              </w:tc>
              <w:tc>
                <w:tcPr>
                  <w:tcW w:w="902" w:type="pct"/>
                  <w:vAlign w:val="center"/>
                </w:tcPr>
                <w:p w14:paraId="351FF9AF">
                  <w:pPr>
                    <w:adjustRightInd w:val="0"/>
                    <w:jc w:val="center"/>
                    <w:textAlignment w:val="baseline"/>
                    <w:rPr>
                      <w:color w:val="auto"/>
                      <w:szCs w:val="21"/>
                    </w:rPr>
                  </w:pPr>
                  <w:r>
                    <w:rPr>
                      <w:rFonts w:hint="eastAsia"/>
                      <w:color w:val="auto"/>
                      <w:szCs w:val="21"/>
                    </w:rPr>
                    <w:t>新建</w:t>
                  </w:r>
                </w:p>
              </w:tc>
            </w:tr>
            <w:tr w14:paraId="7CA71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01D0A52F">
                  <w:pPr>
                    <w:adjustRightInd w:val="0"/>
                    <w:jc w:val="center"/>
                    <w:textAlignment w:val="baseline"/>
                    <w:rPr>
                      <w:color w:val="auto"/>
                      <w:szCs w:val="21"/>
                    </w:rPr>
                  </w:pPr>
                  <w:r>
                    <w:rPr>
                      <w:rFonts w:hint="eastAsia"/>
                      <w:color w:val="auto"/>
                      <w:szCs w:val="21"/>
                    </w:rPr>
                    <w:t>42</w:t>
                  </w:r>
                </w:p>
              </w:tc>
              <w:tc>
                <w:tcPr>
                  <w:tcW w:w="1522" w:type="pct"/>
                  <w:vAlign w:val="center"/>
                </w:tcPr>
                <w:p w14:paraId="3C5DADAD">
                  <w:pPr>
                    <w:adjustRightInd w:val="0"/>
                    <w:jc w:val="center"/>
                    <w:textAlignment w:val="baseline"/>
                    <w:rPr>
                      <w:color w:val="auto"/>
                      <w:szCs w:val="21"/>
                    </w:rPr>
                  </w:pPr>
                  <w:r>
                    <w:rPr>
                      <w:rFonts w:hint="eastAsia"/>
                      <w:color w:val="auto"/>
                      <w:szCs w:val="21"/>
                    </w:rPr>
                    <w:t>码垛机</w:t>
                  </w:r>
                </w:p>
              </w:tc>
              <w:tc>
                <w:tcPr>
                  <w:tcW w:w="947" w:type="pct"/>
                  <w:vAlign w:val="center"/>
                </w:tcPr>
                <w:p w14:paraId="70DCA921">
                  <w:pPr>
                    <w:adjustRightInd w:val="0"/>
                    <w:jc w:val="center"/>
                    <w:textAlignment w:val="baseline"/>
                    <w:rPr>
                      <w:color w:val="auto"/>
                      <w:szCs w:val="21"/>
                    </w:rPr>
                  </w:pPr>
                  <w:r>
                    <w:rPr>
                      <w:rFonts w:hint="eastAsia"/>
                      <w:color w:val="auto"/>
                      <w:szCs w:val="21"/>
                    </w:rPr>
                    <w:t>50型</w:t>
                  </w:r>
                </w:p>
              </w:tc>
              <w:tc>
                <w:tcPr>
                  <w:tcW w:w="552" w:type="pct"/>
                  <w:vAlign w:val="center"/>
                </w:tcPr>
                <w:p w14:paraId="5C513B51">
                  <w:pPr>
                    <w:adjustRightInd w:val="0"/>
                    <w:jc w:val="center"/>
                    <w:textAlignment w:val="baseline"/>
                    <w:rPr>
                      <w:color w:val="auto"/>
                      <w:szCs w:val="21"/>
                    </w:rPr>
                  </w:pPr>
                  <w:r>
                    <w:rPr>
                      <w:rFonts w:hint="eastAsia"/>
                      <w:color w:val="auto"/>
                      <w:szCs w:val="21"/>
                    </w:rPr>
                    <w:t>1</w:t>
                  </w:r>
                  <w:r>
                    <w:rPr>
                      <w:color w:val="auto"/>
                      <w:szCs w:val="21"/>
                    </w:rPr>
                    <w:t>台</w:t>
                  </w:r>
                </w:p>
              </w:tc>
              <w:tc>
                <w:tcPr>
                  <w:tcW w:w="631" w:type="pct"/>
                  <w:vMerge w:val="continue"/>
                  <w:vAlign w:val="center"/>
                </w:tcPr>
                <w:p w14:paraId="335D74A8">
                  <w:pPr>
                    <w:adjustRightInd w:val="0"/>
                    <w:jc w:val="center"/>
                    <w:textAlignment w:val="baseline"/>
                    <w:rPr>
                      <w:color w:val="auto"/>
                      <w:szCs w:val="21"/>
                    </w:rPr>
                  </w:pPr>
                </w:p>
              </w:tc>
              <w:tc>
                <w:tcPr>
                  <w:tcW w:w="902" w:type="pct"/>
                  <w:vAlign w:val="center"/>
                </w:tcPr>
                <w:p w14:paraId="23512FE4">
                  <w:pPr>
                    <w:adjustRightInd w:val="0"/>
                    <w:jc w:val="center"/>
                    <w:textAlignment w:val="baseline"/>
                    <w:rPr>
                      <w:color w:val="auto"/>
                      <w:szCs w:val="21"/>
                    </w:rPr>
                  </w:pPr>
                  <w:r>
                    <w:rPr>
                      <w:rFonts w:hint="eastAsia"/>
                      <w:color w:val="auto"/>
                      <w:szCs w:val="21"/>
                    </w:rPr>
                    <w:t>新建</w:t>
                  </w:r>
                </w:p>
              </w:tc>
            </w:tr>
            <w:tr w14:paraId="09D44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 w:type="pct"/>
                  <w:vAlign w:val="center"/>
                </w:tcPr>
                <w:p w14:paraId="454F5EDF">
                  <w:pPr>
                    <w:adjustRightInd w:val="0"/>
                    <w:jc w:val="center"/>
                    <w:textAlignment w:val="baseline"/>
                    <w:rPr>
                      <w:color w:val="auto"/>
                      <w:szCs w:val="21"/>
                    </w:rPr>
                  </w:pPr>
                  <w:r>
                    <w:rPr>
                      <w:rFonts w:hint="eastAsia"/>
                      <w:color w:val="auto"/>
                      <w:szCs w:val="21"/>
                    </w:rPr>
                    <w:t>43</w:t>
                  </w:r>
                </w:p>
              </w:tc>
              <w:tc>
                <w:tcPr>
                  <w:tcW w:w="1522" w:type="pct"/>
                  <w:vAlign w:val="center"/>
                </w:tcPr>
                <w:p w14:paraId="10F76E60">
                  <w:pPr>
                    <w:adjustRightInd w:val="0"/>
                    <w:jc w:val="center"/>
                    <w:textAlignment w:val="baseline"/>
                    <w:rPr>
                      <w:color w:val="auto"/>
                      <w:szCs w:val="21"/>
                    </w:rPr>
                  </w:pPr>
                  <w:r>
                    <w:rPr>
                      <w:rFonts w:hint="eastAsia"/>
                      <w:color w:val="auto"/>
                      <w:szCs w:val="21"/>
                    </w:rPr>
                    <w:t>集气罩+风机+布袋除尘器</w:t>
                  </w:r>
                </w:p>
              </w:tc>
              <w:tc>
                <w:tcPr>
                  <w:tcW w:w="947" w:type="pct"/>
                  <w:vAlign w:val="center"/>
                </w:tcPr>
                <w:p w14:paraId="7F5218C9">
                  <w:pPr>
                    <w:adjustRightInd w:val="0"/>
                    <w:jc w:val="center"/>
                    <w:textAlignment w:val="baseline"/>
                    <w:rPr>
                      <w:color w:val="auto"/>
                      <w:szCs w:val="21"/>
                    </w:rPr>
                  </w:pPr>
                </w:p>
              </w:tc>
              <w:tc>
                <w:tcPr>
                  <w:tcW w:w="552" w:type="pct"/>
                  <w:vAlign w:val="center"/>
                </w:tcPr>
                <w:p w14:paraId="0B8DD4E7">
                  <w:pPr>
                    <w:adjustRightInd w:val="0"/>
                    <w:jc w:val="center"/>
                    <w:textAlignment w:val="baseline"/>
                    <w:rPr>
                      <w:color w:val="auto"/>
                      <w:szCs w:val="21"/>
                    </w:rPr>
                  </w:pPr>
                  <w:r>
                    <w:rPr>
                      <w:rFonts w:hint="eastAsia"/>
                      <w:color w:val="auto"/>
                      <w:szCs w:val="21"/>
                    </w:rPr>
                    <w:t>2套</w:t>
                  </w:r>
                </w:p>
              </w:tc>
              <w:tc>
                <w:tcPr>
                  <w:tcW w:w="631" w:type="pct"/>
                  <w:vMerge w:val="continue"/>
                  <w:vAlign w:val="center"/>
                </w:tcPr>
                <w:p w14:paraId="5B2D5B63">
                  <w:pPr>
                    <w:adjustRightInd w:val="0"/>
                    <w:jc w:val="center"/>
                    <w:textAlignment w:val="baseline"/>
                    <w:rPr>
                      <w:color w:val="auto"/>
                      <w:szCs w:val="21"/>
                    </w:rPr>
                  </w:pPr>
                </w:p>
              </w:tc>
              <w:tc>
                <w:tcPr>
                  <w:tcW w:w="902" w:type="pct"/>
                  <w:vAlign w:val="center"/>
                </w:tcPr>
                <w:p w14:paraId="7617CB04">
                  <w:pPr>
                    <w:adjustRightInd w:val="0"/>
                    <w:jc w:val="center"/>
                    <w:textAlignment w:val="baseline"/>
                    <w:rPr>
                      <w:color w:val="auto"/>
                      <w:szCs w:val="21"/>
                    </w:rPr>
                  </w:pPr>
                  <w:r>
                    <w:rPr>
                      <w:rFonts w:hint="eastAsia"/>
                      <w:color w:val="auto"/>
                      <w:szCs w:val="21"/>
                    </w:rPr>
                    <w:t>新建</w:t>
                  </w:r>
                </w:p>
              </w:tc>
            </w:tr>
          </w:tbl>
          <w:p w14:paraId="54F51201">
            <w:pPr>
              <w:adjustRightInd w:val="0"/>
              <w:snapToGrid w:val="0"/>
              <w:spacing w:line="360" w:lineRule="auto"/>
              <w:jc w:val="left"/>
              <w:rPr>
                <w:bCs/>
                <w:color w:val="auto"/>
                <w:szCs w:val="21"/>
              </w:rPr>
            </w:pPr>
            <w:r>
              <w:rPr>
                <w:b/>
                <w:bCs/>
                <w:color w:val="auto"/>
                <w:sz w:val="24"/>
              </w:rPr>
              <w:t>4</w:t>
            </w:r>
            <w:r>
              <w:rPr>
                <w:rFonts w:hint="eastAsia"/>
                <w:b/>
                <w:bCs/>
                <w:color w:val="auto"/>
                <w:sz w:val="24"/>
              </w:rPr>
              <w:t>、主要原辅材料及能源</w:t>
            </w:r>
          </w:p>
          <w:p w14:paraId="41233D23">
            <w:pPr>
              <w:adjustRightInd w:val="0"/>
              <w:snapToGrid w:val="0"/>
              <w:spacing w:line="360" w:lineRule="auto"/>
              <w:ind w:firstLine="480" w:firstLineChars="200"/>
              <w:rPr>
                <w:color w:val="auto"/>
                <w:kern w:val="24"/>
                <w:sz w:val="24"/>
              </w:rPr>
            </w:pPr>
            <w:r>
              <w:rPr>
                <w:rFonts w:hint="eastAsia"/>
                <w:color w:val="auto"/>
                <w:kern w:val="24"/>
                <w:sz w:val="24"/>
              </w:rPr>
              <w:t>（1）主要原辅材料</w:t>
            </w:r>
          </w:p>
          <w:p w14:paraId="58C088C7">
            <w:pPr>
              <w:adjustRightInd w:val="0"/>
              <w:snapToGrid w:val="0"/>
              <w:spacing w:line="360" w:lineRule="auto"/>
              <w:ind w:firstLine="480" w:firstLineChars="200"/>
              <w:rPr>
                <w:color w:val="auto"/>
                <w:kern w:val="24"/>
                <w:sz w:val="24"/>
              </w:rPr>
            </w:pPr>
            <w:r>
              <w:rPr>
                <w:color w:val="auto"/>
                <w:kern w:val="24"/>
                <w:sz w:val="24"/>
              </w:rPr>
              <w:t>本项目具体原辅材料使用消耗情况见表</w:t>
            </w:r>
            <w:r>
              <w:rPr>
                <w:rFonts w:hint="eastAsia"/>
                <w:color w:val="auto"/>
                <w:kern w:val="24"/>
                <w:sz w:val="24"/>
              </w:rPr>
              <w:t>2</w:t>
            </w:r>
            <w:r>
              <w:rPr>
                <w:color w:val="auto"/>
                <w:kern w:val="24"/>
                <w:sz w:val="24"/>
              </w:rPr>
              <w:t>-4。</w:t>
            </w:r>
          </w:p>
          <w:p w14:paraId="47F86FD4">
            <w:pPr>
              <w:adjustRightInd w:val="0"/>
              <w:snapToGrid w:val="0"/>
              <w:spacing w:line="360" w:lineRule="auto"/>
              <w:ind w:firstLine="482" w:firstLineChars="200"/>
              <w:jc w:val="center"/>
              <w:rPr>
                <w:b/>
                <w:bCs/>
                <w:color w:val="auto"/>
                <w:kern w:val="24"/>
                <w:sz w:val="24"/>
              </w:rPr>
            </w:pPr>
            <w:r>
              <w:rPr>
                <w:rFonts w:hint="eastAsia"/>
                <w:b/>
                <w:bCs/>
                <w:color w:val="auto"/>
                <w:kern w:val="24"/>
                <w:sz w:val="24"/>
              </w:rPr>
              <w:t>表</w:t>
            </w:r>
            <w:r>
              <w:rPr>
                <w:b/>
                <w:bCs/>
                <w:color w:val="auto"/>
                <w:kern w:val="24"/>
                <w:sz w:val="24"/>
              </w:rPr>
              <w:t xml:space="preserve">2-4  </w:t>
            </w:r>
            <w:r>
              <w:rPr>
                <w:rFonts w:hint="eastAsia"/>
                <w:b/>
                <w:bCs/>
                <w:color w:val="auto"/>
                <w:kern w:val="24"/>
                <w:sz w:val="24"/>
              </w:rPr>
              <w:t>项目主要原辅材料及能源消耗表</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4"/>
              <w:gridCol w:w="1141"/>
              <w:gridCol w:w="1181"/>
              <w:gridCol w:w="975"/>
              <w:gridCol w:w="1418"/>
              <w:gridCol w:w="992"/>
              <w:gridCol w:w="2613"/>
            </w:tblGrid>
            <w:tr w14:paraId="086D8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 w:type="dxa"/>
                  <w:vAlign w:val="center"/>
                </w:tcPr>
                <w:p w14:paraId="20E70244">
                  <w:pPr>
                    <w:adjustRightInd w:val="0"/>
                    <w:jc w:val="center"/>
                    <w:textAlignment w:val="baseline"/>
                    <w:rPr>
                      <w:color w:val="auto"/>
                      <w:kern w:val="24"/>
                      <w:szCs w:val="21"/>
                    </w:rPr>
                  </w:pPr>
                  <w:r>
                    <w:rPr>
                      <w:rFonts w:hint="eastAsia"/>
                      <w:color w:val="auto"/>
                      <w:kern w:val="24"/>
                      <w:szCs w:val="21"/>
                    </w:rPr>
                    <w:t>类别</w:t>
                  </w:r>
                </w:p>
              </w:tc>
              <w:tc>
                <w:tcPr>
                  <w:tcW w:w="1141" w:type="dxa"/>
                  <w:vAlign w:val="center"/>
                </w:tcPr>
                <w:p w14:paraId="594EB3E8">
                  <w:pPr>
                    <w:adjustRightInd w:val="0"/>
                    <w:jc w:val="center"/>
                    <w:textAlignment w:val="baseline"/>
                    <w:rPr>
                      <w:color w:val="auto"/>
                      <w:kern w:val="24"/>
                      <w:szCs w:val="21"/>
                    </w:rPr>
                  </w:pPr>
                  <w:r>
                    <w:rPr>
                      <w:color w:val="auto"/>
                      <w:kern w:val="24"/>
                      <w:szCs w:val="21"/>
                    </w:rPr>
                    <w:t>名称</w:t>
                  </w:r>
                </w:p>
              </w:tc>
              <w:tc>
                <w:tcPr>
                  <w:tcW w:w="1181" w:type="dxa"/>
                  <w:vAlign w:val="center"/>
                </w:tcPr>
                <w:p w14:paraId="3B58B6E1">
                  <w:pPr>
                    <w:adjustRightInd w:val="0"/>
                    <w:jc w:val="center"/>
                    <w:textAlignment w:val="baseline"/>
                    <w:rPr>
                      <w:color w:val="auto"/>
                      <w:kern w:val="24"/>
                      <w:szCs w:val="21"/>
                    </w:rPr>
                  </w:pPr>
                  <w:r>
                    <w:rPr>
                      <w:color w:val="auto"/>
                      <w:kern w:val="24"/>
                      <w:szCs w:val="21"/>
                    </w:rPr>
                    <w:t>单位</w:t>
                  </w:r>
                </w:p>
              </w:tc>
              <w:tc>
                <w:tcPr>
                  <w:tcW w:w="975" w:type="dxa"/>
                  <w:vAlign w:val="center"/>
                </w:tcPr>
                <w:p w14:paraId="556CA948">
                  <w:pPr>
                    <w:adjustRightInd w:val="0"/>
                    <w:jc w:val="center"/>
                    <w:textAlignment w:val="baseline"/>
                    <w:rPr>
                      <w:color w:val="auto"/>
                      <w:kern w:val="24"/>
                      <w:szCs w:val="21"/>
                    </w:rPr>
                  </w:pPr>
                  <w:r>
                    <w:rPr>
                      <w:rFonts w:hint="eastAsia"/>
                      <w:color w:val="auto"/>
                      <w:kern w:val="24"/>
                      <w:szCs w:val="21"/>
                    </w:rPr>
                    <w:t>年用量</w:t>
                  </w:r>
                </w:p>
              </w:tc>
              <w:tc>
                <w:tcPr>
                  <w:tcW w:w="1418" w:type="dxa"/>
                  <w:vAlign w:val="center"/>
                </w:tcPr>
                <w:p w14:paraId="44A71D4D">
                  <w:pPr>
                    <w:adjustRightInd w:val="0"/>
                    <w:jc w:val="center"/>
                    <w:textAlignment w:val="baseline"/>
                    <w:rPr>
                      <w:color w:val="auto"/>
                      <w:kern w:val="24"/>
                      <w:szCs w:val="21"/>
                    </w:rPr>
                  </w:pPr>
                  <w:r>
                    <w:rPr>
                      <w:rFonts w:hint="eastAsia"/>
                      <w:color w:val="auto"/>
                      <w:kern w:val="24"/>
                      <w:szCs w:val="21"/>
                    </w:rPr>
                    <w:t>最大储存量</w:t>
                  </w:r>
                </w:p>
              </w:tc>
              <w:tc>
                <w:tcPr>
                  <w:tcW w:w="992" w:type="dxa"/>
                  <w:vAlign w:val="center"/>
                </w:tcPr>
                <w:p w14:paraId="5A1BED43">
                  <w:pPr>
                    <w:adjustRightInd w:val="0"/>
                    <w:jc w:val="center"/>
                    <w:textAlignment w:val="baseline"/>
                    <w:rPr>
                      <w:color w:val="auto"/>
                      <w:kern w:val="24"/>
                      <w:szCs w:val="21"/>
                    </w:rPr>
                  </w:pPr>
                  <w:r>
                    <w:rPr>
                      <w:rFonts w:hint="eastAsia"/>
                      <w:color w:val="auto"/>
                      <w:kern w:val="24"/>
                      <w:szCs w:val="21"/>
                    </w:rPr>
                    <w:t>形态</w:t>
                  </w:r>
                </w:p>
              </w:tc>
              <w:tc>
                <w:tcPr>
                  <w:tcW w:w="2613" w:type="dxa"/>
                  <w:vAlign w:val="center"/>
                </w:tcPr>
                <w:p w14:paraId="7C69F874">
                  <w:pPr>
                    <w:adjustRightInd w:val="0"/>
                    <w:jc w:val="center"/>
                    <w:textAlignment w:val="baseline"/>
                    <w:rPr>
                      <w:color w:val="auto"/>
                      <w:kern w:val="24"/>
                      <w:szCs w:val="21"/>
                    </w:rPr>
                  </w:pPr>
                  <w:r>
                    <w:rPr>
                      <w:rFonts w:hint="eastAsia"/>
                      <w:color w:val="auto"/>
                      <w:kern w:val="24"/>
                      <w:szCs w:val="21"/>
                    </w:rPr>
                    <w:t>备注</w:t>
                  </w:r>
                </w:p>
              </w:tc>
            </w:tr>
            <w:tr w14:paraId="66712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 w:type="dxa"/>
                  <w:vAlign w:val="center"/>
                </w:tcPr>
                <w:p w14:paraId="6CF53CF4">
                  <w:pPr>
                    <w:adjustRightInd w:val="0"/>
                    <w:jc w:val="center"/>
                    <w:textAlignment w:val="baseline"/>
                    <w:rPr>
                      <w:color w:val="auto"/>
                      <w:kern w:val="24"/>
                      <w:szCs w:val="21"/>
                    </w:rPr>
                  </w:pPr>
                  <w:r>
                    <w:rPr>
                      <w:rFonts w:hint="eastAsia"/>
                      <w:color w:val="auto"/>
                      <w:kern w:val="24"/>
                      <w:szCs w:val="21"/>
                    </w:rPr>
                    <w:t>原料</w:t>
                  </w:r>
                </w:p>
              </w:tc>
              <w:tc>
                <w:tcPr>
                  <w:tcW w:w="1141" w:type="dxa"/>
                  <w:vAlign w:val="center"/>
                </w:tcPr>
                <w:p w14:paraId="17304099">
                  <w:pPr>
                    <w:adjustRightInd w:val="0"/>
                    <w:jc w:val="center"/>
                    <w:textAlignment w:val="baseline"/>
                    <w:rPr>
                      <w:color w:val="auto"/>
                      <w:kern w:val="24"/>
                      <w:szCs w:val="21"/>
                    </w:rPr>
                  </w:pPr>
                  <w:r>
                    <w:rPr>
                      <w:rFonts w:hint="eastAsia"/>
                      <w:color w:val="auto"/>
                      <w:kern w:val="24"/>
                      <w:szCs w:val="21"/>
                    </w:rPr>
                    <w:t>镀锌</w:t>
                  </w:r>
                  <w:r>
                    <w:rPr>
                      <w:color w:val="auto"/>
                      <w:kern w:val="24"/>
                      <w:szCs w:val="21"/>
                    </w:rPr>
                    <w:t>带钢</w:t>
                  </w:r>
                </w:p>
              </w:tc>
              <w:tc>
                <w:tcPr>
                  <w:tcW w:w="1181" w:type="dxa"/>
                  <w:vAlign w:val="center"/>
                </w:tcPr>
                <w:p w14:paraId="312AED0C">
                  <w:pPr>
                    <w:adjustRightInd w:val="0"/>
                    <w:jc w:val="center"/>
                    <w:textAlignment w:val="baseline"/>
                    <w:rPr>
                      <w:color w:val="auto"/>
                      <w:kern w:val="24"/>
                      <w:szCs w:val="21"/>
                    </w:rPr>
                  </w:pPr>
                  <w:r>
                    <w:rPr>
                      <w:rFonts w:hint="eastAsia"/>
                      <w:color w:val="auto"/>
                      <w:kern w:val="24"/>
                      <w:szCs w:val="21"/>
                    </w:rPr>
                    <w:t>吨</w:t>
                  </w:r>
                </w:p>
              </w:tc>
              <w:tc>
                <w:tcPr>
                  <w:tcW w:w="975" w:type="dxa"/>
                  <w:vAlign w:val="center"/>
                </w:tcPr>
                <w:p w14:paraId="56D4B96E">
                  <w:pPr>
                    <w:adjustRightInd w:val="0"/>
                    <w:jc w:val="center"/>
                    <w:textAlignment w:val="baseline"/>
                    <w:rPr>
                      <w:color w:val="auto"/>
                      <w:kern w:val="24"/>
                      <w:szCs w:val="21"/>
                    </w:rPr>
                  </w:pPr>
                  <w:r>
                    <w:rPr>
                      <w:rFonts w:hint="eastAsia"/>
                      <w:color w:val="auto"/>
                      <w:kern w:val="24"/>
                      <w:szCs w:val="21"/>
                    </w:rPr>
                    <w:t>101000</w:t>
                  </w:r>
                </w:p>
              </w:tc>
              <w:tc>
                <w:tcPr>
                  <w:tcW w:w="1418" w:type="dxa"/>
                  <w:vAlign w:val="center"/>
                </w:tcPr>
                <w:p w14:paraId="39DA8328">
                  <w:pPr>
                    <w:adjustRightInd w:val="0"/>
                    <w:jc w:val="center"/>
                    <w:textAlignment w:val="baseline"/>
                    <w:rPr>
                      <w:color w:val="auto"/>
                      <w:kern w:val="24"/>
                      <w:szCs w:val="21"/>
                    </w:rPr>
                  </w:pPr>
                  <w:r>
                    <w:rPr>
                      <w:color w:val="auto"/>
                      <w:kern w:val="24"/>
                      <w:szCs w:val="21"/>
                    </w:rPr>
                    <w:t>300</w:t>
                  </w:r>
                </w:p>
              </w:tc>
              <w:tc>
                <w:tcPr>
                  <w:tcW w:w="992" w:type="dxa"/>
                  <w:vAlign w:val="center"/>
                </w:tcPr>
                <w:p w14:paraId="0EE67957">
                  <w:pPr>
                    <w:adjustRightInd w:val="0"/>
                    <w:jc w:val="center"/>
                    <w:textAlignment w:val="baseline"/>
                    <w:rPr>
                      <w:color w:val="auto"/>
                      <w:kern w:val="24"/>
                      <w:szCs w:val="21"/>
                    </w:rPr>
                  </w:pPr>
                  <w:r>
                    <w:rPr>
                      <w:rFonts w:hint="eastAsia"/>
                      <w:color w:val="auto"/>
                      <w:kern w:val="24"/>
                      <w:szCs w:val="21"/>
                    </w:rPr>
                    <w:t>固态</w:t>
                  </w:r>
                </w:p>
              </w:tc>
              <w:tc>
                <w:tcPr>
                  <w:tcW w:w="2613" w:type="dxa"/>
                  <w:vAlign w:val="center"/>
                </w:tcPr>
                <w:p w14:paraId="3AC9AFFC">
                  <w:pPr>
                    <w:adjustRightInd w:val="0"/>
                    <w:jc w:val="center"/>
                    <w:textAlignment w:val="baseline"/>
                    <w:rPr>
                      <w:color w:val="auto"/>
                      <w:kern w:val="24"/>
                      <w:szCs w:val="21"/>
                    </w:rPr>
                  </w:pPr>
                  <w:r>
                    <w:rPr>
                      <w:rFonts w:hint="eastAsia"/>
                      <w:color w:val="auto"/>
                      <w:kern w:val="24"/>
                      <w:szCs w:val="21"/>
                    </w:rPr>
                    <w:t>外购，处理后的镀锌带钢（已除油、已按定制尺寸开卷），原料表面不含油类；生产车间室内原料堆放区</w:t>
                  </w:r>
                </w:p>
              </w:tc>
            </w:tr>
            <w:tr w14:paraId="22943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 w:type="dxa"/>
                  <w:vMerge w:val="restart"/>
                  <w:vAlign w:val="center"/>
                </w:tcPr>
                <w:p w14:paraId="1DA24B6D">
                  <w:pPr>
                    <w:adjustRightInd w:val="0"/>
                    <w:jc w:val="center"/>
                    <w:textAlignment w:val="baseline"/>
                    <w:rPr>
                      <w:color w:val="auto"/>
                      <w:kern w:val="24"/>
                      <w:szCs w:val="21"/>
                    </w:rPr>
                  </w:pPr>
                  <w:r>
                    <w:rPr>
                      <w:rFonts w:hint="eastAsia"/>
                      <w:color w:val="auto"/>
                      <w:kern w:val="24"/>
                      <w:szCs w:val="21"/>
                    </w:rPr>
                    <w:t>辅料</w:t>
                  </w:r>
                </w:p>
              </w:tc>
              <w:tc>
                <w:tcPr>
                  <w:tcW w:w="1141" w:type="dxa"/>
                  <w:vAlign w:val="center"/>
                </w:tcPr>
                <w:p w14:paraId="76345854">
                  <w:pPr>
                    <w:adjustRightInd w:val="0"/>
                    <w:jc w:val="center"/>
                    <w:textAlignment w:val="baseline"/>
                    <w:rPr>
                      <w:color w:val="auto"/>
                      <w:kern w:val="24"/>
                      <w:szCs w:val="21"/>
                    </w:rPr>
                  </w:pPr>
                  <w:r>
                    <w:rPr>
                      <w:rFonts w:hint="eastAsia"/>
                      <w:color w:val="auto"/>
                      <w:kern w:val="24"/>
                      <w:szCs w:val="21"/>
                    </w:rPr>
                    <w:t>铝丝</w:t>
                  </w:r>
                </w:p>
              </w:tc>
              <w:tc>
                <w:tcPr>
                  <w:tcW w:w="1181" w:type="dxa"/>
                  <w:vAlign w:val="center"/>
                </w:tcPr>
                <w:p w14:paraId="512D9682">
                  <w:pPr>
                    <w:adjustRightInd w:val="0"/>
                    <w:jc w:val="center"/>
                    <w:textAlignment w:val="baseline"/>
                    <w:rPr>
                      <w:color w:val="auto"/>
                      <w:kern w:val="24"/>
                      <w:szCs w:val="21"/>
                    </w:rPr>
                  </w:pPr>
                  <w:r>
                    <w:rPr>
                      <w:rFonts w:hint="eastAsia"/>
                      <w:color w:val="auto"/>
                      <w:kern w:val="24"/>
                      <w:szCs w:val="21"/>
                    </w:rPr>
                    <w:t>吨</w:t>
                  </w:r>
                </w:p>
              </w:tc>
              <w:tc>
                <w:tcPr>
                  <w:tcW w:w="975" w:type="dxa"/>
                  <w:vAlign w:val="center"/>
                </w:tcPr>
                <w:p w14:paraId="5CF3ED24">
                  <w:pPr>
                    <w:adjustRightInd w:val="0"/>
                    <w:jc w:val="center"/>
                    <w:textAlignment w:val="baseline"/>
                    <w:rPr>
                      <w:color w:val="auto"/>
                      <w:kern w:val="24"/>
                      <w:szCs w:val="21"/>
                    </w:rPr>
                  </w:pPr>
                  <w:r>
                    <w:rPr>
                      <w:rFonts w:hint="eastAsia"/>
                      <w:color w:val="auto"/>
                      <w:kern w:val="24"/>
                      <w:szCs w:val="21"/>
                    </w:rPr>
                    <w:t>8</w:t>
                  </w:r>
                </w:p>
              </w:tc>
              <w:tc>
                <w:tcPr>
                  <w:tcW w:w="1418" w:type="dxa"/>
                  <w:vAlign w:val="center"/>
                </w:tcPr>
                <w:p w14:paraId="14DD57D8">
                  <w:pPr>
                    <w:adjustRightInd w:val="0"/>
                    <w:jc w:val="center"/>
                    <w:textAlignment w:val="baseline"/>
                    <w:rPr>
                      <w:color w:val="auto"/>
                      <w:kern w:val="24"/>
                      <w:szCs w:val="21"/>
                    </w:rPr>
                  </w:pPr>
                  <w:r>
                    <w:rPr>
                      <w:rFonts w:hint="eastAsia"/>
                      <w:color w:val="auto"/>
                      <w:kern w:val="24"/>
                      <w:szCs w:val="21"/>
                    </w:rPr>
                    <w:t>2</w:t>
                  </w:r>
                </w:p>
              </w:tc>
              <w:tc>
                <w:tcPr>
                  <w:tcW w:w="992" w:type="dxa"/>
                  <w:vAlign w:val="center"/>
                </w:tcPr>
                <w:p w14:paraId="0A7FC42D">
                  <w:pPr>
                    <w:adjustRightInd w:val="0"/>
                    <w:jc w:val="center"/>
                    <w:textAlignment w:val="baseline"/>
                    <w:rPr>
                      <w:color w:val="auto"/>
                      <w:kern w:val="24"/>
                      <w:szCs w:val="21"/>
                    </w:rPr>
                  </w:pPr>
                  <w:r>
                    <w:rPr>
                      <w:rFonts w:hint="eastAsia"/>
                      <w:color w:val="auto"/>
                      <w:kern w:val="24"/>
                      <w:szCs w:val="21"/>
                    </w:rPr>
                    <w:t>固态</w:t>
                  </w:r>
                </w:p>
              </w:tc>
              <w:tc>
                <w:tcPr>
                  <w:tcW w:w="2613" w:type="dxa"/>
                  <w:vAlign w:val="center"/>
                </w:tcPr>
                <w:p w14:paraId="6295A97E">
                  <w:pPr>
                    <w:adjustRightInd w:val="0"/>
                    <w:jc w:val="center"/>
                    <w:textAlignment w:val="baseline"/>
                    <w:rPr>
                      <w:color w:val="auto"/>
                      <w:kern w:val="24"/>
                      <w:szCs w:val="21"/>
                    </w:rPr>
                  </w:pPr>
                  <w:r>
                    <w:rPr>
                      <w:rFonts w:hint="eastAsia"/>
                      <w:color w:val="auto"/>
                      <w:kern w:val="24"/>
                      <w:szCs w:val="21"/>
                    </w:rPr>
                    <w:t>外购，用于焊接后补焊缝</w:t>
                  </w:r>
                </w:p>
              </w:tc>
            </w:tr>
            <w:tr w14:paraId="76CC8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 w:type="dxa"/>
                  <w:vMerge w:val="continue"/>
                  <w:vAlign w:val="center"/>
                </w:tcPr>
                <w:p w14:paraId="5466D5DC">
                  <w:pPr>
                    <w:adjustRightInd w:val="0"/>
                    <w:jc w:val="center"/>
                    <w:textAlignment w:val="baseline"/>
                    <w:rPr>
                      <w:color w:val="auto"/>
                      <w:kern w:val="24"/>
                      <w:szCs w:val="21"/>
                    </w:rPr>
                  </w:pPr>
                </w:p>
              </w:tc>
              <w:tc>
                <w:tcPr>
                  <w:tcW w:w="1141" w:type="dxa"/>
                  <w:vAlign w:val="center"/>
                </w:tcPr>
                <w:p w14:paraId="0827352A">
                  <w:pPr>
                    <w:adjustRightInd w:val="0"/>
                    <w:jc w:val="center"/>
                    <w:textAlignment w:val="baseline"/>
                    <w:rPr>
                      <w:color w:val="auto"/>
                      <w:kern w:val="24"/>
                      <w:szCs w:val="21"/>
                    </w:rPr>
                  </w:pPr>
                  <w:r>
                    <w:rPr>
                      <w:rFonts w:hint="eastAsia"/>
                      <w:color w:val="auto"/>
                      <w:kern w:val="24"/>
                      <w:szCs w:val="21"/>
                    </w:rPr>
                    <w:t>乙炔</w:t>
                  </w:r>
                </w:p>
              </w:tc>
              <w:tc>
                <w:tcPr>
                  <w:tcW w:w="1181" w:type="dxa"/>
                  <w:vAlign w:val="center"/>
                </w:tcPr>
                <w:p w14:paraId="632F305F">
                  <w:pPr>
                    <w:adjustRightInd w:val="0"/>
                    <w:jc w:val="center"/>
                    <w:textAlignment w:val="baseline"/>
                    <w:rPr>
                      <w:color w:val="auto"/>
                      <w:kern w:val="24"/>
                      <w:szCs w:val="21"/>
                    </w:rPr>
                  </w:pPr>
                  <w:r>
                    <w:rPr>
                      <w:rFonts w:hint="eastAsia"/>
                      <w:color w:val="auto"/>
                      <w:kern w:val="24"/>
                      <w:szCs w:val="21"/>
                    </w:rPr>
                    <w:t>吨</w:t>
                  </w:r>
                </w:p>
              </w:tc>
              <w:tc>
                <w:tcPr>
                  <w:tcW w:w="975" w:type="dxa"/>
                  <w:vAlign w:val="center"/>
                </w:tcPr>
                <w:p w14:paraId="245F9B7C">
                  <w:pPr>
                    <w:adjustRightInd w:val="0"/>
                    <w:jc w:val="center"/>
                    <w:textAlignment w:val="baseline"/>
                    <w:rPr>
                      <w:color w:val="auto"/>
                      <w:kern w:val="24"/>
                      <w:szCs w:val="21"/>
                    </w:rPr>
                  </w:pPr>
                  <w:r>
                    <w:rPr>
                      <w:rFonts w:hint="eastAsia"/>
                      <w:color w:val="auto"/>
                      <w:kern w:val="24"/>
                      <w:szCs w:val="21"/>
                    </w:rPr>
                    <w:t>0.5</w:t>
                  </w:r>
                </w:p>
              </w:tc>
              <w:tc>
                <w:tcPr>
                  <w:tcW w:w="1418" w:type="dxa"/>
                  <w:vAlign w:val="center"/>
                </w:tcPr>
                <w:p w14:paraId="02DC97E7">
                  <w:pPr>
                    <w:adjustRightInd w:val="0"/>
                    <w:jc w:val="center"/>
                    <w:textAlignment w:val="baseline"/>
                    <w:rPr>
                      <w:color w:val="auto"/>
                      <w:kern w:val="24"/>
                      <w:szCs w:val="21"/>
                    </w:rPr>
                  </w:pPr>
                  <w:r>
                    <w:rPr>
                      <w:rFonts w:hint="eastAsia"/>
                      <w:color w:val="auto"/>
                      <w:kern w:val="24"/>
                      <w:szCs w:val="21"/>
                    </w:rPr>
                    <w:t>0.12</w:t>
                  </w:r>
                </w:p>
              </w:tc>
              <w:tc>
                <w:tcPr>
                  <w:tcW w:w="992" w:type="dxa"/>
                  <w:vAlign w:val="center"/>
                </w:tcPr>
                <w:p w14:paraId="63BC20B4">
                  <w:pPr>
                    <w:adjustRightInd w:val="0"/>
                    <w:jc w:val="center"/>
                    <w:textAlignment w:val="baseline"/>
                    <w:rPr>
                      <w:color w:val="auto"/>
                      <w:kern w:val="24"/>
                      <w:szCs w:val="21"/>
                    </w:rPr>
                  </w:pPr>
                  <w:r>
                    <w:rPr>
                      <w:rFonts w:hint="eastAsia"/>
                      <w:color w:val="auto"/>
                      <w:kern w:val="24"/>
                      <w:szCs w:val="21"/>
                    </w:rPr>
                    <w:t>气态</w:t>
                  </w:r>
                </w:p>
              </w:tc>
              <w:tc>
                <w:tcPr>
                  <w:tcW w:w="2613" w:type="dxa"/>
                  <w:vAlign w:val="center"/>
                </w:tcPr>
                <w:p w14:paraId="433F848A">
                  <w:pPr>
                    <w:adjustRightInd w:val="0"/>
                    <w:jc w:val="center"/>
                    <w:textAlignment w:val="baseline"/>
                    <w:rPr>
                      <w:color w:val="auto"/>
                      <w:kern w:val="24"/>
                      <w:szCs w:val="21"/>
                    </w:rPr>
                  </w:pPr>
                  <w:r>
                    <w:rPr>
                      <w:rFonts w:hint="eastAsia"/>
                      <w:color w:val="auto"/>
                    </w:rPr>
                    <w:t>外购，</w:t>
                  </w:r>
                  <w:r>
                    <w:rPr>
                      <w:color w:val="auto"/>
                    </w:rPr>
                    <w:t>用于机修检查，60L/瓶，最大存储</w:t>
                  </w:r>
                  <w:r>
                    <w:rPr>
                      <w:rFonts w:hint="eastAsia"/>
                      <w:color w:val="auto"/>
                    </w:rPr>
                    <w:t>2</w:t>
                  </w:r>
                  <w:r>
                    <w:rPr>
                      <w:color w:val="auto"/>
                    </w:rPr>
                    <w:t>瓶</w:t>
                  </w:r>
                </w:p>
              </w:tc>
            </w:tr>
            <w:tr w14:paraId="6A538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 w:type="dxa"/>
                  <w:vMerge w:val="continue"/>
                  <w:vAlign w:val="center"/>
                </w:tcPr>
                <w:p w14:paraId="0B5D697C">
                  <w:pPr>
                    <w:adjustRightInd w:val="0"/>
                    <w:jc w:val="center"/>
                    <w:textAlignment w:val="baseline"/>
                    <w:rPr>
                      <w:color w:val="auto"/>
                      <w:kern w:val="24"/>
                      <w:szCs w:val="21"/>
                    </w:rPr>
                  </w:pPr>
                </w:p>
              </w:tc>
              <w:tc>
                <w:tcPr>
                  <w:tcW w:w="1141" w:type="dxa"/>
                  <w:vAlign w:val="center"/>
                </w:tcPr>
                <w:p w14:paraId="19A467D5">
                  <w:pPr>
                    <w:adjustRightInd w:val="0"/>
                    <w:jc w:val="center"/>
                    <w:textAlignment w:val="baseline"/>
                    <w:rPr>
                      <w:color w:val="auto"/>
                      <w:kern w:val="24"/>
                      <w:szCs w:val="21"/>
                    </w:rPr>
                  </w:pPr>
                  <w:r>
                    <w:rPr>
                      <w:rFonts w:hint="eastAsia"/>
                      <w:color w:val="auto"/>
                      <w:kern w:val="24"/>
                      <w:szCs w:val="21"/>
                    </w:rPr>
                    <w:t>氧气</w:t>
                  </w:r>
                </w:p>
              </w:tc>
              <w:tc>
                <w:tcPr>
                  <w:tcW w:w="1181" w:type="dxa"/>
                  <w:vAlign w:val="center"/>
                </w:tcPr>
                <w:p w14:paraId="5330092E">
                  <w:pPr>
                    <w:adjustRightInd w:val="0"/>
                    <w:jc w:val="center"/>
                    <w:textAlignment w:val="baseline"/>
                    <w:rPr>
                      <w:color w:val="auto"/>
                      <w:kern w:val="24"/>
                      <w:szCs w:val="21"/>
                    </w:rPr>
                  </w:pPr>
                  <w:r>
                    <w:rPr>
                      <w:rFonts w:hint="eastAsia"/>
                      <w:color w:val="auto"/>
                      <w:kern w:val="24"/>
                      <w:szCs w:val="21"/>
                    </w:rPr>
                    <w:t>吨</w:t>
                  </w:r>
                </w:p>
              </w:tc>
              <w:tc>
                <w:tcPr>
                  <w:tcW w:w="975" w:type="dxa"/>
                  <w:vAlign w:val="center"/>
                </w:tcPr>
                <w:p w14:paraId="74DD0964">
                  <w:pPr>
                    <w:adjustRightInd w:val="0"/>
                    <w:jc w:val="center"/>
                    <w:textAlignment w:val="baseline"/>
                    <w:rPr>
                      <w:color w:val="auto"/>
                      <w:kern w:val="24"/>
                      <w:szCs w:val="21"/>
                    </w:rPr>
                  </w:pPr>
                  <w:r>
                    <w:rPr>
                      <w:rFonts w:hint="eastAsia"/>
                      <w:color w:val="auto"/>
                      <w:kern w:val="24"/>
                      <w:szCs w:val="21"/>
                    </w:rPr>
                    <w:t>0.3</w:t>
                  </w:r>
                </w:p>
              </w:tc>
              <w:tc>
                <w:tcPr>
                  <w:tcW w:w="1418" w:type="dxa"/>
                  <w:vAlign w:val="center"/>
                </w:tcPr>
                <w:p w14:paraId="5EBE3FCE">
                  <w:pPr>
                    <w:adjustRightInd w:val="0"/>
                    <w:jc w:val="center"/>
                    <w:textAlignment w:val="baseline"/>
                    <w:rPr>
                      <w:color w:val="auto"/>
                      <w:kern w:val="24"/>
                      <w:szCs w:val="21"/>
                    </w:rPr>
                  </w:pPr>
                  <w:r>
                    <w:rPr>
                      <w:rFonts w:hint="eastAsia"/>
                      <w:color w:val="auto"/>
                      <w:kern w:val="24"/>
                      <w:szCs w:val="21"/>
                    </w:rPr>
                    <w:t>0.12</w:t>
                  </w:r>
                </w:p>
              </w:tc>
              <w:tc>
                <w:tcPr>
                  <w:tcW w:w="992" w:type="dxa"/>
                  <w:vAlign w:val="center"/>
                </w:tcPr>
                <w:p w14:paraId="43A2B30D">
                  <w:pPr>
                    <w:adjustRightInd w:val="0"/>
                    <w:jc w:val="center"/>
                    <w:textAlignment w:val="baseline"/>
                    <w:rPr>
                      <w:color w:val="auto"/>
                      <w:kern w:val="24"/>
                      <w:szCs w:val="21"/>
                    </w:rPr>
                  </w:pPr>
                  <w:r>
                    <w:rPr>
                      <w:rFonts w:hint="eastAsia"/>
                      <w:color w:val="auto"/>
                      <w:kern w:val="24"/>
                      <w:szCs w:val="21"/>
                    </w:rPr>
                    <w:t>气态</w:t>
                  </w:r>
                </w:p>
              </w:tc>
              <w:tc>
                <w:tcPr>
                  <w:tcW w:w="2613" w:type="dxa"/>
                  <w:vAlign w:val="center"/>
                </w:tcPr>
                <w:p w14:paraId="53BBE52B">
                  <w:pPr>
                    <w:adjustRightInd w:val="0"/>
                    <w:jc w:val="center"/>
                    <w:textAlignment w:val="baseline"/>
                    <w:rPr>
                      <w:color w:val="auto"/>
                      <w:kern w:val="24"/>
                      <w:szCs w:val="21"/>
                    </w:rPr>
                  </w:pPr>
                  <w:r>
                    <w:rPr>
                      <w:color w:val="auto"/>
                    </w:rPr>
                    <w:t>用于焊接保护气，60L/瓶，最大存储</w:t>
                  </w:r>
                  <w:r>
                    <w:rPr>
                      <w:rFonts w:hint="eastAsia"/>
                      <w:color w:val="auto"/>
                    </w:rPr>
                    <w:t>2</w:t>
                  </w:r>
                  <w:r>
                    <w:rPr>
                      <w:color w:val="auto"/>
                    </w:rPr>
                    <w:t>瓶</w:t>
                  </w:r>
                </w:p>
              </w:tc>
            </w:tr>
            <w:tr w14:paraId="03D82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 w:type="dxa"/>
                  <w:vMerge w:val="continue"/>
                  <w:vAlign w:val="center"/>
                </w:tcPr>
                <w:p w14:paraId="63ED7737">
                  <w:pPr>
                    <w:adjustRightInd w:val="0"/>
                    <w:jc w:val="center"/>
                    <w:textAlignment w:val="baseline"/>
                    <w:rPr>
                      <w:color w:val="auto"/>
                      <w:kern w:val="24"/>
                      <w:szCs w:val="21"/>
                    </w:rPr>
                  </w:pPr>
                </w:p>
              </w:tc>
              <w:tc>
                <w:tcPr>
                  <w:tcW w:w="1141" w:type="dxa"/>
                  <w:vAlign w:val="center"/>
                </w:tcPr>
                <w:p w14:paraId="28036075">
                  <w:pPr>
                    <w:adjustRightInd w:val="0"/>
                    <w:jc w:val="center"/>
                    <w:textAlignment w:val="baseline"/>
                    <w:rPr>
                      <w:color w:val="auto"/>
                      <w:kern w:val="24"/>
                      <w:szCs w:val="21"/>
                    </w:rPr>
                  </w:pPr>
                  <w:r>
                    <w:rPr>
                      <w:rFonts w:hint="eastAsia"/>
                      <w:color w:val="auto"/>
                      <w:kern w:val="24"/>
                      <w:szCs w:val="21"/>
                    </w:rPr>
                    <w:t>润滑油</w:t>
                  </w:r>
                </w:p>
              </w:tc>
              <w:tc>
                <w:tcPr>
                  <w:tcW w:w="1181" w:type="dxa"/>
                  <w:vAlign w:val="center"/>
                </w:tcPr>
                <w:p w14:paraId="24983C6D">
                  <w:pPr>
                    <w:adjustRightInd w:val="0"/>
                    <w:jc w:val="center"/>
                    <w:textAlignment w:val="baseline"/>
                    <w:rPr>
                      <w:color w:val="auto"/>
                      <w:kern w:val="24"/>
                      <w:szCs w:val="21"/>
                    </w:rPr>
                  </w:pPr>
                  <w:r>
                    <w:rPr>
                      <w:rFonts w:hint="eastAsia"/>
                      <w:color w:val="auto"/>
                      <w:kern w:val="24"/>
                      <w:szCs w:val="21"/>
                    </w:rPr>
                    <w:t>吨</w:t>
                  </w:r>
                </w:p>
              </w:tc>
              <w:tc>
                <w:tcPr>
                  <w:tcW w:w="975" w:type="dxa"/>
                  <w:vAlign w:val="center"/>
                </w:tcPr>
                <w:p w14:paraId="7F52E5DB">
                  <w:pPr>
                    <w:adjustRightInd w:val="0"/>
                    <w:jc w:val="center"/>
                    <w:textAlignment w:val="baseline"/>
                    <w:rPr>
                      <w:color w:val="auto"/>
                      <w:kern w:val="24"/>
                      <w:szCs w:val="21"/>
                    </w:rPr>
                  </w:pPr>
                  <w:r>
                    <w:rPr>
                      <w:color w:val="auto"/>
                      <w:kern w:val="24"/>
                      <w:szCs w:val="21"/>
                    </w:rPr>
                    <w:t>0.2</w:t>
                  </w:r>
                </w:p>
              </w:tc>
              <w:tc>
                <w:tcPr>
                  <w:tcW w:w="1418" w:type="dxa"/>
                  <w:vAlign w:val="center"/>
                </w:tcPr>
                <w:p w14:paraId="2A48EE9B">
                  <w:pPr>
                    <w:adjustRightInd w:val="0"/>
                    <w:jc w:val="center"/>
                    <w:textAlignment w:val="baseline"/>
                    <w:rPr>
                      <w:color w:val="auto"/>
                      <w:kern w:val="24"/>
                      <w:szCs w:val="21"/>
                    </w:rPr>
                  </w:pPr>
                  <w:r>
                    <w:rPr>
                      <w:rFonts w:hint="eastAsia"/>
                      <w:color w:val="auto"/>
                      <w:kern w:val="24"/>
                      <w:szCs w:val="21"/>
                    </w:rPr>
                    <w:t>0.</w:t>
                  </w:r>
                  <w:r>
                    <w:rPr>
                      <w:color w:val="auto"/>
                      <w:kern w:val="24"/>
                      <w:szCs w:val="21"/>
                    </w:rPr>
                    <w:t>1</w:t>
                  </w:r>
                </w:p>
              </w:tc>
              <w:tc>
                <w:tcPr>
                  <w:tcW w:w="992" w:type="dxa"/>
                  <w:vAlign w:val="center"/>
                </w:tcPr>
                <w:p w14:paraId="4AF68773">
                  <w:pPr>
                    <w:adjustRightInd w:val="0"/>
                    <w:jc w:val="center"/>
                    <w:textAlignment w:val="baseline"/>
                    <w:rPr>
                      <w:color w:val="auto"/>
                      <w:kern w:val="24"/>
                      <w:szCs w:val="21"/>
                    </w:rPr>
                  </w:pPr>
                  <w:r>
                    <w:rPr>
                      <w:rFonts w:hint="eastAsia"/>
                      <w:color w:val="auto"/>
                      <w:kern w:val="24"/>
                      <w:szCs w:val="21"/>
                    </w:rPr>
                    <w:t>液态</w:t>
                  </w:r>
                </w:p>
              </w:tc>
              <w:tc>
                <w:tcPr>
                  <w:tcW w:w="2613" w:type="dxa"/>
                  <w:vAlign w:val="center"/>
                </w:tcPr>
                <w:p w14:paraId="6EB72A21">
                  <w:pPr>
                    <w:adjustRightInd w:val="0"/>
                    <w:jc w:val="center"/>
                    <w:textAlignment w:val="baseline"/>
                    <w:rPr>
                      <w:color w:val="auto"/>
                      <w:kern w:val="24"/>
                      <w:szCs w:val="21"/>
                    </w:rPr>
                  </w:pPr>
                  <w:r>
                    <w:rPr>
                      <w:rFonts w:hint="eastAsia"/>
                      <w:color w:val="auto"/>
                      <w:kern w:val="24"/>
                      <w:szCs w:val="21"/>
                    </w:rPr>
                    <w:t>外购，用于生产设备润滑</w:t>
                  </w:r>
                </w:p>
              </w:tc>
            </w:tr>
            <w:tr w14:paraId="4079B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 w:type="dxa"/>
                  <w:vMerge w:val="continue"/>
                  <w:vAlign w:val="center"/>
                </w:tcPr>
                <w:p w14:paraId="2BA7CB30">
                  <w:pPr>
                    <w:adjustRightInd w:val="0"/>
                    <w:jc w:val="center"/>
                    <w:textAlignment w:val="baseline"/>
                    <w:rPr>
                      <w:color w:val="auto"/>
                      <w:kern w:val="24"/>
                      <w:szCs w:val="21"/>
                    </w:rPr>
                  </w:pPr>
                </w:p>
              </w:tc>
              <w:tc>
                <w:tcPr>
                  <w:tcW w:w="1141" w:type="dxa"/>
                  <w:vAlign w:val="center"/>
                </w:tcPr>
                <w:p w14:paraId="5F2AAAA8">
                  <w:pPr>
                    <w:adjustRightInd w:val="0"/>
                    <w:jc w:val="center"/>
                    <w:textAlignment w:val="baseline"/>
                    <w:rPr>
                      <w:color w:val="auto"/>
                      <w:kern w:val="24"/>
                      <w:szCs w:val="21"/>
                    </w:rPr>
                  </w:pPr>
                  <w:r>
                    <w:rPr>
                      <w:rFonts w:hint="eastAsia"/>
                      <w:color w:val="auto"/>
                      <w:kern w:val="24"/>
                      <w:szCs w:val="21"/>
                    </w:rPr>
                    <w:t>肥皂</w:t>
                  </w:r>
                </w:p>
              </w:tc>
              <w:tc>
                <w:tcPr>
                  <w:tcW w:w="1181" w:type="dxa"/>
                  <w:vAlign w:val="center"/>
                </w:tcPr>
                <w:p w14:paraId="02E1CE0B">
                  <w:pPr>
                    <w:adjustRightInd w:val="0"/>
                    <w:jc w:val="center"/>
                    <w:textAlignment w:val="baseline"/>
                    <w:rPr>
                      <w:color w:val="auto"/>
                      <w:kern w:val="24"/>
                      <w:szCs w:val="21"/>
                    </w:rPr>
                  </w:pPr>
                  <w:r>
                    <w:rPr>
                      <w:rFonts w:hint="eastAsia"/>
                      <w:color w:val="auto"/>
                      <w:kern w:val="24"/>
                      <w:szCs w:val="21"/>
                    </w:rPr>
                    <w:t>吨</w:t>
                  </w:r>
                </w:p>
              </w:tc>
              <w:tc>
                <w:tcPr>
                  <w:tcW w:w="975" w:type="dxa"/>
                  <w:vAlign w:val="center"/>
                </w:tcPr>
                <w:p w14:paraId="2BAA3BC3">
                  <w:pPr>
                    <w:adjustRightInd w:val="0"/>
                    <w:jc w:val="center"/>
                    <w:textAlignment w:val="baseline"/>
                    <w:rPr>
                      <w:color w:val="auto"/>
                      <w:kern w:val="24"/>
                      <w:szCs w:val="21"/>
                    </w:rPr>
                  </w:pPr>
                  <w:r>
                    <w:rPr>
                      <w:color w:val="auto"/>
                      <w:kern w:val="24"/>
                      <w:szCs w:val="21"/>
                    </w:rPr>
                    <w:t>0.</w:t>
                  </w:r>
                  <w:r>
                    <w:rPr>
                      <w:rFonts w:hint="eastAsia"/>
                      <w:color w:val="auto"/>
                      <w:kern w:val="24"/>
                      <w:szCs w:val="21"/>
                    </w:rPr>
                    <w:t>3</w:t>
                  </w:r>
                </w:p>
              </w:tc>
              <w:tc>
                <w:tcPr>
                  <w:tcW w:w="1418" w:type="dxa"/>
                  <w:vAlign w:val="center"/>
                </w:tcPr>
                <w:p w14:paraId="3CC3716C">
                  <w:pPr>
                    <w:adjustRightInd w:val="0"/>
                    <w:jc w:val="center"/>
                    <w:textAlignment w:val="baseline"/>
                    <w:rPr>
                      <w:color w:val="auto"/>
                      <w:kern w:val="24"/>
                      <w:szCs w:val="21"/>
                    </w:rPr>
                  </w:pPr>
                  <w:r>
                    <w:rPr>
                      <w:color w:val="auto"/>
                      <w:kern w:val="24"/>
                      <w:szCs w:val="21"/>
                    </w:rPr>
                    <w:t>0.</w:t>
                  </w:r>
                  <w:r>
                    <w:rPr>
                      <w:rFonts w:hint="eastAsia"/>
                      <w:color w:val="auto"/>
                      <w:kern w:val="24"/>
                      <w:szCs w:val="21"/>
                    </w:rPr>
                    <w:t>1</w:t>
                  </w:r>
                </w:p>
              </w:tc>
              <w:tc>
                <w:tcPr>
                  <w:tcW w:w="992" w:type="dxa"/>
                  <w:vAlign w:val="center"/>
                </w:tcPr>
                <w:p w14:paraId="30E314F3">
                  <w:pPr>
                    <w:adjustRightInd w:val="0"/>
                    <w:jc w:val="center"/>
                    <w:textAlignment w:val="baseline"/>
                    <w:rPr>
                      <w:color w:val="auto"/>
                      <w:kern w:val="24"/>
                      <w:szCs w:val="21"/>
                    </w:rPr>
                  </w:pPr>
                  <w:r>
                    <w:rPr>
                      <w:rFonts w:hint="eastAsia"/>
                      <w:color w:val="auto"/>
                      <w:kern w:val="24"/>
                      <w:szCs w:val="21"/>
                    </w:rPr>
                    <w:t>固态</w:t>
                  </w:r>
                </w:p>
              </w:tc>
              <w:tc>
                <w:tcPr>
                  <w:tcW w:w="2613" w:type="dxa"/>
                  <w:vAlign w:val="center"/>
                </w:tcPr>
                <w:p w14:paraId="12A78A84">
                  <w:pPr>
                    <w:adjustRightInd w:val="0"/>
                    <w:jc w:val="center"/>
                    <w:textAlignment w:val="baseline"/>
                    <w:rPr>
                      <w:color w:val="auto"/>
                      <w:kern w:val="24"/>
                      <w:szCs w:val="21"/>
                    </w:rPr>
                  </w:pPr>
                  <w:r>
                    <w:rPr>
                      <w:rFonts w:hint="eastAsia"/>
                      <w:color w:val="auto"/>
                      <w:kern w:val="24"/>
                      <w:szCs w:val="21"/>
                    </w:rPr>
                    <w:t>外购，用于直接冷却水，做润滑作用</w:t>
                  </w:r>
                </w:p>
              </w:tc>
            </w:tr>
            <w:tr w14:paraId="65159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 w:type="dxa"/>
                  <w:vMerge w:val="restart"/>
                  <w:vAlign w:val="center"/>
                </w:tcPr>
                <w:p w14:paraId="410B6813">
                  <w:pPr>
                    <w:adjustRightInd w:val="0"/>
                    <w:jc w:val="center"/>
                    <w:textAlignment w:val="baseline"/>
                    <w:rPr>
                      <w:color w:val="auto"/>
                      <w:kern w:val="24"/>
                      <w:szCs w:val="21"/>
                    </w:rPr>
                  </w:pPr>
                  <w:r>
                    <w:rPr>
                      <w:rFonts w:hint="eastAsia"/>
                      <w:color w:val="auto"/>
                      <w:kern w:val="24"/>
                      <w:szCs w:val="21"/>
                    </w:rPr>
                    <w:t>能源</w:t>
                  </w:r>
                </w:p>
              </w:tc>
              <w:tc>
                <w:tcPr>
                  <w:tcW w:w="1141" w:type="dxa"/>
                  <w:vAlign w:val="center"/>
                </w:tcPr>
                <w:p w14:paraId="6DA489A6">
                  <w:pPr>
                    <w:adjustRightInd w:val="0"/>
                    <w:jc w:val="center"/>
                    <w:textAlignment w:val="baseline"/>
                    <w:rPr>
                      <w:color w:val="auto"/>
                      <w:kern w:val="24"/>
                      <w:szCs w:val="21"/>
                    </w:rPr>
                  </w:pPr>
                  <w:r>
                    <w:rPr>
                      <w:rFonts w:hint="eastAsia"/>
                      <w:color w:val="auto"/>
                      <w:kern w:val="24"/>
                      <w:szCs w:val="21"/>
                    </w:rPr>
                    <w:t>电力</w:t>
                  </w:r>
                </w:p>
              </w:tc>
              <w:tc>
                <w:tcPr>
                  <w:tcW w:w="1181" w:type="dxa"/>
                  <w:vAlign w:val="center"/>
                </w:tcPr>
                <w:p w14:paraId="5C41A2F5">
                  <w:pPr>
                    <w:adjustRightInd w:val="0"/>
                    <w:jc w:val="center"/>
                    <w:textAlignment w:val="baseline"/>
                    <w:rPr>
                      <w:color w:val="auto"/>
                      <w:kern w:val="24"/>
                      <w:szCs w:val="21"/>
                    </w:rPr>
                  </w:pPr>
                  <w:r>
                    <w:rPr>
                      <w:rFonts w:hint="eastAsia"/>
                      <w:color w:val="auto"/>
                      <w:kern w:val="24"/>
                      <w:szCs w:val="21"/>
                    </w:rPr>
                    <w:t>万kW·h</w:t>
                  </w:r>
                </w:p>
              </w:tc>
              <w:tc>
                <w:tcPr>
                  <w:tcW w:w="975" w:type="dxa"/>
                  <w:vAlign w:val="center"/>
                </w:tcPr>
                <w:p w14:paraId="5D15825E">
                  <w:pPr>
                    <w:adjustRightInd w:val="0"/>
                    <w:jc w:val="center"/>
                    <w:textAlignment w:val="baseline"/>
                    <w:rPr>
                      <w:color w:val="auto"/>
                      <w:kern w:val="24"/>
                      <w:szCs w:val="21"/>
                    </w:rPr>
                  </w:pPr>
                  <w:r>
                    <w:rPr>
                      <w:rFonts w:hint="eastAsia"/>
                      <w:color w:val="auto"/>
                    </w:rPr>
                    <w:t>300</w:t>
                  </w:r>
                </w:p>
              </w:tc>
              <w:tc>
                <w:tcPr>
                  <w:tcW w:w="1418" w:type="dxa"/>
                  <w:vAlign w:val="center"/>
                </w:tcPr>
                <w:p w14:paraId="1D374989">
                  <w:pPr>
                    <w:adjustRightInd w:val="0"/>
                    <w:jc w:val="center"/>
                    <w:textAlignment w:val="baseline"/>
                    <w:rPr>
                      <w:color w:val="auto"/>
                      <w:kern w:val="24"/>
                      <w:szCs w:val="21"/>
                    </w:rPr>
                  </w:pPr>
                  <w:r>
                    <w:rPr>
                      <w:rFonts w:hint="eastAsia"/>
                      <w:color w:val="auto"/>
                      <w:kern w:val="24"/>
                      <w:szCs w:val="21"/>
                    </w:rPr>
                    <w:t>/</w:t>
                  </w:r>
                </w:p>
              </w:tc>
              <w:tc>
                <w:tcPr>
                  <w:tcW w:w="992" w:type="dxa"/>
                  <w:vAlign w:val="center"/>
                </w:tcPr>
                <w:p w14:paraId="6D0CCA22">
                  <w:pPr>
                    <w:adjustRightInd w:val="0"/>
                    <w:jc w:val="center"/>
                    <w:textAlignment w:val="baseline"/>
                    <w:rPr>
                      <w:color w:val="auto"/>
                      <w:kern w:val="24"/>
                      <w:szCs w:val="21"/>
                    </w:rPr>
                  </w:pPr>
                  <w:r>
                    <w:rPr>
                      <w:rFonts w:hint="eastAsia"/>
                      <w:color w:val="auto"/>
                      <w:kern w:val="24"/>
                      <w:szCs w:val="21"/>
                    </w:rPr>
                    <w:t>/</w:t>
                  </w:r>
                </w:p>
              </w:tc>
              <w:tc>
                <w:tcPr>
                  <w:tcW w:w="2613" w:type="dxa"/>
                  <w:vAlign w:val="center"/>
                </w:tcPr>
                <w:p w14:paraId="1EB3717D">
                  <w:pPr>
                    <w:adjustRightInd w:val="0"/>
                    <w:jc w:val="center"/>
                    <w:textAlignment w:val="baseline"/>
                    <w:rPr>
                      <w:color w:val="auto"/>
                      <w:kern w:val="24"/>
                      <w:szCs w:val="21"/>
                    </w:rPr>
                  </w:pPr>
                  <w:r>
                    <w:rPr>
                      <w:rFonts w:hint="eastAsia"/>
                      <w:color w:val="auto"/>
                      <w:kern w:val="24"/>
                      <w:szCs w:val="21"/>
                    </w:rPr>
                    <w:t>市政供电</w:t>
                  </w:r>
                </w:p>
              </w:tc>
            </w:tr>
            <w:tr w14:paraId="46F5A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 w:type="dxa"/>
                  <w:vMerge w:val="continue"/>
                  <w:vAlign w:val="center"/>
                </w:tcPr>
                <w:p w14:paraId="08EA4F57">
                  <w:pPr>
                    <w:adjustRightInd w:val="0"/>
                    <w:jc w:val="center"/>
                    <w:textAlignment w:val="baseline"/>
                    <w:rPr>
                      <w:color w:val="auto"/>
                      <w:kern w:val="24"/>
                      <w:szCs w:val="21"/>
                    </w:rPr>
                  </w:pPr>
                </w:p>
              </w:tc>
              <w:tc>
                <w:tcPr>
                  <w:tcW w:w="1141" w:type="dxa"/>
                  <w:vAlign w:val="center"/>
                </w:tcPr>
                <w:p w14:paraId="1FF27B9F">
                  <w:pPr>
                    <w:adjustRightInd w:val="0"/>
                    <w:jc w:val="center"/>
                    <w:textAlignment w:val="baseline"/>
                    <w:rPr>
                      <w:color w:val="auto"/>
                      <w:kern w:val="24"/>
                      <w:szCs w:val="21"/>
                    </w:rPr>
                  </w:pPr>
                  <w:r>
                    <w:rPr>
                      <w:rFonts w:hint="eastAsia"/>
                      <w:color w:val="auto"/>
                      <w:kern w:val="24"/>
                      <w:szCs w:val="21"/>
                    </w:rPr>
                    <w:t>水</w:t>
                  </w:r>
                </w:p>
              </w:tc>
              <w:tc>
                <w:tcPr>
                  <w:tcW w:w="1181" w:type="dxa"/>
                  <w:vAlign w:val="center"/>
                </w:tcPr>
                <w:p w14:paraId="347D5363">
                  <w:pPr>
                    <w:adjustRightInd w:val="0"/>
                    <w:jc w:val="center"/>
                    <w:textAlignment w:val="baseline"/>
                    <w:rPr>
                      <w:color w:val="auto"/>
                      <w:kern w:val="24"/>
                      <w:szCs w:val="21"/>
                    </w:rPr>
                  </w:pPr>
                  <w:r>
                    <w:rPr>
                      <w:rFonts w:hint="eastAsia"/>
                      <w:color w:val="auto"/>
                      <w:kern w:val="24"/>
                      <w:szCs w:val="21"/>
                    </w:rPr>
                    <w:t>吨</w:t>
                  </w:r>
                </w:p>
              </w:tc>
              <w:tc>
                <w:tcPr>
                  <w:tcW w:w="975" w:type="dxa"/>
                  <w:vAlign w:val="center"/>
                </w:tcPr>
                <w:p w14:paraId="46F4C186">
                  <w:pPr>
                    <w:adjustRightInd w:val="0"/>
                    <w:jc w:val="center"/>
                    <w:textAlignment w:val="baseline"/>
                    <w:rPr>
                      <w:color w:val="auto"/>
                      <w:kern w:val="24"/>
                      <w:szCs w:val="21"/>
                    </w:rPr>
                  </w:pPr>
                  <w:r>
                    <w:rPr>
                      <w:rFonts w:hint="eastAsia"/>
                      <w:color w:val="auto"/>
                      <w:kern w:val="24"/>
                      <w:szCs w:val="21"/>
                    </w:rPr>
                    <w:t>1021.26</w:t>
                  </w:r>
                </w:p>
              </w:tc>
              <w:tc>
                <w:tcPr>
                  <w:tcW w:w="1418" w:type="dxa"/>
                  <w:vAlign w:val="center"/>
                </w:tcPr>
                <w:p w14:paraId="36B1133D">
                  <w:pPr>
                    <w:adjustRightInd w:val="0"/>
                    <w:jc w:val="center"/>
                    <w:textAlignment w:val="baseline"/>
                    <w:rPr>
                      <w:color w:val="auto"/>
                      <w:kern w:val="24"/>
                      <w:szCs w:val="21"/>
                    </w:rPr>
                  </w:pPr>
                  <w:r>
                    <w:rPr>
                      <w:rFonts w:hint="eastAsia"/>
                      <w:color w:val="auto"/>
                      <w:kern w:val="24"/>
                      <w:szCs w:val="21"/>
                    </w:rPr>
                    <w:t>/</w:t>
                  </w:r>
                </w:p>
              </w:tc>
              <w:tc>
                <w:tcPr>
                  <w:tcW w:w="992" w:type="dxa"/>
                  <w:vAlign w:val="center"/>
                </w:tcPr>
                <w:p w14:paraId="423BD1AB">
                  <w:pPr>
                    <w:adjustRightInd w:val="0"/>
                    <w:jc w:val="center"/>
                    <w:textAlignment w:val="baseline"/>
                    <w:rPr>
                      <w:color w:val="auto"/>
                    </w:rPr>
                  </w:pPr>
                  <w:r>
                    <w:rPr>
                      <w:rFonts w:hint="eastAsia"/>
                      <w:color w:val="auto"/>
                      <w:kern w:val="24"/>
                      <w:szCs w:val="21"/>
                    </w:rPr>
                    <w:t>/</w:t>
                  </w:r>
                </w:p>
              </w:tc>
              <w:tc>
                <w:tcPr>
                  <w:tcW w:w="2613" w:type="dxa"/>
                  <w:vAlign w:val="center"/>
                </w:tcPr>
                <w:p w14:paraId="0BE7640B">
                  <w:pPr>
                    <w:adjustRightInd w:val="0"/>
                    <w:jc w:val="center"/>
                    <w:textAlignment w:val="baseline"/>
                    <w:rPr>
                      <w:color w:val="auto"/>
                      <w:kern w:val="24"/>
                      <w:szCs w:val="21"/>
                    </w:rPr>
                  </w:pPr>
                  <w:r>
                    <w:rPr>
                      <w:color w:val="auto"/>
                    </w:rPr>
                    <w:t>市政供水</w:t>
                  </w:r>
                </w:p>
              </w:tc>
            </w:tr>
          </w:tbl>
          <w:p w14:paraId="5857E049">
            <w:pPr>
              <w:adjustRightInd w:val="0"/>
              <w:snapToGrid w:val="0"/>
              <w:spacing w:line="360" w:lineRule="auto"/>
              <w:ind w:firstLine="480" w:firstLineChars="200"/>
              <w:jc w:val="left"/>
              <w:rPr>
                <w:color w:val="auto"/>
                <w:sz w:val="24"/>
              </w:rPr>
            </w:pPr>
            <w:r>
              <w:rPr>
                <w:rFonts w:hint="eastAsia"/>
                <w:color w:val="auto"/>
                <w:sz w:val="24"/>
              </w:rPr>
              <w:t>（2）原料理化性质</w:t>
            </w:r>
          </w:p>
          <w:p w14:paraId="01F1A5ED">
            <w:pPr>
              <w:pStyle w:val="150"/>
              <w:rPr>
                <w:color w:val="auto"/>
              </w:rPr>
            </w:pPr>
            <w:r>
              <w:rPr>
                <w:rFonts w:hint="eastAsia"/>
                <w:color w:val="auto"/>
              </w:rPr>
              <w:t>项目主要原辅材料理化性质详见下表。</w:t>
            </w:r>
          </w:p>
          <w:p w14:paraId="2E772DE5">
            <w:pPr>
              <w:adjustRightInd w:val="0"/>
              <w:snapToGrid w:val="0"/>
              <w:spacing w:line="360" w:lineRule="auto"/>
              <w:ind w:firstLine="482" w:firstLineChars="200"/>
              <w:jc w:val="center"/>
              <w:rPr>
                <w:b/>
                <w:bCs/>
                <w:color w:val="auto"/>
                <w:kern w:val="24"/>
                <w:sz w:val="24"/>
              </w:rPr>
            </w:pPr>
            <w:r>
              <w:rPr>
                <w:rFonts w:hint="eastAsia"/>
                <w:b/>
                <w:bCs/>
                <w:color w:val="auto"/>
                <w:kern w:val="24"/>
                <w:sz w:val="24"/>
              </w:rPr>
              <w:t>表2-5   项目主要原辅材料理化性质</w:t>
            </w:r>
          </w:p>
          <w:tbl>
            <w:tblPr>
              <w:tblStyle w:val="3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1"/>
              <w:gridCol w:w="7971"/>
            </w:tblGrid>
            <w:tr w14:paraId="18F99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pct"/>
                  <w:shd w:val="clear" w:color="auto" w:fill="D7D7D7" w:themeFill="background1" w:themeFillShade="D8"/>
                  <w:vAlign w:val="center"/>
                </w:tcPr>
                <w:p w14:paraId="2D2877E5">
                  <w:pPr>
                    <w:pStyle w:val="151"/>
                    <w:rPr>
                      <w:color w:val="auto"/>
                    </w:rPr>
                  </w:pPr>
                  <w:r>
                    <w:rPr>
                      <w:rFonts w:hint="eastAsia"/>
                      <w:color w:val="auto"/>
                    </w:rPr>
                    <w:t>名称</w:t>
                  </w:r>
                </w:p>
              </w:tc>
              <w:tc>
                <w:tcPr>
                  <w:tcW w:w="4437" w:type="pct"/>
                  <w:shd w:val="clear" w:color="auto" w:fill="D7D7D7" w:themeFill="background1" w:themeFillShade="D8"/>
                  <w:vAlign w:val="center"/>
                </w:tcPr>
                <w:p w14:paraId="048C6489">
                  <w:pPr>
                    <w:pStyle w:val="151"/>
                    <w:rPr>
                      <w:color w:val="auto"/>
                    </w:rPr>
                  </w:pPr>
                  <w:r>
                    <w:rPr>
                      <w:rFonts w:hint="eastAsia"/>
                      <w:color w:val="auto"/>
                    </w:rPr>
                    <w:t>理化性质</w:t>
                  </w:r>
                </w:p>
              </w:tc>
            </w:tr>
            <w:tr w14:paraId="546FF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pct"/>
                  <w:vAlign w:val="center"/>
                </w:tcPr>
                <w:p w14:paraId="39DC4B58">
                  <w:pPr>
                    <w:adjustRightInd w:val="0"/>
                    <w:jc w:val="center"/>
                    <w:textAlignment w:val="baseline"/>
                    <w:rPr>
                      <w:color w:val="auto"/>
                      <w:kern w:val="24"/>
                      <w:szCs w:val="21"/>
                    </w:rPr>
                  </w:pPr>
                  <w:r>
                    <w:rPr>
                      <w:rFonts w:hint="eastAsia"/>
                      <w:color w:val="auto"/>
                      <w:kern w:val="24"/>
                      <w:szCs w:val="21"/>
                    </w:rPr>
                    <w:t>乙炔</w:t>
                  </w:r>
                </w:p>
              </w:tc>
              <w:tc>
                <w:tcPr>
                  <w:tcW w:w="4437" w:type="pct"/>
                  <w:vAlign w:val="center"/>
                </w:tcPr>
                <w:p w14:paraId="534335B3">
                  <w:pPr>
                    <w:pStyle w:val="151"/>
                    <w:jc w:val="both"/>
                    <w:rPr>
                      <w:color w:val="auto"/>
                    </w:rPr>
                  </w:pPr>
                  <w:r>
                    <w:rPr>
                      <w:rFonts w:hint="eastAsia"/>
                      <w:color w:val="auto"/>
                    </w:rPr>
                    <w:t>乙炔是一种无色、无味的易燃气体，微溶于水，易溶于乙醇、丙酮等有机溶剂。其分子量为26.4，气体比重0.91kg/m</w:t>
                  </w:r>
                  <w:r>
                    <w:rPr>
                      <w:rFonts w:hint="eastAsia"/>
                      <w:color w:val="auto"/>
                      <w:vertAlign w:val="superscript"/>
                    </w:rPr>
                    <w:t>3</w:t>
                  </w:r>
                  <w:r>
                    <w:rPr>
                      <w:rFonts w:hint="eastAsia"/>
                      <w:color w:val="auto"/>
                    </w:rPr>
                    <w:t>，熔点-81.8℃，沸点-83.8℃，相对密度(水=1)为0.62，饱和蒸气压为4053kPa(16.8℃)。能起加成、氧化、聚合及金属取代等反应。</w:t>
                  </w:r>
                  <w:r>
                    <w:rPr>
                      <w:color w:val="auto"/>
                    </w:rPr>
                    <w:t>乙炔在工业上常用于氧炔焊割，也是制造乙醛、醋酸、苯、合成橡胶、合成纤维等的基本原料。然而，乙炔是可燃物、危险品，达到一定浓度会爆炸，不能用于灭火。此外，乙炔与空气混合能形成爆炸性混合物，遇明火、高热能引起燃烧爆炸，与氧化剂接触猛烈反应，与氟、氯等接触会发生剧烈的化学反应，能与铜、银、汞等的化合物生成爆炸性物质</w:t>
                  </w:r>
                  <w:r>
                    <w:rPr>
                      <w:rFonts w:hint="eastAsia"/>
                      <w:color w:val="auto"/>
                    </w:rPr>
                    <w:t>。</w:t>
                  </w:r>
                </w:p>
              </w:tc>
            </w:tr>
            <w:tr w14:paraId="38542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pct"/>
                  <w:vAlign w:val="center"/>
                </w:tcPr>
                <w:p w14:paraId="13EAC9C6">
                  <w:pPr>
                    <w:adjustRightInd w:val="0"/>
                    <w:jc w:val="center"/>
                    <w:textAlignment w:val="baseline"/>
                    <w:rPr>
                      <w:color w:val="auto"/>
                      <w:kern w:val="24"/>
                      <w:szCs w:val="21"/>
                    </w:rPr>
                  </w:pPr>
                  <w:r>
                    <w:rPr>
                      <w:rFonts w:hint="eastAsia"/>
                      <w:color w:val="auto"/>
                      <w:kern w:val="24"/>
                      <w:szCs w:val="21"/>
                    </w:rPr>
                    <w:t>润滑油</w:t>
                  </w:r>
                </w:p>
              </w:tc>
              <w:tc>
                <w:tcPr>
                  <w:tcW w:w="4437" w:type="pct"/>
                  <w:vAlign w:val="center"/>
                </w:tcPr>
                <w:p w14:paraId="314B7F02">
                  <w:pPr>
                    <w:pStyle w:val="151"/>
                    <w:jc w:val="both"/>
                    <w:rPr>
                      <w:color w:val="auto"/>
                    </w:rPr>
                  </w:pPr>
                  <w:r>
                    <w:rPr>
                      <w:color w:val="auto"/>
                    </w:rPr>
                    <w:t>润滑油是精制矿物油或合成油为基础油，添加各类添加剂制成的油品，润滑油（机油）中矿脂（Petrolatum）占60%、石墨（除纤维外的所有形式）graphite（All forms except fibres）占25%、结晶石英二氧化硅石英（氧化硅）Crystalline Quartz Silica Quartz （SiO</w:t>
                  </w:r>
                  <w:r>
                    <w:rPr>
                      <w:color w:val="auto"/>
                      <w:vertAlign w:val="subscript"/>
                    </w:rPr>
                    <w:t>2</w:t>
                  </w:r>
                  <w:r>
                    <w:rPr>
                      <w:color w:val="auto"/>
                    </w:rPr>
                    <w:t>）占15%。常温下多为淡黄色至深褐色透明液体，优质机油色泽均匀，无悬浮物或沉淀；密度一般在0.86~0.90 g/cm</w:t>
                  </w:r>
                  <w:r>
                    <w:rPr>
                      <w:color w:val="auto"/>
                      <w:vertAlign w:val="superscript"/>
                    </w:rPr>
                    <w:t>3</w:t>
                  </w:r>
                  <w:r>
                    <w:rPr>
                      <w:color w:val="auto"/>
                    </w:rPr>
                    <w:t>，运动黏度是关键指标，会随温度变化（遵循黏温特性，温度升高黏度下降），常用40℃或100℃时的运动黏度划分标号（如5W-30）；不溶于水，可与矿物油、合成油及多数有机溶剂混溶，添加剂会提升其对积碳、油泥的溶解分散能力；挥发性低，高温工况下不易挥发损耗，减少机油消耗量和积碳生成；具有良好的氧化安定性、热安定性，高温下不易氧化变质；耐腐蚀性强，能保护金属部件不被锈蚀；闪点通常高于200℃，属于不易燃液体，使用和储存安全性较高；燃点远高于工作温度，可避免高温自燃；凝点一般在-20~-50℃，倾点略高于凝点，决定机油的低温流动性能，标号中“W”前数字越小，低温流动性越好。</w:t>
                  </w:r>
                </w:p>
              </w:tc>
            </w:tr>
            <w:tr w14:paraId="3AA68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pct"/>
                  <w:vAlign w:val="center"/>
                </w:tcPr>
                <w:p w14:paraId="2F521AD3">
                  <w:pPr>
                    <w:adjustRightInd w:val="0"/>
                    <w:jc w:val="center"/>
                    <w:textAlignment w:val="baseline"/>
                    <w:rPr>
                      <w:color w:val="auto"/>
                      <w:kern w:val="24"/>
                      <w:szCs w:val="21"/>
                    </w:rPr>
                  </w:pPr>
                  <w:r>
                    <w:rPr>
                      <w:rFonts w:hint="eastAsia"/>
                      <w:color w:val="auto"/>
                      <w:kern w:val="24"/>
                      <w:szCs w:val="21"/>
                    </w:rPr>
                    <w:t>肥皂</w:t>
                  </w:r>
                </w:p>
              </w:tc>
              <w:tc>
                <w:tcPr>
                  <w:tcW w:w="4437" w:type="pct"/>
                  <w:vAlign w:val="center"/>
                </w:tcPr>
                <w:p w14:paraId="7BDBCF24">
                  <w:pPr>
                    <w:pStyle w:val="151"/>
                    <w:jc w:val="both"/>
                    <w:rPr>
                      <w:color w:val="auto"/>
                    </w:rPr>
                  </w:pPr>
                  <w:r>
                    <w:rPr>
                      <w:color w:val="auto"/>
                    </w:rPr>
                    <w:t>肥皂呈现碱性性质，pH值通常在9-10之间，因为它属于弱酸强碱盐（脂肪酸与强碱反应生成）。在硬水中，它与钙离子（Ca²⁺）或镁离子（Mg²⁺）结合形成凝乳状沉淀，降低清洁效果。这一特性源于其离子结构，易与水中的金属离子发生置换反应。</w:t>
                  </w:r>
                </w:p>
              </w:tc>
            </w:tr>
            <w:tr w14:paraId="3542A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pct"/>
                  <w:vAlign w:val="center"/>
                </w:tcPr>
                <w:p w14:paraId="482FA08C">
                  <w:pPr>
                    <w:adjustRightInd w:val="0"/>
                    <w:jc w:val="center"/>
                    <w:textAlignment w:val="baseline"/>
                    <w:rPr>
                      <w:color w:val="auto"/>
                      <w:kern w:val="24"/>
                      <w:szCs w:val="21"/>
                    </w:rPr>
                  </w:pPr>
                  <w:r>
                    <w:rPr>
                      <w:color w:val="auto"/>
                    </w:rPr>
                    <w:t>氧气</w:t>
                  </w:r>
                </w:p>
              </w:tc>
              <w:tc>
                <w:tcPr>
                  <w:tcW w:w="4437" w:type="pct"/>
                  <w:vAlign w:val="center"/>
                </w:tcPr>
                <w:p w14:paraId="31E22A36">
                  <w:pPr>
                    <w:pStyle w:val="151"/>
                    <w:jc w:val="both"/>
                    <w:rPr>
                      <w:color w:val="auto"/>
                    </w:rPr>
                  </w:pPr>
                  <w:r>
                    <w:rPr>
                      <w:rFonts w:hint="eastAsia"/>
                      <w:color w:val="auto"/>
                    </w:rPr>
                    <w:t>物化性质：常温下为无色、无臭和无味的气体。液态时凝结成淡蓝色液体。相对密度1.33，熔点-218.4℃，沸点-183℃，临界温度-118.6℃。化学性能活泼，可与绝大多数元素生成氧化物。与可燃性气体（如氢、乙炔、甲烷等）混合能形成爆炸性混合物。与氢气混合后燃烧火焰温度达2100～2500℃，微溶于水和醇。</w:t>
                  </w:r>
                </w:p>
                <w:p w14:paraId="662F0794">
                  <w:pPr>
                    <w:pStyle w:val="151"/>
                    <w:jc w:val="both"/>
                    <w:rPr>
                      <w:color w:val="auto"/>
                    </w:rPr>
                  </w:pPr>
                  <w:r>
                    <w:rPr>
                      <w:rFonts w:hint="eastAsia"/>
                      <w:color w:val="auto"/>
                    </w:rPr>
                    <w:t>危险特性：本身不燃，但能助燃，与有机物或其他易氧化物质能形成爆炸性混合物，与乙炔、氢、甲烷等易燃气体混合能形成爆炸性混合物，液态氧和易燃物共储时，特别在高压下，有爆炸的危险，无腐蚀性，但有水分存在时会促进金属的腐蚀，气体本身无毒，但持续吸入高浓度氧时，可出现“氧中毒症”。</w:t>
                  </w:r>
                </w:p>
              </w:tc>
            </w:tr>
          </w:tbl>
          <w:p w14:paraId="446868D4">
            <w:pPr>
              <w:adjustRightInd w:val="0"/>
              <w:snapToGrid w:val="0"/>
              <w:spacing w:line="360" w:lineRule="auto"/>
              <w:jc w:val="left"/>
              <w:rPr>
                <w:b/>
                <w:bCs/>
                <w:color w:val="auto"/>
                <w:sz w:val="24"/>
              </w:rPr>
            </w:pPr>
            <w:r>
              <w:rPr>
                <w:rFonts w:hint="eastAsia"/>
                <w:b/>
                <w:bCs/>
                <w:color w:val="auto"/>
                <w:sz w:val="24"/>
              </w:rPr>
              <w:t>5、劳动定员和工作制度</w:t>
            </w:r>
          </w:p>
          <w:p w14:paraId="001DAA04">
            <w:pPr>
              <w:adjustRightInd w:val="0"/>
              <w:snapToGrid w:val="0"/>
              <w:spacing w:line="360" w:lineRule="auto"/>
              <w:ind w:firstLine="480" w:firstLineChars="200"/>
              <w:rPr>
                <w:bCs/>
                <w:color w:val="auto"/>
                <w:sz w:val="24"/>
              </w:rPr>
            </w:pPr>
            <w:r>
              <w:rPr>
                <w:rFonts w:hint="eastAsia"/>
                <w:bCs/>
                <w:color w:val="auto"/>
                <w:sz w:val="24"/>
              </w:rPr>
              <w:t>劳动定员：</w:t>
            </w:r>
            <w:r>
              <w:rPr>
                <w:bCs/>
                <w:color w:val="auto"/>
                <w:sz w:val="24"/>
              </w:rPr>
              <w:t>现有劳动定员40人，本次改扩建新增20人，项目建成后总劳动定员60人，不在厂区内食宿。</w:t>
            </w:r>
          </w:p>
          <w:p w14:paraId="7EF181A9">
            <w:pPr>
              <w:adjustRightInd w:val="0"/>
              <w:snapToGrid w:val="0"/>
              <w:spacing w:line="360" w:lineRule="auto"/>
              <w:ind w:firstLine="480" w:firstLineChars="200"/>
              <w:rPr>
                <w:bCs/>
                <w:color w:val="auto"/>
                <w:sz w:val="24"/>
              </w:rPr>
            </w:pPr>
            <w:r>
              <w:rPr>
                <w:rFonts w:hint="eastAsia"/>
                <w:bCs/>
                <w:color w:val="auto"/>
                <w:sz w:val="24"/>
              </w:rPr>
              <w:t>工作制度：</w:t>
            </w:r>
            <w:r>
              <w:rPr>
                <w:rFonts w:hint="eastAsia"/>
                <w:color w:val="auto"/>
                <w:kern w:val="24"/>
                <w:sz w:val="24"/>
              </w:rPr>
              <w:t>本项目全年生产</w:t>
            </w:r>
            <w:r>
              <w:rPr>
                <w:color w:val="auto"/>
                <w:kern w:val="24"/>
                <w:sz w:val="24"/>
              </w:rPr>
              <w:t>3</w:t>
            </w:r>
            <w:r>
              <w:rPr>
                <w:rFonts w:hint="eastAsia"/>
                <w:color w:val="auto"/>
                <w:kern w:val="24"/>
                <w:sz w:val="24"/>
              </w:rPr>
              <w:t>00天，实行一班工作制，每班工作</w:t>
            </w:r>
            <w:r>
              <w:rPr>
                <w:color w:val="auto"/>
                <w:kern w:val="24"/>
                <w:sz w:val="24"/>
              </w:rPr>
              <w:t>8</w:t>
            </w:r>
            <w:r>
              <w:rPr>
                <w:rFonts w:hint="eastAsia"/>
                <w:color w:val="auto"/>
                <w:kern w:val="24"/>
                <w:sz w:val="24"/>
              </w:rPr>
              <w:t>小时，年工作</w:t>
            </w:r>
            <w:r>
              <w:rPr>
                <w:color w:val="auto"/>
                <w:kern w:val="24"/>
                <w:sz w:val="24"/>
              </w:rPr>
              <w:t>2400</w:t>
            </w:r>
            <w:r>
              <w:rPr>
                <w:rFonts w:hint="eastAsia"/>
                <w:color w:val="auto"/>
                <w:kern w:val="24"/>
                <w:sz w:val="24"/>
              </w:rPr>
              <w:t>小时。其中高频直缝焊管机组每天工作时间为3小时，年工作时间9</w:t>
            </w:r>
            <w:r>
              <w:rPr>
                <w:color w:val="auto"/>
                <w:kern w:val="24"/>
                <w:sz w:val="24"/>
              </w:rPr>
              <w:t>00</w:t>
            </w:r>
            <w:r>
              <w:rPr>
                <w:rFonts w:hint="eastAsia"/>
                <w:color w:val="auto"/>
                <w:kern w:val="24"/>
                <w:sz w:val="24"/>
              </w:rPr>
              <w:t>小时。</w:t>
            </w:r>
          </w:p>
          <w:p w14:paraId="72275212">
            <w:pPr>
              <w:adjustRightInd w:val="0"/>
              <w:snapToGrid w:val="0"/>
              <w:spacing w:line="360" w:lineRule="auto"/>
              <w:jc w:val="left"/>
              <w:rPr>
                <w:b/>
                <w:bCs/>
                <w:color w:val="auto"/>
                <w:sz w:val="24"/>
              </w:rPr>
            </w:pPr>
            <w:r>
              <w:rPr>
                <w:b/>
                <w:bCs/>
                <w:color w:val="auto"/>
                <w:sz w:val="24"/>
              </w:rPr>
              <w:t>6</w:t>
            </w:r>
            <w:r>
              <w:rPr>
                <w:rFonts w:hint="eastAsia"/>
                <w:b/>
                <w:bCs/>
                <w:color w:val="auto"/>
                <w:sz w:val="24"/>
              </w:rPr>
              <w:t>、建设项目水平衡分析</w:t>
            </w:r>
          </w:p>
          <w:p w14:paraId="69845FBE">
            <w:pPr>
              <w:adjustRightInd w:val="0"/>
              <w:snapToGrid w:val="0"/>
              <w:spacing w:line="360" w:lineRule="auto"/>
              <w:jc w:val="left"/>
              <w:rPr>
                <w:b/>
                <w:bCs/>
                <w:color w:val="auto"/>
                <w:sz w:val="24"/>
              </w:rPr>
            </w:pPr>
            <w:r>
              <w:rPr>
                <w:b/>
                <w:bCs/>
                <w:color w:val="auto"/>
                <w:sz w:val="24"/>
              </w:rPr>
              <w:t>6</w:t>
            </w:r>
            <w:r>
              <w:rPr>
                <w:rFonts w:hint="eastAsia"/>
                <w:b/>
                <w:bCs/>
                <w:color w:val="auto"/>
                <w:sz w:val="24"/>
              </w:rPr>
              <w:t>.1 用水量</w:t>
            </w:r>
          </w:p>
          <w:p w14:paraId="6CE78FF2">
            <w:pPr>
              <w:pStyle w:val="58"/>
              <w:spacing w:line="360" w:lineRule="auto"/>
              <w:ind w:firstLine="480" w:firstLineChars="200"/>
              <w:rPr>
                <w:rFonts w:hint="eastAsia"/>
                <w:color w:val="auto"/>
                <w:kern w:val="24"/>
                <w:sz w:val="24"/>
              </w:rPr>
            </w:pPr>
            <w:r>
              <w:rPr>
                <w:color w:val="auto"/>
                <w:kern w:val="24"/>
                <w:sz w:val="24"/>
              </w:rPr>
              <w:t>本项目用水主要为生活用水</w:t>
            </w:r>
            <w:r>
              <w:rPr>
                <w:rFonts w:hint="eastAsia"/>
                <w:color w:val="auto"/>
                <w:kern w:val="24"/>
                <w:sz w:val="24"/>
              </w:rPr>
              <w:t>、直接冷却水补水、绿化用水</w:t>
            </w:r>
            <w:r>
              <w:rPr>
                <w:color w:val="auto"/>
                <w:kern w:val="24"/>
                <w:sz w:val="24"/>
              </w:rPr>
              <w:t>。</w:t>
            </w:r>
          </w:p>
          <w:p w14:paraId="1242B05F">
            <w:pPr>
              <w:pStyle w:val="58"/>
              <w:spacing w:line="360" w:lineRule="auto"/>
              <w:ind w:firstLine="480" w:firstLineChars="200"/>
              <w:rPr>
                <w:rFonts w:ascii="Times New Roman" w:hAnsi="Times New Roman" w:cs="Times New Roman"/>
                <w:color w:val="auto"/>
                <w:sz w:val="24"/>
                <w:lang w:val="en-US"/>
              </w:rPr>
            </w:pPr>
            <w:r>
              <w:rPr>
                <w:rFonts w:hint="eastAsia" w:ascii="Times New Roman" w:hAnsi="Times New Roman" w:cs="Times New Roman"/>
                <w:color w:val="auto"/>
                <w:sz w:val="24"/>
                <w:lang w:val="en-US"/>
              </w:rPr>
              <w:t>（1）</w:t>
            </w:r>
            <w:r>
              <w:rPr>
                <w:rFonts w:hint="eastAsia"/>
                <w:color w:val="auto"/>
                <w:kern w:val="24"/>
                <w:sz w:val="24"/>
              </w:rPr>
              <w:t>生活用水</w:t>
            </w:r>
          </w:p>
          <w:p w14:paraId="55490403">
            <w:pPr>
              <w:pStyle w:val="31"/>
              <w:adjustRightInd w:val="0"/>
              <w:snapToGrid w:val="0"/>
              <w:spacing w:after="0" w:line="360" w:lineRule="auto"/>
              <w:ind w:left="0" w:leftChars="0" w:firstLine="480"/>
              <w:rPr>
                <w:color w:val="auto"/>
                <w:kern w:val="24"/>
                <w:sz w:val="24"/>
              </w:rPr>
            </w:pPr>
            <w:r>
              <w:rPr>
                <w:color w:val="auto"/>
                <w:kern w:val="24"/>
                <w:sz w:val="24"/>
              </w:rPr>
              <w:t>本项目运营期劳动定员</w:t>
            </w:r>
            <w:r>
              <w:rPr>
                <w:rFonts w:hint="eastAsia"/>
                <w:color w:val="auto"/>
                <w:kern w:val="24"/>
                <w:sz w:val="24"/>
              </w:rPr>
              <w:t>60</w:t>
            </w:r>
            <w:r>
              <w:rPr>
                <w:color w:val="auto"/>
                <w:kern w:val="24"/>
                <w:sz w:val="24"/>
              </w:rPr>
              <w:t>人，</w:t>
            </w:r>
            <w:r>
              <w:rPr>
                <w:rFonts w:hint="eastAsia"/>
                <w:color w:val="auto"/>
                <w:kern w:val="24"/>
                <w:sz w:val="24"/>
              </w:rPr>
              <w:t>不</w:t>
            </w:r>
            <w:r>
              <w:rPr>
                <w:color w:val="auto"/>
                <w:kern w:val="24"/>
                <w:sz w:val="24"/>
              </w:rPr>
              <w:t>在厂</w:t>
            </w:r>
            <w:r>
              <w:rPr>
                <w:rFonts w:hint="eastAsia"/>
                <w:color w:val="auto"/>
                <w:kern w:val="24"/>
                <w:sz w:val="24"/>
              </w:rPr>
              <w:t>区</w:t>
            </w:r>
            <w:r>
              <w:rPr>
                <w:color w:val="auto"/>
                <w:kern w:val="24"/>
                <w:sz w:val="24"/>
              </w:rPr>
              <w:t>内食宿</w:t>
            </w:r>
            <w:r>
              <w:rPr>
                <w:rFonts w:hint="eastAsia"/>
                <w:color w:val="auto"/>
                <w:kern w:val="24"/>
                <w:sz w:val="24"/>
              </w:rPr>
              <w:t>。</w:t>
            </w:r>
            <w:r>
              <w:rPr>
                <w:color w:val="auto"/>
                <w:kern w:val="24"/>
                <w:sz w:val="24"/>
              </w:rPr>
              <w:t>根据《云南省用水定额标准》（DB53/T168-20</w:t>
            </w:r>
            <w:r>
              <w:rPr>
                <w:rFonts w:hint="eastAsia"/>
                <w:color w:val="auto"/>
                <w:kern w:val="24"/>
                <w:sz w:val="24"/>
              </w:rPr>
              <w:t>26</w:t>
            </w:r>
            <w:r>
              <w:rPr>
                <w:color w:val="auto"/>
                <w:kern w:val="24"/>
                <w:sz w:val="24"/>
              </w:rPr>
              <w:t>）</w:t>
            </w:r>
            <w:r>
              <w:rPr>
                <w:bCs/>
                <w:color w:val="auto"/>
                <w:kern w:val="24"/>
                <w:sz w:val="24"/>
              </w:rPr>
              <w:t>，</w:t>
            </w:r>
            <w:r>
              <w:rPr>
                <w:color w:val="auto"/>
                <w:kern w:val="24"/>
                <w:sz w:val="24"/>
              </w:rPr>
              <w:t>结合本项目所在地生活用水实际情况，项目生活办公用水用水量按</w:t>
            </w:r>
            <w:r>
              <w:rPr>
                <w:rFonts w:hint="eastAsia"/>
                <w:color w:val="auto"/>
                <w:kern w:val="24"/>
                <w:sz w:val="24"/>
              </w:rPr>
              <w:t>30</w:t>
            </w:r>
            <w:r>
              <w:rPr>
                <w:color w:val="auto"/>
                <w:kern w:val="24"/>
                <w:sz w:val="24"/>
              </w:rPr>
              <w:t xml:space="preserve"> L/人·d计，</w:t>
            </w:r>
            <w:r>
              <w:rPr>
                <w:rFonts w:hint="eastAsia" w:cs="宋体"/>
                <w:color w:val="auto"/>
                <w:sz w:val="24"/>
              </w:rPr>
              <w:t>年工作时间300天，</w:t>
            </w:r>
            <w:r>
              <w:rPr>
                <w:color w:val="auto"/>
                <w:kern w:val="24"/>
                <w:sz w:val="24"/>
              </w:rPr>
              <w:t>则生活办公用水量为</w:t>
            </w:r>
            <w:r>
              <w:rPr>
                <w:rFonts w:hint="eastAsia"/>
                <w:color w:val="auto"/>
                <w:kern w:val="24"/>
                <w:sz w:val="24"/>
              </w:rPr>
              <w:t>540</w:t>
            </w:r>
            <w:r>
              <w:rPr>
                <w:color w:val="auto"/>
                <w:kern w:val="24"/>
                <w:sz w:val="24"/>
              </w:rPr>
              <w:t xml:space="preserve"> m</w:t>
            </w:r>
            <w:r>
              <w:rPr>
                <w:color w:val="auto"/>
                <w:kern w:val="24"/>
                <w:sz w:val="24"/>
                <w:vertAlign w:val="superscript"/>
              </w:rPr>
              <w:t>3</w:t>
            </w:r>
            <w:r>
              <w:rPr>
                <w:color w:val="auto"/>
                <w:kern w:val="24"/>
                <w:sz w:val="24"/>
              </w:rPr>
              <w:t>/a（</w:t>
            </w:r>
            <w:r>
              <w:rPr>
                <w:rFonts w:hint="eastAsia"/>
                <w:color w:val="auto"/>
                <w:kern w:val="24"/>
                <w:sz w:val="24"/>
              </w:rPr>
              <w:t>1.8</w:t>
            </w:r>
            <w:r>
              <w:rPr>
                <w:color w:val="auto"/>
                <w:kern w:val="24"/>
                <w:sz w:val="24"/>
              </w:rPr>
              <w:t>m</w:t>
            </w:r>
            <w:r>
              <w:rPr>
                <w:color w:val="auto"/>
                <w:kern w:val="24"/>
                <w:sz w:val="24"/>
                <w:vertAlign w:val="superscript"/>
              </w:rPr>
              <w:t>3</w:t>
            </w:r>
            <w:r>
              <w:rPr>
                <w:color w:val="auto"/>
                <w:kern w:val="24"/>
                <w:sz w:val="24"/>
              </w:rPr>
              <w:t>/d）。</w:t>
            </w:r>
          </w:p>
          <w:p w14:paraId="6D2BD41C">
            <w:pPr>
              <w:pStyle w:val="58"/>
              <w:spacing w:before="1" w:line="364" w:lineRule="auto"/>
              <w:ind w:left="106" w:right="106" w:firstLine="420"/>
              <w:rPr>
                <w:rFonts w:ascii="Times New Roman" w:hAnsi="Times New Roman" w:cs="Times New Roman"/>
                <w:color w:val="auto"/>
                <w:lang w:val="en-US"/>
              </w:rPr>
            </w:pPr>
            <w:r>
              <w:rPr>
                <w:rFonts w:hint="eastAsia" w:ascii="Times New Roman" w:hAnsi="Times New Roman" w:cs="Times New Roman"/>
                <w:color w:val="auto"/>
                <w:sz w:val="24"/>
                <w:lang w:val="en-US"/>
              </w:rPr>
              <w:t>（2）</w:t>
            </w:r>
            <w:r>
              <w:rPr>
                <w:rFonts w:hint="eastAsia"/>
                <w:color w:val="auto"/>
                <w:kern w:val="24"/>
                <w:sz w:val="24"/>
              </w:rPr>
              <w:t>生产用水</w:t>
            </w:r>
          </w:p>
          <w:p w14:paraId="45751B06">
            <w:pPr>
              <w:pStyle w:val="58"/>
              <w:spacing w:line="360" w:lineRule="auto"/>
              <w:ind w:firstLine="480" w:firstLineChars="200"/>
              <w:rPr>
                <w:rFonts w:hint="eastAsia"/>
                <w:color w:val="auto"/>
                <w:kern w:val="24"/>
                <w:sz w:val="24"/>
              </w:rPr>
            </w:pPr>
            <w:r>
              <w:rPr>
                <w:color w:val="auto"/>
                <w:kern w:val="24"/>
                <w:sz w:val="24"/>
              </w:rPr>
              <w:t>项目用水</w:t>
            </w:r>
            <w:r>
              <w:rPr>
                <w:rFonts w:ascii="Times New Roman" w:hAnsi="Times New Roman" w:cs="Times New Roman"/>
                <w:color w:val="auto"/>
                <w:kern w:val="24"/>
                <w:sz w:val="24"/>
              </w:rPr>
              <w:t>主要为9条生产线直接冷却水补水</w:t>
            </w:r>
            <w:r>
              <w:rPr>
                <w:color w:val="auto"/>
                <w:kern w:val="24"/>
                <w:sz w:val="24"/>
              </w:rPr>
              <w:t>。</w:t>
            </w:r>
          </w:p>
          <w:p w14:paraId="5004D895">
            <w:pPr>
              <w:pStyle w:val="70"/>
              <w:ind w:firstLine="480"/>
              <w:rPr>
                <w:color w:val="auto"/>
              </w:rPr>
            </w:pPr>
            <w:r>
              <w:rPr>
                <w:rFonts w:hint="eastAsia"/>
                <w:color w:val="auto"/>
              </w:rPr>
              <w:t>直接冷却水主要是对焊管进行冷却，与物料直接接触，为直接冷却水，通过生产线下方排水沟引入循环水池，焊管直接冷却水经沉淀、冷却后循环利用，定期补充，不外排。本项目共设置</w:t>
            </w:r>
            <w:r>
              <w:rPr>
                <w:color w:val="auto"/>
              </w:rPr>
              <w:t>2</w:t>
            </w:r>
            <w:r>
              <w:rPr>
                <w:rFonts w:hint="eastAsia"/>
                <w:color w:val="auto"/>
              </w:rPr>
              <w:t>个循环水池，总容积300m</w:t>
            </w:r>
            <w:r>
              <w:rPr>
                <w:rFonts w:hint="eastAsia"/>
                <w:color w:val="auto"/>
                <w:vertAlign w:val="superscript"/>
              </w:rPr>
              <w:t>3</w:t>
            </w:r>
            <w:r>
              <w:rPr>
                <w:rFonts w:hint="eastAsia"/>
                <w:color w:val="auto"/>
              </w:rPr>
              <w:t>。本项目直接冷却水设计总循环水量为20m</w:t>
            </w:r>
            <w:r>
              <w:rPr>
                <w:rFonts w:hint="eastAsia"/>
                <w:color w:val="auto"/>
                <w:vertAlign w:val="superscript"/>
              </w:rPr>
              <w:t>3</w:t>
            </w:r>
            <w:r>
              <w:rPr>
                <w:rFonts w:hint="eastAsia"/>
                <w:color w:val="auto"/>
              </w:rPr>
              <w:t>/h，60m</w:t>
            </w:r>
            <w:r>
              <w:rPr>
                <w:rFonts w:hint="eastAsia"/>
                <w:color w:val="auto"/>
                <w:vertAlign w:val="superscript"/>
              </w:rPr>
              <w:t>3</w:t>
            </w:r>
            <w:r>
              <w:rPr>
                <w:rFonts w:hint="eastAsia"/>
                <w:color w:val="auto"/>
              </w:rPr>
              <w:t>/d。</w:t>
            </w:r>
            <w:r>
              <w:rPr>
                <w:color w:val="auto"/>
              </w:rPr>
              <w:t>根据</w:t>
            </w:r>
            <w:r>
              <w:rPr>
                <w:rFonts w:hint="eastAsia"/>
                <w:color w:val="auto"/>
                <w:kern w:val="0"/>
              </w:rPr>
              <w:t>建设单位提供的资料</w:t>
            </w:r>
            <w:r>
              <w:rPr>
                <w:rFonts w:hint="eastAsia"/>
                <w:color w:val="auto"/>
              </w:rPr>
              <w:t>，项目打捞沉渣会带走部分水量（约一年打捞一次），直接补充新水，</w:t>
            </w:r>
            <w:r>
              <w:rPr>
                <w:rFonts w:hint="eastAsia"/>
                <w:color w:val="auto"/>
                <w:kern w:val="0"/>
              </w:rPr>
              <w:t>本项目</w:t>
            </w:r>
            <w:r>
              <w:rPr>
                <w:rFonts w:hint="eastAsia"/>
                <w:color w:val="auto"/>
                <w:kern w:val="24"/>
              </w:rPr>
              <w:t>直接冷却水补水量约</w:t>
            </w:r>
            <w:r>
              <w:rPr>
                <w:color w:val="auto"/>
                <w:kern w:val="24"/>
              </w:rPr>
              <w:t>为</w:t>
            </w:r>
            <w:r>
              <w:rPr>
                <w:rFonts w:hint="eastAsia"/>
                <w:color w:val="auto"/>
                <w:kern w:val="24"/>
              </w:rPr>
              <w:t>361.26</w:t>
            </w:r>
            <w:r>
              <w:rPr>
                <w:color w:val="auto"/>
                <w:kern w:val="24"/>
              </w:rPr>
              <w:t>m</w:t>
            </w:r>
            <w:r>
              <w:rPr>
                <w:color w:val="auto"/>
                <w:kern w:val="24"/>
                <w:vertAlign w:val="superscript"/>
              </w:rPr>
              <w:t>3</w:t>
            </w:r>
            <w:r>
              <w:rPr>
                <w:color w:val="auto"/>
                <w:kern w:val="24"/>
              </w:rPr>
              <w:t>/a（</w:t>
            </w:r>
            <w:r>
              <w:rPr>
                <w:rFonts w:hint="eastAsia"/>
                <w:color w:val="auto"/>
                <w:kern w:val="24"/>
              </w:rPr>
              <w:t>1.2</w:t>
            </w:r>
            <w:r>
              <w:rPr>
                <w:color w:val="auto"/>
                <w:kern w:val="24"/>
              </w:rPr>
              <w:t xml:space="preserve"> m</w:t>
            </w:r>
            <w:r>
              <w:rPr>
                <w:color w:val="auto"/>
                <w:kern w:val="24"/>
                <w:vertAlign w:val="superscript"/>
              </w:rPr>
              <w:t>3</w:t>
            </w:r>
            <w:r>
              <w:rPr>
                <w:color w:val="auto"/>
                <w:kern w:val="24"/>
              </w:rPr>
              <w:t>/d）</w:t>
            </w:r>
            <w:r>
              <w:rPr>
                <w:rFonts w:hint="eastAsia"/>
                <w:color w:val="auto"/>
              </w:rPr>
              <w:t>。</w:t>
            </w:r>
          </w:p>
          <w:p w14:paraId="59DBA8D9">
            <w:pPr>
              <w:pStyle w:val="70"/>
              <w:ind w:firstLine="480"/>
              <w:rPr>
                <w:color w:val="auto"/>
              </w:rPr>
            </w:pPr>
            <w:r>
              <w:rPr>
                <w:rFonts w:hint="eastAsia"/>
                <w:color w:val="auto"/>
              </w:rPr>
              <w:t>（3）绿化用水</w:t>
            </w:r>
          </w:p>
          <w:p w14:paraId="6FCACCBB">
            <w:pPr>
              <w:pStyle w:val="70"/>
              <w:ind w:firstLine="480"/>
              <w:rPr>
                <w:color w:val="auto"/>
              </w:rPr>
            </w:pPr>
            <w:r>
              <w:rPr>
                <w:rFonts w:hint="eastAsia"/>
                <w:color w:val="auto"/>
              </w:rPr>
              <w:t>项目绿化面积200m</w:t>
            </w:r>
            <w:r>
              <w:rPr>
                <w:rFonts w:hint="eastAsia"/>
                <w:color w:val="auto"/>
                <w:vertAlign w:val="superscript"/>
              </w:rPr>
              <w:t>2</w:t>
            </w:r>
            <w:r>
              <w:rPr>
                <w:rFonts w:hint="eastAsia"/>
                <w:color w:val="auto"/>
              </w:rPr>
              <w:t>，</w:t>
            </w:r>
            <w:r>
              <w:rPr>
                <w:color w:val="auto"/>
              </w:rPr>
              <w:t>依据《云南省地方标准—用水定额》（DB53/T168-20</w:t>
            </w:r>
            <w:r>
              <w:rPr>
                <w:rFonts w:hint="eastAsia"/>
                <w:color w:val="auto"/>
              </w:rPr>
              <w:t>26</w:t>
            </w:r>
            <w:r>
              <w:rPr>
                <w:color w:val="auto"/>
              </w:rPr>
              <w:t>）标准，绿化用水按3L/m</w:t>
            </w:r>
            <w:r>
              <w:rPr>
                <w:color w:val="auto"/>
                <w:vertAlign w:val="superscript"/>
              </w:rPr>
              <w:t>2</w:t>
            </w:r>
            <w:r>
              <w:rPr>
                <w:color w:val="auto"/>
              </w:rPr>
              <w:t>·次计，用水时间扣除下雨天，按200d计，则绿化用水量为</w:t>
            </w:r>
            <w:r>
              <w:rPr>
                <w:rFonts w:hint="eastAsia"/>
                <w:color w:val="auto"/>
              </w:rPr>
              <w:t>0.6</w:t>
            </w:r>
            <w:r>
              <w:rPr>
                <w:color w:val="auto"/>
              </w:rPr>
              <w:t>m³/d</w:t>
            </w:r>
            <w:r>
              <w:rPr>
                <w:rFonts w:hint="eastAsia"/>
                <w:color w:val="auto"/>
              </w:rPr>
              <w:t>、120</w:t>
            </w:r>
            <w:r>
              <w:rPr>
                <w:color w:val="auto"/>
              </w:rPr>
              <w:t>m³/a。</w:t>
            </w:r>
          </w:p>
          <w:p w14:paraId="392536A8">
            <w:pPr>
              <w:adjustRightInd w:val="0"/>
              <w:snapToGrid w:val="0"/>
              <w:spacing w:line="360" w:lineRule="auto"/>
              <w:jc w:val="left"/>
              <w:rPr>
                <w:b/>
                <w:bCs/>
                <w:color w:val="auto"/>
                <w:sz w:val="24"/>
              </w:rPr>
            </w:pPr>
            <w:r>
              <w:rPr>
                <w:b/>
                <w:bCs/>
                <w:color w:val="auto"/>
                <w:sz w:val="24"/>
              </w:rPr>
              <w:t>6</w:t>
            </w:r>
            <w:r>
              <w:rPr>
                <w:rFonts w:hint="eastAsia"/>
                <w:b/>
                <w:bCs/>
                <w:color w:val="auto"/>
                <w:sz w:val="24"/>
              </w:rPr>
              <w:t xml:space="preserve">.2 </w:t>
            </w:r>
            <w:r>
              <w:rPr>
                <w:b/>
                <w:bCs/>
                <w:color w:val="auto"/>
                <w:sz w:val="24"/>
              </w:rPr>
              <w:t>废水量</w:t>
            </w:r>
          </w:p>
          <w:p w14:paraId="460E4F7A">
            <w:pPr>
              <w:adjustRightInd w:val="0"/>
              <w:snapToGrid w:val="0"/>
              <w:spacing w:line="360" w:lineRule="auto"/>
              <w:ind w:firstLine="480" w:firstLineChars="200"/>
              <w:rPr>
                <w:color w:val="auto"/>
                <w:kern w:val="24"/>
                <w:sz w:val="24"/>
              </w:rPr>
            </w:pPr>
            <w:r>
              <w:rPr>
                <w:color w:val="auto"/>
                <w:kern w:val="24"/>
                <w:sz w:val="24"/>
              </w:rPr>
              <w:t>本项目废水主要为</w:t>
            </w:r>
            <w:r>
              <w:rPr>
                <w:rFonts w:hint="eastAsia"/>
                <w:color w:val="auto"/>
                <w:kern w:val="24"/>
                <w:sz w:val="24"/>
              </w:rPr>
              <w:t>生产废水、生活污水，生产废水包括直接冷却水和循环水池沉渣压滤废水。项目生产过程中对厂区内初期雨水进行收集处理后用于厂区洒水降尘。</w:t>
            </w:r>
          </w:p>
          <w:p w14:paraId="2E0BE100">
            <w:pPr>
              <w:pStyle w:val="70"/>
              <w:ind w:firstLine="480"/>
              <w:rPr>
                <w:color w:val="auto"/>
              </w:rPr>
            </w:pPr>
            <w:r>
              <w:rPr>
                <w:rFonts w:hint="eastAsia"/>
                <w:color w:val="auto"/>
              </w:rPr>
              <w:t>（1）</w:t>
            </w:r>
            <w:r>
              <w:rPr>
                <w:rFonts w:hint="eastAsia"/>
                <w:bCs/>
                <w:color w:val="auto"/>
              </w:rPr>
              <w:t>生产废水</w:t>
            </w:r>
          </w:p>
          <w:p w14:paraId="26EC2F12">
            <w:pPr>
              <w:pStyle w:val="70"/>
              <w:ind w:firstLine="480"/>
              <w:rPr>
                <w:color w:val="auto"/>
                <w:kern w:val="24"/>
              </w:rPr>
            </w:pPr>
            <w:r>
              <w:rPr>
                <w:rFonts w:hint="eastAsia"/>
                <w:color w:val="auto"/>
                <w:kern w:val="24"/>
              </w:rPr>
              <w:t>①直接冷却水</w:t>
            </w:r>
          </w:p>
          <w:p w14:paraId="18C38323">
            <w:pPr>
              <w:pStyle w:val="70"/>
              <w:ind w:firstLine="480"/>
              <w:rPr>
                <w:color w:val="auto"/>
                <w:kern w:val="24"/>
              </w:rPr>
            </w:pPr>
            <w:r>
              <w:rPr>
                <w:rFonts w:hint="eastAsia"/>
                <w:color w:val="auto"/>
                <w:kern w:val="24"/>
              </w:rPr>
              <w:t>本项目直接冷却水为产品冷却水，循环使用，定期补充，不外排。</w:t>
            </w:r>
          </w:p>
          <w:p w14:paraId="7917E80D">
            <w:pPr>
              <w:pStyle w:val="70"/>
              <w:ind w:firstLine="480"/>
              <w:rPr>
                <w:color w:val="auto"/>
                <w:kern w:val="24"/>
              </w:rPr>
            </w:pPr>
            <w:r>
              <w:rPr>
                <w:rFonts w:hint="eastAsia"/>
                <w:color w:val="auto"/>
                <w:kern w:val="24"/>
              </w:rPr>
              <w:t>②沉渣压滤废水</w:t>
            </w:r>
          </w:p>
          <w:p w14:paraId="27FD7142">
            <w:pPr>
              <w:pStyle w:val="70"/>
              <w:ind w:firstLine="480"/>
              <w:rPr>
                <w:bCs/>
                <w:color w:val="auto"/>
              </w:rPr>
            </w:pPr>
            <w:r>
              <w:rPr>
                <w:bCs/>
                <w:color w:val="auto"/>
              </w:rPr>
              <w:t>循环水池沉渣含水率95%，通过板框压滤脱水</w:t>
            </w:r>
            <w:r>
              <w:rPr>
                <w:rFonts w:hint="eastAsia"/>
                <w:bCs/>
                <w:color w:val="auto"/>
              </w:rPr>
              <w:t>后</w:t>
            </w:r>
            <w:r>
              <w:rPr>
                <w:bCs/>
                <w:color w:val="auto"/>
              </w:rPr>
              <w:t>脱水至含水率60%</w:t>
            </w:r>
            <w:r>
              <w:rPr>
                <w:rFonts w:hint="eastAsia"/>
                <w:bCs/>
                <w:color w:val="auto"/>
              </w:rPr>
              <w:t>，本项目每年外售金属沉渣量约2.1t/a（含带走水量1.26t/a），项目沉渣压滤废水量约15.54t/a，返回循环水池进行循环使用，不外排</w:t>
            </w:r>
            <w:r>
              <w:rPr>
                <w:bCs/>
                <w:color w:val="auto"/>
              </w:rPr>
              <w:t>。</w:t>
            </w:r>
          </w:p>
          <w:p w14:paraId="1F8A89CB">
            <w:pPr>
              <w:pStyle w:val="70"/>
              <w:ind w:firstLine="480"/>
              <w:rPr>
                <w:color w:val="auto"/>
              </w:rPr>
            </w:pPr>
            <w:r>
              <w:rPr>
                <w:rFonts w:hint="eastAsia"/>
                <w:color w:val="auto"/>
              </w:rPr>
              <w:t>（</w:t>
            </w:r>
            <w:r>
              <w:rPr>
                <w:color w:val="auto"/>
              </w:rPr>
              <w:t>2</w:t>
            </w:r>
            <w:r>
              <w:rPr>
                <w:rFonts w:hint="eastAsia"/>
                <w:color w:val="auto"/>
              </w:rPr>
              <w:t>）</w:t>
            </w:r>
            <w:r>
              <w:rPr>
                <w:rFonts w:hint="eastAsia"/>
                <w:bCs/>
                <w:color w:val="auto"/>
              </w:rPr>
              <w:t>生活污水</w:t>
            </w:r>
          </w:p>
          <w:p w14:paraId="20D4ED71">
            <w:pPr>
              <w:pStyle w:val="70"/>
              <w:ind w:firstLine="480"/>
              <w:rPr>
                <w:color w:val="auto"/>
                <w:kern w:val="24"/>
              </w:rPr>
            </w:pPr>
            <w:r>
              <w:rPr>
                <w:rFonts w:hint="eastAsia"/>
                <w:bCs/>
                <w:color w:val="auto"/>
              </w:rPr>
              <w:t>项目生活污水量按生活用水量的80%计算，则生活污水产生量为</w:t>
            </w:r>
            <w:r>
              <w:rPr>
                <w:rFonts w:hint="eastAsia"/>
                <w:color w:val="auto"/>
                <w:kern w:val="24"/>
              </w:rPr>
              <w:t>432</w:t>
            </w:r>
            <w:r>
              <w:rPr>
                <w:color w:val="auto"/>
                <w:kern w:val="24"/>
              </w:rPr>
              <w:t>m</w:t>
            </w:r>
            <w:r>
              <w:rPr>
                <w:color w:val="auto"/>
                <w:kern w:val="24"/>
                <w:vertAlign w:val="superscript"/>
              </w:rPr>
              <w:t>3</w:t>
            </w:r>
            <w:r>
              <w:rPr>
                <w:color w:val="auto"/>
                <w:kern w:val="24"/>
              </w:rPr>
              <w:t>/a（</w:t>
            </w:r>
            <w:r>
              <w:rPr>
                <w:rFonts w:hint="eastAsia"/>
                <w:color w:val="auto"/>
                <w:kern w:val="24"/>
              </w:rPr>
              <w:t>1.44</w:t>
            </w:r>
            <w:r>
              <w:rPr>
                <w:color w:val="auto"/>
                <w:kern w:val="24"/>
              </w:rPr>
              <w:t>m</w:t>
            </w:r>
            <w:r>
              <w:rPr>
                <w:color w:val="auto"/>
                <w:kern w:val="24"/>
                <w:vertAlign w:val="superscript"/>
              </w:rPr>
              <w:t>3</w:t>
            </w:r>
            <w:r>
              <w:rPr>
                <w:color w:val="auto"/>
                <w:kern w:val="24"/>
              </w:rPr>
              <w:t>/d）。</w:t>
            </w:r>
          </w:p>
          <w:p w14:paraId="095D42E1">
            <w:pPr>
              <w:pStyle w:val="70"/>
              <w:ind w:firstLine="480"/>
              <w:rPr>
                <w:color w:val="auto"/>
                <w:kern w:val="24"/>
              </w:rPr>
            </w:pPr>
            <w:r>
              <w:rPr>
                <w:rFonts w:hint="eastAsia"/>
                <w:color w:val="auto"/>
                <w:kern w:val="24"/>
              </w:rPr>
              <w:t>（3）初期雨水</w:t>
            </w:r>
          </w:p>
          <w:p w14:paraId="1D1B676A">
            <w:pPr>
              <w:pStyle w:val="70"/>
              <w:ind w:firstLine="480"/>
              <w:rPr>
                <w:color w:val="auto"/>
                <w:kern w:val="24"/>
              </w:rPr>
            </w:pPr>
            <w:r>
              <w:rPr>
                <w:color w:val="auto"/>
                <w:kern w:val="24"/>
              </w:rPr>
              <w:t>本项目运营过程中，遇降雨天气，受到自然降雨的影响，形成雨污水。取一次暴雨前15min的降水量，经雨水冲洗的地面排水含有少量悬浮物等污染物，如果直接排入水体，将造成一定的污染。本次环评提出对初期雨水进行收集，初期雨水地表径流中含有的主要成分为SS，经初期雨水收集池沉淀处理后用于厂区洒水降尘。</w:t>
            </w:r>
          </w:p>
          <w:p w14:paraId="3F5B00AF">
            <w:pPr>
              <w:pStyle w:val="70"/>
              <w:ind w:firstLine="480"/>
              <w:rPr>
                <w:color w:val="auto"/>
                <w:kern w:val="24"/>
              </w:rPr>
            </w:pPr>
            <w:r>
              <w:rPr>
                <w:color w:val="auto"/>
                <w:kern w:val="24"/>
              </w:rPr>
              <w:t>采用最大降水量法来计算厂区初期雨水收集池所需设计容积，确保遇最大暴雨时，初期雨水收集池能收集产生的初期雨水，计算公式为：</w:t>
            </w:r>
          </w:p>
          <w:p w14:paraId="213615BD">
            <w:pPr>
              <w:pStyle w:val="70"/>
              <w:ind w:firstLine="480"/>
              <w:rPr>
                <w:color w:val="auto"/>
                <w:kern w:val="24"/>
              </w:rPr>
            </w:pPr>
            <w:r>
              <w:rPr>
                <w:color w:val="auto"/>
                <w:kern w:val="24"/>
              </w:rPr>
              <w:object>
                <v:shape id="_x0000_i1025" o:spt="75" type="#_x0000_t75" style="height:22.5pt;width:95.25pt;" o:ole="t" filled="f" o:preferrelative="t" stroked="f" coordsize="21600,21600">
                  <v:path/>
                  <v:fill on="f" focussize="0,0"/>
                  <v:stroke on="f" joinstyle="miter"/>
                  <v:imagedata r:id="rId8" o:title=""/>
                  <o:lock v:ext="edit" aspectratio="t"/>
                  <w10:wrap type="none"/>
                  <w10:anchorlock/>
                </v:shape>
                <o:OLEObject Type="Embed" ProgID="Equation.KSEE3" ShapeID="_x0000_i1025" DrawAspect="Content" ObjectID="_1468075725" r:id="rId7">
                  <o:LockedField>false</o:LockedField>
                </o:OLEObject>
              </w:object>
            </w:r>
          </w:p>
          <w:p w14:paraId="32ECB72C">
            <w:pPr>
              <w:pStyle w:val="70"/>
              <w:ind w:firstLine="480"/>
              <w:rPr>
                <w:color w:val="auto"/>
                <w:kern w:val="24"/>
              </w:rPr>
            </w:pPr>
            <w:r>
              <w:rPr>
                <w:color w:val="auto"/>
                <w:kern w:val="24"/>
              </w:rPr>
              <w:t>式中：Q—雨水流量，L/s；</w:t>
            </w:r>
          </w:p>
          <w:p w14:paraId="3E3BDFB6">
            <w:pPr>
              <w:pStyle w:val="70"/>
              <w:ind w:firstLine="480"/>
              <w:rPr>
                <w:color w:val="auto"/>
                <w:kern w:val="24"/>
              </w:rPr>
            </w:pPr>
            <w:r>
              <w:rPr>
                <w:color w:val="auto"/>
                <w:kern w:val="24"/>
              </w:rPr>
              <w:t>q—设计暴雨强度，L/s•hm</w:t>
            </w:r>
            <w:r>
              <w:rPr>
                <w:rFonts w:hint="eastAsia"/>
                <w:color w:val="auto"/>
                <w:kern w:val="24"/>
                <w:vertAlign w:val="superscript"/>
              </w:rPr>
              <w:t>2</w:t>
            </w:r>
            <w:r>
              <w:rPr>
                <w:color w:val="auto"/>
                <w:kern w:val="24"/>
              </w:rPr>
              <w:t>；</w:t>
            </w:r>
          </w:p>
          <w:p w14:paraId="1A0222F5">
            <w:pPr>
              <w:pStyle w:val="70"/>
              <w:ind w:firstLine="480"/>
              <w:rPr>
                <w:color w:val="auto"/>
                <w:kern w:val="24"/>
              </w:rPr>
            </w:pPr>
            <w:r>
              <w:rPr>
                <w:color w:val="auto"/>
                <w:kern w:val="24"/>
              </w:rPr>
              <w:t>F—汇水面积（m</w:t>
            </w:r>
            <w:r>
              <w:rPr>
                <w:color w:val="auto"/>
                <w:kern w:val="24"/>
                <w:vertAlign w:val="superscript"/>
              </w:rPr>
              <w:t>2</w:t>
            </w:r>
            <w:r>
              <w:rPr>
                <w:color w:val="auto"/>
                <w:kern w:val="24"/>
              </w:rPr>
              <w:t>），本项目主要收集生产区</w:t>
            </w:r>
            <w:r>
              <w:rPr>
                <w:rFonts w:hint="eastAsia"/>
                <w:color w:val="auto"/>
                <w:kern w:val="24"/>
              </w:rPr>
              <w:t>裸露地面</w:t>
            </w:r>
            <w:r>
              <w:rPr>
                <w:color w:val="auto"/>
                <w:kern w:val="24"/>
              </w:rPr>
              <w:t>的初期雨水，占地面积约</w:t>
            </w:r>
            <w:r>
              <w:rPr>
                <w:rFonts w:hint="eastAsia"/>
                <w:color w:val="auto"/>
                <w:kern w:val="24"/>
              </w:rPr>
              <w:t>0.5066</w:t>
            </w:r>
            <w:r>
              <w:rPr>
                <w:color w:val="auto"/>
                <w:kern w:val="24"/>
              </w:rPr>
              <w:t>hm</w:t>
            </w:r>
            <w:r>
              <w:rPr>
                <w:color w:val="auto"/>
                <w:kern w:val="24"/>
                <w:vertAlign w:val="superscript"/>
              </w:rPr>
              <w:t>2</w:t>
            </w:r>
            <w:r>
              <w:rPr>
                <w:color w:val="auto"/>
                <w:kern w:val="24"/>
              </w:rPr>
              <w:t>；</w:t>
            </w:r>
          </w:p>
          <w:p w14:paraId="5F03E2AD">
            <w:pPr>
              <w:pStyle w:val="70"/>
              <w:ind w:firstLine="480"/>
              <w:rPr>
                <w:color w:val="auto"/>
                <w:kern w:val="24"/>
              </w:rPr>
            </w:pPr>
            <w:r>
              <w:rPr>
                <w:color w:val="auto"/>
                <w:kern w:val="24"/>
              </w:rPr>
              <w:t>Ψ—径流系数，0.15~0.9，考虑项目区的坡度及场地硬化等因素，径流系数取0.5。</w:t>
            </w:r>
          </w:p>
          <w:p w14:paraId="331BE03D">
            <w:pPr>
              <w:pStyle w:val="70"/>
              <w:ind w:firstLine="480"/>
              <w:rPr>
                <w:color w:val="auto"/>
                <w:kern w:val="24"/>
              </w:rPr>
            </w:pPr>
            <w:r>
              <w:rPr>
                <w:color w:val="auto"/>
                <w:kern w:val="24"/>
              </w:rPr>
              <w:t>玉溪市暴雨强度计算公式：</w:t>
            </w:r>
          </w:p>
          <w:p w14:paraId="4F765262">
            <w:pPr>
              <w:pStyle w:val="70"/>
              <w:ind w:firstLine="480"/>
              <w:rPr>
                <w:color w:val="auto"/>
                <w:kern w:val="24"/>
              </w:rPr>
            </w:pPr>
            <w:r>
              <w:rPr>
                <w:bCs/>
                <w:color w:val="auto"/>
                <w:kern w:val="24"/>
              </w:rPr>
              <w:object>
                <v:shape id="_x0000_i1026" o:spt="75" type="#_x0000_t75" style="height:37.5pt;width:163.5pt;" o:ole="t" filled="f" o:preferrelative="t" stroked="f" coordsize="21600,21600">
                  <v:path/>
                  <v:fill on="f" focussize="0,0"/>
                  <v:stroke on="f" joinstyle="miter"/>
                  <v:imagedata r:id="rId10" o:title=""/>
                  <o:lock v:ext="edit" aspectratio="t"/>
                  <w10:wrap type="none"/>
                  <w10:anchorlock/>
                </v:shape>
                <o:OLEObject Type="Embed" ProgID="Equation.KSEE3" ShapeID="_x0000_i1026" DrawAspect="Content" ObjectID="_1468075726" r:id="rId9">
                  <o:LockedField>false</o:LockedField>
                </o:OLEObject>
              </w:object>
            </w:r>
          </w:p>
          <w:p w14:paraId="09436BB9">
            <w:pPr>
              <w:pStyle w:val="70"/>
              <w:ind w:firstLine="480"/>
              <w:rPr>
                <w:color w:val="auto"/>
                <w:kern w:val="24"/>
              </w:rPr>
            </w:pPr>
            <w:r>
              <w:rPr>
                <w:color w:val="auto"/>
                <w:kern w:val="24"/>
              </w:rPr>
              <w:t>式中：P—设计降雨重现期1a；</w:t>
            </w:r>
          </w:p>
          <w:p w14:paraId="7A883DD1">
            <w:pPr>
              <w:pStyle w:val="70"/>
              <w:ind w:firstLine="480"/>
              <w:rPr>
                <w:color w:val="auto"/>
                <w:kern w:val="24"/>
              </w:rPr>
            </w:pPr>
            <w:r>
              <w:rPr>
                <w:color w:val="auto"/>
                <w:kern w:val="24"/>
              </w:rPr>
              <w:t>t—降雨历时（取15min）。</w:t>
            </w:r>
          </w:p>
          <w:p w14:paraId="0C586A50">
            <w:pPr>
              <w:pStyle w:val="70"/>
              <w:ind w:firstLine="480"/>
              <w:rPr>
                <w:color w:val="auto"/>
                <w:kern w:val="24"/>
              </w:rPr>
            </w:pPr>
            <w:r>
              <w:rPr>
                <w:color w:val="auto"/>
                <w:kern w:val="24"/>
              </w:rPr>
              <w:t>按照上述公式计算，拟建项目区的暴雨强度为178.96L/s•hm</w:t>
            </w:r>
            <w:r>
              <w:rPr>
                <w:color w:val="auto"/>
                <w:kern w:val="24"/>
                <w:vertAlign w:val="superscript"/>
              </w:rPr>
              <w:t>2</w:t>
            </w:r>
            <w:r>
              <w:rPr>
                <w:color w:val="auto"/>
                <w:kern w:val="24"/>
              </w:rPr>
              <w:t>。项目区雨水流量为</w:t>
            </w:r>
            <w:r>
              <w:rPr>
                <w:rFonts w:hint="eastAsia"/>
                <w:color w:val="auto"/>
                <w:kern w:val="24"/>
              </w:rPr>
              <w:t>45.33</w:t>
            </w:r>
            <w:r>
              <w:rPr>
                <w:color w:val="auto"/>
                <w:kern w:val="24"/>
              </w:rPr>
              <w:t>L/s。降雨前15min初期雨水产生量为</w:t>
            </w:r>
            <w:r>
              <w:rPr>
                <w:rFonts w:hint="eastAsia"/>
                <w:color w:val="auto"/>
                <w:kern w:val="24"/>
              </w:rPr>
              <w:t>40.8</w:t>
            </w:r>
            <w:r>
              <w:rPr>
                <w:color w:val="auto"/>
                <w:kern w:val="24"/>
              </w:rPr>
              <w:t>m</w:t>
            </w:r>
            <w:r>
              <w:rPr>
                <w:color w:val="auto"/>
                <w:kern w:val="24"/>
                <w:vertAlign w:val="superscript"/>
              </w:rPr>
              <w:t>3</w:t>
            </w:r>
            <w:r>
              <w:rPr>
                <w:color w:val="auto"/>
                <w:kern w:val="24"/>
              </w:rPr>
              <w:t>/次。初期雨水主要污染物为SS，因冲刷道路表面，从而带入较多粉尘，经</w:t>
            </w:r>
            <w:r>
              <w:rPr>
                <w:rFonts w:hint="eastAsia"/>
                <w:color w:val="auto"/>
                <w:kern w:val="24"/>
              </w:rPr>
              <w:t>50m</w:t>
            </w:r>
            <w:r>
              <w:rPr>
                <w:rFonts w:hint="eastAsia"/>
                <w:color w:val="auto"/>
                <w:kern w:val="24"/>
                <w:vertAlign w:val="superscript"/>
              </w:rPr>
              <w:t>3</w:t>
            </w:r>
            <w:r>
              <w:rPr>
                <w:color w:val="auto"/>
                <w:kern w:val="24"/>
              </w:rPr>
              <w:t>初期雨水收集池沉淀处理后晴天回用于厂区洒水降尘。</w:t>
            </w:r>
          </w:p>
          <w:p w14:paraId="68D569EB">
            <w:pPr>
              <w:adjustRightInd w:val="0"/>
              <w:snapToGrid w:val="0"/>
              <w:spacing w:line="360" w:lineRule="auto"/>
              <w:jc w:val="left"/>
              <w:rPr>
                <w:b/>
                <w:bCs/>
                <w:color w:val="auto"/>
                <w:sz w:val="24"/>
              </w:rPr>
            </w:pPr>
            <w:r>
              <w:rPr>
                <w:b/>
                <w:bCs/>
                <w:color w:val="auto"/>
                <w:sz w:val="24"/>
              </w:rPr>
              <w:t>6</w:t>
            </w:r>
            <w:r>
              <w:rPr>
                <w:rFonts w:hint="eastAsia"/>
                <w:b/>
                <w:bCs/>
                <w:color w:val="auto"/>
                <w:sz w:val="24"/>
              </w:rPr>
              <w:t>.3废水排放去向</w:t>
            </w:r>
          </w:p>
          <w:p w14:paraId="34A7901F">
            <w:pPr>
              <w:adjustRightInd w:val="0"/>
              <w:snapToGrid w:val="0"/>
              <w:spacing w:line="360" w:lineRule="auto"/>
              <w:ind w:firstLine="555"/>
              <w:rPr>
                <w:color w:val="auto"/>
                <w:kern w:val="24"/>
                <w:sz w:val="24"/>
              </w:rPr>
            </w:pPr>
            <w:r>
              <w:rPr>
                <w:rFonts w:hint="eastAsia"/>
                <w:color w:val="auto"/>
                <w:kern w:val="24"/>
                <w:sz w:val="24"/>
              </w:rPr>
              <w:t>项目生产废水主要为焊管生产车间产品冷却水和</w:t>
            </w:r>
            <w:r>
              <w:rPr>
                <w:color w:val="auto"/>
                <w:kern w:val="24"/>
                <w:sz w:val="24"/>
              </w:rPr>
              <w:t>沉渣压滤废水</w:t>
            </w:r>
            <w:r>
              <w:rPr>
                <w:rFonts w:hint="eastAsia"/>
                <w:color w:val="auto"/>
                <w:kern w:val="24"/>
                <w:sz w:val="24"/>
              </w:rPr>
              <w:t>，均经2个150m</w:t>
            </w:r>
            <w:r>
              <w:rPr>
                <w:rFonts w:hint="eastAsia"/>
                <w:color w:val="auto"/>
                <w:kern w:val="24"/>
                <w:sz w:val="24"/>
                <w:vertAlign w:val="superscript"/>
              </w:rPr>
              <w:t>3</w:t>
            </w:r>
            <w:r>
              <w:rPr>
                <w:rFonts w:hint="eastAsia"/>
                <w:color w:val="auto"/>
                <w:kern w:val="24"/>
                <w:sz w:val="24"/>
              </w:rPr>
              <w:t>循环水池冷却和收集后循环使用，不外排；项目生活污水经化粪池预处理后，利用罐车拉运至纳古镇污水处理站处理。</w:t>
            </w:r>
          </w:p>
          <w:p w14:paraId="74154100">
            <w:pPr>
              <w:pStyle w:val="30"/>
              <w:adjustRightInd w:val="0"/>
              <w:snapToGrid w:val="0"/>
              <w:ind w:firstLine="480" w:firstLineChars="200"/>
              <w:rPr>
                <w:color w:val="auto"/>
                <w:kern w:val="24"/>
                <w:sz w:val="24"/>
              </w:rPr>
            </w:pPr>
            <w:r>
              <w:rPr>
                <w:rFonts w:hint="eastAsia"/>
                <w:color w:val="auto"/>
                <w:kern w:val="24"/>
                <w:sz w:val="24"/>
              </w:rPr>
              <w:t>项目水平衡图如下所示：</w:t>
            </w:r>
          </w:p>
          <w:p w14:paraId="692A4640">
            <w:pPr>
              <w:pStyle w:val="30"/>
              <w:adjustRightInd w:val="0"/>
              <w:snapToGrid w:val="0"/>
              <w:ind w:firstLineChars="200"/>
              <w:rPr>
                <w:color w:val="auto"/>
                <w:kern w:val="24"/>
                <w:sz w:val="24"/>
              </w:rPr>
            </w:pPr>
            <w:r>
              <w:rPr>
                <w:rFonts w:hint="eastAsia"/>
                <w:color w:val="auto"/>
              </w:rPr>
              <w:object>
                <v:shape id="_x0000_i1027" o:spt="75" type="#_x0000_t75" style="height:197.25pt;width:441.75pt;" o:ole="t" filled="f" o:preferrelative="t" stroked="f" coordsize="21600,21600">
                  <v:path/>
                  <v:fill on="f" focussize="0,0"/>
                  <v:stroke on="f" joinstyle="miter"/>
                  <v:imagedata r:id="rId11" o:title=""/>
                  <o:lock v:ext="edit" aspectratio="t"/>
                  <w10:wrap type="none"/>
                  <w10:anchorlock/>
                </v:shape>
                <o:OLEObject Type="Embed" ProgID="Visio.Drawing.15" ShapeID="_x0000_i1027" DrawAspect="Content" ObjectID="_1468075727">
                  <o:LockedField>false</o:LockedField>
                </o:OLEObject>
              </w:object>
            </w:r>
          </w:p>
          <w:p w14:paraId="4A6EB4EC">
            <w:pPr>
              <w:pStyle w:val="58"/>
              <w:spacing w:line="360" w:lineRule="auto"/>
              <w:ind w:firstLine="482" w:firstLineChars="200"/>
              <w:jc w:val="center"/>
              <w:rPr>
                <w:rFonts w:ascii="Times New Roman" w:hAnsi="Times New Roman" w:cs="Times New Roman"/>
                <w:b/>
                <w:color w:val="auto"/>
                <w:kern w:val="24"/>
                <w:sz w:val="24"/>
              </w:rPr>
            </w:pPr>
            <w:r>
              <w:rPr>
                <w:rFonts w:ascii="Times New Roman" w:cs="Times New Roman"/>
                <w:b/>
                <w:color w:val="auto"/>
                <w:kern w:val="24"/>
                <w:sz w:val="24"/>
              </w:rPr>
              <w:t>图</w:t>
            </w:r>
            <w:r>
              <w:rPr>
                <w:rFonts w:hint="eastAsia" w:ascii="Times New Roman" w:hAnsi="Times New Roman" w:cs="Times New Roman"/>
                <w:b/>
                <w:color w:val="auto"/>
                <w:kern w:val="24"/>
                <w:sz w:val="24"/>
              </w:rPr>
              <w:t>2-1</w:t>
            </w:r>
            <w:r>
              <w:rPr>
                <w:rFonts w:ascii="Times New Roman" w:hAnsi="Times New Roman" w:cs="Times New Roman"/>
                <w:b/>
                <w:color w:val="auto"/>
                <w:kern w:val="24"/>
                <w:sz w:val="24"/>
              </w:rPr>
              <w:t xml:space="preserve">  </w:t>
            </w:r>
            <w:r>
              <w:rPr>
                <w:rFonts w:ascii="Times New Roman" w:cs="Times New Roman"/>
                <w:b/>
                <w:color w:val="auto"/>
                <w:kern w:val="24"/>
                <w:sz w:val="24"/>
              </w:rPr>
              <w:t>项目水平衡图</w:t>
            </w:r>
            <w:r>
              <w:rPr>
                <w:rFonts w:hint="eastAsia" w:ascii="Times New Roman" w:cs="Times New Roman"/>
                <w:b/>
                <w:color w:val="auto"/>
                <w:kern w:val="24"/>
                <w:sz w:val="24"/>
              </w:rPr>
              <w:t>（晴天）</w:t>
            </w:r>
            <w:r>
              <w:rPr>
                <w:rFonts w:ascii="Times New Roman" w:hAnsi="Times New Roman" w:cs="Times New Roman"/>
                <w:b/>
                <w:color w:val="auto"/>
                <w:kern w:val="24"/>
                <w:sz w:val="24"/>
              </w:rPr>
              <w:t xml:space="preserve">  </w:t>
            </w:r>
            <w:r>
              <w:rPr>
                <w:rFonts w:ascii="Times New Roman" w:cs="Times New Roman"/>
                <w:b/>
                <w:color w:val="auto"/>
                <w:kern w:val="24"/>
                <w:sz w:val="24"/>
              </w:rPr>
              <w:t>单位：</w:t>
            </w:r>
            <w:r>
              <w:rPr>
                <w:rFonts w:hint="eastAsia" w:ascii="Times New Roman" w:hAnsi="Times New Roman" w:cs="Times New Roman"/>
                <w:b/>
                <w:color w:val="auto"/>
                <w:kern w:val="24"/>
                <w:sz w:val="24"/>
              </w:rPr>
              <w:t>m</w:t>
            </w:r>
            <w:r>
              <w:rPr>
                <w:rFonts w:hint="eastAsia" w:ascii="Times New Roman" w:hAnsi="Times New Roman" w:cs="Times New Roman"/>
                <w:b/>
                <w:color w:val="auto"/>
                <w:kern w:val="24"/>
                <w:sz w:val="24"/>
                <w:vertAlign w:val="superscript"/>
              </w:rPr>
              <w:t>3</w:t>
            </w:r>
            <w:r>
              <w:rPr>
                <w:rFonts w:hint="eastAsia" w:ascii="Times New Roman" w:hAnsi="Times New Roman" w:cs="Times New Roman"/>
                <w:b/>
                <w:color w:val="auto"/>
                <w:kern w:val="24"/>
                <w:sz w:val="24"/>
              </w:rPr>
              <w:t>/d</w:t>
            </w:r>
          </w:p>
          <w:p w14:paraId="770D9549">
            <w:pPr>
              <w:pStyle w:val="58"/>
              <w:spacing w:line="360" w:lineRule="auto"/>
              <w:ind w:firstLine="482" w:firstLineChars="200"/>
              <w:jc w:val="left"/>
              <w:rPr>
                <w:rFonts w:ascii="Times New Roman" w:hAnsi="Times New Roman" w:cs="Times New Roman"/>
                <w:b/>
                <w:color w:val="auto"/>
                <w:kern w:val="24"/>
                <w:sz w:val="24"/>
                <w:lang w:val="en-US"/>
              </w:rPr>
            </w:pPr>
            <w:r>
              <w:rPr>
                <w:rFonts w:hint="eastAsia" w:ascii="Times New Roman" w:hAnsi="Times New Roman" w:cs="Times New Roman"/>
                <w:b/>
                <w:color w:val="auto"/>
                <w:kern w:val="24"/>
                <w:sz w:val="24"/>
              </w:rPr>
              <w:t>注：</w:t>
            </w:r>
            <w:r>
              <w:rPr>
                <w:rFonts w:ascii="Times New Roman" w:hAnsi="Times New Roman" w:cs="Times New Roman"/>
                <w:b/>
                <w:color w:val="auto"/>
                <w:kern w:val="24"/>
                <w:sz w:val="24"/>
                <w:lang w:val="en-US"/>
              </w:rPr>
              <w:t>项目循环水池沉渣约一年清掏处理一次，</w:t>
            </w:r>
            <w:r>
              <w:rPr>
                <w:rFonts w:hint="eastAsia" w:ascii="Times New Roman" w:hAnsi="Times New Roman" w:cs="Times New Roman"/>
                <w:b/>
                <w:color w:val="auto"/>
                <w:kern w:val="24"/>
                <w:sz w:val="24"/>
                <w:lang w:val="en-US"/>
              </w:rPr>
              <w:t>图中虚线部分为单次沉渣打捞处理水量平衡，不参与项目日平均水量平衡</w:t>
            </w:r>
            <w:r>
              <w:rPr>
                <w:rFonts w:ascii="Times New Roman" w:hAnsi="Times New Roman" w:cs="Times New Roman"/>
                <w:b/>
                <w:color w:val="auto"/>
                <w:kern w:val="24"/>
                <w:sz w:val="24"/>
                <w:lang w:val="en-US"/>
              </w:rPr>
              <w:t>。</w:t>
            </w:r>
          </w:p>
          <w:p w14:paraId="3CFFA69F">
            <w:pPr>
              <w:pStyle w:val="58"/>
              <w:spacing w:line="360" w:lineRule="auto"/>
              <w:ind w:firstLine="482" w:firstLineChars="200"/>
              <w:jc w:val="left"/>
              <w:rPr>
                <w:rFonts w:ascii="Times New Roman" w:hAnsi="Times New Roman" w:cs="Times New Roman"/>
                <w:b/>
                <w:color w:val="auto"/>
                <w:kern w:val="24"/>
                <w:sz w:val="24"/>
                <w:lang w:val="en-US"/>
              </w:rPr>
            </w:pPr>
          </w:p>
          <w:p w14:paraId="4C6A53A2">
            <w:pPr>
              <w:pStyle w:val="58"/>
              <w:spacing w:line="360" w:lineRule="auto"/>
              <w:ind w:firstLine="482" w:firstLineChars="200"/>
              <w:jc w:val="left"/>
              <w:rPr>
                <w:rFonts w:ascii="Times New Roman" w:hAnsi="Times New Roman" w:cs="Times New Roman"/>
                <w:b/>
                <w:color w:val="auto"/>
                <w:kern w:val="24"/>
                <w:sz w:val="24"/>
                <w:lang w:val="en-US"/>
              </w:rPr>
            </w:pPr>
          </w:p>
          <w:p w14:paraId="7D3CC7D4">
            <w:pPr>
              <w:pStyle w:val="58"/>
              <w:spacing w:line="360" w:lineRule="auto"/>
              <w:ind w:firstLine="482" w:firstLineChars="200"/>
              <w:jc w:val="left"/>
              <w:rPr>
                <w:rFonts w:ascii="Times New Roman" w:hAnsi="Times New Roman" w:cs="Times New Roman"/>
                <w:b/>
                <w:color w:val="auto"/>
                <w:kern w:val="24"/>
                <w:sz w:val="24"/>
                <w:lang w:val="en-US"/>
              </w:rPr>
            </w:pPr>
          </w:p>
          <w:p w14:paraId="7179C5D6">
            <w:pPr>
              <w:pStyle w:val="58"/>
              <w:spacing w:line="360" w:lineRule="auto"/>
              <w:ind w:firstLine="482" w:firstLineChars="200"/>
              <w:jc w:val="left"/>
              <w:rPr>
                <w:rFonts w:ascii="Times New Roman" w:hAnsi="Times New Roman" w:cs="Times New Roman"/>
                <w:b/>
                <w:color w:val="auto"/>
                <w:kern w:val="24"/>
                <w:sz w:val="24"/>
                <w:lang w:val="en-US"/>
              </w:rPr>
            </w:pPr>
          </w:p>
          <w:p w14:paraId="56DD615B">
            <w:pPr>
              <w:pStyle w:val="58"/>
              <w:spacing w:line="360" w:lineRule="auto"/>
              <w:ind w:firstLine="482" w:firstLineChars="200"/>
              <w:jc w:val="left"/>
              <w:rPr>
                <w:rFonts w:ascii="Times New Roman" w:hAnsi="Times New Roman" w:cs="Times New Roman"/>
                <w:b/>
                <w:color w:val="auto"/>
                <w:kern w:val="24"/>
                <w:sz w:val="24"/>
                <w:lang w:val="en-US"/>
              </w:rPr>
            </w:pPr>
          </w:p>
          <w:p w14:paraId="0988F38E">
            <w:pPr>
              <w:pStyle w:val="58"/>
              <w:spacing w:line="360" w:lineRule="auto"/>
              <w:ind w:firstLine="482" w:firstLineChars="200"/>
              <w:jc w:val="left"/>
              <w:rPr>
                <w:rFonts w:ascii="Times New Roman" w:hAnsi="Times New Roman" w:cs="Times New Roman"/>
                <w:b/>
                <w:color w:val="auto"/>
                <w:kern w:val="24"/>
                <w:sz w:val="24"/>
                <w:lang w:val="en-US"/>
              </w:rPr>
            </w:pPr>
          </w:p>
          <w:p w14:paraId="534671FB">
            <w:pPr>
              <w:pStyle w:val="58"/>
              <w:spacing w:line="360" w:lineRule="auto"/>
              <w:jc w:val="center"/>
              <w:rPr>
                <w:rFonts w:hint="eastAsia"/>
                <w:color w:val="auto"/>
              </w:rPr>
            </w:pPr>
            <w:r>
              <w:rPr>
                <w:rFonts w:hint="eastAsia"/>
                <w:color w:val="auto"/>
              </w:rPr>
              <w:object>
                <v:shape id="_x0000_i1028" o:spt="75" type="#_x0000_t75" style="height:171.75pt;width:441.75pt;" o:ole="t" filled="f" o:preferrelative="t" stroked="f" coordsize="21600,21600">
                  <v:path/>
                  <v:fill on="f" focussize="0,0"/>
                  <v:stroke on="f" joinstyle="miter"/>
                  <v:imagedata r:id="rId12" o:title=""/>
                  <o:lock v:ext="edit" aspectratio="t"/>
                  <w10:wrap type="none"/>
                  <w10:anchorlock/>
                </v:shape>
                <o:OLEObject Type="Embed" ProgID="Visio.Drawing.15" ShapeID="_x0000_i1028" DrawAspect="Content" ObjectID="_1468075728">
                  <o:LockedField>false</o:LockedField>
                </o:OLEObject>
              </w:object>
            </w:r>
          </w:p>
          <w:p w14:paraId="7C07ABB8">
            <w:pPr>
              <w:pStyle w:val="58"/>
              <w:spacing w:line="360" w:lineRule="auto"/>
              <w:ind w:firstLine="482" w:firstLineChars="200"/>
              <w:jc w:val="center"/>
              <w:rPr>
                <w:rFonts w:ascii="Times New Roman" w:hAnsi="Times New Roman" w:cs="Times New Roman"/>
                <w:b/>
                <w:color w:val="auto"/>
                <w:kern w:val="24"/>
                <w:sz w:val="24"/>
              </w:rPr>
            </w:pPr>
            <w:r>
              <w:rPr>
                <w:rFonts w:ascii="Times New Roman" w:cs="Times New Roman"/>
                <w:b/>
                <w:color w:val="auto"/>
                <w:kern w:val="24"/>
                <w:sz w:val="24"/>
              </w:rPr>
              <w:t>图</w:t>
            </w:r>
            <w:r>
              <w:rPr>
                <w:rFonts w:hint="eastAsia" w:ascii="Times New Roman" w:hAnsi="Times New Roman" w:cs="Times New Roman"/>
                <w:b/>
                <w:color w:val="auto"/>
                <w:kern w:val="24"/>
                <w:sz w:val="24"/>
              </w:rPr>
              <w:t>2-2</w:t>
            </w:r>
            <w:r>
              <w:rPr>
                <w:rFonts w:ascii="Times New Roman" w:hAnsi="Times New Roman" w:cs="Times New Roman"/>
                <w:b/>
                <w:color w:val="auto"/>
                <w:kern w:val="24"/>
                <w:sz w:val="24"/>
              </w:rPr>
              <w:t xml:space="preserve">  </w:t>
            </w:r>
            <w:r>
              <w:rPr>
                <w:rFonts w:ascii="Times New Roman" w:cs="Times New Roman"/>
                <w:b/>
                <w:color w:val="auto"/>
                <w:kern w:val="24"/>
                <w:sz w:val="24"/>
              </w:rPr>
              <w:t>项目水平衡图</w:t>
            </w:r>
            <w:r>
              <w:rPr>
                <w:rFonts w:hint="eastAsia" w:ascii="Times New Roman" w:cs="Times New Roman"/>
                <w:b/>
                <w:color w:val="auto"/>
                <w:kern w:val="24"/>
                <w:sz w:val="24"/>
              </w:rPr>
              <w:t>（雨天）</w:t>
            </w:r>
            <w:r>
              <w:rPr>
                <w:rFonts w:ascii="Times New Roman" w:hAnsi="Times New Roman" w:cs="Times New Roman"/>
                <w:b/>
                <w:color w:val="auto"/>
                <w:kern w:val="24"/>
                <w:sz w:val="24"/>
              </w:rPr>
              <w:t xml:space="preserve">  </w:t>
            </w:r>
            <w:r>
              <w:rPr>
                <w:rFonts w:ascii="Times New Roman" w:cs="Times New Roman"/>
                <w:b/>
                <w:color w:val="auto"/>
                <w:kern w:val="24"/>
                <w:sz w:val="24"/>
              </w:rPr>
              <w:t>单位：</w:t>
            </w:r>
            <w:r>
              <w:rPr>
                <w:rFonts w:hint="eastAsia" w:ascii="Times New Roman" w:hAnsi="Times New Roman" w:cs="Times New Roman"/>
                <w:b/>
                <w:color w:val="auto"/>
                <w:kern w:val="24"/>
                <w:sz w:val="24"/>
              </w:rPr>
              <w:t>m</w:t>
            </w:r>
            <w:r>
              <w:rPr>
                <w:rFonts w:hint="eastAsia" w:ascii="Times New Roman" w:hAnsi="Times New Roman" w:cs="Times New Roman"/>
                <w:b/>
                <w:color w:val="auto"/>
                <w:kern w:val="24"/>
                <w:sz w:val="24"/>
                <w:vertAlign w:val="superscript"/>
              </w:rPr>
              <w:t>3</w:t>
            </w:r>
            <w:r>
              <w:rPr>
                <w:rFonts w:hint="eastAsia" w:ascii="Times New Roman" w:hAnsi="Times New Roman" w:cs="Times New Roman"/>
                <w:b/>
                <w:color w:val="auto"/>
                <w:kern w:val="24"/>
                <w:sz w:val="24"/>
              </w:rPr>
              <w:t>/d</w:t>
            </w:r>
          </w:p>
          <w:p w14:paraId="2F4AEA10">
            <w:pPr>
              <w:pStyle w:val="58"/>
              <w:spacing w:line="360" w:lineRule="auto"/>
              <w:ind w:firstLine="422" w:firstLineChars="200"/>
              <w:jc w:val="left"/>
              <w:rPr>
                <w:rFonts w:ascii="Times New Roman" w:hAnsi="Times New Roman" w:cs="Times New Roman"/>
                <w:b/>
                <w:color w:val="auto"/>
                <w:kern w:val="24"/>
                <w:sz w:val="21"/>
                <w:szCs w:val="21"/>
              </w:rPr>
            </w:pPr>
            <w:r>
              <w:rPr>
                <w:rFonts w:hint="eastAsia" w:ascii="Times New Roman" w:hAnsi="Times New Roman" w:cs="Times New Roman"/>
                <w:b/>
                <w:color w:val="auto"/>
                <w:kern w:val="24"/>
                <w:sz w:val="21"/>
                <w:szCs w:val="21"/>
              </w:rPr>
              <w:t>注：</w:t>
            </w:r>
            <w:r>
              <w:rPr>
                <w:rFonts w:ascii="Times New Roman" w:hAnsi="Times New Roman" w:cs="Times New Roman"/>
                <w:b/>
                <w:color w:val="auto"/>
                <w:kern w:val="24"/>
                <w:sz w:val="21"/>
                <w:szCs w:val="21"/>
                <w:lang w:val="en-US"/>
              </w:rPr>
              <w:t>项目循环水池沉渣约一年清掏处理一次，</w:t>
            </w:r>
            <w:r>
              <w:rPr>
                <w:rFonts w:hint="eastAsia" w:ascii="Times New Roman" w:hAnsi="Times New Roman" w:cs="Times New Roman"/>
                <w:b/>
                <w:color w:val="auto"/>
                <w:kern w:val="24"/>
                <w:sz w:val="21"/>
                <w:szCs w:val="21"/>
                <w:lang w:val="en-US"/>
              </w:rPr>
              <w:t>图中虚线部分为单次沉渣打捞处理水量平衡，不参与项目日平均水量平衡</w:t>
            </w:r>
            <w:r>
              <w:rPr>
                <w:rFonts w:ascii="Times New Roman" w:hAnsi="Times New Roman" w:cs="Times New Roman"/>
                <w:b/>
                <w:color w:val="auto"/>
                <w:kern w:val="24"/>
                <w:sz w:val="21"/>
                <w:szCs w:val="21"/>
                <w:lang w:val="en-US"/>
              </w:rPr>
              <w:t>。</w:t>
            </w:r>
          </w:p>
          <w:p w14:paraId="0FAA00CC">
            <w:pPr>
              <w:pStyle w:val="58"/>
              <w:spacing w:line="360" w:lineRule="auto"/>
              <w:ind w:hanging="2"/>
              <w:jc w:val="center"/>
              <w:rPr>
                <w:rFonts w:ascii="Times New Roman" w:hAnsi="Times New Roman" w:cs="Times New Roman"/>
                <w:b/>
                <w:color w:val="auto"/>
                <w:kern w:val="24"/>
                <w:sz w:val="24"/>
              </w:rPr>
            </w:pPr>
            <w:r>
              <w:rPr>
                <w:rFonts w:hint="eastAsia"/>
                <w:color w:val="auto"/>
              </w:rPr>
              <w:object>
                <v:shape id="_x0000_i1029" o:spt="75" type="#_x0000_t75" style="height:197.25pt;width:441.75pt;" o:ole="t" filled="f" o:preferrelative="t" stroked="f" coordsize="21600,21600">
                  <v:path/>
                  <v:fill on="f" focussize="0,0"/>
                  <v:stroke on="f" joinstyle="miter"/>
                  <v:imagedata r:id="rId13" o:title=""/>
                  <o:lock v:ext="edit" aspectratio="t"/>
                  <w10:wrap type="none"/>
                  <w10:anchorlock/>
                </v:shape>
                <o:OLEObject Type="Embed" ProgID="Visio.Drawing.15" ShapeID="_x0000_i1029" DrawAspect="Content" ObjectID="_1468075729">
                  <o:LockedField>false</o:LockedField>
                </o:OLEObject>
              </w:object>
            </w:r>
          </w:p>
          <w:p w14:paraId="3AC9EC4F">
            <w:pPr>
              <w:pStyle w:val="58"/>
              <w:spacing w:line="360" w:lineRule="auto"/>
              <w:ind w:firstLine="482" w:firstLineChars="200"/>
              <w:jc w:val="center"/>
              <w:rPr>
                <w:rFonts w:ascii="Times New Roman" w:hAnsi="Times New Roman" w:cs="Times New Roman"/>
                <w:b/>
                <w:color w:val="auto"/>
                <w:kern w:val="24"/>
                <w:sz w:val="24"/>
              </w:rPr>
            </w:pPr>
            <w:r>
              <w:rPr>
                <w:rFonts w:ascii="Times New Roman" w:cs="Times New Roman"/>
                <w:b/>
                <w:color w:val="auto"/>
                <w:kern w:val="24"/>
                <w:sz w:val="24"/>
              </w:rPr>
              <w:t>图</w:t>
            </w:r>
            <w:r>
              <w:rPr>
                <w:rFonts w:hint="eastAsia" w:ascii="Times New Roman" w:hAnsi="Times New Roman" w:cs="Times New Roman"/>
                <w:b/>
                <w:color w:val="auto"/>
                <w:kern w:val="24"/>
                <w:sz w:val="24"/>
              </w:rPr>
              <w:t>2-3</w:t>
            </w:r>
            <w:r>
              <w:rPr>
                <w:rFonts w:ascii="Times New Roman" w:hAnsi="Times New Roman" w:cs="Times New Roman"/>
                <w:b/>
                <w:color w:val="auto"/>
                <w:kern w:val="24"/>
                <w:sz w:val="24"/>
              </w:rPr>
              <w:t xml:space="preserve">  </w:t>
            </w:r>
            <w:r>
              <w:rPr>
                <w:rFonts w:ascii="Times New Roman" w:cs="Times New Roman"/>
                <w:b/>
                <w:color w:val="auto"/>
                <w:kern w:val="24"/>
                <w:sz w:val="24"/>
              </w:rPr>
              <w:t>项目水平衡图</w:t>
            </w:r>
            <w:r>
              <w:rPr>
                <w:rFonts w:ascii="Times New Roman" w:hAnsi="Times New Roman" w:cs="Times New Roman"/>
                <w:b/>
                <w:color w:val="auto"/>
                <w:kern w:val="24"/>
                <w:sz w:val="24"/>
              </w:rPr>
              <w:t xml:space="preserve">  </w:t>
            </w:r>
            <w:r>
              <w:rPr>
                <w:rFonts w:ascii="Times New Roman" w:cs="Times New Roman"/>
                <w:b/>
                <w:color w:val="auto"/>
                <w:kern w:val="24"/>
                <w:sz w:val="24"/>
              </w:rPr>
              <w:t>单位：</w:t>
            </w:r>
            <w:r>
              <w:rPr>
                <w:rFonts w:hint="eastAsia" w:ascii="Times New Roman" w:hAnsi="Times New Roman" w:cs="Times New Roman"/>
                <w:b/>
                <w:color w:val="auto"/>
                <w:kern w:val="24"/>
                <w:sz w:val="24"/>
              </w:rPr>
              <w:t>m</w:t>
            </w:r>
            <w:r>
              <w:rPr>
                <w:rFonts w:hint="eastAsia" w:ascii="Times New Roman" w:hAnsi="Times New Roman" w:cs="Times New Roman"/>
                <w:b/>
                <w:color w:val="auto"/>
                <w:kern w:val="24"/>
                <w:sz w:val="24"/>
                <w:vertAlign w:val="superscript"/>
              </w:rPr>
              <w:t>3</w:t>
            </w:r>
            <w:r>
              <w:rPr>
                <w:rFonts w:hint="eastAsia" w:ascii="Times New Roman" w:hAnsi="Times New Roman" w:cs="Times New Roman"/>
                <w:b/>
                <w:color w:val="auto"/>
                <w:kern w:val="24"/>
                <w:sz w:val="24"/>
              </w:rPr>
              <w:t>/a</w:t>
            </w:r>
          </w:p>
          <w:p w14:paraId="1D44971E">
            <w:pPr>
              <w:adjustRightInd w:val="0"/>
              <w:snapToGrid w:val="0"/>
              <w:spacing w:line="360" w:lineRule="auto"/>
              <w:jc w:val="left"/>
              <w:rPr>
                <w:b/>
                <w:bCs/>
                <w:color w:val="auto"/>
                <w:sz w:val="24"/>
              </w:rPr>
            </w:pPr>
            <w:r>
              <w:rPr>
                <w:b/>
                <w:bCs/>
                <w:color w:val="auto"/>
                <w:sz w:val="24"/>
              </w:rPr>
              <w:t>7</w:t>
            </w:r>
            <w:r>
              <w:rPr>
                <w:rFonts w:hint="eastAsia"/>
                <w:b/>
                <w:bCs/>
                <w:color w:val="auto"/>
                <w:sz w:val="24"/>
              </w:rPr>
              <w:t>、环保投资</w:t>
            </w:r>
          </w:p>
          <w:p w14:paraId="6B662486">
            <w:pPr>
              <w:adjustRightInd w:val="0"/>
              <w:snapToGrid w:val="0"/>
              <w:spacing w:line="360" w:lineRule="auto"/>
              <w:ind w:firstLine="480" w:firstLineChars="200"/>
              <w:rPr>
                <w:color w:val="auto"/>
                <w:kern w:val="24"/>
                <w:sz w:val="24"/>
              </w:rPr>
            </w:pPr>
            <w:r>
              <w:rPr>
                <w:color w:val="auto"/>
                <w:kern w:val="24"/>
                <w:sz w:val="24"/>
              </w:rPr>
              <w:t>本项目总投资</w:t>
            </w:r>
            <w:r>
              <w:rPr>
                <w:rFonts w:hint="eastAsia"/>
                <w:color w:val="auto"/>
                <w:sz w:val="24"/>
              </w:rPr>
              <w:t>3</w:t>
            </w:r>
            <w:r>
              <w:rPr>
                <w:color w:val="auto"/>
                <w:sz w:val="24"/>
              </w:rPr>
              <w:t>00</w:t>
            </w:r>
            <w:r>
              <w:rPr>
                <w:color w:val="auto"/>
                <w:kern w:val="24"/>
                <w:sz w:val="24"/>
              </w:rPr>
              <w:t>万元，其中环保</w:t>
            </w:r>
            <w:r>
              <w:rPr>
                <w:rFonts w:hint="eastAsia"/>
                <w:color w:val="auto"/>
                <w:kern w:val="24"/>
                <w:sz w:val="24"/>
              </w:rPr>
              <w:t>总</w:t>
            </w:r>
            <w:r>
              <w:rPr>
                <w:color w:val="auto"/>
                <w:kern w:val="24"/>
                <w:sz w:val="24"/>
              </w:rPr>
              <w:t>投资</w:t>
            </w:r>
            <w:r>
              <w:rPr>
                <w:rFonts w:hint="eastAsia"/>
                <w:color w:val="auto"/>
                <w:kern w:val="24"/>
                <w:sz w:val="24"/>
              </w:rPr>
              <w:t>57.5</w:t>
            </w:r>
            <w:r>
              <w:rPr>
                <w:color w:val="auto"/>
                <w:kern w:val="24"/>
                <w:sz w:val="24"/>
              </w:rPr>
              <w:t>万元，占总投资的</w:t>
            </w:r>
            <w:r>
              <w:rPr>
                <w:rFonts w:hint="eastAsia"/>
                <w:color w:val="auto"/>
                <w:kern w:val="24"/>
                <w:sz w:val="24"/>
              </w:rPr>
              <w:t>19.17</w:t>
            </w:r>
            <w:r>
              <w:rPr>
                <w:color w:val="auto"/>
                <w:kern w:val="24"/>
                <w:sz w:val="24"/>
              </w:rPr>
              <w:t>%，各环保设施组成及投资估算详见表</w:t>
            </w:r>
            <w:r>
              <w:rPr>
                <w:rFonts w:hint="eastAsia"/>
                <w:color w:val="auto"/>
                <w:kern w:val="24"/>
                <w:sz w:val="24"/>
              </w:rPr>
              <w:t>2</w:t>
            </w:r>
            <w:r>
              <w:rPr>
                <w:color w:val="auto"/>
                <w:kern w:val="24"/>
                <w:sz w:val="24"/>
              </w:rPr>
              <w:t>-</w:t>
            </w:r>
            <w:r>
              <w:rPr>
                <w:rFonts w:hint="eastAsia"/>
                <w:color w:val="auto"/>
                <w:kern w:val="24"/>
                <w:sz w:val="24"/>
              </w:rPr>
              <w:t>6</w:t>
            </w:r>
            <w:r>
              <w:rPr>
                <w:color w:val="auto"/>
                <w:kern w:val="24"/>
                <w:sz w:val="24"/>
              </w:rPr>
              <w:t>。</w:t>
            </w:r>
          </w:p>
          <w:p w14:paraId="48942596">
            <w:pPr>
              <w:adjustRightInd w:val="0"/>
              <w:snapToGrid w:val="0"/>
              <w:spacing w:line="360" w:lineRule="auto"/>
              <w:jc w:val="center"/>
              <w:rPr>
                <w:b/>
                <w:bCs/>
                <w:color w:val="auto"/>
                <w:sz w:val="24"/>
              </w:rPr>
            </w:pPr>
            <w:r>
              <w:rPr>
                <w:b/>
                <w:bCs/>
                <w:color w:val="auto"/>
                <w:sz w:val="24"/>
              </w:rPr>
              <w:t>表</w:t>
            </w:r>
            <w:r>
              <w:rPr>
                <w:rFonts w:hint="eastAsia"/>
                <w:b/>
                <w:bCs/>
                <w:color w:val="auto"/>
                <w:sz w:val="24"/>
              </w:rPr>
              <w:t>2</w:t>
            </w:r>
            <w:r>
              <w:rPr>
                <w:b/>
                <w:bCs/>
                <w:color w:val="auto"/>
                <w:sz w:val="24"/>
              </w:rPr>
              <w:t>-</w:t>
            </w:r>
            <w:r>
              <w:rPr>
                <w:rFonts w:hint="eastAsia"/>
                <w:b/>
                <w:bCs/>
                <w:color w:val="auto"/>
                <w:sz w:val="24"/>
              </w:rPr>
              <w:t>6</w:t>
            </w:r>
            <w:r>
              <w:rPr>
                <w:b/>
                <w:bCs/>
                <w:color w:val="auto"/>
                <w:sz w:val="24"/>
              </w:rPr>
              <w:t xml:space="preserve">   </w:t>
            </w:r>
            <w:r>
              <w:rPr>
                <w:rFonts w:hint="eastAsia"/>
                <w:b/>
                <w:bCs/>
                <w:color w:val="auto"/>
                <w:sz w:val="24"/>
              </w:rPr>
              <w:t>项目</w:t>
            </w:r>
            <w:r>
              <w:rPr>
                <w:b/>
                <w:bCs/>
                <w:color w:val="auto"/>
                <w:sz w:val="24"/>
              </w:rPr>
              <w:t>环保投资</w:t>
            </w:r>
            <w:r>
              <w:rPr>
                <w:rFonts w:hint="eastAsia"/>
                <w:b/>
                <w:bCs/>
                <w:color w:val="auto"/>
                <w:sz w:val="24"/>
              </w:rPr>
              <w:t>估算</w:t>
            </w:r>
            <w:r>
              <w:rPr>
                <w:b/>
                <w:bCs/>
                <w:color w:val="auto"/>
                <w:sz w:val="24"/>
              </w:rPr>
              <w:t>表</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9"/>
              <w:gridCol w:w="680"/>
              <w:gridCol w:w="1101"/>
              <w:gridCol w:w="4389"/>
              <w:gridCol w:w="770"/>
              <w:gridCol w:w="1475"/>
            </w:tblGrid>
            <w:tr w14:paraId="4A4CF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2403" w:type="dxa"/>
                  <w:gridSpan w:val="3"/>
                  <w:vAlign w:val="center"/>
                </w:tcPr>
                <w:p w14:paraId="36F806EB">
                  <w:pPr>
                    <w:autoSpaceDE w:val="0"/>
                    <w:autoSpaceDN w:val="0"/>
                    <w:jc w:val="center"/>
                    <w:rPr>
                      <w:color w:val="auto"/>
                      <w:szCs w:val="21"/>
                    </w:rPr>
                  </w:pPr>
                  <w:bookmarkStart w:id="58" w:name="_Toc299498044"/>
                  <w:r>
                    <w:rPr>
                      <w:color w:val="auto"/>
                      <w:szCs w:val="21"/>
                    </w:rPr>
                    <w:t>项目</w:t>
                  </w:r>
                  <w:bookmarkEnd w:id="58"/>
                </w:p>
              </w:tc>
              <w:tc>
                <w:tcPr>
                  <w:tcW w:w="4537" w:type="dxa"/>
                  <w:vAlign w:val="center"/>
                </w:tcPr>
                <w:p w14:paraId="642E2668">
                  <w:pPr>
                    <w:autoSpaceDE w:val="0"/>
                    <w:autoSpaceDN w:val="0"/>
                    <w:jc w:val="center"/>
                    <w:rPr>
                      <w:color w:val="auto"/>
                      <w:szCs w:val="21"/>
                    </w:rPr>
                  </w:pPr>
                  <w:r>
                    <w:rPr>
                      <w:rFonts w:hint="eastAsia"/>
                      <w:color w:val="auto"/>
                      <w:szCs w:val="21"/>
                    </w:rPr>
                    <w:t>环保设施</w:t>
                  </w:r>
                </w:p>
              </w:tc>
              <w:tc>
                <w:tcPr>
                  <w:tcW w:w="787" w:type="dxa"/>
                  <w:vAlign w:val="center"/>
                </w:tcPr>
                <w:p w14:paraId="59845718">
                  <w:pPr>
                    <w:autoSpaceDE w:val="0"/>
                    <w:autoSpaceDN w:val="0"/>
                    <w:jc w:val="center"/>
                    <w:rPr>
                      <w:color w:val="auto"/>
                      <w:szCs w:val="21"/>
                    </w:rPr>
                  </w:pPr>
                  <w:bookmarkStart w:id="59" w:name="_Toc299498045"/>
                  <w:r>
                    <w:rPr>
                      <w:color w:val="auto"/>
                      <w:szCs w:val="21"/>
                    </w:rPr>
                    <w:t>数量</w:t>
                  </w:r>
                  <w:bookmarkEnd w:id="59"/>
                </w:p>
              </w:tc>
              <w:tc>
                <w:tcPr>
                  <w:tcW w:w="1516" w:type="dxa"/>
                  <w:vAlign w:val="center"/>
                </w:tcPr>
                <w:p w14:paraId="450E2276">
                  <w:pPr>
                    <w:autoSpaceDE w:val="0"/>
                    <w:autoSpaceDN w:val="0"/>
                    <w:jc w:val="center"/>
                    <w:rPr>
                      <w:color w:val="auto"/>
                      <w:szCs w:val="21"/>
                    </w:rPr>
                  </w:pPr>
                  <w:bookmarkStart w:id="60" w:name="_Toc299498046"/>
                  <w:r>
                    <w:rPr>
                      <w:rFonts w:hint="eastAsia"/>
                      <w:color w:val="auto"/>
                      <w:szCs w:val="21"/>
                    </w:rPr>
                    <w:t>投资</w:t>
                  </w:r>
                  <w:r>
                    <w:rPr>
                      <w:color w:val="auto"/>
                      <w:szCs w:val="21"/>
                    </w:rPr>
                    <w:t>（万元）</w:t>
                  </w:r>
                  <w:bookmarkEnd w:id="60"/>
                </w:p>
              </w:tc>
            </w:tr>
            <w:tr w14:paraId="047D7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403" w:type="dxa"/>
                  <w:gridSpan w:val="3"/>
                  <w:vAlign w:val="center"/>
                </w:tcPr>
                <w:p w14:paraId="1CED75BD">
                  <w:pPr>
                    <w:autoSpaceDE w:val="0"/>
                    <w:autoSpaceDN w:val="0"/>
                    <w:jc w:val="center"/>
                    <w:rPr>
                      <w:color w:val="auto"/>
                      <w:szCs w:val="21"/>
                    </w:rPr>
                  </w:pPr>
                  <w:r>
                    <w:rPr>
                      <w:color w:val="auto"/>
                      <w:szCs w:val="21"/>
                    </w:rPr>
                    <w:t>施工期大气防治措施</w:t>
                  </w:r>
                </w:p>
              </w:tc>
              <w:tc>
                <w:tcPr>
                  <w:tcW w:w="4537" w:type="dxa"/>
                  <w:vAlign w:val="center"/>
                </w:tcPr>
                <w:p w14:paraId="5CCA8DA7">
                  <w:pPr>
                    <w:autoSpaceDE w:val="0"/>
                    <w:autoSpaceDN w:val="0"/>
                    <w:jc w:val="center"/>
                    <w:rPr>
                      <w:color w:val="auto"/>
                      <w:szCs w:val="21"/>
                    </w:rPr>
                  </w:pPr>
                  <w:r>
                    <w:rPr>
                      <w:color w:val="auto"/>
                      <w:szCs w:val="21"/>
                    </w:rPr>
                    <w:t>施工材料覆盖、洒水降尘设施</w:t>
                  </w:r>
                </w:p>
              </w:tc>
              <w:tc>
                <w:tcPr>
                  <w:tcW w:w="787" w:type="dxa"/>
                  <w:vAlign w:val="center"/>
                </w:tcPr>
                <w:p w14:paraId="61A93022">
                  <w:pPr>
                    <w:autoSpaceDE w:val="0"/>
                    <w:autoSpaceDN w:val="0"/>
                    <w:jc w:val="center"/>
                    <w:rPr>
                      <w:color w:val="auto"/>
                      <w:szCs w:val="21"/>
                    </w:rPr>
                  </w:pPr>
                  <w:r>
                    <w:rPr>
                      <w:rFonts w:hint="eastAsia"/>
                      <w:color w:val="auto"/>
                      <w:szCs w:val="21"/>
                    </w:rPr>
                    <w:t>/</w:t>
                  </w:r>
                </w:p>
              </w:tc>
              <w:tc>
                <w:tcPr>
                  <w:tcW w:w="1516" w:type="dxa"/>
                  <w:vAlign w:val="center"/>
                </w:tcPr>
                <w:p w14:paraId="32A87AD8">
                  <w:pPr>
                    <w:autoSpaceDE w:val="0"/>
                    <w:autoSpaceDN w:val="0"/>
                    <w:jc w:val="center"/>
                    <w:rPr>
                      <w:color w:val="auto"/>
                      <w:szCs w:val="21"/>
                    </w:rPr>
                  </w:pPr>
                  <w:r>
                    <w:rPr>
                      <w:color w:val="auto"/>
                      <w:szCs w:val="21"/>
                    </w:rPr>
                    <w:t>0.</w:t>
                  </w:r>
                  <w:r>
                    <w:rPr>
                      <w:rFonts w:hint="eastAsia"/>
                      <w:color w:val="auto"/>
                      <w:szCs w:val="21"/>
                    </w:rPr>
                    <w:t>1</w:t>
                  </w:r>
                </w:p>
              </w:tc>
            </w:tr>
            <w:tr w14:paraId="2DFD7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2403" w:type="dxa"/>
                  <w:gridSpan w:val="3"/>
                  <w:vAlign w:val="center"/>
                </w:tcPr>
                <w:p w14:paraId="2B2C61D9">
                  <w:pPr>
                    <w:autoSpaceDE w:val="0"/>
                    <w:autoSpaceDN w:val="0"/>
                    <w:jc w:val="center"/>
                    <w:rPr>
                      <w:color w:val="auto"/>
                      <w:szCs w:val="21"/>
                    </w:rPr>
                  </w:pPr>
                  <w:r>
                    <w:rPr>
                      <w:color w:val="auto"/>
                      <w:szCs w:val="21"/>
                    </w:rPr>
                    <w:t>施工期噪声防治措施</w:t>
                  </w:r>
                </w:p>
              </w:tc>
              <w:tc>
                <w:tcPr>
                  <w:tcW w:w="4537" w:type="dxa"/>
                  <w:vAlign w:val="center"/>
                </w:tcPr>
                <w:p w14:paraId="60B29620">
                  <w:pPr>
                    <w:autoSpaceDE w:val="0"/>
                    <w:autoSpaceDN w:val="0"/>
                    <w:jc w:val="center"/>
                    <w:rPr>
                      <w:color w:val="auto"/>
                      <w:szCs w:val="21"/>
                    </w:rPr>
                  </w:pPr>
                  <w:r>
                    <w:rPr>
                      <w:color w:val="auto"/>
                      <w:szCs w:val="21"/>
                    </w:rPr>
                    <w:t>选用低噪设备、减振垫、设禁鸣及减速标志牌、合理施工等</w:t>
                  </w:r>
                </w:p>
              </w:tc>
              <w:tc>
                <w:tcPr>
                  <w:tcW w:w="787" w:type="dxa"/>
                  <w:vAlign w:val="center"/>
                </w:tcPr>
                <w:p w14:paraId="3E3630BA">
                  <w:pPr>
                    <w:autoSpaceDE w:val="0"/>
                    <w:autoSpaceDN w:val="0"/>
                    <w:jc w:val="center"/>
                    <w:rPr>
                      <w:color w:val="auto"/>
                      <w:szCs w:val="21"/>
                    </w:rPr>
                  </w:pPr>
                  <w:r>
                    <w:rPr>
                      <w:rFonts w:hint="eastAsia"/>
                      <w:color w:val="auto"/>
                      <w:szCs w:val="21"/>
                    </w:rPr>
                    <w:t>/</w:t>
                  </w:r>
                </w:p>
              </w:tc>
              <w:tc>
                <w:tcPr>
                  <w:tcW w:w="1516" w:type="dxa"/>
                  <w:vAlign w:val="center"/>
                </w:tcPr>
                <w:p w14:paraId="3FF82703">
                  <w:pPr>
                    <w:autoSpaceDE w:val="0"/>
                    <w:autoSpaceDN w:val="0"/>
                    <w:jc w:val="center"/>
                    <w:rPr>
                      <w:color w:val="auto"/>
                      <w:szCs w:val="21"/>
                    </w:rPr>
                  </w:pPr>
                  <w:r>
                    <w:rPr>
                      <w:color w:val="auto"/>
                      <w:szCs w:val="21"/>
                    </w:rPr>
                    <w:t>0.</w:t>
                  </w:r>
                  <w:r>
                    <w:rPr>
                      <w:rFonts w:hint="eastAsia"/>
                      <w:color w:val="auto"/>
                      <w:szCs w:val="21"/>
                    </w:rPr>
                    <w:t>1</w:t>
                  </w:r>
                </w:p>
              </w:tc>
            </w:tr>
            <w:tr w14:paraId="67A7D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2403" w:type="dxa"/>
                  <w:gridSpan w:val="3"/>
                  <w:vAlign w:val="center"/>
                </w:tcPr>
                <w:p w14:paraId="59A95E8E">
                  <w:pPr>
                    <w:autoSpaceDE w:val="0"/>
                    <w:autoSpaceDN w:val="0"/>
                    <w:jc w:val="center"/>
                    <w:rPr>
                      <w:color w:val="auto"/>
                      <w:szCs w:val="21"/>
                    </w:rPr>
                  </w:pPr>
                  <w:r>
                    <w:rPr>
                      <w:color w:val="auto"/>
                      <w:szCs w:val="21"/>
                    </w:rPr>
                    <w:t>施工期固废防治措施</w:t>
                  </w:r>
                </w:p>
              </w:tc>
              <w:tc>
                <w:tcPr>
                  <w:tcW w:w="4537" w:type="dxa"/>
                  <w:vAlign w:val="center"/>
                </w:tcPr>
                <w:p w14:paraId="519D5C7B">
                  <w:pPr>
                    <w:autoSpaceDE w:val="0"/>
                    <w:autoSpaceDN w:val="0"/>
                    <w:jc w:val="center"/>
                    <w:rPr>
                      <w:color w:val="auto"/>
                      <w:szCs w:val="21"/>
                    </w:rPr>
                  </w:pPr>
                  <w:r>
                    <w:rPr>
                      <w:color w:val="auto"/>
                      <w:szCs w:val="21"/>
                    </w:rPr>
                    <w:t>施工建筑垃圾、生活垃圾及时清运</w:t>
                  </w:r>
                </w:p>
              </w:tc>
              <w:tc>
                <w:tcPr>
                  <w:tcW w:w="787" w:type="dxa"/>
                  <w:vAlign w:val="center"/>
                </w:tcPr>
                <w:p w14:paraId="1CF1ADEE">
                  <w:pPr>
                    <w:autoSpaceDE w:val="0"/>
                    <w:autoSpaceDN w:val="0"/>
                    <w:jc w:val="center"/>
                    <w:rPr>
                      <w:color w:val="auto"/>
                      <w:szCs w:val="21"/>
                    </w:rPr>
                  </w:pPr>
                  <w:r>
                    <w:rPr>
                      <w:rFonts w:hint="eastAsia"/>
                      <w:color w:val="auto"/>
                      <w:szCs w:val="21"/>
                    </w:rPr>
                    <w:t>/</w:t>
                  </w:r>
                </w:p>
              </w:tc>
              <w:tc>
                <w:tcPr>
                  <w:tcW w:w="1516" w:type="dxa"/>
                  <w:vAlign w:val="center"/>
                </w:tcPr>
                <w:p w14:paraId="7EAA55BB">
                  <w:pPr>
                    <w:autoSpaceDE w:val="0"/>
                    <w:autoSpaceDN w:val="0"/>
                    <w:jc w:val="center"/>
                    <w:rPr>
                      <w:color w:val="auto"/>
                      <w:szCs w:val="21"/>
                    </w:rPr>
                  </w:pPr>
                  <w:r>
                    <w:rPr>
                      <w:color w:val="auto"/>
                      <w:szCs w:val="21"/>
                    </w:rPr>
                    <w:t>0.</w:t>
                  </w:r>
                  <w:r>
                    <w:rPr>
                      <w:rFonts w:hint="eastAsia"/>
                      <w:color w:val="auto"/>
                      <w:szCs w:val="21"/>
                    </w:rPr>
                    <w:t>1</w:t>
                  </w:r>
                </w:p>
              </w:tc>
            </w:tr>
            <w:tr w14:paraId="4C476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576" w:type="dxa"/>
                  <w:vMerge w:val="restart"/>
                  <w:vAlign w:val="center"/>
                </w:tcPr>
                <w:p w14:paraId="054E2CA6">
                  <w:pPr>
                    <w:autoSpaceDE w:val="0"/>
                    <w:autoSpaceDN w:val="0"/>
                    <w:jc w:val="center"/>
                    <w:rPr>
                      <w:color w:val="auto"/>
                      <w:szCs w:val="21"/>
                    </w:rPr>
                  </w:pPr>
                  <w:bookmarkStart w:id="61" w:name="_Toc299498075"/>
                  <w:r>
                    <w:rPr>
                      <w:color w:val="auto"/>
                      <w:szCs w:val="21"/>
                    </w:rPr>
                    <w:t>营运期</w:t>
                  </w:r>
                  <w:bookmarkEnd w:id="61"/>
                </w:p>
              </w:tc>
              <w:tc>
                <w:tcPr>
                  <w:tcW w:w="693" w:type="dxa"/>
                  <w:vMerge w:val="restart"/>
                  <w:vAlign w:val="center"/>
                </w:tcPr>
                <w:p w14:paraId="23139FF8">
                  <w:pPr>
                    <w:autoSpaceDE w:val="0"/>
                    <w:autoSpaceDN w:val="0"/>
                    <w:jc w:val="center"/>
                    <w:rPr>
                      <w:color w:val="auto"/>
                      <w:szCs w:val="21"/>
                    </w:rPr>
                  </w:pPr>
                  <w:r>
                    <w:rPr>
                      <w:rFonts w:hint="eastAsia"/>
                      <w:color w:val="auto"/>
                      <w:szCs w:val="21"/>
                    </w:rPr>
                    <w:t>废气防治措施</w:t>
                  </w:r>
                </w:p>
              </w:tc>
              <w:tc>
                <w:tcPr>
                  <w:tcW w:w="1134" w:type="dxa"/>
                  <w:vAlign w:val="center"/>
                </w:tcPr>
                <w:p w14:paraId="42ECA165">
                  <w:pPr>
                    <w:autoSpaceDE w:val="0"/>
                    <w:autoSpaceDN w:val="0"/>
                    <w:jc w:val="center"/>
                    <w:rPr>
                      <w:color w:val="auto"/>
                      <w:szCs w:val="21"/>
                    </w:rPr>
                  </w:pPr>
                  <w:r>
                    <w:rPr>
                      <w:rFonts w:hint="eastAsia"/>
                      <w:color w:val="auto"/>
                      <w:szCs w:val="21"/>
                    </w:rPr>
                    <w:t>高频焊接烟尘</w:t>
                  </w:r>
                </w:p>
              </w:tc>
              <w:tc>
                <w:tcPr>
                  <w:tcW w:w="4537" w:type="dxa"/>
                  <w:vAlign w:val="center"/>
                </w:tcPr>
                <w:p w14:paraId="0AF8714B">
                  <w:pPr>
                    <w:autoSpaceDE w:val="0"/>
                    <w:autoSpaceDN w:val="0"/>
                    <w:jc w:val="center"/>
                    <w:rPr>
                      <w:color w:val="auto"/>
                      <w:szCs w:val="21"/>
                    </w:rPr>
                  </w:pPr>
                  <w:r>
                    <w:rPr>
                      <w:rFonts w:hint="eastAsia"/>
                      <w:color w:val="auto"/>
                      <w:szCs w:val="21"/>
                    </w:rPr>
                    <w:t>每条生产线焊接工段配套1套集气罩+布袋除尘器，共设置9套。共设置3根</w:t>
                  </w:r>
                  <w:r>
                    <w:rPr>
                      <w:color w:val="auto"/>
                      <w:szCs w:val="21"/>
                    </w:rPr>
                    <w:t>15</w:t>
                  </w:r>
                  <w:r>
                    <w:rPr>
                      <w:rFonts w:hint="eastAsia"/>
                      <w:color w:val="auto"/>
                      <w:szCs w:val="21"/>
                    </w:rPr>
                    <w:t>m排气筒。</w:t>
                  </w:r>
                </w:p>
              </w:tc>
              <w:tc>
                <w:tcPr>
                  <w:tcW w:w="787" w:type="dxa"/>
                  <w:vAlign w:val="center"/>
                </w:tcPr>
                <w:p w14:paraId="781EF64D">
                  <w:pPr>
                    <w:autoSpaceDE w:val="0"/>
                    <w:autoSpaceDN w:val="0"/>
                    <w:jc w:val="center"/>
                    <w:rPr>
                      <w:color w:val="auto"/>
                      <w:szCs w:val="21"/>
                    </w:rPr>
                  </w:pPr>
                  <w:r>
                    <w:rPr>
                      <w:rFonts w:hint="eastAsia"/>
                      <w:color w:val="auto"/>
                      <w:szCs w:val="21"/>
                    </w:rPr>
                    <w:t>9套</w:t>
                  </w:r>
                </w:p>
              </w:tc>
              <w:tc>
                <w:tcPr>
                  <w:tcW w:w="1516" w:type="dxa"/>
                  <w:vAlign w:val="center"/>
                </w:tcPr>
                <w:p w14:paraId="56DBE0AE">
                  <w:pPr>
                    <w:autoSpaceDE w:val="0"/>
                    <w:autoSpaceDN w:val="0"/>
                    <w:jc w:val="center"/>
                    <w:rPr>
                      <w:color w:val="auto"/>
                      <w:szCs w:val="21"/>
                    </w:rPr>
                  </w:pPr>
                  <w:r>
                    <w:rPr>
                      <w:rFonts w:hint="eastAsia"/>
                      <w:color w:val="auto"/>
                      <w:szCs w:val="21"/>
                    </w:rPr>
                    <w:t>45</w:t>
                  </w:r>
                </w:p>
              </w:tc>
            </w:tr>
            <w:tr w14:paraId="0BA8A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576" w:type="dxa"/>
                  <w:vMerge w:val="continue"/>
                  <w:vAlign w:val="center"/>
                </w:tcPr>
                <w:p w14:paraId="69FB9402">
                  <w:pPr>
                    <w:autoSpaceDE w:val="0"/>
                    <w:autoSpaceDN w:val="0"/>
                    <w:jc w:val="center"/>
                    <w:rPr>
                      <w:color w:val="auto"/>
                      <w:szCs w:val="21"/>
                    </w:rPr>
                  </w:pPr>
                </w:p>
              </w:tc>
              <w:tc>
                <w:tcPr>
                  <w:tcW w:w="693" w:type="dxa"/>
                  <w:vMerge w:val="continue"/>
                  <w:vAlign w:val="center"/>
                </w:tcPr>
                <w:p w14:paraId="736A0217">
                  <w:pPr>
                    <w:autoSpaceDE w:val="0"/>
                    <w:autoSpaceDN w:val="0"/>
                    <w:jc w:val="center"/>
                    <w:rPr>
                      <w:color w:val="auto"/>
                      <w:szCs w:val="21"/>
                    </w:rPr>
                  </w:pPr>
                </w:p>
              </w:tc>
              <w:tc>
                <w:tcPr>
                  <w:tcW w:w="1134" w:type="dxa"/>
                  <w:vAlign w:val="center"/>
                </w:tcPr>
                <w:p w14:paraId="44DF25BD">
                  <w:pPr>
                    <w:autoSpaceDE w:val="0"/>
                    <w:autoSpaceDN w:val="0"/>
                    <w:jc w:val="center"/>
                    <w:rPr>
                      <w:color w:val="auto"/>
                      <w:szCs w:val="21"/>
                    </w:rPr>
                  </w:pPr>
                  <w:r>
                    <w:rPr>
                      <w:rFonts w:hint="eastAsia"/>
                      <w:color w:val="auto"/>
                      <w:szCs w:val="21"/>
                    </w:rPr>
                    <w:t>车间无组织烟尘</w:t>
                  </w:r>
                </w:p>
              </w:tc>
              <w:tc>
                <w:tcPr>
                  <w:tcW w:w="4537" w:type="dxa"/>
                  <w:vAlign w:val="center"/>
                </w:tcPr>
                <w:p w14:paraId="3FB7A764">
                  <w:pPr>
                    <w:autoSpaceDE w:val="0"/>
                    <w:autoSpaceDN w:val="0"/>
                    <w:jc w:val="center"/>
                    <w:rPr>
                      <w:color w:val="auto"/>
                      <w:szCs w:val="21"/>
                    </w:rPr>
                  </w:pPr>
                  <w:r>
                    <w:rPr>
                      <w:rFonts w:hint="eastAsia"/>
                      <w:color w:val="auto"/>
                      <w:szCs w:val="21"/>
                    </w:rPr>
                    <w:t>项目车间改造为封闭式厂房。</w:t>
                  </w:r>
                </w:p>
              </w:tc>
              <w:tc>
                <w:tcPr>
                  <w:tcW w:w="787" w:type="dxa"/>
                  <w:vAlign w:val="center"/>
                </w:tcPr>
                <w:p w14:paraId="039D781B">
                  <w:pPr>
                    <w:autoSpaceDE w:val="0"/>
                    <w:autoSpaceDN w:val="0"/>
                    <w:jc w:val="center"/>
                    <w:rPr>
                      <w:color w:val="auto"/>
                      <w:szCs w:val="21"/>
                    </w:rPr>
                  </w:pPr>
                  <w:r>
                    <w:rPr>
                      <w:color w:val="auto"/>
                      <w:szCs w:val="21"/>
                    </w:rPr>
                    <w:t>1</w:t>
                  </w:r>
                  <w:r>
                    <w:rPr>
                      <w:rFonts w:hint="eastAsia"/>
                      <w:color w:val="auto"/>
                      <w:szCs w:val="21"/>
                    </w:rPr>
                    <w:t>间</w:t>
                  </w:r>
                </w:p>
              </w:tc>
              <w:tc>
                <w:tcPr>
                  <w:tcW w:w="1516" w:type="dxa"/>
                  <w:vAlign w:val="center"/>
                </w:tcPr>
                <w:p w14:paraId="4B154FF1">
                  <w:pPr>
                    <w:autoSpaceDE w:val="0"/>
                    <w:autoSpaceDN w:val="0"/>
                    <w:jc w:val="center"/>
                    <w:rPr>
                      <w:color w:val="auto"/>
                      <w:szCs w:val="21"/>
                    </w:rPr>
                  </w:pPr>
                  <w:r>
                    <w:rPr>
                      <w:rFonts w:hint="eastAsia"/>
                      <w:color w:val="auto"/>
                      <w:szCs w:val="21"/>
                    </w:rPr>
                    <w:t>1</w:t>
                  </w:r>
                  <w:r>
                    <w:rPr>
                      <w:color w:val="auto"/>
                      <w:szCs w:val="21"/>
                    </w:rPr>
                    <w:t>.0</w:t>
                  </w:r>
                </w:p>
              </w:tc>
            </w:tr>
            <w:tr w14:paraId="73969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576" w:type="dxa"/>
                  <w:vMerge w:val="continue"/>
                  <w:vAlign w:val="center"/>
                </w:tcPr>
                <w:p w14:paraId="51E4B0BA">
                  <w:pPr>
                    <w:autoSpaceDE w:val="0"/>
                    <w:autoSpaceDN w:val="0"/>
                    <w:jc w:val="center"/>
                    <w:rPr>
                      <w:color w:val="auto"/>
                      <w:szCs w:val="21"/>
                    </w:rPr>
                  </w:pPr>
                </w:p>
              </w:tc>
              <w:tc>
                <w:tcPr>
                  <w:tcW w:w="693" w:type="dxa"/>
                  <w:vMerge w:val="restart"/>
                  <w:vAlign w:val="center"/>
                </w:tcPr>
                <w:p w14:paraId="4D5CAC1B">
                  <w:pPr>
                    <w:autoSpaceDE w:val="0"/>
                    <w:autoSpaceDN w:val="0"/>
                    <w:jc w:val="center"/>
                    <w:rPr>
                      <w:color w:val="auto"/>
                      <w:szCs w:val="21"/>
                    </w:rPr>
                  </w:pPr>
                  <w:r>
                    <w:rPr>
                      <w:rFonts w:hint="eastAsia"/>
                      <w:color w:val="auto"/>
                      <w:szCs w:val="21"/>
                    </w:rPr>
                    <w:t>废水处理措施</w:t>
                  </w:r>
                </w:p>
              </w:tc>
              <w:tc>
                <w:tcPr>
                  <w:tcW w:w="1134" w:type="dxa"/>
                  <w:vAlign w:val="center"/>
                </w:tcPr>
                <w:p w14:paraId="77436E28">
                  <w:pPr>
                    <w:autoSpaceDE w:val="0"/>
                    <w:autoSpaceDN w:val="0"/>
                    <w:jc w:val="center"/>
                    <w:rPr>
                      <w:color w:val="auto"/>
                      <w:szCs w:val="21"/>
                    </w:rPr>
                  </w:pPr>
                  <w:r>
                    <w:rPr>
                      <w:rFonts w:hint="eastAsia"/>
                      <w:color w:val="auto"/>
                      <w:szCs w:val="21"/>
                    </w:rPr>
                    <w:t>生活污水</w:t>
                  </w:r>
                </w:p>
              </w:tc>
              <w:tc>
                <w:tcPr>
                  <w:tcW w:w="4537" w:type="dxa"/>
                  <w:vAlign w:val="center"/>
                </w:tcPr>
                <w:p w14:paraId="70E5F960">
                  <w:pPr>
                    <w:autoSpaceDE w:val="0"/>
                    <w:autoSpaceDN w:val="0"/>
                    <w:jc w:val="center"/>
                    <w:rPr>
                      <w:color w:val="auto"/>
                      <w:szCs w:val="21"/>
                    </w:rPr>
                  </w:pPr>
                  <w:r>
                    <w:rPr>
                      <w:color w:val="auto"/>
                      <w:szCs w:val="21"/>
                    </w:rPr>
                    <w:t>2个化粪池，有效容积为2m</w:t>
                  </w:r>
                  <w:r>
                    <w:rPr>
                      <w:color w:val="auto"/>
                      <w:szCs w:val="21"/>
                      <w:vertAlign w:val="superscript"/>
                    </w:rPr>
                    <w:t>3</w:t>
                  </w:r>
                  <w:r>
                    <w:rPr>
                      <w:color w:val="auto"/>
                      <w:szCs w:val="21"/>
                    </w:rPr>
                    <w:t>和5m</w:t>
                  </w:r>
                  <w:r>
                    <w:rPr>
                      <w:color w:val="auto"/>
                      <w:szCs w:val="21"/>
                      <w:vertAlign w:val="superscript"/>
                    </w:rPr>
                    <w:t>3</w:t>
                  </w:r>
                  <w:r>
                    <w:rPr>
                      <w:color w:val="auto"/>
                      <w:szCs w:val="21"/>
                    </w:rPr>
                    <w:t>。</w:t>
                  </w:r>
                </w:p>
              </w:tc>
              <w:tc>
                <w:tcPr>
                  <w:tcW w:w="787" w:type="dxa"/>
                  <w:vAlign w:val="center"/>
                </w:tcPr>
                <w:p w14:paraId="419CDA07">
                  <w:pPr>
                    <w:autoSpaceDE w:val="0"/>
                    <w:autoSpaceDN w:val="0"/>
                    <w:jc w:val="center"/>
                    <w:rPr>
                      <w:color w:val="auto"/>
                      <w:szCs w:val="21"/>
                    </w:rPr>
                  </w:pPr>
                  <w:r>
                    <w:rPr>
                      <w:rFonts w:hint="eastAsia"/>
                      <w:color w:val="auto"/>
                      <w:szCs w:val="21"/>
                    </w:rPr>
                    <w:t>2个</w:t>
                  </w:r>
                </w:p>
              </w:tc>
              <w:tc>
                <w:tcPr>
                  <w:tcW w:w="1516" w:type="dxa"/>
                  <w:vAlign w:val="center"/>
                </w:tcPr>
                <w:p w14:paraId="396505A7">
                  <w:pPr>
                    <w:autoSpaceDE w:val="0"/>
                    <w:autoSpaceDN w:val="0"/>
                    <w:jc w:val="center"/>
                    <w:rPr>
                      <w:color w:val="auto"/>
                      <w:szCs w:val="21"/>
                    </w:rPr>
                  </w:pPr>
                  <w:r>
                    <w:rPr>
                      <w:rFonts w:hint="eastAsia"/>
                      <w:color w:val="auto"/>
                      <w:szCs w:val="21"/>
                    </w:rPr>
                    <w:t>0（已有）</w:t>
                  </w:r>
                </w:p>
              </w:tc>
            </w:tr>
            <w:tr w14:paraId="408D8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576" w:type="dxa"/>
                  <w:vMerge w:val="continue"/>
                  <w:vAlign w:val="center"/>
                </w:tcPr>
                <w:p w14:paraId="5FDFBCA7">
                  <w:pPr>
                    <w:autoSpaceDE w:val="0"/>
                    <w:autoSpaceDN w:val="0"/>
                    <w:jc w:val="center"/>
                    <w:rPr>
                      <w:color w:val="auto"/>
                      <w:szCs w:val="21"/>
                    </w:rPr>
                  </w:pPr>
                </w:p>
              </w:tc>
              <w:tc>
                <w:tcPr>
                  <w:tcW w:w="693" w:type="dxa"/>
                  <w:vMerge w:val="continue"/>
                  <w:vAlign w:val="center"/>
                </w:tcPr>
                <w:p w14:paraId="25553AD2">
                  <w:pPr>
                    <w:autoSpaceDE w:val="0"/>
                    <w:autoSpaceDN w:val="0"/>
                    <w:jc w:val="center"/>
                    <w:rPr>
                      <w:color w:val="auto"/>
                      <w:szCs w:val="21"/>
                    </w:rPr>
                  </w:pPr>
                </w:p>
              </w:tc>
              <w:tc>
                <w:tcPr>
                  <w:tcW w:w="1134" w:type="dxa"/>
                  <w:vAlign w:val="center"/>
                </w:tcPr>
                <w:p w14:paraId="51BE5032">
                  <w:pPr>
                    <w:autoSpaceDE w:val="0"/>
                    <w:autoSpaceDN w:val="0"/>
                    <w:jc w:val="center"/>
                    <w:rPr>
                      <w:color w:val="auto"/>
                      <w:szCs w:val="21"/>
                    </w:rPr>
                  </w:pPr>
                  <w:r>
                    <w:rPr>
                      <w:rFonts w:hint="eastAsia"/>
                      <w:color w:val="auto"/>
                      <w:szCs w:val="21"/>
                    </w:rPr>
                    <w:t>直接冷却水</w:t>
                  </w:r>
                </w:p>
              </w:tc>
              <w:tc>
                <w:tcPr>
                  <w:tcW w:w="4537" w:type="dxa"/>
                  <w:vAlign w:val="center"/>
                </w:tcPr>
                <w:p w14:paraId="0D177A10">
                  <w:pPr>
                    <w:autoSpaceDE w:val="0"/>
                    <w:autoSpaceDN w:val="0"/>
                    <w:jc w:val="center"/>
                    <w:rPr>
                      <w:color w:val="auto"/>
                      <w:szCs w:val="21"/>
                    </w:rPr>
                  </w:pPr>
                  <w:r>
                    <w:rPr>
                      <w:rFonts w:hint="eastAsia"/>
                      <w:color w:val="auto"/>
                      <w:szCs w:val="21"/>
                    </w:rPr>
                    <w:t>2个</w:t>
                  </w:r>
                  <w:r>
                    <w:rPr>
                      <w:color w:val="auto"/>
                      <w:szCs w:val="21"/>
                    </w:rPr>
                    <w:t>循环水池，容积</w:t>
                  </w:r>
                  <w:r>
                    <w:rPr>
                      <w:rFonts w:hint="eastAsia"/>
                      <w:color w:val="auto"/>
                      <w:szCs w:val="21"/>
                    </w:rPr>
                    <w:t>均为</w:t>
                  </w:r>
                  <w:r>
                    <w:rPr>
                      <w:color w:val="auto"/>
                      <w:szCs w:val="21"/>
                    </w:rPr>
                    <w:t>150m</w:t>
                  </w:r>
                  <w:r>
                    <w:rPr>
                      <w:color w:val="auto"/>
                      <w:szCs w:val="21"/>
                      <w:vertAlign w:val="superscript"/>
                    </w:rPr>
                    <w:t>3</w:t>
                  </w:r>
                  <w:r>
                    <w:rPr>
                      <w:color w:val="auto"/>
                      <w:szCs w:val="21"/>
                    </w:rPr>
                    <w:t>。</w:t>
                  </w:r>
                </w:p>
              </w:tc>
              <w:tc>
                <w:tcPr>
                  <w:tcW w:w="787" w:type="dxa"/>
                  <w:vAlign w:val="center"/>
                </w:tcPr>
                <w:p w14:paraId="58B280DE">
                  <w:pPr>
                    <w:autoSpaceDE w:val="0"/>
                    <w:autoSpaceDN w:val="0"/>
                    <w:jc w:val="center"/>
                    <w:rPr>
                      <w:color w:val="auto"/>
                      <w:szCs w:val="21"/>
                    </w:rPr>
                  </w:pPr>
                  <w:r>
                    <w:rPr>
                      <w:rFonts w:hint="eastAsia"/>
                      <w:color w:val="auto"/>
                      <w:szCs w:val="21"/>
                    </w:rPr>
                    <w:t>1个</w:t>
                  </w:r>
                </w:p>
              </w:tc>
              <w:tc>
                <w:tcPr>
                  <w:tcW w:w="1516" w:type="dxa"/>
                  <w:vAlign w:val="center"/>
                </w:tcPr>
                <w:p w14:paraId="5306A24F">
                  <w:pPr>
                    <w:autoSpaceDE w:val="0"/>
                    <w:autoSpaceDN w:val="0"/>
                    <w:jc w:val="center"/>
                    <w:rPr>
                      <w:color w:val="auto"/>
                      <w:szCs w:val="21"/>
                    </w:rPr>
                  </w:pPr>
                  <w:r>
                    <w:rPr>
                      <w:rFonts w:hint="eastAsia"/>
                      <w:color w:val="auto"/>
                      <w:szCs w:val="21"/>
                    </w:rPr>
                    <w:t>0（已有）</w:t>
                  </w:r>
                </w:p>
              </w:tc>
            </w:tr>
            <w:tr w14:paraId="427D1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576" w:type="dxa"/>
                  <w:vMerge w:val="continue"/>
                  <w:vAlign w:val="center"/>
                </w:tcPr>
                <w:p w14:paraId="55018CAB">
                  <w:pPr>
                    <w:autoSpaceDE w:val="0"/>
                    <w:autoSpaceDN w:val="0"/>
                    <w:jc w:val="center"/>
                    <w:rPr>
                      <w:color w:val="auto"/>
                      <w:szCs w:val="21"/>
                    </w:rPr>
                  </w:pPr>
                </w:p>
              </w:tc>
              <w:tc>
                <w:tcPr>
                  <w:tcW w:w="693" w:type="dxa"/>
                  <w:vMerge w:val="continue"/>
                  <w:vAlign w:val="center"/>
                </w:tcPr>
                <w:p w14:paraId="377E507E">
                  <w:pPr>
                    <w:autoSpaceDE w:val="0"/>
                    <w:autoSpaceDN w:val="0"/>
                    <w:jc w:val="center"/>
                    <w:rPr>
                      <w:color w:val="auto"/>
                      <w:szCs w:val="21"/>
                    </w:rPr>
                  </w:pPr>
                </w:p>
              </w:tc>
              <w:tc>
                <w:tcPr>
                  <w:tcW w:w="1134" w:type="dxa"/>
                  <w:vAlign w:val="center"/>
                </w:tcPr>
                <w:p w14:paraId="03E2B97C">
                  <w:pPr>
                    <w:autoSpaceDE w:val="0"/>
                    <w:autoSpaceDN w:val="0"/>
                    <w:jc w:val="center"/>
                    <w:rPr>
                      <w:color w:val="auto"/>
                      <w:szCs w:val="21"/>
                    </w:rPr>
                  </w:pPr>
                  <w:r>
                    <w:rPr>
                      <w:rFonts w:hint="eastAsia"/>
                      <w:color w:val="auto"/>
                      <w:szCs w:val="21"/>
                    </w:rPr>
                    <w:t>应急事故</w:t>
                  </w:r>
                </w:p>
              </w:tc>
              <w:tc>
                <w:tcPr>
                  <w:tcW w:w="4537" w:type="dxa"/>
                  <w:vAlign w:val="center"/>
                </w:tcPr>
                <w:p w14:paraId="2BF27701">
                  <w:pPr>
                    <w:autoSpaceDE w:val="0"/>
                    <w:autoSpaceDN w:val="0"/>
                    <w:jc w:val="center"/>
                    <w:rPr>
                      <w:color w:val="auto"/>
                      <w:szCs w:val="21"/>
                    </w:rPr>
                  </w:pPr>
                  <w:r>
                    <w:rPr>
                      <w:color w:val="auto"/>
                      <w:szCs w:val="21"/>
                    </w:rPr>
                    <w:t>2个，1个位于危废暂存间旁，容积30m</w:t>
                  </w:r>
                  <w:r>
                    <w:rPr>
                      <w:color w:val="auto"/>
                      <w:szCs w:val="21"/>
                      <w:vertAlign w:val="superscript"/>
                    </w:rPr>
                    <w:t>3</w:t>
                  </w:r>
                  <w:r>
                    <w:rPr>
                      <w:color w:val="auto"/>
                      <w:szCs w:val="21"/>
                    </w:rPr>
                    <w:t>；1个位于生产车间1号的中段，容积30m</w:t>
                  </w:r>
                  <w:r>
                    <w:rPr>
                      <w:color w:val="auto"/>
                      <w:szCs w:val="21"/>
                      <w:vertAlign w:val="superscript"/>
                    </w:rPr>
                    <w:t>3</w:t>
                  </w:r>
                  <w:r>
                    <w:rPr>
                      <w:color w:val="auto"/>
                      <w:szCs w:val="21"/>
                    </w:rPr>
                    <w:t>。</w:t>
                  </w:r>
                </w:p>
              </w:tc>
              <w:tc>
                <w:tcPr>
                  <w:tcW w:w="787" w:type="dxa"/>
                  <w:vAlign w:val="center"/>
                </w:tcPr>
                <w:p w14:paraId="0FCC3A9B">
                  <w:pPr>
                    <w:autoSpaceDE w:val="0"/>
                    <w:autoSpaceDN w:val="0"/>
                    <w:jc w:val="center"/>
                    <w:rPr>
                      <w:color w:val="auto"/>
                      <w:szCs w:val="21"/>
                    </w:rPr>
                  </w:pPr>
                  <w:r>
                    <w:rPr>
                      <w:rFonts w:hint="eastAsia"/>
                      <w:color w:val="auto"/>
                      <w:szCs w:val="21"/>
                    </w:rPr>
                    <w:t>2个</w:t>
                  </w:r>
                </w:p>
              </w:tc>
              <w:tc>
                <w:tcPr>
                  <w:tcW w:w="1516" w:type="dxa"/>
                  <w:vAlign w:val="center"/>
                </w:tcPr>
                <w:p w14:paraId="28F10C99">
                  <w:pPr>
                    <w:autoSpaceDE w:val="0"/>
                    <w:autoSpaceDN w:val="0"/>
                    <w:jc w:val="center"/>
                    <w:rPr>
                      <w:color w:val="auto"/>
                      <w:szCs w:val="21"/>
                    </w:rPr>
                  </w:pPr>
                  <w:r>
                    <w:rPr>
                      <w:rFonts w:hint="eastAsia"/>
                      <w:color w:val="auto"/>
                      <w:szCs w:val="21"/>
                    </w:rPr>
                    <w:t>0（已有）</w:t>
                  </w:r>
                </w:p>
              </w:tc>
            </w:tr>
            <w:tr w14:paraId="2FC90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576" w:type="dxa"/>
                  <w:vMerge w:val="continue"/>
                  <w:vAlign w:val="center"/>
                </w:tcPr>
                <w:p w14:paraId="225F6E14">
                  <w:pPr>
                    <w:autoSpaceDE w:val="0"/>
                    <w:autoSpaceDN w:val="0"/>
                    <w:jc w:val="center"/>
                    <w:rPr>
                      <w:color w:val="auto"/>
                      <w:szCs w:val="21"/>
                    </w:rPr>
                  </w:pPr>
                </w:p>
              </w:tc>
              <w:tc>
                <w:tcPr>
                  <w:tcW w:w="693" w:type="dxa"/>
                  <w:vMerge w:val="continue"/>
                  <w:vAlign w:val="center"/>
                </w:tcPr>
                <w:p w14:paraId="420EC537">
                  <w:pPr>
                    <w:autoSpaceDE w:val="0"/>
                    <w:autoSpaceDN w:val="0"/>
                    <w:jc w:val="center"/>
                    <w:rPr>
                      <w:color w:val="auto"/>
                      <w:szCs w:val="21"/>
                    </w:rPr>
                  </w:pPr>
                </w:p>
              </w:tc>
              <w:tc>
                <w:tcPr>
                  <w:tcW w:w="1134" w:type="dxa"/>
                  <w:vAlign w:val="center"/>
                </w:tcPr>
                <w:p w14:paraId="4BB0A18D">
                  <w:pPr>
                    <w:autoSpaceDE w:val="0"/>
                    <w:autoSpaceDN w:val="0"/>
                    <w:jc w:val="center"/>
                    <w:rPr>
                      <w:color w:val="auto"/>
                      <w:szCs w:val="21"/>
                    </w:rPr>
                  </w:pPr>
                  <w:r>
                    <w:rPr>
                      <w:rFonts w:hint="eastAsia"/>
                      <w:color w:val="auto"/>
                      <w:szCs w:val="21"/>
                    </w:rPr>
                    <w:t>初期雨水</w:t>
                  </w:r>
                </w:p>
              </w:tc>
              <w:tc>
                <w:tcPr>
                  <w:tcW w:w="4537" w:type="dxa"/>
                  <w:vAlign w:val="center"/>
                </w:tcPr>
                <w:p w14:paraId="52327E81">
                  <w:pPr>
                    <w:autoSpaceDE w:val="0"/>
                    <w:autoSpaceDN w:val="0"/>
                    <w:jc w:val="center"/>
                    <w:rPr>
                      <w:color w:val="auto"/>
                      <w:szCs w:val="21"/>
                    </w:rPr>
                  </w:pPr>
                  <w:r>
                    <w:rPr>
                      <w:rFonts w:hint="eastAsia"/>
                      <w:color w:val="auto"/>
                      <w:szCs w:val="21"/>
                    </w:rPr>
                    <w:t>1个，位于生产车间1号右侧，容积50m</w:t>
                  </w:r>
                  <w:r>
                    <w:rPr>
                      <w:rFonts w:hint="eastAsia"/>
                      <w:color w:val="auto"/>
                      <w:szCs w:val="21"/>
                      <w:vertAlign w:val="superscript"/>
                    </w:rPr>
                    <w:t>3</w:t>
                  </w:r>
                  <w:r>
                    <w:rPr>
                      <w:rFonts w:hint="eastAsia"/>
                      <w:color w:val="auto"/>
                      <w:szCs w:val="21"/>
                    </w:rPr>
                    <w:t>。</w:t>
                  </w:r>
                </w:p>
              </w:tc>
              <w:tc>
                <w:tcPr>
                  <w:tcW w:w="787" w:type="dxa"/>
                  <w:vAlign w:val="center"/>
                </w:tcPr>
                <w:p w14:paraId="762C045C">
                  <w:pPr>
                    <w:autoSpaceDE w:val="0"/>
                    <w:autoSpaceDN w:val="0"/>
                    <w:jc w:val="center"/>
                    <w:rPr>
                      <w:color w:val="auto"/>
                      <w:szCs w:val="21"/>
                    </w:rPr>
                  </w:pPr>
                  <w:r>
                    <w:rPr>
                      <w:rFonts w:hint="eastAsia"/>
                      <w:color w:val="auto"/>
                      <w:szCs w:val="21"/>
                    </w:rPr>
                    <w:t>1个</w:t>
                  </w:r>
                </w:p>
              </w:tc>
              <w:tc>
                <w:tcPr>
                  <w:tcW w:w="1516" w:type="dxa"/>
                  <w:vAlign w:val="center"/>
                </w:tcPr>
                <w:p w14:paraId="11B03409">
                  <w:pPr>
                    <w:autoSpaceDE w:val="0"/>
                    <w:autoSpaceDN w:val="0"/>
                    <w:jc w:val="center"/>
                    <w:rPr>
                      <w:color w:val="auto"/>
                      <w:szCs w:val="21"/>
                    </w:rPr>
                  </w:pPr>
                  <w:r>
                    <w:rPr>
                      <w:rFonts w:hint="eastAsia"/>
                      <w:color w:val="auto"/>
                      <w:szCs w:val="21"/>
                    </w:rPr>
                    <w:t>0（已有）</w:t>
                  </w:r>
                </w:p>
              </w:tc>
            </w:tr>
            <w:tr w14:paraId="03ED4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576" w:type="dxa"/>
                  <w:vMerge w:val="continue"/>
                  <w:vAlign w:val="center"/>
                </w:tcPr>
                <w:p w14:paraId="608970E7">
                  <w:pPr>
                    <w:autoSpaceDE w:val="0"/>
                    <w:autoSpaceDN w:val="0"/>
                    <w:jc w:val="center"/>
                    <w:rPr>
                      <w:color w:val="auto"/>
                      <w:szCs w:val="21"/>
                    </w:rPr>
                  </w:pPr>
                </w:p>
              </w:tc>
              <w:tc>
                <w:tcPr>
                  <w:tcW w:w="693" w:type="dxa"/>
                  <w:vMerge w:val="restart"/>
                  <w:vAlign w:val="center"/>
                </w:tcPr>
                <w:p w14:paraId="13BD4428">
                  <w:pPr>
                    <w:autoSpaceDE w:val="0"/>
                    <w:autoSpaceDN w:val="0"/>
                    <w:jc w:val="center"/>
                    <w:rPr>
                      <w:color w:val="auto"/>
                      <w:szCs w:val="21"/>
                    </w:rPr>
                  </w:pPr>
                  <w:r>
                    <w:rPr>
                      <w:rFonts w:hint="eastAsia"/>
                      <w:color w:val="auto"/>
                      <w:szCs w:val="21"/>
                    </w:rPr>
                    <w:t>固废</w:t>
                  </w:r>
                </w:p>
              </w:tc>
              <w:tc>
                <w:tcPr>
                  <w:tcW w:w="1134" w:type="dxa"/>
                  <w:vAlign w:val="center"/>
                </w:tcPr>
                <w:p w14:paraId="5EEC7E22">
                  <w:pPr>
                    <w:autoSpaceDE w:val="0"/>
                    <w:autoSpaceDN w:val="0"/>
                    <w:jc w:val="center"/>
                    <w:rPr>
                      <w:color w:val="auto"/>
                      <w:szCs w:val="21"/>
                    </w:rPr>
                  </w:pPr>
                  <w:r>
                    <w:rPr>
                      <w:color w:val="auto"/>
                      <w:szCs w:val="21"/>
                    </w:rPr>
                    <w:t>生活垃圾</w:t>
                  </w:r>
                </w:p>
              </w:tc>
              <w:tc>
                <w:tcPr>
                  <w:tcW w:w="4537" w:type="dxa"/>
                  <w:vAlign w:val="center"/>
                </w:tcPr>
                <w:p w14:paraId="31AFC2C2">
                  <w:pPr>
                    <w:autoSpaceDE w:val="0"/>
                    <w:autoSpaceDN w:val="0"/>
                    <w:jc w:val="center"/>
                    <w:rPr>
                      <w:color w:val="auto"/>
                      <w:kern w:val="0"/>
                      <w:szCs w:val="21"/>
                    </w:rPr>
                  </w:pPr>
                  <w:r>
                    <w:rPr>
                      <w:rFonts w:hint="eastAsia"/>
                      <w:color w:val="auto"/>
                      <w:szCs w:val="21"/>
                    </w:rPr>
                    <w:t>1个生活垃圾箱</w:t>
                  </w:r>
                  <w:r>
                    <w:rPr>
                      <w:color w:val="auto"/>
                      <w:szCs w:val="21"/>
                    </w:rPr>
                    <w:t>。</w:t>
                  </w:r>
                </w:p>
              </w:tc>
              <w:tc>
                <w:tcPr>
                  <w:tcW w:w="787" w:type="dxa"/>
                  <w:vAlign w:val="center"/>
                </w:tcPr>
                <w:p w14:paraId="3ECF4F3D">
                  <w:pPr>
                    <w:autoSpaceDE w:val="0"/>
                    <w:autoSpaceDN w:val="0"/>
                    <w:jc w:val="center"/>
                    <w:rPr>
                      <w:color w:val="auto"/>
                      <w:kern w:val="0"/>
                      <w:szCs w:val="21"/>
                    </w:rPr>
                  </w:pPr>
                  <w:r>
                    <w:rPr>
                      <w:rFonts w:hint="eastAsia"/>
                      <w:color w:val="auto"/>
                      <w:kern w:val="0"/>
                      <w:szCs w:val="21"/>
                    </w:rPr>
                    <w:t>1个</w:t>
                  </w:r>
                </w:p>
              </w:tc>
              <w:tc>
                <w:tcPr>
                  <w:tcW w:w="1516" w:type="dxa"/>
                  <w:vAlign w:val="center"/>
                </w:tcPr>
                <w:p w14:paraId="321FAAEE">
                  <w:pPr>
                    <w:autoSpaceDE w:val="0"/>
                    <w:autoSpaceDN w:val="0"/>
                    <w:jc w:val="center"/>
                    <w:rPr>
                      <w:color w:val="auto"/>
                      <w:szCs w:val="21"/>
                    </w:rPr>
                  </w:pPr>
                  <w:r>
                    <w:rPr>
                      <w:rFonts w:hint="eastAsia"/>
                      <w:color w:val="auto"/>
                      <w:szCs w:val="21"/>
                    </w:rPr>
                    <w:t>0</w:t>
                  </w:r>
                  <w:r>
                    <w:rPr>
                      <w:color w:val="auto"/>
                      <w:szCs w:val="21"/>
                    </w:rPr>
                    <w:t>.2</w:t>
                  </w:r>
                </w:p>
              </w:tc>
            </w:tr>
            <w:tr w14:paraId="0B8AB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576" w:type="dxa"/>
                  <w:vMerge w:val="continue"/>
                  <w:vAlign w:val="center"/>
                </w:tcPr>
                <w:p w14:paraId="411C04BB">
                  <w:pPr>
                    <w:autoSpaceDE w:val="0"/>
                    <w:autoSpaceDN w:val="0"/>
                    <w:jc w:val="center"/>
                    <w:rPr>
                      <w:color w:val="auto"/>
                      <w:szCs w:val="21"/>
                    </w:rPr>
                  </w:pPr>
                </w:p>
              </w:tc>
              <w:tc>
                <w:tcPr>
                  <w:tcW w:w="693" w:type="dxa"/>
                  <w:vMerge w:val="continue"/>
                  <w:vAlign w:val="center"/>
                </w:tcPr>
                <w:p w14:paraId="6AEE502C">
                  <w:pPr>
                    <w:autoSpaceDE w:val="0"/>
                    <w:autoSpaceDN w:val="0"/>
                    <w:jc w:val="center"/>
                    <w:rPr>
                      <w:color w:val="auto"/>
                      <w:szCs w:val="21"/>
                    </w:rPr>
                  </w:pPr>
                </w:p>
              </w:tc>
              <w:tc>
                <w:tcPr>
                  <w:tcW w:w="1134" w:type="dxa"/>
                  <w:vAlign w:val="center"/>
                </w:tcPr>
                <w:p w14:paraId="5386AACF">
                  <w:pPr>
                    <w:autoSpaceDE w:val="0"/>
                    <w:autoSpaceDN w:val="0"/>
                    <w:jc w:val="center"/>
                    <w:rPr>
                      <w:color w:val="auto"/>
                      <w:szCs w:val="21"/>
                    </w:rPr>
                  </w:pPr>
                  <w:r>
                    <w:rPr>
                      <w:rFonts w:hint="eastAsia"/>
                      <w:color w:val="auto"/>
                      <w:szCs w:val="21"/>
                    </w:rPr>
                    <w:t>一般固废暂存间</w:t>
                  </w:r>
                </w:p>
              </w:tc>
              <w:tc>
                <w:tcPr>
                  <w:tcW w:w="4537" w:type="dxa"/>
                  <w:vAlign w:val="center"/>
                </w:tcPr>
                <w:p w14:paraId="7053A6BB">
                  <w:pPr>
                    <w:autoSpaceDE w:val="0"/>
                    <w:autoSpaceDN w:val="0"/>
                    <w:jc w:val="center"/>
                    <w:rPr>
                      <w:color w:val="auto"/>
                      <w:kern w:val="0"/>
                      <w:szCs w:val="21"/>
                    </w:rPr>
                  </w:pPr>
                  <w:r>
                    <w:rPr>
                      <w:rFonts w:hint="eastAsia"/>
                      <w:color w:val="auto"/>
                      <w:szCs w:val="21"/>
                    </w:rPr>
                    <w:t>1个，面</w:t>
                  </w:r>
                  <w:r>
                    <w:rPr>
                      <w:rFonts w:hint="eastAsia"/>
                      <w:color w:val="auto"/>
                      <w:kern w:val="0"/>
                      <w:szCs w:val="21"/>
                    </w:rPr>
                    <w:t>积20m</w:t>
                  </w:r>
                  <w:r>
                    <w:rPr>
                      <w:rFonts w:hint="eastAsia"/>
                      <w:color w:val="auto"/>
                      <w:kern w:val="0"/>
                      <w:szCs w:val="21"/>
                      <w:vertAlign w:val="superscript"/>
                    </w:rPr>
                    <w:t>2</w:t>
                  </w:r>
                  <w:r>
                    <w:rPr>
                      <w:color w:val="auto"/>
                      <w:szCs w:val="21"/>
                    </w:rPr>
                    <w:t>。</w:t>
                  </w:r>
                </w:p>
              </w:tc>
              <w:tc>
                <w:tcPr>
                  <w:tcW w:w="787" w:type="dxa"/>
                  <w:vAlign w:val="center"/>
                </w:tcPr>
                <w:p w14:paraId="5430447A">
                  <w:pPr>
                    <w:autoSpaceDE w:val="0"/>
                    <w:autoSpaceDN w:val="0"/>
                    <w:jc w:val="center"/>
                    <w:rPr>
                      <w:color w:val="auto"/>
                      <w:kern w:val="0"/>
                      <w:szCs w:val="21"/>
                    </w:rPr>
                  </w:pPr>
                  <w:r>
                    <w:rPr>
                      <w:rFonts w:hint="eastAsia"/>
                      <w:color w:val="auto"/>
                      <w:szCs w:val="21"/>
                    </w:rPr>
                    <w:t>1间</w:t>
                  </w:r>
                </w:p>
              </w:tc>
              <w:tc>
                <w:tcPr>
                  <w:tcW w:w="1516" w:type="dxa"/>
                  <w:vAlign w:val="center"/>
                </w:tcPr>
                <w:p w14:paraId="5ABFCF90">
                  <w:pPr>
                    <w:autoSpaceDE w:val="0"/>
                    <w:autoSpaceDN w:val="0"/>
                    <w:jc w:val="center"/>
                    <w:rPr>
                      <w:color w:val="auto"/>
                      <w:szCs w:val="21"/>
                    </w:rPr>
                  </w:pPr>
                  <w:r>
                    <w:rPr>
                      <w:color w:val="auto"/>
                      <w:szCs w:val="21"/>
                    </w:rPr>
                    <w:t>0.5</w:t>
                  </w:r>
                </w:p>
              </w:tc>
            </w:tr>
            <w:tr w14:paraId="1A25C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576" w:type="dxa"/>
                  <w:vMerge w:val="continue"/>
                  <w:vAlign w:val="center"/>
                </w:tcPr>
                <w:p w14:paraId="64D72B06">
                  <w:pPr>
                    <w:autoSpaceDE w:val="0"/>
                    <w:autoSpaceDN w:val="0"/>
                    <w:jc w:val="center"/>
                    <w:rPr>
                      <w:color w:val="auto"/>
                      <w:szCs w:val="21"/>
                    </w:rPr>
                  </w:pPr>
                </w:p>
              </w:tc>
              <w:tc>
                <w:tcPr>
                  <w:tcW w:w="693" w:type="dxa"/>
                  <w:vMerge w:val="continue"/>
                  <w:vAlign w:val="center"/>
                </w:tcPr>
                <w:p w14:paraId="2D9A6D68">
                  <w:pPr>
                    <w:autoSpaceDE w:val="0"/>
                    <w:autoSpaceDN w:val="0"/>
                    <w:jc w:val="center"/>
                    <w:rPr>
                      <w:color w:val="auto"/>
                      <w:szCs w:val="21"/>
                    </w:rPr>
                  </w:pPr>
                </w:p>
              </w:tc>
              <w:tc>
                <w:tcPr>
                  <w:tcW w:w="1134" w:type="dxa"/>
                  <w:vAlign w:val="center"/>
                </w:tcPr>
                <w:p w14:paraId="1863FBA9">
                  <w:pPr>
                    <w:autoSpaceDE w:val="0"/>
                    <w:autoSpaceDN w:val="0"/>
                    <w:jc w:val="center"/>
                    <w:rPr>
                      <w:color w:val="auto"/>
                      <w:szCs w:val="21"/>
                    </w:rPr>
                  </w:pPr>
                  <w:r>
                    <w:rPr>
                      <w:rFonts w:hint="eastAsia"/>
                      <w:color w:val="auto"/>
                      <w:szCs w:val="21"/>
                    </w:rPr>
                    <w:t>沉渣脱水</w:t>
                  </w:r>
                </w:p>
              </w:tc>
              <w:tc>
                <w:tcPr>
                  <w:tcW w:w="4537" w:type="dxa"/>
                  <w:vAlign w:val="center"/>
                </w:tcPr>
                <w:p w14:paraId="4EBA43CE">
                  <w:pPr>
                    <w:autoSpaceDE w:val="0"/>
                    <w:autoSpaceDN w:val="0"/>
                    <w:jc w:val="center"/>
                    <w:rPr>
                      <w:color w:val="auto"/>
                      <w:szCs w:val="21"/>
                    </w:rPr>
                  </w:pPr>
                  <w:r>
                    <w:rPr>
                      <w:rFonts w:hint="eastAsia"/>
                      <w:color w:val="auto"/>
                      <w:szCs w:val="21"/>
                    </w:rPr>
                    <w:t>板框压滤机。</w:t>
                  </w:r>
                </w:p>
              </w:tc>
              <w:tc>
                <w:tcPr>
                  <w:tcW w:w="787" w:type="dxa"/>
                  <w:vAlign w:val="center"/>
                </w:tcPr>
                <w:p w14:paraId="5AC825A1">
                  <w:pPr>
                    <w:autoSpaceDE w:val="0"/>
                    <w:autoSpaceDN w:val="0"/>
                    <w:jc w:val="center"/>
                    <w:rPr>
                      <w:color w:val="auto"/>
                      <w:szCs w:val="21"/>
                    </w:rPr>
                  </w:pPr>
                  <w:r>
                    <w:rPr>
                      <w:rFonts w:hint="eastAsia"/>
                      <w:color w:val="auto"/>
                      <w:szCs w:val="21"/>
                    </w:rPr>
                    <w:t>1台</w:t>
                  </w:r>
                </w:p>
              </w:tc>
              <w:tc>
                <w:tcPr>
                  <w:tcW w:w="1516" w:type="dxa"/>
                  <w:vAlign w:val="center"/>
                </w:tcPr>
                <w:p w14:paraId="4B586BA0">
                  <w:pPr>
                    <w:autoSpaceDE w:val="0"/>
                    <w:autoSpaceDN w:val="0"/>
                    <w:jc w:val="center"/>
                    <w:rPr>
                      <w:color w:val="auto"/>
                      <w:szCs w:val="21"/>
                    </w:rPr>
                  </w:pPr>
                  <w:r>
                    <w:rPr>
                      <w:rFonts w:hint="eastAsia"/>
                      <w:color w:val="auto"/>
                      <w:szCs w:val="21"/>
                    </w:rPr>
                    <w:t>1.5</w:t>
                  </w:r>
                </w:p>
              </w:tc>
            </w:tr>
            <w:tr w14:paraId="68B50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576" w:type="dxa"/>
                  <w:vMerge w:val="continue"/>
                  <w:vAlign w:val="center"/>
                </w:tcPr>
                <w:p w14:paraId="64F291AF">
                  <w:pPr>
                    <w:autoSpaceDE w:val="0"/>
                    <w:autoSpaceDN w:val="0"/>
                    <w:jc w:val="center"/>
                    <w:rPr>
                      <w:color w:val="auto"/>
                      <w:szCs w:val="21"/>
                    </w:rPr>
                  </w:pPr>
                </w:p>
              </w:tc>
              <w:tc>
                <w:tcPr>
                  <w:tcW w:w="693" w:type="dxa"/>
                  <w:vMerge w:val="continue"/>
                  <w:vAlign w:val="center"/>
                </w:tcPr>
                <w:p w14:paraId="48CBE08F">
                  <w:pPr>
                    <w:autoSpaceDE w:val="0"/>
                    <w:autoSpaceDN w:val="0"/>
                    <w:jc w:val="center"/>
                    <w:rPr>
                      <w:color w:val="auto"/>
                      <w:szCs w:val="21"/>
                    </w:rPr>
                  </w:pPr>
                </w:p>
              </w:tc>
              <w:tc>
                <w:tcPr>
                  <w:tcW w:w="1134" w:type="dxa"/>
                  <w:vAlign w:val="center"/>
                </w:tcPr>
                <w:p w14:paraId="50729CB3">
                  <w:pPr>
                    <w:autoSpaceDE w:val="0"/>
                    <w:autoSpaceDN w:val="0"/>
                    <w:jc w:val="center"/>
                    <w:rPr>
                      <w:color w:val="auto"/>
                      <w:szCs w:val="21"/>
                    </w:rPr>
                  </w:pPr>
                  <w:r>
                    <w:rPr>
                      <w:rFonts w:hint="eastAsia"/>
                      <w:color w:val="auto"/>
                      <w:szCs w:val="21"/>
                    </w:rPr>
                    <w:t>危废暂存间</w:t>
                  </w:r>
                </w:p>
              </w:tc>
              <w:tc>
                <w:tcPr>
                  <w:tcW w:w="4537" w:type="dxa"/>
                  <w:vAlign w:val="center"/>
                </w:tcPr>
                <w:p w14:paraId="57F25532">
                  <w:pPr>
                    <w:autoSpaceDE w:val="0"/>
                    <w:autoSpaceDN w:val="0"/>
                    <w:jc w:val="center"/>
                    <w:rPr>
                      <w:color w:val="auto"/>
                      <w:kern w:val="0"/>
                      <w:szCs w:val="21"/>
                    </w:rPr>
                  </w:pPr>
                  <w:r>
                    <w:rPr>
                      <w:rFonts w:hint="eastAsia"/>
                      <w:color w:val="auto"/>
                      <w:szCs w:val="21"/>
                    </w:rPr>
                    <w:t>1间，</w:t>
                  </w:r>
                  <w:r>
                    <w:rPr>
                      <w:rFonts w:hint="eastAsia"/>
                      <w:color w:val="auto"/>
                      <w:kern w:val="0"/>
                      <w:szCs w:val="21"/>
                    </w:rPr>
                    <w:t>面积</w:t>
                  </w:r>
                  <w:r>
                    <w:rPr>
                      <w:color w:val="auto"/>
                      <w:kern w:val="0"/>
                      <w:szCs w:val="21"/>
                    </w:rPr>
                    <w:t>5</w:t>
                  </w:r>
                  <w:r>
                    <w:rPr>
                      <w:rFonts w:hint="eastAsia"/>
                      <w:color w:val="auto"/>
                      <w:kern w:val="0"/>
                      <w:szCs w:val="21"/>
                    </w:rPr>
                    <w:t xml:space="preserve"> m</w:t>
                  </w:r>
                  <w:r>
                    <w:rPr>
                      <w:rFonts w:hint="eastAsia"/>
                      <w:color w:val="auto"/>
                      <w:kern w:val="0"/>
                      <w:szCs w:val="21"/>
                      <w:vertAlign w:val="superscript"/>
                    </w:rPr>
                    <w:t>2</w:t>
                  </w:r>
                  <w:r>
                    <w:rPr>
                      <w:color w:val="auto"/>
                      <w:szCs w:val="21"/>
                    </w:rPr>
                    <w:t>。</w:t>
                  </w:r>
                </w:p>
              </w:tc>
              <w:tc>
                <w:tcPr>
                  <w:tcW w:w="787" w:type="dxa"/>
                  <w:vAlign w:val="center"/>
                </w:tcPr>
                <w:p w14:paraId="06BB34A9">
                  <w:pPr>
                    <w:autoSpaceDE w:val="0"/>
                    <w:autoSpaceDN w:val="0"/>
                    <w:jc w:val="center"/>
                    <w:rPr>
                      <w:color w:val="auto"/>
                      <w:kern w:val="0"/>
                      <w:szCs w:val="21"/>
                    </w:rPr>
                  </w:pPr>
                  <w:r>
                    <w:rPr>
                      <w:rFonts w:hint="eastAsia"/>
                      <w:color w:val="auto"/>
                      <w:szCs w:val="21"/>
                    </w:rPr>
                    <w:t>1间</w:t>
                  </w:r>
                </w:p>
              </w:tc>
              <w:tc>
                <w:tcPr>
                  <w:tcW w:w="1516" w:type="dxa"/>
                  <w:vAlign w:val="center"/>
                </w:tcPr>
                <w:p w14:paraId="56DFF489">
                  <w:pPr>
                    <w:autoSpaceDE w:val="0"/>
                    <w:autoSpaceDN w:val="0"/>
                    <w:jc w:val="center"/>
                    <w:rPr>
                      <w:color w:val="auto"/>
                      <w:szCs w:val="21"/>
                    </w:rPr>
                  </w:pPr>
                  <w:r>
                    <w:rPr>
                      <w:color w:val="auto"/>
                      <w:szCs w:val="21"/>
                    </w:rPr>
                    <w:t>1.0</w:t>
                  </w:r>
                </w:p>
              </w:tc>
            </w:tr>
            <w:tr w14:paraId="6E662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576" w:type="dxa"/>
                  <w:vMerge w:val="continue"/>
                  <w:vAlign w:val="center"/>
                </w:tcPr>
                <w:p w14:paraId="04E6F4DD">
                  <w:pPr>
                    <w:autoSpaceDE w:val="0"/>
                    <w:autoSpaceDN w:val="0"/>
                    <w:jc w:val="center"/>
                    <w:rPr>
                      <w:color w:val="auto"/>
                      <w:szCs w:val="21"/>
                    </w:rPr>
                  </w:pPr>
                </w:p>
              </w:tc>
              <w:tc>
                <w:tcPr>
                  <w:tcW w:w="693" w:type="dxa"/>
                  <w:vMerge w:val="restart"/>
                  <w:vAlign w:val="center"/>
                </w:tcPr>
                <w:p w14:paraId="2B4C741D">
                  <w:pPr>
                    <w:autoSpaceDE w:val="0"/>
                    <w:autoSpaceDN w:val="0"/>
                    <w:jc w:val="center"/>
                    <w:rPr>
                      <w:color w:val="auto"/>
                      <w:szCs w:val="21"/>
                    </w:rPr>
                  </w:pPr>
                  <w:r>
                    <w:rPr>
                      <w:rFonts w:hint="eastAsia"/>
                      <w:color w:val="auto"/>
                      <w:szCs w:val="21"/>
                    </w:rPr>
                    <w:t>防渗措施</w:t>
                  </w:r>
                </w:p>
              </w:tc>
              <w:tc>
                <w:tcPr>
                  <w:tcW w:w="1134" w:type="dxa"/>
                  <w:vAlign w:val="center"/>
                </w:tcPr>
                <w:p w14:paraId="2F0F4E5C">
                  <w:pPr>
                    <w:autoSpaceDE w:val="0"/>
                    <w:autoSpaceDN w:val="0"/>
                    <w:jc w:val="center"/>
                    <w:rPr>
                      <w:color w:val="auto"/>
                      <w:szCs w:val="21"/>
                    </w:rPr>
                  </w:pPr>
                  <w:r>
                    <w:rPr>
                      <w:rFonts w:hint="eastAsia"/>
                      <w:color w:val="auto"/>
                      <w:kern w:val="0"/>
                      <w:szCs w:val="21"/>
                      <w:lang w:bidi="ar"/>
                    </w:rPr>
                    <w:t>重点防渗区</w:t>
                  </w:r>
                </w:p>
              </w:tc>
              <w:tc>
                <w:tcPr>
                  <w:tcW w:w="4537" w:type="dxa"/>
                  <w:vAlign w:val="center"/>
                </w:tcPr>
                <w:p w14:paraId="793DE062">
                  <w:pPr>
                    <w:autoSpaceDE w:val="0"/>
                    <w:autoSpaceDN w:val="0"/>
                    <w:jc w:val="center"/>
                    <w:rPr>
                      <w:color w:val="auto"/>
                      <w:kern w:val="0"/>
                      <w:szCs w:val="21"/>
                    </w:rPr>
                  </w:pPr>
                  <w:r>
                    <w:rPr>
                      <w:color w:val="auto"/>
                      <w:kern w:val="0"/>
                      <w:szCs w:val="21"/>
                      <w:lang w:bidi="ar"/>
                    </w:rPr>
                    <w:t>危废暂存间</w:t>
                  </w:r>
                  <w:r>
                    <w:rPr>
                      <w:rFonts w:hint="eastAsia"/>
                      <w:color w:val="auto"/>
                      <w:kern w:val="0"/>
                      <w:szCs w:val="21"/>
                      <w:lang w:bidi="ar"/>
                    </w:rPr>
                    <w:t>采用抗渗混凝土+2mm厚高密度聚乙烯膜+环氧树脂涂层</w:t>
                  </w:r>
                  <w:r>
                    <w:rPr>
                      <w:color w:val="auto"/>
                      <w:kern w:val="0"/>
                      <w:szCs w:val="21"/>
                      <w:lang w:bidi="ar"/>
                    </w:rPr>
                    <w:t>。渗透系数</w:t>
                  </w:r>
                  <w:r>
                    <w:rPr>
                      <w:rFonts w:ascii="Cambria Math" w:hAnsi="Cambria Math" w:cs="Cambria Math"/>
                      <w:color w:val="auto"/>
                      <w:kern w:val="0"/>
                      <w:szCs w:val="21"/>
                      <w:lang w:bidi="ar"/>
                    </w:rPr>
                    <w:t>≦</w:t>
                  </w:r>
                  <w:r>
                    <w:rPr>
                      <w:color w:val="auto"/>
                      <w:kern w:val="0"/>
                      <w:szCs w:val="21"/>
                      <w:lang w:bidi="ar"/>
                    </w:rPr>
                    <w:t>10</w:t>
                  </w:r>
                  <w:r>
                    <w:rPr>
                      <w:color w:val="auto"/>
                      <w:kern w:val="0"/>
                      <w:szCs w:val="21"/>
                      <w:vertAlign w:val="superscript"/>
                      <w:lang w:bidi="ar"/>
                    </w:rPr>
                    <w:t>-10</w:t>
                  </w:r>
                  <w:r>
                    <w:rPr>
                      <w:color w:val="auto"/>
                      <w:kern w:val="0"/>
                      <w:szCs w:val="21"/>
                      <w:lang w:bidi="ar"/>
                    </w:rPr>
                    <w:t>cm/s。</w:t>
                  </w:r>
                </w:p>
              </w:tc>
              <w:tc>
                <w:tcPr>
                  <w:tcW w:w="787" w:type="dxa"/>
                  <w:vAlign w:val="center"/>
                </w:tcPr>
                <w:p w14:paraId="55D5FBF2">
                  <w:pPr>
                    <w:autoSpaceDE w:val="0"/>
                    <w:autoSpaceDN w:val="0"/>
                    <w:jc w:val="center"/>
                    <w:rPr>
                      <w:color w:val="auto"/>
                      <w:kern w:val="0"/>
                      <w:szCs w:val="21"/>
                    </w:rPr>
                  </w:pPr>
                  <w:r>
                    <w:rPr>
                      <w:rFonts w:hint="eastAsia"/>
                      <w:color w:val="auto"/>
                      <w:kern w:val="0"/>
                      <w:szCs w:val="21"/>
                    </w:rPr>
                    <w:t>/</w:t>
                  </w:r>
                </w:p>
              </w:tc>
              <w:tc>
                <w:tcPr>
                  <w:tcW w:w="1516" w:type="dxa"/>
                  <w:vAlign w:val="center"/>
                </w:tcPr>
                <w:p w14:paraId="0D2F65EF">
                  <w:pPr>
                    <w:autoSpaceDE w:val="0"/>
                    <w:autoSpaceDN w:val="0"/>
                    <w:jc w:val="center"/>
                    <w:rPr>
                      <w:color w:val="auto"/>
                      <w:szCs w:val="21"/>
                    </w:rPr>
                  </w:pPr>
                  <w:r>
                    <w:rPr>
                      <w:rFonts w:hint="eastAsia"/>
                      <w:color w:val="auto"/>
                      <w:szCs w:val="21"/>
                    </w:rPr>
                    <w:t>5</w:t>
                  </w:r>
                  <w:r>
                    <w:rPr>
                      <w:color w:val="auto"/>
                      <w:szCs w:val="21"/>
                    </w:rPr>
                    <w:t>.0</w:t>
                  </w:r>
                </w:p>
              </w:tc>
            </w:tr>
            <w:tr w14:paraId="71F25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576" w:type="dxa"/>
                  <w:vMerge w:val="continue"/>
                  <w:vAlign w:val="center"/>
                </w:tcPr>
                <w:p w14:paraId="610C48AC">
                  <w:pPr>
                    <w:autoSpaceDE w:val="0"/>
                    <w:autoSpaceDN w:val="0"/>
                    <w:jc w:val="center"/>
                    <w:rPr>
                      <w:color w:val="auto"/>
                      <w:szCs w:val="21"/>
                    </w:rPr>
                  </w:pPr>
                </w:p>
              </w:tc>
              <w:tc>
                <w:tcPr>
                  <w:tcW w:w="693" w:type="dxa"/>
                  <w:vMerge w:val="continue"/>
                  <w:vAlign w:val="center"/>
                </w:tcPr>
                <w:p w14:paraId="2F4CC793">
                  <w:pPr>
                    <w:autoSpaceDE w:val="0"/>
                    <w:autoSpaceDN w:val="0"/>
                    <w:jc w:val="center"/>
                    <w:rPr>
                      <w:color w:val="auto"/>
                      <w:szCs w:val="21"/>
                    </w:rPr>
                  </w:pPr>
                </w:p>
              </w:tc>
              <w:tc>
                <w:tcPr>
                  <w:tcW w:w="1134" w:type="dxa"/>
                  <w:vAlign w:val="center"/>
                </w:tcPr>
                <w:p w14:paraId="2F912B1E">
                  <w:pPr>
                    <w:widowControl/>
                    <w:jc w:val="center"/>
                    <w:textAlignment w:val="center"/>
                    <w:rPr>
                      <w:color w:val="auto"/>
                      <w:kern w:val="0"/>
                      <w:szCs w:val="21"/>
                      <w:lang w:bidi="ar"/>
                    </w:rPr>
                  </w:pPr>
                  <w:r>
                    <w:rPr>
                      <w:color w:val="auto"/>
                      <w:kern w:val="0"/>
                      <w:szCs w:val="21"/>
                      <w:lang w:bidi="ar"/>
                    </w:rPr>
                    <w:t>一般防</w:t>
                  </w:r>
                </w:p>
                <w:p w14:paraId="6F2FFA22">
                  <w:pPr>
                    <w:autoSpaceDE w:val="0"/>
                    <w:autoSpaceDN w:val="0"/>
                    <w:jc w:val="center"/>
                    <w:rPr>
                      <w:color w:val="auto"/>
                      <w:szCs w:val="21"/>
                    </w:rPr>
                  </w:pPr>
                  <w:r>
                    <w:rPr>
                      <w:color w:val="auto"/>
                      <w:kern w:val="0"/>
                      <w:szCs w:val="21"/>
                      <w:lang w:bidi="ar"/>
                    </w:rPr>
                    <w:t>渗区</w:t>
                  </w:r>
                </w:p>
              </w:tc>
              <w:tc>
                <w:tcPr>
                  <w:tcW w:w="4537" w:type="dxa"/>
                  <w:vAlign w:val="center"/>
                </w:tcPr>
                <w:p w14:paraId="1E9BDB32">
                  <w:pPr>
                    <w:autoSpaceDE w:val="0"/>
                    <w:autoSpaceDN w:val="0"/>
                    <w:jc w:val="center"/>
                    <w:rPr>
                      <w:color w:val="auto"/>
                      <w:kern w:val="0"/>
                      <w:szCs w:val="21"/>
                    </w:rPr>
                  </w:pPr>
                  <w:r>
                    <w:rPr>
                      <w:rFonts w:hint="eastAsia"/>
                      <w:color w:val="auto"/>
                    </w:rPr>
                    <w:t>化粪池、循环水池、应急事故池地面</w:t>
                  </w:r>
                  <w:r>
                    <w:rPr>
                      <w:rFonts w:hint="eastAsia"/>
                      <w:color w:val="auto"/>
                      <w:kern w:val="0"/>
                      <w:szCs w:val="21"/>
                      <w:lang w:bidi="ar"/>
                    </w:rPr>
                    <w:t>采用抗渗混凝土硬化改造。</w:t>
                  </w:r>
                  <w:r>
                    <w:rPr>
                      <w:color w:val="auto"/>
                      <w:kern w:val="0"/>
                      <w:szCs w:val="21"/>
                      <w:lang w:bidi="ar"/>
                    </w:rPr>
                    <w:t>渗透系数≤10</w:t>
                  </w:r>
                  <w:r>
                    <w:rPr>
                      <w:color w:val="auto"/>
                      <w:kern w:val="0"/>
                      <w:szCs w:val="21"/>
                      <w:vertAlign w:val="superscript"/>
                      <w:lang w:bidi="ar"/>
                    </w:rPr>
                    <w:t>-7</w:t>
                  </w:r>
                  <w:r>
                    <w:rPr>
                      <w:color w:val="auto"/>
                      <w:kern w:val="0"/>
                      <w:szCs w:val="21"/>
                      <w:lang w:bidi="ar"/>
                    </w:rPr>
                    <w:t>cm/s</w:t>
                  </w:r>
                  <w:r>
                    <w:rPr>
                      <w:rFonts w:hint="eastAsia"/>
                      <w:color w:val="auto"/>
                      <w:kern w:val="0"/>
                      <w:szCs w:val="21"/>
                      <w:lang w:bidi="ar"/>
                    </w:rPr>
                    <w:t>。</w:t>
                  </w:r>
                </w:p>
              </w:tc>
              <w:tc>
                <w:tcPr>
                  <w:tcW w:w="787" w:type="dxa"/>
                  <w:vAlign w:val="center"/>
                </w:tcPr>
                <w:p w14:paraId="5C34D5EB">
                  <w:pPr>
                    <w:autoSpaceDE w:val="0"/>
                    <w:autoSpaceDN w:val="0"/>
                    <w:jc w:val="center"/>
                    <w:rPr>
                      <w:color w:val="auto"/>
                      <w:kern w:val="0"/>
                      <w:szCs w:val="21"/>
                    </w:rPr>
                  </w:pPr>
                  <w:r>
                    <w:rPr>
                      <w:rFonts w:hint="eastAsia"/>
                      <w:color w:val="auto"/>
                      <w:kern w:val="0"/>
                      <w:szCs w:val="21"/>
                    </w:rPr>
                    <w:t>/</w:t>
                  </w:r>
                </w:p>
              </w:tc>
              <w:tc>
                <w:tcPr>
                  <w:tcW w:w="1516" w:type="dxa"/>
                  <w:vAlign w:val="center"/>
                </w:tcPr>
                <w:p w14:paraId="71FF8085">
                  <w:pPr>
                    <w:autoSpaceDE w:val="0"/>
                    <w:autoSpaceDN w:val="0"/>
                    <w:jc w:val="center"/>
                    <w:rPr>
                      <w:color w:val="auto"/>
                      <w:szCs w:val="21"/>
                    </w:rPr>
                  </w:pPr>
                  <w:r>
                    <w:rPr>
                      <w:rFonts w:hint="eastAsia"/>
                      <w:color w:val="auto"/>
                      <w:szCs w:val="21"/>
                    </w:rPr>
                    <w:t>2</w:t>
                  </w:r>
                  <w:r>
                    <w:rPr>
                      <w:color w:val="auto"/>
                      <w:szCs w:val="21"/>
                    </w:rPr>
                    <w:t>.0</w:t>
                  </w:r>
                </w:p>
              </w:tc>
            </w:tr>
            <w:tr w14:paraId="1C28A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0" w:hRule="atLeast"/>
              </w:trPr>
              <w:tc>
                <w:tcPr>
                  <w:tcW w:w="576" w:type="dxa"/>
                  <w:vMerge w:val="continue"/>
                  <w:vAlign w:val="center"/>
                </w:tcPr>
                <w:p w14:paraId="798A1876">
                  <w:pPr>
                    <w:autoSpaceDE w:val="0"/>
                    <w:autoSpaceDN w:val="0"/>
                    <w:jc w:val="center"/>
                    <w:rPr>
                      <w:color w:val="auto"/>
                      <w:szCs w:val="21"/>
                    </w:rPr>
                  </w:pPr>
                </w:p>
              </w:tc>
              <w:tc>
                <w:tcPr>
                  <w:tcW w:w="1827" w:type="dxa"/>
                  <w:gridSpan w:val="2"/>
                  <w:vAlign w:val="center"/>
                </w:tcPr>
                <w:p w14:paraId="41D95D54">
                  <w:pPr>
                    <w:autoSpaceDE w:val="0"/>
                    <w:autoSpaceDN w:val="0"/>
                    <w:jc w:val="center"/>
                    <w:rPr>
                      <w:color w:val="auto"/>
                      <w:szCs w:val="21"/>
                    </w:rPr>
                  </w:pPr>
                  <w:r>
                    <w:rPr>
                      <w:color w:val="auto"/>
                      <w:szCs w:val="21"/>
                    </w:rPr>
                    <w:t>噪声防治</w:t>
                  </w:r>
                  <w:r>
                    <w:rPr>
                      <w:rFonts w:hint="eastAsia"/>
                      <w:color w:val="auto"/>
                      <w:szCs w:val="21"/>
                    </w:rPr>
                    <w:t>措施</w:t>
                  </w:r>
                </w:p>
              </w:tc>
              <w:tc>
                <w:tcPr>
                  <w:tcW w:w="4537" w:type="dxa"/>
                  <w:vAlign w:val="center"/>
                </w:tcPr>
                <w:p w14:paraId="4ADE4019">
                  <w:pPr>
                    <w:autoSpaceDE w:val="0"/>
                    <w:autoSpaceDN w:val="0"/>
                    <w:jc w:val="center"/>
                    <w:rPr>
                      <w:color w:val="auto"/>
                      <w:szCs w:val="21"/>
                    </w:rPr>
                  </w:pPr>
                  <w:r>
                    <w:rPr>
                      <w:rFonts w:hint="eastAsia"/>
                      <w:color w:val="auto"/>
                      <w:szCs w:val="21"/>
                    </w:rPr>
                    <w:t>对产生气流噪声的噪声源进行基础减震、厂房隔声等措施。</w:t>
                  </w:r>
                </w:p>
              </w:tc>
              <w:tc>
                <w:tcPr>
                  <w:tcW w:w="787" w:type="dxa"/>
                  <w:vAlign w:val="center"/>
                </w:tcPr>
                <w:p w14:paraId="4B4DDE17">
                  <w:pPr>
                    <w:autoSpaceDE w:val="0"/>
                    <w:autoSpaceDN w:val="0"/>
                    <w:jc w:val="center"/>
                    <w:rPr>
                      <w:rFonts w:eastAsia="Calibri"/>
                      <w:color w:val="auto"/>
                      <w:szCs w:val="21"/>
                    </w:rPr>
                  </w:pPr>
                  <w:r>
                    <w:rPr>
                      <w:rFonts w:hint="eastAsia"/>
                      <w:color w:val="auto"/>
                      <w:szCs w:val="21"/>
                    </w:rPr>
                    <w:t>/</w:t>
                  </w:r>
                </w:p>
              </w:tc>
              <w:tc>
                <w:tcPr>
                  <w:tcW w:w="1516" w:type="dxa"/>
                  <w:vAlign w:val="center"/>
                </w:tcPr>
                <w:p w14:paraId="054DFE7D">
                  <w:pPr>
                    <w:autoSpaceDE w:val="0"/>
                    <w:autoSpaceDN w:val="0"/>
                    <w:jc w:val="center"/>
                    <w:rPr>
                      <w:color w:val="auto"/>
                      <w:szCs w:val="21"/>
                    </w:rPr>
                  </w:pPr>
                  <w:r>
                    <w:rPr>
                      <w:color w:val="auto"/>
                      <w:szCs w:val="21"/>
                    </w:rPr>
                    <w:t>1.0</w:t>
                  </w:r>
                </w:p>
              </w:tc>
            </w:tr>
            <w:tr w14:paraId="4B28B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76" w:type="dxa"/>
                  <w:vMerge w:val="continue"/>
                  <w:vAlign w:val="center"/>
                </w:tcPr>
                <w:p w14:paraId="64212EBA">
                  <w:pPr>
                    <w:autoSpaceDE w:val="0"/>
                    <w:autoSpaceDN w:val="0"/>
                    <w:jc w:val="center"/>
                    <w:rPr>
                      <w:color w:val="auto"/>
                      <w:szCs w:val="21"/>
                    </w:rPr>
                  </w:pPr>
                </w:p>
              </w:tc>
              <w:tc>
                <w:tcPr>
                  <w:tcW w:w="1827" w:type="dxa"/>
                  <w:gridSpan w:val="2"/>
                  <w:vAlign w:val="center"/>
                </w:tcPr>
                <w:p w14:paraId="680A8B0E">
                  <w:pPr>
                    <w:autoSpaceDE w:val="0"/>
                    <w:autoSpaceDN w:val="0"/>
                    <w:jc w:val="center"/>
                    <w:rPr>
                      <w:color w:val="auto"/>
                      <w:szCs w:val="21"/>
                    </w:rPr>
                  </w:pPr>
                  <w:r>
                    <w:rPr>
                      <w:rFonts w:hint="eastAsia"/>
                      <w:color w:val="auto"/>
                      <w:szCs w:val="21"/>
                    </w:rPr>
                    <w:t>其它</w:t>
                  </w:r>
                </w:p>
              </w:tc>
              <w:tc>
                <w:tcPr>
                  <w:tcW w:w="4537" w:type="dxa"/>
                  <w:vAlign w:val="center"/>
                </w:tcPr>
                <w:p w14:paraId="77859118">
                  <w:pPr>
                    <w:autoSpaceDE w:val="0"/>
                    <w:autoSpaceDN w:val="0"/>
                    <w:jc w:val="center"/>
                    <w:rPr>
                      <w:color w:val="auto"/>
                      <w:szCs w:val="21"/>
                    </w:rPr>
                  </w:pPr>
                  <w:r>
                    <w:rPr>
                      <w:rFonts w:hint="eastAsia"/>
                      <w:color w:val="auto"/>
                      <w:szCs w:val="21"/>
                    </w:rPr>
                    <w:t>绿化面积200m</w:t>
                  </w:r>
                  <w:r>
                    <w:rPr>
                      <w:rFonts w:hint="eastAsia"/>
                      <w:color w:val="auto"/>
                      <w:szCs w:val="21"/>
                      <w:vertAlign w:val="superscript"/>
                    </w:rPr>
                    <w:t>2</w:t>
                  </w:r>
                  <w:r>
                    <w:rPr>
                      <w:rFonts w:hint="eastAsia"/>
                      <w:color w:val="auto"/>
                      <w:szCs w:val="21"/>
                    </w:rPr>
                    <w:t>。</w:t>
                  </w:r>
                </w:p>
              </w:tc>
              <w:tc>
                <w:tcPr>
                  <w:tcW w:w="787" w:type="dxa"/>
                  <w:vAlign w:val="center"/>
                </w:tcPr>
                <w:p w14:paraId="5A1C2CF8">
                  <w:pPr>
                    <w:autoSpaceDE w:val="0"/>
                    <w:autoSpaceDN w:val="0"/>
                    <w:jc w:val="center"/>
                    <w:rPr>
                      <w:color w:val="auto"/>
                      <w:szCs w:val="21"/>
                    </w:rPr>
                  </w:pPr>
                  <w:r>
                    <w:rPr>
                      <w:rFonts w:hint="eastAsia"/>
                      <w:color w:val="auto"/>
                      <w:szCs w:val="21"/>
                    </w:rPr>
                    <w:t>/</w:t>
                  </w:r>
                </w:p>
              </w:tc>
              <w:tc>
                <w:tcPr>
                  <w:tcW w:w="1516" w:type="dxa"/>
                  <w:vAlign w:val="center"/>
                </w:tcPr>
                <w:p w14:paraId="05F60BA0">
                  <w:pPr>
                    <w:autoSpaceDE w:val="0"/>
                    <w:autoSpaceDN w:val="0"/>
                    <w:jc w:val="center"/>
                    <w:rPr>
                      <w:color w:val="auto"/>
                      <w:szCs w:val="21"/>
                    </w:rPr>
                  </w:pPr>
                  <w:r>
                    <w:rPr>
                      <w:rFonts w:hint="eastAsia"/>
                      <w:color w:val="auto"/>
                      <w:szCs w:val="21"/>
                    </w:rPr>
                    <w:t>0（已有）</w:t>
                  </w:r>
                </w:p>
              </w:tc>
            </w:tr>
            <w:tr w14:paraId="1FB32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7727" w:type="dxa"/>
                  <w:gridSpan w:val="5"/>
                  <w:vAlign w:val="center"/>
                </w:tcPr>
                <w:p w14:paraId="5E407633">
                  <w:pPr>
                    <w:autoSpaceDE w:val="0"/>
                    <w:autoSpaceDN w:val="0"/>
                    <w:jc w:val="center"/>
                    <w:rPr>
                      <w:b/>
                      <w:color w:val="auto"/>
                      <w:szCs w:val="21"/>
                    </w:rPr>
                  </w:pPr>
                  <w:bookmarkStart w:id="62" w:name="_Toc299498102"/>
                  <w:bookmarkStart w:id="63" w:name="_Hlk232927954"/>
                  <w:r>
                    <w:rPr>
                      <w:b/>
                      <w:color w:val="auto"/>
                      <w:szCs w:val="21"/>
                    </w:rPr>
                    <w:t>合计</w:t>
                  </w:r>
                  <w:bookmarkEnd w:id="62"/>
                </w:p>
              </w:tc>
              <w:tc>
                <w:tcPr>
                  <w:tcW w:w="1516" w:type="dxa"/>
                  <w:vAlign w:val="center"/>
                </w:tcPr>
                <w:p w14:paraId="6A0367D4">
                  <w:pPr>
                    <w:autoSpaceDE w:val="0"/>
                    <w:autoSpaceDN w:val="0"/>
                    <w:jc w:val="center"/>
                    <w:rPr>
                      <w:rFonts w:eastAsiaTheme="minorEastAsia"/>
                      <w:color w:val="auto"/>
                      <w:szCs w:val="21"/>
                    </w:rPr>
                  </w:pPr>
                  <w:r>
                    <w:rPr>
                      <w:rFonts w:hint="eastAsia" w:eastAsiaTheme="minorEastAsia"/>
                      <w:color w:val="auto"/>
                      <w:szCs w:val="21"/>
                    </w:rPr>
                    <w:t>57.5</w:t>
                  </w:r>
                </w:p>
              </w:tc>
            </w:tr>
            <w:bookmarkEnd w:id="63"/>
          </w:tbl>
          <w:p w14:paraId="0A79F8C9">
            <w:pPr>
              <w:pStyle w:val="58"/>
              <w:spacing w:line="360" w:lineRule="auto"/>
              <w:jc w:val="left"/>
              <w:rPr>
                <w:rFonts w:hint="eastAsia"/>
                <w:bCs/>
                <w:color w:val="auto"/>
                <w:szCs w:val="21"/>
              </w:rPr>
            </w:pPr>
          </w:p>
        </w:tc>
      </w:tr>
      <w:bookmarkEnd w:id="46"/>
      <w:tr w14:paraId="33B2E1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420" w:type="dxa"/>
            <w:vAlign w:val="center"/>
          </w:tcPr>
          <w:p w14:paraId="2422EB63">
            <w:pPr>
              <w:pStyle w:val="28"/>
              <w:adjustRightInd w:val="0"/>
              <w:snapToGrid w:val="0"/>
              <w:spacing w:before="0" w:beforeAutospacing="0" w:after="0" w:afterAutospacing="0"/>
              <w:jc w:val="center"/>
              <w:rPr>
                <w:rFonts w:ascii="Times New Roman" w:hAnsi="Times New Roman"/>
                <w:color w:val="auto"/>
                <w:szCs w:val="24"/>
              </w:rPr>
            </w:pPr>
            <w:r>
              <w:rPr>
                <w:rFonts w:ascii="Times New Roman"/>
                <w:color w:val="auto"/>
                <w:szCs w:val="24"/>
              </w:rPr>
              <w:t>工艺流程和产排污环节</w:t>
            </w:r>
          </w:p>
        </w:tc>
        <w:tc>
          <w:tcPr>
            <w:tcW w:w="8864" w:type="dxa"/>
          </w:tcPr>
          <w:p w14:paraId="6AACF5B3">
            <w:pPr>
              <w:adjustRightInd w:val="0"/>
              <w:snapToGrid w:val="0"/>
              <w:spacing w:line="360" w:lineRule="auto"/>
              <w:jc w:val="left"/>
              <w:rPr>
                <w:b/>
                <w:bCs/>
                <w:color w:val="auto"/>
                <w:sz w:val="24"/>
              </w:rPr>
            </w:pPr>
            <w:r>
              <w:rPr>
                <w:rFonts w:hint="eastAsia"/>
                <w:b/>
                <w:bCs/>
                <w:color w:val="auto"/>
                <w:sz w:val="24"/>
              </w:rPr>
              <w:t>1、施工期</w:t>
            </w:r>
          </w:p>
          <w:p w14:paraId="085AD1D6">
            <w:pPr>
              <w:adjustRightInd w:val="0"/>
              <w:snapToGrid w:val="0"/>
              <w:spacing w:line="360" w:lineRule="auto"/>
              <w:rPr>
                <w:b/>
                <w:color w:val="auto"/>
                <w:kern w:val="24"/>
                <w:sz w:val="24"/>
              </w:rPr>
            </w:pPr>
            <w:r>
              <w:rPr>
                <w:rFonts w:hint="eastAsia"/>
                <w:b/>
                <w:color w:val="auto"/>
                <w:kern w:val="24"/>
                <w:sz w:val="24"/>
              </w:rPr>
              <w:t xml:space="preserve">1.1 </w:t>
            </w:r>
            <w:r>
              <w:rPr>
                <w:b/>
                <w:color w:val="auto"/>
                <w:kern w:val="24"/>
                <w:sz w:val="24"/>
              </w:rPr>
              <w:t>施工期工艺流程</w:t>
            </w:r>
          </w:p>
          <w:p w14:paraId="72F0E316">
            <w:pPr>
              <w:adjustRightInd w:val="0"/>
              <w:snapToGrid w:val="0"/>
              <w:spacing w:line="360" w:lineRule="auto"/>
              <w:ind w:firstLine="480" w:firstLineChars="200"/>
              <w:rPr>
                <w:color w:val="auto"/>
                <w:kern w:val="24"/>
                <w:sz w:val="24"/>
              </w:rPr>
            </w:pPr>
            <w:r>
              <w:rPr>
                <w:color w:val="auto"/>
                <w:kern w:val="24"/>
                <w:sz w:val="24"/>
              </w:rPr>
              <w:t>本次施工期主要是针对需要进行整改的内容，对现有厂房进行适应性改造，主要包括一般固废暂存间、危险废物暂存间建设、地面防渗施工、环保措施改造、新增生产线设备安装等。</w:t>
            </w:r>
          </w:p>
          <w:p w14:paraId="4DC342F7">
            <w:pPr>
              <w:adjustRightInd w:val="0"/>
              <w:snapToGrid w:val="0"/>
              <w:spacing w:line="360" w:lineRule="auto"/>
              <w:ind w:firstLine="14" w:firstLineChars="7"/>
              <w:jc w:val="center"/>
              <w:rPr>
                <w:caps/>
                <w:color w:val="auto"/>
                <w:sz w:val="24"/>
              </w:rPr>
            </w:pPr>
            <w:r>
              <w:rPr>
                <w:rFonts w:hint="eastAsia"/>
                <w:color w:val="auto"/>
              </w:rPr>
              <w:object>
                <v:shape id="_x0000_i1030" o:spt="75" type="#_x0000_t75" style="height:93.75pt;width:441.75pt;" o:ole="t" filled="f" o:preferrelative="t" stroked="f" coordsize="21600,21600">
                  <v:path/>
                  <v:fill on="f" focussize="0,0"/>
                  <v:stroke on="f" joinstyle="miter"/>
                  <v:imagedata r:id="rId14" o:title=""/>
                  <o:lock v:ext="edit" aspectratio="t"/>
                  <w10:wrap type="none"/>
                  <w10:anchorlock/>
                </v:shape>
                <o:OLEObject Type="Embed" ProgID="Visio.Drawing.15" ShapeID="_x0000_i1030" DrawAspect="Content" ObjectID="_1468075730">
                  <o:LockedField>false</o:LockedField>
                </o:OLEObject>
              </w:object>
            </w:r>
          </w:p>
          <w:p w14:paraId="56ECDC67">
            <w:pPr>
              <w:adjustRightInd w:val="0"/>
              <w:snapToGrid w:val="0"/>
              <w:spacing w:line="360" w:lineRule="auto"/>
              <w:ind w:firstLine="422" w:firstLineChars="200"/>
              <w:jc w:val="center"/>
              <w:rPr>
                <w:b/>
                <w:caps/>
                <w:color w:val="auto"/>
                <w:szCs w:val="21"/>
              </w:rPr>
            </w:pPr>
            <w:r>
              <w:rPr>
                <w:rFonts w:hint="eastAsia"/>
                <w:b/>
                <w:color w:val="auto"/>
                <w:szCs w:val="21"/>
              </w:rPr>
              <w:t>图</w:t>
            </w:r>
            <w:r>
              <w:rPr>
                <w:b/>
                <w:color w:val="auto"/>
                <w:szCs w:val="21"/>
              </w:rPr>
              <w:t>2-</w:t>
            </w:r>
            <w:r>
              <w:rPr>
                <w:rFonts w:hint="eastAsia"/>
                <w:b/>
                <w:color w:val="auto"/>
                <w:szCs w:val="21"/>
              </w:rPr>
              <w:t>3</w:t>
            </w:r>
            <w:r>
              <w:rPr>
                <w:b/>
                <w:color w:val="auto"/>
                <w:szCs w:val="21"/>
              </w:rPr>
              <w:t xml:space="preserve">  </w:t>
            </w:r>
            <w:r>
              <w:rPr>
                <w:rFonts w:hint="eastAsia"/>
                <w:b/>
                <w:color w:val="auto"/>
                <w:szCs w:val="21"/>
              </w:rPr>
              <w:t>施工期工艺流程及产污节点示意图</w:t>
            </w:r>
          </w:p>
          <w:p w14:paraId="337A2E06">
            <w:pPr>
              <w:adjustRightInd w:val="0"/>
              <w:snapToGrid w:val="0"/>
              <w:spacing w:line="360" w:lineRule="auto"/>
              <w:ind w:firstLine="480" w:firstLineChars="200"/>
              <w:rPr>
                <w:bCs/>
                <w:color w:val="auto"/>
                <w:kern w:val="24"/>
                <w:sz w:val="24"/>
              </w:rPr>
            </w:pPr>
            <w:r>
              <w:rPr>
                <w:rFonts w:hint="eastAsia"/>
                <w:bCs/>
                <w:color w:val="auto"/>
                <w:kern w:val="24"/>
                <w:sz w:val="24"/>
              </w:rPr>
              <w:t>工艺流程简述：</w:t>
            </w:r>
          </w:p>
          <w:p w14:paraId="71445905">
            <w:pPr>
              <w:adjustRightInd w:val="0"/>
              <w:snapToGrid w:val="0"/>
              <w:spacing w:line="360" w:lineRule="auto"/>
              <w:ind w:firstLine="480" w:firstLineChars="200"/>
              <w:rPr>
                <w:color w:val="auto"/>
                <w:kern w:val="24"/>
                <w:sz w:val="24"/>
              </w:rPr>
            </w:pPr>
            <w:r>
              <w:rPr>
                <w:rFonts w:hint="eastAsia"/>
                <w:color w:val="auto"/>
                <w:kern w:val="24"/>
                <w:sz w:val="24"/>
              </w:rPr>
              <w:t>（</w:t>
            </w:r>
            <w:r>
              <w:rPr>
                <w:color w:val="auto"/>
                <w:kern w:val="24"/>
                <w:sz w:val="24"/>
              </w:rPr>
              <w:t>1</w:t>
            </w:r>
            <w:r>
              <w:rPr>
                <w:rFonts w:hint="eastAsia"/>
                <w:color w:val="auto"/>
                <w:kern w:val="24"/>
                <w:sz w:val="24"/>
              </w:rPr>
              <w:t>）厂房改造</w:t>
            </w:r>
          </w:p>
          <w:p w14:paraId="66180189">
            <w:pPr>
              <w:adjustRightInd w:val="0"/>
              <w:snapToGrid w:val="0"/>
              <w:spacing w:line="360" w:lineRule="auto"/>
              <w:ind w:firstLine="480" w:firstLineChars="200"/>
              <w:rPr>
                <w:color w:val="auto"/>
                <w:kern w:val="24"/>
                <w:sz w:val="24"/>
              </w:rPr>
            </w:pPr>
            <w:r>
              <w:rPr>
                <w:rFonts w:hint="eastAsia"/>
                <w:color w:val="auto"/>
                <w:kern w:val="24"/>
                <w:sz w:val="24"/>
              </w:rPr>
              <w:t>对现有厂房进行</w:t>
            </w:r>
            <w:r>
              <w:rPr>
                <w:rFonts w:hint="eastAsia"/>
                <w:color w:val="auto"/>
                <w:sz w:val="24"/>
              </w:rPr>
              <w:t>适应性</w:t>
            </w:r>
            <w:r>
              <w:rPr>
                <w:rFonts w:hint="eastAsia"/>
                <w:color w:val="auto"/>
                <w:kern w:val="24"/>
                <w:sz w:val="24"/>
              </w:rPr>
              <w:t>改造，主要包括一般固废暂存间、危险废物暂存间、事故水池、地面防渗施工、环保设施改造、新增生产线设备安装等，该阶段产生的污染物主要为废气、废水、噪声、固废。</w:t>
            </w:r>
          </w:p>
          <w:p w14:paraId="41FFD430">
            <w:pPr>
              <w:adjustRightInd w:val="0"/>
              <w:snapToGrid w:val="0"/>
              <w:spacing w:line="360" w:lineRule="auto"/>
              <w:ind w:firstLine="480" w:firstLineChars="200"/>
              <w:rPr>
                <w:color w:val="auto"/>
                <w:kern w:val="24"/>
                <w:sz w:val="24"/>
              </w:rPr>
            </w:pPr>
            <w:r>
              <w:rPr>
                <w:rFonts w:hint="eastAsia"/>
                <w:color w:val="auto"/>
                <w:kern w:val="24"/>
                <w:sz w:val="24"/>
              </w:rPr>
              <w:t>（</w:t>
            </w:r>
            <w:r>
              <w:rPr>
                <w:color w:val="auto"/>
                <w:kern w:val="24"/>
                <w:sz w:val="24"/>
              </w:rPr>
              <w:t>2</w:t>
            </w:r>
            <w:r>
              <w:rPr>
                <w:rFonts w:hint="eastAsia"/>
                <w:color w:val="auto"/>
                <w:kern w:val="24"/>
                <w:sz w:val="24"/>
              </w:rPr>
              <w:t>）设备安装</w:t>
            </w:r>
          </w:p>
          <w:p w14:paraId="0E7C131A">
            <w:pPr>
              <w:adjustRightInd w:val="0"/>
              <w:snapToGrid w:val="0"/>
              <w:spacing w:line="360" w:lineRule="auto"/>
              <w:ind w:firstLine="480" w:firstLineChars="200"/>
              <w:rPr>
                <w:color w:val="auto"/>
                <w:kern w:val="24"/>
                <w:sz w:val="24"/>
              </w:rPr>
            </w:pPr>
            <w:r>
              <w:rPr>
                <w:rFonts w:hint="eastAsia"/>
                <w:color w:val="auto"/>
                <w:kern w:val="24"/>
                <w:sz w:val="24"/>
              </w:rPr>
              <w:t>项目厂房改造完成后进行设备安装调试后投入使用，该阶段产生的污染物主要为噪声、废气、固废。</w:t>
            </w:r>
          </w:p>
          <w:p w14:paraId="26BCA23A">
            <w:pPr>
              <w:adjustRightInd w:val="0"/>
              <w:snapToGrid w:val="0"/>
              <w:spacing w:line="360" w:lineRule="auto"/>
              <w:ind w:firstLine="482" w:firstLineChars="200"/>
              <w:rPr>
                <w:b/>
                <w:color w:val="auto"/>
                <w:kern w:val="24"/>
                <w:sz w:val="24"/>
              </w:rPr>
            </w:pPr>
            <w:r>
              <w:rPr>
                <w:b/>
                <w:color w:val="auto"/>
                <w:kern w:val="24"/>
                <w:sz w:val="24"/>
              </w:rPr>
              <w:t>1.2</w:t>
            </w:r>
            <w:r>
              <w:rPr>
                <w:rFonts w:hint="eastAsia"/>
                <w:b/>
                <w:color w:val="auto"/>
                <w:kern w:val="24"/>
                <w:sz w:val="24"/>
              </w:rPr>
              <w:t>产污环节简述</w:t>
            </w:r>
          </w:p>
          <w:p w14:paraId="2DA85699">
            <w:pPr>
              <w:adjustRightInd w:val="0"/>
              <w:snapToGrid w:val="0"/>
              <w:spacing w:line="360" w:lineRule="auto"/>
              <w:ind w:firstLine="480" w:firstLineChars="200"/>
              <w:rPr>
                <w:color w:val="auto"/>
                <w:kern w:val="24"/>
                <w:sz w:val="24"/>
              </w:rPr>
            </w:pPr>
            <w:r>
              <w:rPr>
                <w:rFonts w:hint="eastAsia"/>
                <w:color w:val="auto"/>
                <w:kern w:val="24"/>
                <w:sz w:val="24"/>
              </w:rPr>
              <w:t>（</w:t>
            </w:r>
            <w:r>
              <w:rPr>
                <w:color w:val="auto"/>
                <w:kern w:val="24"/>
                <w:sz w:val="24"/>
              </w:rPr>
              <w:t>1</w:t>
            </w:r>
            <w:r>
              <w:rPr>
                <w:rFonts w:hint="eastAsia"/>
                <w:color w:val="auto"/>
                <w:kern w:val="24"/>
                <w:sz w:val="24"/>
              </w:rPr>
              <w:t>）废气</w:t>
            </w:r>
          </w:p>
          <w:p w14:paraId="2E0F0905">
            <w:pPr>
              <w:adjustRightInd w:val="0"/>
              <w:snapToGrid w:val="0"/>
              <w:spacing w:line="360" w:lineRule="auto"/>
              <w:ind w:firstLine="480" w:firstLineChars="200"/>
              <w:rPr>
                <w:color w:val="auto"/>
                <w:kern w:val="24"/>
                <w:sz w:val="24"/>
              </w:rPr>
            </w:pPr>
            <w:r>
              <w:rPr>
                <w:rFonts w:hint="eastAsia"/>
                <w:color w:val="auto"/>
                <w:kern w:val="24"/>
                <w:sz w:val="24"/>
              </w:rPr>
              <w:t>本项目施工废气主要有施工扬尘。</w:t>
            </w:r>
          </w:p>
          <w:p w14:paraId="11D9CBB4">
            <w:pPr>
              <w:adjustRightInd w:val="0"/>
              <w:snapToGrid w:val="0"/>
              <w:spacing w:line="360" w:lineRule="auto"/>
              <w:ind w:firstLine="480" w:firstLineChars="200"/>
              <w:rPr>
                <w:color w:val="auto"/>
                <w:kern w:val="24"/>
                <w:sz w:val="24"/>
              </w:rPr>
            </w:pPr>
            <w:r>
              <w:rPr>
                <w:rFonts w:hint="eastAsia"/>
                <w:color w:val="auto"/>
                <w:kern w:val="24"/>
                <w:sz w:val="24"/>
              </w:rPr>
              <w:t>项目在一般固废暂存间、危险废物暂存间、地面防渗施工过程中，会使用到一定的水泥、砂料等建材，在施工、运输过程及临时堆放场中将产生少量扬尘。</w:t>
            </w:r>
          </w:p>
          <w:p w14:paraId="6B68656C">
            <w:pPr>
              <w:adjustRightInd w:val="0"/>
              <w:snapToGrid w:val="0"/>
              <w:spacing w:line="360" w:lineRule="auto"/>
              <w:ind w:firstLine="480" w:firstLineChars="200"/>
              <w:rPr>
                <w:color w:val="auto"/>
                <w:kern w:val="24"/>
                <w:sz w:val="24"/>
              </w:rPr>
            </w:pPr>
            <w:r>
              <w:rPr>
                <w:rFonts w:hint="eastAsia"/>
                <w:color w:val="auto"/>
                <w:kern w:val="24"/>
                <w:sz w:val="24"/>
              </w:rPr>
              <w:t>（</w:t>
            </w:r>
            <w:r>
              <w:rPr>
                <w:color w:val="auto"/>
                <w:kern w:val="24"/>
                <w:sz w:val="24"/>
              </w:rPr>
              <w:t>2</w:t>
            </w:r>
            <w:r>
              <w:rPr>
                <w:rFonts w:hint="eastAsia"/>
                <w:color w:val="auto"/>
                <w:kern w:val="24"/>
                <w:sz w:val="24"/>
              </w:rPr>
              <w:t>）废水</w:t>
            </w:r>
          </w:p>
          <w:p w14:paraId="1F07C072">
            <w:pPr>
              <w:adjustRightInd w:val="0"/>
              <w:snapToGrid w:val="0"/>
              <w:spacing w:line="360" w:lineRule="auto"/>
              <w:ind w:firstLine="480" w:firstLineChars="200"/>
              <w:rPr>
                <w:color w:val="auto"/>
                <w:kern w:val="24"/>
                <w:sz w:val="24"/>
              </w:rPr>
            </w:pPr>
            <w:r>
              <w:rPr>
                <w:rFonts w:hint="eastAsia"/>
                <w:color w:val="auto"/>
                <w:kern w:val="24"/>
                <w:sz w:val="24"/>
              </w:rPr>
              <w:t>项目施工期废水主要为施工人员生活污水、施工废水。</w:t>
            </w:r>
          </w:p>
          <w:p w14:paraId="076E9196">
            <w:pPr>
              <w:pStyle w:val="66"/>
              <w:numPr>
                <w:ilvl w:val="0"/>
                <w:numId w:val="1"/>
              </w:numPr>
              <w:adjustRightInd w:val="0"/>
              <w:snapToGrid w:val="0"/>
              <w:spacing w:line="360" w:lineRule="auto"/>
              <w:ind w:firstLineChars="0"/>
              <w:rPr>
                <w:color w:val="auto"/>
                <w:kern w:val="24"/>
                <w:sz w:val="24"/>
              </w:rPr>
            </w:pPr>
            <w:r>
              <w:rPr>
                <w:rFonts w:hint="eastAsia"/>
                <w:color w:val="auto"/>
                <w:kern w:val="24"/>
                <w:sz w:val="24"/>
              </w:rPr>
              <w:t>生活污水</w:t>
            </w:r>
          </w:p>
          <w:p w14:paraId="37D3D580">
            <w:pPr>
              <w:adjustRightInd w:val="0"/>
              <w:snapToGrid w:val="0"/>
              <w:spacing w:line="360" w:lineRule="auto"/>
              <w:ind w:firstLine="480" w:firstLineChars="200"/>
              <w:rPr>
                <w:bCs/>
                <w:color w:val="auto"/>
                <w:kern w:val="24"/>
                <w:sz w:val="24"/>
              </w:rPr>
            </w:pPr>
            <w:r>
              <w:rPr>
                <w:rFonts w:hint="eastAsia"/>
                <w:bCs/>
                <w:color w:val="auto"/>
                <w:kern w:val="24"/>
                <w:sz w:val="24"/>
              </w:rPr>
              <w:t>施工人数平均5人</w:t>
            </w:r>
            <w:r>
              <w:rPr>
                <w:bCs/>
                <w:color w:val="auto"/>
                <w:kern w:val="24"/>
                <w:sz w:val="24"/>
              </w:rPr>
              <w:t>/d</w:t>
            </w:r>
            <w:r>
              <w:rPr>
                <w:rFonts w:hint="eastAsia"/>
                <w:bCs/>
                <w:color w:val="auto"/>
                <w:kern w:val="24"/>
                <w:sz w:val="24"/>
              </w:rPr>
              <w:t>，施工时间约</w:t>
            </w:r>
            <w:r>
              <w:rPr>
                <w:bCs/>
                <w:color w:val="auto"/>
                <w:kern w:val="24"/>
                <w:sz w:val="24"/>
              </w:rPr>
              <w:t>3</w:t>
            </w:r>
            <w:r>
              <w:rPr>
                <w:rFonts w:hint="eastAsia"/>
                <w:bCs/>
                <w:color w:val="auto"/>
                <w:kern w:val="24"/>
                <w:sz w:val="24"/>
              </w:rPr>
              <w:t>个月，施工人员不在场区内食宿，租用附近民房，生活污水依托民房已建生活污水处理设施。</w:t>
            </w:r>
          </w:p>
          <w:p w14:paraId="54B25735">
            <w:pPr>
              <w:adjustRightInd w:val="0"/>
              <w:snapToGrid w:val="0"/>
              <w:spacing w:line="360" w:lineRule="auto"/>
              <w:ind w:firstLine="480" w:firstLineChars="200"/>
              <w:rPr>
                <w:color w:val="auto"/>
                <w:kern w:val="24"/>
                <w:sz w:val="24"/>
              </w:rPr>
            </w:pPr>
            <w:r>
              <w:rPr>
                <w:rFonts w:hint="eastAsia"/>
                <w:color w:val="auto"/>
                <w:kern w:val="24"/>
                <w:sz w:val="24"/>
              </w:rPr>
              <w:t>②</w:t>
            </w:r>
            <w:bookmarkStart w:id="64" w:name="OLE_LINK45"/>
            <w:r>
              <w:rPr>
                <w:rFonts w:hint="eastAsia"/>
                <w:color w:val="auto"/>
                <w:kern w:val="24"/>
                <w:sz w:val="24"/>
              </w:rPr>
              <w:t>施工废水</w:t>
            </w:r>
            <w:bookmarkEnd w:id="64"/>
          </w:p>
          <w:p w14:paraId="58C85F93">
            <w:pPr>
              <w:adjustRightInd w:val="0"/>
              <w:snapToGrid w:val="0"/>
              <w:spacing w:line="360" w:lineRule="auto"/>
              <w:ind w:firstLine="480" w:firstLineChars="200"/>
              <w:rPr>
                <w:color w:val="auto"/>
                <w:kern w:val="24"/>
                <w:sz w:val="24"/>
              </w:rPr>
            </w:pPr>
            <w:r>
              <w:rPr>
                <w:rFonts w:hint="eastAsia"/>
                <w:color w:val="auto"/>
                <w:kern w:val="24"/>
                <w:sz w:val="24"/>
              </w:rPr>
              <w:t>建设项目施工期废水主要来自于建筑废水。</w:t>
            </w:r>
          </w:p>
          <w:p w14:paraId="1A0763A5">
            <w:pPr>
              <w:adjustRightInd w:val="0"/>
              <w:snapToGrid w:val="0"/>
              <w:spacing w:line="360" w:lineRule="auto"/>
              <w:ind w:firstLine="480" w:firstLineChars="200"/>
              <w:rPr>
                <w:color w:val="auto"/>
                <w:kern w:val="24"/>
                <w:sz w:val="24"/>
              </w:rPr>
            </w:pPr>
            <w:r>
              <w:rPr>
                <w:rFonts w:hint="eastAsia"/>
                <w:color w:val="auto"/>
                <w:kern w:val="24"/>
                <w:sz w:val="24"/>
              </w:rPr>
              <w:t>本项目施工废水主要来源于混凝土养护过程产生的混凝土养护水，主要污染物为悬浮物，施工废水经临时沉淀后回用于施工用水或施工场地洒水降尘，不外排。</w:t>
            </w:r>
          </w:p>
          <w:p w14:paraId="2886713B">
            <w:pPr>
              <w:adjustRightInd w:val="0"/>
              <w:snapToGrid w:val="0"/>
              <w:spacing w:line="360" w:lineRule="auto"/>
              <w:ind w:firstLine="480" w:firstLineChars="200"/>
              <w:rPr>
                <w:color w:val="auto"/>
                <w:kern w:val="24"/>
                <w:sz w:val="24"/>
              </w:rPr>
            </w:pPr>
            <w:r>
              <w:rPr>
                <w:rFonts w:hint="eastAsia"/>
                <w:color w:val="auto"/>
                <w:kern w:val="24"/>
                <w:sz w:val="24"/>
              </w:rPr>
              <w:t>（</w:t>
            </w:r>
            <w:r>
              <w:rPr>
                <w:color w:val="auto"/>
                <w:kern w:val="24"/>
                <w:sz w:val="24"/>
              </w:rPr>
              <w:t>3</w:t>
            </w:r>
            <w:r>
              <w:rPr>
                <w:rFonts w:hint="eastAsia"/>
                <w:color w:val="auto"/>
                <w:kern w:val="24"/>
                <w:sz w:val="24"/>
              </w:rPr>
              <w:t>）噪声</w:t>
            </w:r>
          </w:p>
          <w:p w14:paraId="48B2B86E">
            <w:pPr>
              <w:adjustRightInd w:val="0"/>
              <w:snapToGrid w:val="0"/>
              <w:spacing w:line="360" w:lineRule="auto"/>
              <w:ind w:firstLine="480" w:firstLineChars="200"/>
              <w:rPr>
                <w:color w:val="auto"/>
                <w:kern w:val="24"/>
                <w:sz w:val="24"/>
              </w:rPr>
            </w:pPr>
            <w:r>
              <w:rPr>
                <w:bCs/>
                <w:color w:val="auto"/>
                <w:sz w:val="24"/>
              </w:rPr>
              <w:t>项目施工期噪声主要为运输车辆噪声及设备安装调试时产生的噪声，</w:t>
            </w:r>
            <w:r>
              <w:rPr>
                <w:rFonts w:hint="eastAsia"/>
                <w:color w:val="auto"/>
                <w:kern w:val="24"/>
                <w:sz w:val="24"/>
              </w:rPr>
              <w:t>施工期间的噪声对施工地点周围及运输途中所经村民居住区会有不同程度的影响。</w:t>
            </w:r>
          </w:p>
          <w:p w14:paraId="0B5A1F31">
            <w:pPr>
              <w:adjustRightInd w:val="0"/>
              <w:snapToGrid w:val="0"/>
              <w:spacing w:line="360" w:lineRule="auto"/>
              <w:ind w:firstLine="480" w:firstLineChars="200"/>
              <w:rPr>
                <w:color w:val="auto"/>
                <w:kern w:val="24"/>
                <w:sz w:val="24"/>
              </w:rPr>
            </w:pPr>
            <w:r>
              <w:rPr>
                <w:rFonts w:hint="eastAsia"/>
                <w:color w:val="auto"/>
                <w:kern w:val="24"/>
                <w:sz w:val="24"/>
              </w:rPr>
              <w:t>（</w:t>
            </w:r>
            <w:r>
              <w:rPr>
                <w:color w:val="auto"/>
                <w:kern w:val="24"/>
                <w:sz w:val="24"/>
              </w:rPr>
              <w:t>4</w:t>
            </w:r>
            <w:r>
              <w:rPr>
                <w:rFonts w:hint="eastAsia"/>
                <w:color w:val="auto"/>
                <w:kern w:val="24"/>
                <w:sz w:val="24"/>
              </w:rPr>
              <w:t>）固体废物</w:t>
            </w:r>
          </w:p>
          <w:p w14:paraId="1B6B5C5E">
            <w:pPr>
              <w:adjustRightInd w:val="0"/>
              <w:snapToGrid w:val="0"/>
              <w:spacing w:line="360" w:lineRule="auto"/>
              <w:ind w:firstLine="480" w:firstLineChars="200"/>
              <w:rPr>
                <w:color w:val="auto"/>
                <w:kern w:val="24"/>
                <w:sz w:val="24"/>
              </w:rPr>
            </w:pPr>
            <w:r>
              <w:rPr>
                <w:rFonts w:hint="eastAsia"/>
                <w:color w:val="auto"/>
                <w:kern w:val="24"/>
                <w:sz w:val="24"/>
              </w:rPr>
              <w:t>项目施工期固体废物主要来源于施工建筑垃圾及施工人员生活垃圾。</w:t>
            </w:r>
          </w:p>
          <w:p w14:paraId="00C33328">
            <w:pPr>
              <w:adjustRightInd w:val="0"/>
              <w:snapToGrid w:val="0"/>
              <w:spacing w:line="360" w:lineRule="auto"/>
              <w:ind w:firstLine="480" w:firstLineChars="200"/>
              <w:rPr>
                <w:color w:val="auto"/>
                <w:kern w:val="24"/>
                <w:sz w:val="24"/>
              </w:rPr>
            </w:pPr>
            <w:r>
              <w:rPr>
                <w:rFonts w:hint="eastAsia"/>
                <w:color w:val="auto"/>
                <w:kern w:val="24"/>
                <w:sz w:val="24"/>
              </w:rPr>
              <w:t>①建筑垃圾</w:t>
            </w:r>
          </w:p>
          <w:p w14:paraId="5B8E3110">
            <w:pPr>
              <w:adjustRightInd w:val="0"/>
              <w:snapToGrid w:val="0"/>
              <w:spacing w:line="360" w:lineRule="auto"/>
              <w:ind w:firstLine="480" w:firstLineChars="200"/>
              <w:rPr>
                <w:color w:val="auto"/>
                <w:kern w:val="24"/>
                <w:sz w:val="24"/>
              </w:rPr>
            </w:pPr>
            <w:r>
              <w:rPr>
                <w:rFonts w:hint="eastAsia"/>
                <w:color w:val="auto"/>
                <w:kern w:val="24"/>
                <w:sz w:val="24"/>
              </w:rPr>
              <w:t>本项目建筑垃圾主要有施工过程中建筑废料和废包装材料等。建筑垃圾经分拣后可回收部分回收利用，不可回收部分及时清运至住建部门指定点处置。</w:t>
            </w:r>
          </w:p>
          <w:p w14:paraId="78FD211B">
            <w:pPr>
              <w:adjustRightInd w:val="0"/>
              <w:snapToGrid w:val="0"/>
              <w:spacing w:line="360" w:lineRule="auto"/>
              <w:ind w:firstLine="480" w:firstLineChars="200"/>
              <w:rPr>
                <w:color w:val="auto"/>
                <w:kern w:val="24"/>
                <w:sz w:val="24"/>
              </w:rPr>
            </w:pPr>
            <w:r>
              <w:rPr>
                <w:rFonts w:hint="eastAsia"/>
                <w:color w:val="auto"/>
                <w:kern w:val="24"/>
                <w:sz w:val="24"/>
              </w:rPr>
              <w:t>②生活垃圾</w:t>
            </w:r>
          </w:p>
          <w:p w14:paraId="21EBFC80">
            <w:pPr>
              <w:adjustRightInd w:val="0"/>
              <w:snapToGrid w:val="0"/>
              <w:spacing w:line="360" w:lineRule="auto"/>
              <w:ind w:firstLine="480" w:firstLineChars="200"/>
              <w:rPr>
                <w:color w:val="auto"/>
                <w:kern w:val="24"/>
                <w:sz w:val="24"/>
              </w:rPr>
            </w:pPr>
            <w:r>
              <w:rPr>
                <w:rFonts w:hint="eastAsia"/>
                <w:color w:val="auto"/>
                <w:kern w:val="24"/>
                <w:sz w:val="24"/>
              </w:rPr>
              <w:t>项目施工期生活垃圾设垃圾桶集中收集，委托环卫部门清运处置。</w:t>
            </w:r>
          </w:p>
          <w:p w14:paraId="3B7FC9F3">
            <w:pPr>
              <w:adjustRightInd w:val="0"/>
              <w:snapToGrid w:val="0"/>
              <w:spacing w:line="360" w:lineRule="auto"/>
              <w:jc w:val="left"/>
              <w:rPr>
                <w:b/>
                <w:bCs/>
                <w:color w:val="auto"/>
                <w:sz w:val="24"/>
              </w:rPr>
            </w:pPr>
            <w:r>
              <w:rPr>
                <w:rFonts w:hint="eastAsia"/>
                <w:b/>
                <w:bCs/>
                <w:color w:val="auto"/>
                <w:sz w:val="24"/>
              </w:rPr>
              <w:t>2、运营期</w:t>
            </w:r>
          </w:p>
          <w:p w14:paraId="307330C4">
            <w:pPr>
              <w:adjustRightInd w:val="0"/>
              <w:snapToGrid w:val="0"/>
              <w:spacing w:line="360" w:lineRule="auto"/>
              <w:jc w:val="left"/>
              <w:rPr>
                <w:bCs/>
                <w:color w:val="auto"/>
                <w:sz w:val="24"/>
              </w:rPr>
            </w:pPr>
            <w:r>
              <w:rPr>
                <w:rFonts w:hint="eastAsia"/>
                <w:b/>
                <w:bCs/>
                <w:color w:val="auto"/>
                <w:sz w:val="24"/>
              </w:rPr>
              <w:t>2.1 项目生产工艺流程及产污环节</w:t>
            </w:r>
          </w:p>
          <w:p w14:paraId="4E229F9A">
            <w:pPr>
              <w:adjustRightInd w:val="0"/>
              <w:snapToGrid w:val="0"/>
              <w:spacing w:line="360" w:lineRule="auto"/>
              <w:ind w:firstLine="482" w:firstLineChars="200"/>
              <w:rPr>
                <w:b/>
                <w:color w:val="auto"/>
                <w:kern w:val="24"/>
                <w:sz w:val="24"/>
              </w:rPr>
            </w:pPr>
            <w:r>
              <w:rPr>
                <w:rFonts w:hint="eastAsia"/>
                <w:b/>
                <w:color w:val="auto"/>
                <w:kern w:val="24"/>
                <w:sz w:val="24"/>
              </w:rPr>
              <w:t>1、生产工艺流程及产污节点图</w:t>
            </w:r>
          </w:p>
          <w:p w14:paraId="774E0037">
            <w:pPr>
              <w:adjustRightInd w:val="0"/>
              <w:snapToGrid w:val="0"/>
              <w:spacing w:line="360" w:lineRule="auto"/>
              <w:jc w:val="center"/>
              <w:rPr>
                <w:b/>
                <w:color w:val="auto"/>
                <w:kern w:val="24"/>
                <w:sz w:val="24"/>
              </w:rPr>
            </w:pPr>
            <w:r>
              <w:rPr>
                <w:rFonts w:hint="eastAsia"/>
                <w:color w:val="auto"/>
              </w:rPr>
              <w:object>
                <v:shape id="_x0000_i1031" o:spt="75" type="#_x0000_t75" style="height:363pt;width:442.5pt;" o:ole="t" filled="f" o:preferrelative="t" stroked="f" coordsize="21600,21600">
                  <v:path/>
                  <v:fill on="f" focussize="0,0"/>
                  <v:stroke on="f" joinstyle="miter"/>
                  <v:imagedata r:id="rId15" o:title=""/>
                  <o:lock v:ext="edit" aspectratio="t"/>
                  <w10:wrap type="none"/>
                  <w10:anchorlock/>
                </v:shape>
                <o:OLEObject Type="Embed" ProgID="Visio.Drawing.15" ShapeID="_x0000_i1031" DrawAspect="Content" ObjectID="_1468075731">
                  <o:LockedField>false</o:LockedField>
                </o:OLEObject>
              </w:object>
            </w:r>
          </w:p>
          <w:p w14:paraId="55654749">
            <w:pPr>
              <w:adjustRightInd w:val="0"/>
              <w:snapToGrid w:val="0"/>
              <w:spacing w:line="360" w:lineRule="auto"/>
              <w:jc w:val="center"/>
              <w:rPr>
                <w:b/>
                <w:color w:val="auto"/>
                <w:kern w:val="24"/>
                <w:sz w:val="24"/>
              </w:rPr>
            </w:pPr>
            <w:r>
              <w:rPr>
                <w:b/>
                <w:color w:val="auto"/>
                <w:kern w:val="24"/>
                <w:sz w:val="24"/>
              </w:rPr>
              <w:t>图</w:t>
            </w:r>
            <w:r>
              <w:rPr>
                <w:rFonts w:hint="eastAsia"/>
                <w:b/>
                <w:color w:val="auto"/>
                <w:kern w:val="24"/>
                <w:sz w:val="24"/>
              </w:rPr>
              <w:t>2</w:t>
            </w:r>
            <w:r>
              <w:rPr>
                <w:b/>
                <w:color w:val="auto"/>
                <w:kern w:val="24"/>
                <w:sz w:val="24"/>
              </w:rPr>
              <w:t>-</w:t>
            </w:r>
            <w:r>
              <w:rPr>
                <w:rFonts w:hint="eastAsia"/>
                <w:b/>
                <w:color w:val="auto"/>
                <w:kern w:val="24"/>
                <w:sz w:val="24"/>
              </w:rPr>
              <w:t>4</w:t>
            </w:r>
            <w:r>
              <w:rPr>
                <w:b/>
                <w:color w:val="auto"/>
                <w:kern w:val="24"/>
                <w:sz w:val="24"/>
              </w:rPr>
              <w:t xml:space="preserve">  </w:t>
            </w:r>
            <w:r>
              <w:rPr>
                <w:rFonts w:hint="eastAsia"/>
                <w:b/>
                <w:color w:val="auto"/>
                <w:kern w:val="24"/>
                <w:sz w:val="24"/>
              </w:rPr>
              <w:t>工艺流程及产污节点图</w:t>
            </w:r>
          </w:p>
          <w:p w14:paraId="296CA745">
            <w:pPr>
              <w:adjustRightInd w:val="0"/>
              <w:snapToGrid w:val="0"/>
              <w:spacing w:line="360" w:lineRule="auto"/>
              <w:ind w:firstLine="482" w:firstLineChars="200"/>
              <w:rPr>
                <w:b/>
                <w:color w:val="auto"/>
                <w:kern w:val="24"/>
                <w:sz w:val="24"/>
              </w:rPr>
            </w:pPr>
            <w:r>
              <w:rPr>
                <w:rFonts w:hint="eastAsia"/>
                <w:b/>
                <w:color w:val="auto"/>
                <w:kern w:val="24"/>
                <w:sz w:val="24"/>
              </w:rPr>
              <w:t>2、工艺流程及产污环节简述：</w:t>
            </w:r>
          </w:p>
          <w:p w14:paraId="68D7C845">
            <w:pPr>
              <w:adjustRightInd w:val="0"/>
              <w:snapToGrid w:val="0"/>
              <w:spacing w:line="360" w:lineRule="auto"/>
              <w:ind w:firstLine="480" w:firstLineChars="200"/>
              <w:rPr>
                <w:color w:val="auto"/>
                <w:kern w:val="24"/>
                <w:sz w:val="24"/>
              </w:rPr>
            </w:pPr>
            <w:r>
              <w:rPr>
                <w:rFonts w:hint="eastAsia"/>
                <w:color w:val="auto"/>
                <w:kern w:val="24"/>
                <w:sz w:val="24"/>
              </w:rPr>
              <w:t>①原料入场</w:t>
            </w:r>
          </w:p>
          <w:p w14:paraId="392AE9EA">
            <w:pPr>
              <w:adjustRightInd w:val="0"/>
              <w:snapToGrid w:val="0"/>
              <w:spacing w:line="360" w:lineRule="auto"/>
              <w:ind w:firstLine="480" w:firstLineChars="200"/>
              <w:rPr>
                <w:color w:val="auto"/>
                <w:kern w:val="24"/>
                <w:sz w:val="24"/>
              </w:rPr>
            </w:pPr>
            <w:r>
              <w:rPr>
                <w:rFonts w:hint="eastAsia"/>
                <w:color w:val="auto"/>
                <w:kern w:val="24"/>
                <w:sz w:val="24"/>
              </w:rPr>
              <w:t>本项目生产的产品原料是向周边外购的镀锌钢带。项目镀锌钢带由原料库运出，钢带由入口钢卷小车将钢卷运往分剪机。外购的钢带均已按照项目产品类型要求由供料厂家按尺寸已经切割好，故本项目厂区不涉及原料裁剪工序。</w:t>
            </w:r>
          </w:p>
          <w:p w14:paraId="3E5C9099">
            <w:pPr>
              <w:adjustRightInd w:val="0"/>
              <w:snapToGrid w:val="0"/>
              <w:spacing w:line="360" w:lineRule="auto"/>
              <w:ind w:firstLine="480" w:firstLineChars="200"/>
              <w:rPr>
                <w:color w:val="auto"/>
                <w:kern w:val="24"/>
                <w:sz w:val="24"/>
              </w:rPr>
            </w:pPr>
            <w:r>
              <w:rPr>
                <w:rFonts w:hint="eastAsia"/>
                <w:color w:val="auto"/>
                <w:kern w:val="24"/>
                <w:sz w:val="24"/>
              </w:rPr>
              <w:t>②分条、收卷</w:t>
            </w:r>
          </w:p>
          <w:p w14:paraId="00240837">
            <w:pPr>
              <w:adjustRightInd w:val="0"/>
              <w:snapToGrid w:val="0"/>
              <w:spacing w:line="360" w:lineRule="auto"/>
              <w:ind w:firstLine="480" w:firstLineChars="200"/>
              <w:rPr>
                <w:color w:val="auto"/>
                <w:kern w:val="24"/>
                <w:sz w:val="24"/>
              </w:rPr>
            </w:pPr>
            <w:r>
              <w:rPr>
                <w:rFonts w:hint="eastAsia"/>
                <w:color w:val="auto"/>
                <w:kern w:val="24"/>
                <w:sz w:val="24"/>
              </w:rPr>
              <w:t>镀锌钢带经过钢卷自动测宽、测外径系统保证钢卷对中的装在分剪机上，在分剪机中进行开卷、引料定位、分条纵剪等步骤，对金属卷材进行分条处理后收卷去往焊接工序，该过程中会有一定的无组织粉尘、废边角料和噪声产生。</w:t>
            </w:r>
          </w:p>
          <w:p w14:paraId="353B6B38">
            <w:pPr>
              <w:adjustRightInd w:val="0"/>
              <w:snapToGrid w:val="0"/>
              <w:spacing w:line="360" w:lineRule="auto"/>
              <w:ind w:firstLine="480" w:firstLineChars="200"/>
              <w:rPr>
                <w:color w:val="auto"/>
                <w:kern w:val="24"/>
                <w:sz w:val="24"/>
              </w:rPr>
            </w:pPr>
            <w:r>
              <w:rPr>
                <w:rFonts w:hint="eastAsia"/>
                <w:color w:val="auto"/>
                <w:kern w:val="24"/>
                <w:sz w:val="24"/>
              </w:rPr>
              <w:t>③开卷、弯曲成型</w:t>
            </w:r>
          </w:p>
          <w:p w14:paraId="438D0BCD">
            <w:pPr>
              <w:adjustRightInd w:val="0"/>
              <w:snapToGrid w:val="0"/>
              <w:spacing w:line="360" w:lineRule="auto"/>
              <w:ind w:firstLine="480" w:firstLineChars="200"/>
              <w:rPr>
                <w:color w:val="auto"/>
                <w:kern w:val="24"/>
                <w:sz w:val="24"/>
              </w:rPr>
            </w:pPr>
            <w:r>
              <w:rPr>
                <w:rFonts w:hint="eastAsia"/>
                <w:color w:val="auto"/>
                <w:kern w:val="24"/>
                <w:sz w:val="24"/>
              </w:rPr>
              <w:t>分条后的带钢进行重新开卷后，将带钢弯曲成管状。在钢带弯曲过程中会有噪声产生。</w:t>
            </w:r>
          </w:p>
          <w:p w14:paraId="150A83C1">
            <w:pPr>
              <w:adjustRightInd w:val="0"/>
              <w:snapToGrid w:val="0"/>
              <w:spacing w:line="360" w:lineRule="auto"/>
              <w:ind w:firstLine="480" w:firstLineChars="200"/>
              <w:rPr>
                <w:color w:val="auto"/>
                <w:kern w:val="24"/>
                <w:sz w:val="24"/>
              </w:rPr>
            </w:pPr>
            <w:r>
              <w:rPr>
                <w:rFonts w:hint="eastAsia"/>
                <w:color w:val="auto"/>
                <w:kern w:val="24"/>
                <w:sz w:val="24"/>
              </w:rPr>
              <w:t>④高频焊接、补焊缝、刮疤</w:t>
            </w:r>
          </w:p>
          <w:p w14:paraId="4F6D3324">
            <w:pPr>
              <w:adjustRightInd w:val="0"/>
              <w:snapToGrid w:val="0"/>
              <w:spacing w:line="360" w:lineRule="auto"/>
              <w:ind w:firstLine="480" w:firstLineChars="200"/>
              <w:rPr>
                <w:color w:val="auto"/>
                <w:kern w:val="24"/>
                <w:sz w:val="24"/>
              </w:rPr>
            </w:pPr>
            <w:r>
              <w:rPr>
                <w:rFonts w:hint="eastAsia"/>
                <w:color w:val="auto"/>
                <w:kern w:val="24"/>
                <w:sz w:val="24"/>
              </w:rPr>
              <w:t>将初步成型的钢管送入高频焊机对钢管的缝隙进行焊接、补焊缝和刮疤，高频焊机利用电流的集肤效应和邻近效应将直缝两端边缘加热融化，并在挤压辊的作用下进行焊接，将钢带的两端完全熔合。经过焊接的焊管表面会产生少量焊疤，利用焊机自带的刮疤刀具刮去焊管表面的凸起，使得焊管表面平整光滑并进行补焊缝（采用铝丝）处理。在此工段需用水（加入肥皂润滑）冷却焊接的焊管，焊接过程为一边焊接一边冷却，通过生产线下方排水沟引入循环水池，焊管直接冷却水</w:t>
            </w:r>
            <w:r>
              <w:rPr>
                <w:color w:val="auto"/>
                <w:kern w:val="24"/>
                <w:sz w:val="24"/>
              </w:rPr>
              <w:t>循环使用不外排</w:t>
            </w:r>
            <w:r>
              <w:rPr>
                <w:rFonts w:hint="eastAsia"/>
                <w:color w:val="auto"/>
                <w:kern w:val="24"/>
                <w:sz w:val="24"/>
              </w:rPr>
              <w:t>，不足时定期补充，不外排。并产生机械噪声、废边角料、焊接和补缝烟尘、金属沉渣。项目在每一个焊接点上方设置集气罩，1#生产线焊接烟尘经集气罩+布袋除尘器（TA001）处理后经一根15m高排气筒（DA001）排放；2#~5#生产线焊接烟尘经集气罩+布袋除尘器（TA002~TA005）处理后合并由一根15m高排气筒（DA002）排放；6#~9#生产线焊接烟尘经集气罩+布袋除尘器（TA006~TA009）处理后合并由一根15m高排气筒（DA003）排放。</w:t>
            </w:r>
          </w:p>
          <w:p w14:paraId="2B4FD67A">
            <w:pPr>
              <w:adjustRightInd w:val="0"/>
              <w:snapToGrid w:val="0"/>
              <w:spacing w:line="360" w:lineRule="auto"/>
              <w:ind w:firstLine="480" w:firstLineChars="200"/>
              <w:rPr>
                <w:color w:val="auto"/>
                <w:kern w:val="24"/>
                <w:sz w:val="24"/>
              </w:rPr>
            </w:pPr>
            <w:r>
              <w:rPr>
                <w:rFonts w:hint="eastAsia"/>
                <w:color w:val="auto"/>
                <w:kern w:val="24"/>
                <w:sz w:val="24"/>
              </w:rPr>
              <w:fldChar w:fldCharType="begin"/>
            </w:r>
            <w:r>
              <w:rPr>
                <w:rFonts w:hint="eastAsia"/>
                <w:color w:val="auto"/>
                <w:kern w:val="24"/>
                <w:sz w:val="24"/>
              </w:rPr>
              <w:instrText xml:space="preserve"> = 4 \* GB3 \* MERGEFORMAT </w:instrText>
            </w:r>
            <w:r>
              <w:rPr>
                <w:rFonts w:hint="eastAsia"/>
                <w:color w:val="auto"/>
                <w:kern w:val="24"/>
                <w:sz w:val="24"/>
              </w:rPr>
              <w:fldChar w:fldCharType="separate"/>
            </w:r>
            <w:r>
              <w:rPr>
                <w:rFonts w:ascii="Cambria Math" w:hAnsi="Cambria Math" w:cs="Cambria Math"/>
                <w:color w:val="auto"/>
                <w:kern w:val="24"/>
                <w:sz w:val="24"/>
              </w:rPr>
              <w:t>④</w:t>
            </w:r>
            <w:r>
              <w:rPr>
                <w:rFonts w:hint="eastAsia"/>
                <w:color w:val="auto"/>
                <w:kern w:val="24"/>
                <w:sz w:val="24"/>
              </w:rPr>
              <w:fldChar w:fldCharType="end"/>
            </w:r>
            <w:r>
              <w:rPr>
                <w:rFonts w:hint="eastAsia"/>
                <w:color w:val="auto"/>
                <w:kern w:val="24"/>
                <w:sz w:val="24"/>
              </w:rPr>
              <w:t>校直、切割</w:t>
            </w:r>
          </w:p>
          <w:p w14:paraId="30E3DD77">
            <w:pPr>
              <w:adjustRightInd w:val="0"/>
              <w:snapToGrid w:val="0"/>
              <w:spacing w:line="360" w:lineRule="auto"/>
              <w:ind w:firstLine="480" w:firstLineChars="200"/>
              <w:rPr>
                <w:color w:val="auto"/>
                <w:kern w:val="24"/>
                <w:sz w:val="24"/>
              </w:rPr>
            </w:pPr>
            <w:r>
              <w:rPr>
                <w:rFonts w:hint="eastAsia"/>
                <w:color w:val="auto"/>
                <w:kern w:val="24"/>
                <w:sz w:val="24"/>
              </w:rPr>
              <w:t>焊接后的焊管使用校直机进行校直，利用飞锯定尺切割机将钢管切割成国标尺寸或客户需求的定制尺寸，即为产品，此过程将产生噪声、切割碎屑和少量切割粉尘。</w:t>
            </w:r>
          </w:p>
          <w:p w14:paraId="30B3DB39">
            <w:pPr>
              <w:adjustRightInd w:val="0"/>
              <w:snapToGrid w:val="0"/>
              <w:spacing w:line="360" w:lineRule="auto"/>
              <w:ind w:firstLine="480" w:firstLineChars="200"/>
              <w:rPr>
                <w:color w:val="auto"/>
                <w:kern w:val="24"/>
                <w:sz w:val="24"/>
              </w:rPr>
            </w:pPr>
            <w:r>
              <w:rPr>
                <w:rFonts w:hint="eastAsia"/>
                <w:color w:val="auto"/>
                <w:kern w:val="24"/>
                <w:sz w:val="24"/>
              </w:rPr>
              <w:fldChar w:fldCharType="begin"/>
            </w:r>
            <w:r>
              <w:rPr>
                <w:rFonts w:hint="eastAsia"/>
                <w:color w:val="auto"/>
                <w:kern w:val="24"/>
                <w:sz w:val="24"/>
              </w:rPr>
              <w:instrText xml:space="preserve"> = 5 \* GB3 \* MERGEFORMAT </w:instrText>
            </w:r>
            <w:r>
              <w:rPr>
                <w:rFonts w:hint="eastAsia"/>
                <w:color w:val="auto"/>
                <w:kern w:val="24"/>
                <w:sz w:val="24"/>
              </w:rPr>
              <w:fldChar w:fldCharType="separate"/>
            </w:r>
            <w:r>
              <w:rPr>
                <w:rFonts w:ascii="Cambria Math" w:hAnsi="Cambria Math" w:cs="Cambria Math"/>
                <w:color w:val="auto"/>
                <w:kern w:val="24"/>
                <w:sz w:val="24"/>
              </w:rPr>
              <w:t>⑤</w:t>
            </w:r>
            <w:r>
              <w:rPr>
                <w:rFonts w:hint="eastAsia"/>
                <w:color w:val="auto"/>
                <w:kern w:val="24"/>
                <w:sz w:val="24"/>
              </w:rPr>
              <w:fldChar w:fldCharType="end"/>
            </w:r>
            <w:r>
              <w:rPr>
                <w:rFonts w:hint="eastAsia"/>
                <w:color w:val="auto"/>
                <w:kern w:val="24"/>
                <w:sz w:val="24"/>
              </w:rPr>
              <w:t>质检、打包入库</w:t>
            </w:r>
          </w:p>
          <w:p w14:paraId="22099F1F">
            <w:pPr>
              <w:adjustRightInd w:val="0"/>
              <w:snapToGrid w:val="0"/>
              <w:spacing w:line="360" w:lineRule="auto"/>
              <w:ind w:firstLine="480" w:firstLineChars="200"/>
              <w:rPr>
                <w:color w:val="auto"/>
                <w:kern w:val="24"/>
                <w:sz w:val="24"/>
              </w:rPr>
            </w:pPr>
            <w:r>
              <w:rPr>
                <w:rFonts w:hint="eastAsia"/>
                <w:color w:val="auto"/>
                <w:kern w:val="24"/>
                <w:sz w:val="24"/>
              </w:rPr>
              <w:t>通过人工质检的方式，质检合格的产品打包入库，不合格产品收集后外售，此过程将产生噪声、不合格产品。</w:t>
            </w:r>
          </w:p>
          <w:p w14:paraId="397D6099">
            <w:pPr>
              <w:adjustRightInd w:val="0"/>
              <w:snapToGrid w:val="0"/>
              <w:spacing w:line="360" w:lineRule="auto"/>
              <w:ind w:firstLine="482" w:firstLineChars="200"/>
              <w:jc w:val="center"/>
              <w:rPr>
                <w:b/>
                <w:color w:val="auto"/>
                <w:kern w:val="24"/>
                <w:sz w:val="24"/>
              </w:rPr>
            </w:pPr>
            <w:r>
              <w:rPr>
                <w:rFonts w:hint="eastAsia"/>
                <w:b/>
                <w:color w:val="auto"/>
                <w:kern w:val="24"/>
                <w:sz w:val="24"/>
              </w:rPr>
              <w:t>表</w:t>
            </w:r>
            <w:r>
              <w:rPr>
                <w:b/>
                <w:color w:val="auto"/>
                <w:kern w:val="24"/>
                <w:sz w:val="24"/>
              </w:rPr>
              <w:t>2-</w:t>
            </w:r>
            <w:r>
              <w:rPr>
                <w:rFonts w:hint="eastAsia"/>
                <w:b/>
                <w:color w:val="auto"/>
                <w:kern w:val="24"/>
                <w:sz w:val="24"/>
              </w:rPr>
              <w:t>7</w:t>
            </w:r>
            <w:r>
              <w:rPr>
                <w:b/>
                <w:color w:val="auto"/>
                <w:kern w:val="24"/>
                <w:sz w:val="24"/>
              </w:rPr>
              <w:t xml:space="preserve">  </w:t>
            </w:r>
            <w:r>
              <w:rPr>
                <w:rFonts w:hint="eastAsia"/>
                <w:b/>
                <w:color w:val="auto"/>
                <w:kern w:val="24"/>
                <w:sz w:val="24"/>
              </w:rPr>
              <w:t>项目产污情况一览表</w:t>
            </w:r>
          </w:p>
          <w:tbl>
            <w:tblPr>
              <w:tblStyle w:val="32"/>
              <w:tblW w:w="898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048"/>
              <w:gridCol w:w="1809"/>
              <w:gridCol w:w="1685"/>
              <w:gridCol w:w="4442"/>
            </w:tblGrid>
            <w:tr w14:paraId="5FD44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583" w:type="pct"/>
                  <w:tcMar>
                    <w:top w:w="15" w:type="dxa"/>
                    <w:left w:w="15" w:type="dxa"/>
                    <w:right w:w="15" w:type="dxa"/>
                  </w:tcMar>
                  <w:vAlign w:val="center"/>
                </w:tcPr>
                <w:p w14:paraId="19EFA434">
                  <w:pPr>
                    <w:adjustRightInd w:val="0"/>
                    <w:snapToGrid w:val="0"/>
                    <w:jc w:val="center"/>
                    <w:textAlignment w:val="baseline"/>
                    <w:rPr>
                      <w:b/>
                      <w:bCs/>
                      <w:color w:val="auto"/>
                      <w:szCs w:val="21"/>
                    </w:rPr>
                  </w:pPr>
                  <w:r>
                    <w:rPr>
                      <w:b/>
                      <w:bCs/>
                      <w:color w:val="auto"/>
                      <w:szCs w:val="21"/>
                    </w:rPr>
                    <w:t>污染类别</w:t>
                  </w:r>
                </w:p>
              </w:tc>
              <w:tc>
                <w:tcPr>
                  <w:tcW w:w="1007" w:type="pct"/>
                  <w:tcMar>
                    <w:top w:w="15" w:type="dxa"/>
                    <w:left w:w="15" w:type="dxa"/>
                    <w:right w:w="15" w:type="dxa"/>
                  </w:tcMar>
                  <w:vAlign w:val="center"/>
                </w:tcPr>
                <w:p w14:paraId="197B1178">
                  <w:pPr>
                    <w:adjustRightInd w:val="0"/>
                    <w:snapToGrid w:val="0"/>
                    <w:jc w:val="center"/>
                    <w:textAlignment w:val="baseline"/>
                    <w:rPr>
                      <w:b/>
                      <w:bCs/>
                      <w:color w:val="auto"/>
                      <w:szCs w:val="21"/>
                    </w:rPr>
                  </w:pPr>
                  <w:r>
                    <w:rPr>
                      <w:b/>
                      <w:bCs/>
                      <w:color w:val="auto"/>
                      <w:szCs w:val="21"/>
                    </w:rPr>
                    <w:t>主要污染源</w:t>
                  </w:r>
                </w:p>
              </w:tc>
              <w:tc>
                <w:tcPr>
                  <w:tcW w:w="938" w:type="pct"/>
                  <w:tcMar>
                    <w:top w:w="15" w:type="dxa"/>
                    <w:left w:w="15" w:type="dxa"/>
                    <w:right w:w="15" w:type="dxa"/>
                  </w:tcMar>
                  <w:vAlign w:val="center"/>
                </w:tcPr>
                <w:p w14:paraId="2159F360">
                  <w:pPr>
                    <w:adjustRightInd w:val="0"/>
                    <w:snapToGrid w:val="0"/>
                    <w:jc w:val="center"/>
                    <w:textAlignment w:val="baseline"/>
                    <w:rPr>
                      <w:b/>
                      <w:bCs/>
                      <w:color w:val="auto"/>
                      <w:szCs w:val="21"/>
                    </w:rPr>
                  </w:pPr>
                  <w:r>
                    <w:rPr>
                      <w:b/>
                      <w:bCs/>
                      <w:color w:val="auto"/>
                      <w:szCs w:val="21"/>
                    </w:rPr>
                    <w:t>污染物/污染因子</w:t>
                  </w:r>
                </w:p>
              </w:tc>
              <w:tc>
                <w:tcPr>
                  <w:tcW w:w="2472" w:type="pct"/>
                  <w:tcMar>
                    <w:top w:w="15" w:type="dxa"/>
                    <w:left w:w="15" w:type="dxa"/>
                    <w:right w:w="15" w:type="dxa"/>
                  </w:tcMar>
                  <w:vAlign w:val="center"/>
                </w:tcPr>
                <w:p w14:paraId="12DA67FE">
                  <w:pPr>
                    <w:adjustRightInd w:val="0"/>
                    <w:snapToGrid w:val="0"/>
                    <w:jc w:val="center"/>
                    <w:textAlignment w:val="baseline"/>
                    <w:rPr>
                      <w:b/>
                      <w:bCs/>
                      <w:color w:val="auto"/>
                      <w:szCs w:val="21"/>
                    </w:rPr>
                  </w:pPr>
                  <w:r>
                    <w:rPr>
                      <w:rFonts w:hint="eastAsia"/>
                      <w:b/>
                      <w:bCs/>
                      <w:color w:val="auto"/>
                      <w:szCs w:val="21"/>
                    </w:rPr>
                    <w:t>处理措施</w:t>
                  </w:r>
                </w:p>
              </w:tc>
            </w:tr>
            <w:tr w14:paraId="48D0AF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583" w:type="pct"/>
                  <w:vMerge w:val="restart"/>
                  <w:tcMar>
                    <w:top w:w="15" w:type="dxa"/>
                    <w:left w:w="15" w:type="dxa"/>
                    <w:right w:w="15" w:type="dxa"/>
                  </w:tcMar>
                  <w:vAlign w:val="center"/>
                </w:tcPr>
                <w:p w14:paraId="6D680702">
                  <w:pPr>
                    <w:adjustRightInd w:val="0"/>
                    <w:snapToGrid w:val="0"/>
                    <w:jc w:val="center"/>
                    <w:textAlignment w:val="baseline"/>
                    <w:rPr>
                      <w:color w:val="auto"/>
                      <w:szCs w:val="21"/>
                    </w:rPr>
                  </w:pPr>
                  <w:r>
                    <w:rPr>
                      <w:color w:val="auto"/>
                      <w:szCs w:val="21"/>
                    </w:rPr>
                    <w:t>废气</w:t>
                  </w:r>
                </w:p>
              </w:tc>
              <w:tc>
                <w:tcPr>
                  <w:tcW w:w="1007" w:type="pct"/>
                  <w:tcMar>
                    <w:top w:w="15" w:type="dxa"/>
                    <w:left w:w="15" w:type="dxa"/>
                    <w:right w:w="15" w:type="dxa"/>
                  </w:tcMar>
                  <w:vAlign w:val="center"/>
                </w:tcPr>
                <w:p w14:paraId="4AE1DB27">
                  <w:pPr>
                    <w:adjustRightInd w:val="0"/>
                    <w:snapToGrid w:val="0"/>
                    <w:jc w:val="center"/>
                    <w:rPr>
                      <w:color w:val="auto"/>
                      <w:szCs w:val="21"/>
                    </w:rPr>
                  </w:pPr>
                  <w:r>
                    <w:rPr>
                      <w:rFonts w:hint="eastAsia"/>
                      <w:color w:val="auto"/>
                      <w:szCs w:val="21"/>
                    </w:rPr>
                    <w:t>高频焊接、补焊缝烟尘</w:t>
                  </w:r>
                </w:p>
              </w:tc>
              <w:tc>
                <w:tcPr>
                  <w:tcW w:w="938" w:type="pct"/>
                  <w:tcMar>
                    <w:top w:w="15" w:type="dxa"/>
                    <w:left w:w="15" w:type="dxa"/>
                    <w:right w:w="15" w:type="dxa"/>
                  </w:tcMar>
                  <w:vAlign w:val="center"/>
                </w:tcPr>
                <w:p w14:paraId="55A131B8">
                  <w:pPr>
                    <w:adjustRightInd w:val="0"/>
                    <w:snapToGrid w:val="0"/>
                    <w:jc w:val="center"/>
                    <w:textAlignment w:val="baseline"/>
                    <w:rPr>
                      <w:color w:val="auto"/>
                      <w:szCs w:val="21"/>
                    </w:rPr>
                  </w:pPr>
                  <w:r>
                    <w:rPr>
                      <w:rFonts w:hint="eastAsia"/>
                      <w:color w:val="auto"/>
                      <w:szCs w:val="21"/>
                    </w:rPr>
                    <w:t>颗粒物</w:t>
                  </w:r>
                </w:p>
              </w:tc>
              <w:tc>
                <w:tcPr>
                  <w:tcW w:w="2472" w:type="pct"/>
                  <w:tcMar>
                    <w:top w:w="15" w:type="dxa"/>
                    <w:left w:w="15" w:type="dxa"/>
                    <w:right w:w="15" w:type="dxa"/>
                  </w:tcMar>
                  <w:vAlign w:val="center"/>
                </w:tcPr>
                <w:p w14:paraId="23FD55C8">
                  <w:pPr>
                    <w:adjustRightInd w:val="0"/>
                    <w:snapToGrid w:val="0"/>
                    <w:jc w:val="center"/>
                    <w:rPr>
                      <w:color w:val="auto"/>
                      <w:szCs w:val="21"/>
                    </w:rPr>
                  </w:pPr>
                  <w:r>
                    <w:rPr>
                      <w:rFonts w:hint="eastAsia"/>
                      <w:color w:val="auto"/>
                      <w:szCs w:val="21"/>
                    </w:rPr>
                    <w:t>项目车间高频焊接产生焊接烟尘，经各条生产线焊接工段配套的</w:t>
                  </w:r>
                  <w:r>
                    <w:rPr>
                      <w:color w:val="auto"/>
                      <w:szCs w:val="21"/>
                    </w:rPr>
                    <w:t>2</w:t>
                  </w:r>
                  <w:r>
                    <w:rPr>
                      <w:rFonts w:hint="eastAsia"/>
                      <w:color w:val="auto"/>
                      <w:szCs w:val="21"/>
                    </w:rPr>
                    <w:t>套集气罩+布袋除尘器（TA001~TA002）收集处理后，经管道引入</w:t>
                  </w:r>
                  <w:r>
                    <w:rPr>
                      <w:color w:val="auto"/>
                      <w:szCs w:val="21"/>
                    </w:rPr>
                    <w:t>15</w:t>
                  </w:r>
                  <w:r>
                    <w:rPr>
                      <w:rFonts w:hint="eastAsia"/>
                      <w:color w:val="auto"/>
                      <w:szCs w:val="21"/>
                    </w:rPr>
                    <w:t>m高排气筒排放（DA001~DA003）。</w:t>
                  </w:r>
                </w:p>
              </w:tc>
            </w:tr>
            <w:tr w14:paraId="25C21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583" w:type="pct"/>
                  <w:vMerge w:val="continue"/>
                  <w:tcMar>
                    <w:top w:w="15" w:type="dxa"/>
                    <w:left w:w="15" w:type="dxa"/>
                    <w:right w:w="15" w:type="dxa"/>
                  </w:tcMar>
                  <w:vAlign w:val="center"/>
                </w:tcPr>
                <w:p w14:paraId="08F32747">
                  <w:pPr>
                    <w:adjustRightInd w:val="0"/>
                    <w:snapToGrid w:val="0"/>
                    <w:jc w:val="center"/>
                    <w:textAlignment w:val="baseline"/>
                    <w:rPr>
                      <w:color w:val="auto"/>
                      <w:szCs w:val="21"/>
                    </w:rPr>
                  </w:pPr>
                </w:p>
              </w:tc>
              <w:tc>
                <w:tcPr>
                  <w:tcW w:w="1007" w:type="pct"/>
                  <w:tcMar>
                    <w:top w:w="15" w:type="dxa"/>
                    <w:left w:w="15" w:type="dxa"/>
                    <w:right w:w="15" w:type="dxa"/>
                  </w:tcMar>
                  <w:vAlign w:val="center"/>
                </w:tcPr>
                <w:p w14:paraId="7336900D">
                  <w:pPr>
                    <w:adjustRightInd w:val="0"/>
                    <w:snapToGrid w:val="0"/>
                    <w:jc w:val="center"/>
                    <w:rPr>
                      <w:color w:val="auto"/>
                      <w:szCs w:val="21"/>
                    </w:rPr>
                  </w:pPr>
                  <w:r>
                    <w:rPr>
                      <w:rFonts w:hint="eastAsia"/>
                      <w:color w:val="auto"/>
                      <w:szCs w:val="21"/>
                    </w:rPr>
                    <w:t>车间无组织烟尘</w:t>
                  </w:r>
                </w:p>
              </w:tc>
              <w:tc>
                <w:tcPr>
                  <w:tcW w:w="938" w:type="pct"/>
                  <w:tcMar>
                    <w:top w:w="15" w:type="dxa"/>
                    <w:left w:w="15" w:type="dxa"/>
                    <w:right w:w="15" w:type="dxa"/>
                  </w:tcMar>
                  <w:vAlign w:val="center"/>
                </w:tcPr>
                <w:p w14:paraId="0F414AF2">
                  <w:pPr>
                    <w:adjustRightInd w:val="0"/>
                    <w:snapToGrid w:val="0"/>
                    <w:jc w:val="center"/>
                    <w:textAlignment w:val="baseline"/>
                    <w:rPr>
                      <w:color w:val="auto"/>
                      <w:szCs w:val="21"/>
                    </w:rPr>
                  </w:pPr>
                  <w:r>
                    <w:rPr>
                      <w:rFonts w:hint="eastAsia"/>
                      <w:color w:val="auto"/>
                      <w:szCs w:val="21"/>
                    </w:rPr>
                    <w:t>颗粒物</w:t>
                  </w:r>
                </w:p>
              </w:tc>
              <w:tc>
                <w:tcPr>
                  <w:tcW w:w="2472" w:type="pct"/>
                  <w:tcMar>
                    <w:top w:w="15" w:type="dxa"/>
                    <w:left w:w="15" w:type="dxa"/>
                    <w:right w:w="15" w:type="dxa"/>
                  </w:tcMar>
                  <w:vAlign w:val="center"/>
                </w:tcPr>
                <w:p w14:paraId="56E4E215">
                  <w:pPr>
                    <w:adjustRightInd w:val="0"/>
                    <w:snapToGrid w:val="0"/>
                    <w:jc w:val="center"/>
                    <w:rPr>
                      <w:color w:val="auto"/>
                      <w:szCs w:val="21"/>
                    </w:rPr>
                  </w:pPr>
                  <w:r>
                    <w:rPr>
                      <w:rFonts w:hint="eastAsia"/>
                      <w:color w:val="auto"/>
                      <w:szCs w:val="21"/>
                    </w:rPr>
                    <w:t>项目车间加强封闭。</w:t>
                  </w:r>
                </w:p>
              </w:tc>
            </w:tr>
            <w:tr w14:paraId="7F2894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trPr>
              <w:tc>
                <w:tcPr>
                  <w:tcW w:w="583" w:type="pct"/>
                  <w:vMerge w:val="restart"/>
                  <w:tcMar>
                    <w:top w:w="15" w:type="dxa"/>
                    <w:left w:w="15" w:type="dxa"/>
                    <w:right w:w="15" w:type="dxa"/>
                  </w:tcMar>
                  <w:vAlign w:val="center"/>
                </w:tcPr>
                <w:p w14:paraId="21860BB5">
                  <w:pPr>
                    <w:adjustRightInd w:val="0"/>
                    <w:snapToGrid w:val="0"/>
                    <w:jc w:val="center"/>
                    <w:textAlignment w:val="baseline"/>
                    <w:rPr>
                      <w:color w:val="auto"/>
                      <w:szCs w:val="21"/>
                    </w:rPr>
                  </w:pPr>
                  <w:r>
                    <w:rPr>
                      <w:color w:val="auto"/>
                      <w:szCs w:val="21"/>
                    </w:rPr>
                    <w:t>废水</w:t>
                  </w:r>
                </w:p>
              </w:tc>
              <w:tc>
                <w:tcPr>
                  <w:tcW w:w="1007" w:type="pct"/>
                  <w:tcMar>
                    <w:top w:w="15" w:type="dxa"/>
                    <w:left w:w="15" w:type="dxa"/>
                    <w:right w:w="15" w:type="dxa"/>
                  </w:tcMar>
                  <w:vAlign w:val="center"/>
                </w:tcPr>
                <w:p w14:paraId="2E7BF213">
                  <w:pPr>
                    <w:adjustRightInd w:val="0"/>
                    <w:snapToGrid w:val="0"/>
                    <w:jc w:val="center"/>
                    <w:textAlignment w:val="baseline"/>
                    <w:rPr>
                      <w:color w:val="auto"/>
                      <w:szCs w:val="21"/>
                    </w:rPr>
                  </w:pPr>
                  <w:r>
                    <w:rPr>
                      <w:rFonts w:hint="eastAsia"/>
                      <w:color w:val="auto"/>
                      <w:szCs w:val="21"/>
                    </w:rPr>
                    <w:t>生活污水</w:t>
                  </w:r>
                </w:p>
              </w:tc>
              <w:tc>
                <w:tcPr>
                  <w:tcW w:w="938" w:type="pct"/>
                  <w:tcMar>
                    <w:top w:w="15" w:type="dxa"/>
                    <w:left w:w="15" w:type="dxa"/>
                    <w:right w:w="15" w:type="dxa"/>
                  </w:tcMar>
                  <w:vAlign w:val="center"/>
                </w:tcPr>
                <w:p w14:paraId="64029C24">
                  <w:pPr>
                    <w:adjustRightInd w:val="0"/>
                    <w:snapToGrid w:val="0"/>
                    <w:jc w:val="center"/>
                    <w:textAlignment w:val="baseline"/>
                    <w:rPr>
                      <w:color w:val="auto"/>
                      <w:szCs w:val="21"/>
                    </w:rPr>
                  </w:pPr>
                  <w:r>
                    <w:rPr>
                      <w:rFonts w:hint="eastAsia"/>
                      <w:color w:val="auto"/>
                      <w:szCs w:val="21"/>
                    </w:rPr>
                    <w:t>COD、BOD</w:t>
                  </w:r>
                  <w:r>
                    <w:rPr>
                      <w:color w:val="auto"/>
                      <w:szCs w:val="21"/>
                      <w:vertAlign w:val="subscript"/>
                    </w:rPr>
                    <w:t>5</w:t>
                  </w:r>
                  <w:r>
                    <w:rPr>
                      <w:rFonts w:hint="eastAsia"/>
                      <w:color w:val="auto"/>
                      <w:szCs w:val="21"/>
                    </w:rPr>
                    <w:t>、N</w:t>
                  </w:r>
                  <w:r>
                    <w:rPr>
                      <w:color w:val="auto"/>
                      <w:szCs w:val="21"/>
                    </w:rPr>
                    <w:t>H</w:t>
                  </w:r>
                  <w:r>
                    <w:rPr>
                      <w:color w:val="auto"/>
                      <w:szCs w:val="21"/>
                      <w:vertAlign w:val="subscript"/>
                    </w:rPr>
                    <w:t>3</w:t>
                  </w:r>
                  <w:r>
                    <w:rPr>
                      <w:color w:val="auto"/>
                      <w:szCs w:val="21"/>
                    </w:rPr>
                    <w:t>-N</w:t>
                  </w:r>
                  <w:r>
                    <w:rPr>
                      <w:rFonts w:hint="eastAsia"/>
                      <w:color w:val="auto"/>
                      <w:szCs w:val="21"/>
                    </w:rPr>
                    <w:t>、T</w:t>
                  </w:r>
                  <w:r>
                    <w:rPr>
                      <w:color w:val="auto"/>
                      <w:szCs w:val="21"/>
                    </w:rPr>
                    <w:t>P</w:t>
                  </w:r>
                </w:p>
              </w:tc>
              <w:tc>
                <w:tcPr>
                  <w:tcW w:w="2472" w:type="pct"/>
                  <w:tcMar>
                    <w:top w:w="15" w:type="dxa"/>
                    <w:left w:w="15" w:type="dxa"/>
                    <w:right w:w="15" w:type="dxa"/>
                  </w:tcMar>
                  <w:vAlign w:val="center"/>
                </w:tcPr>
                <w:p w14:paraId="532CF7BB">
                  <w:pPr>
                    <w:adjustRightInd w:val="0"/>
                    <w:snapToGrid w:val="0"/>
                    <w:jc w:val="center"/>
                    <w:textAlignment w:val="baseline"/>
                    <w:rPr>
                      <w:color w:val="auto"/>
                      <w:szCs w:val="21"/>
                    </w:rPr>
                  </w:pPr>
                  <w:r>
                    <w:rPr>
                      <w:rFonts w:hint="eastAsia"/>
                      <w:color w:val="auto"/>
                      <w:szCs w:val="21"/>
                    </w:rPr>
                    <w:t>项目生活污水经化粪池预处理后，排入市政污水管网进入纳古镇污水处理站处理。</w:t>
                  </w:r>
                </w:p>
              </w:tc>
            </w:tr>
            <w:tr w14:paraId="51084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trPr>
              <w:tc>
                <w:tcPr>
                  <w:tcW w:w="583" w:type="pct"/>
                  <w:vMerge w:val="continue"/>
                  <w:tcMar>
                    <w:top w:w="15" w:type="dxa"/>
                    <w:left w:w="15" w:type="dxa"/>
                    <w:right w:w="15" w:type="dxa"/>
                  </w:tcMar>
                  <w:vAlign w:val="center"/>
                </w:tcPr>
                <w:p w14:paraId="52E639B0">
                  <w:pPr>
                    <w:adjustRightInd w:val="0"/>
                    <w:snapToGrid w:val="0"/>
                    <w:jc w:val="center"/>
                    <w:textAlignment w:val="baseline"/>
                    <w:rPr>
                      <w:color w:val="auto"/>
                      <w:szCs w:val="21"/>
                    </w:rPr>
                  </w:pPr>
                </w:p>
              </w:tc>
              <w:tc>
                <w:tcPr>
                  <w:tcW w:w="1007" w:type="pct"/>
                  <w:tcMar>
                    <w:top w:w="15" w:type="dxa"/>
                    <w:left w:w="15" w:type="dxa"/>
                    <w:right w:w="15" w:type="dxa"/>
                  </w:tcMar>
                  <w:vAlign w:val="center"/>
                </w:tcPr>
                <w:p w14:paraId="653FFCDC">
                  <w:pPr>
                    <w:adjustRightInd w:val="0"/>
                    <w:snapToGrid w:val="0"/>
                    <w:jc w:val="center"/>
                    <w:textAlignment w:val="baseline"/>
                    <w:rPr>
                      <w:color w:val="auto"/>
                      <w:szCs w:val="21"/>
                    </w:rPr>
                  </w:pPr>
                  <w:r>
                    <w:rPr>
                      <w:rFonts w:hint="eastAsia"/>
                      <w:color w:val="auto"/>
                      <w:szCs w:val="21"/>
                    </w:rPr>
                    <w:t>焊管直接冷却水</w:t>
                  </w:r>
                </w:p>
              </w:tc>
              <w:tc>
                <w:tcPr>
                  <w:tcW w:w="938" w:type="pct"/>
                  <w:tcMar>
                    <w:top w:w="15" w:type="dxa"/>
                    <w:left w:w="15" w:type="dxa"/>
                    <w:right w:w="15" w:type="dxa"/>
                  </w:tcMar>
                  <w:vAlign w:val="center"/>
                </w:tcPr>
                <w:p w14:paraId="62D481A6">
                  <w:pPr>
                    <w:adjustRightInd w:val="0"/>
                    <w:snapToGrid w:val="0"/>
                    <w:jc w:val="center"/>
                    <w:textAlignment w:val="baseline"/>
                    <w:rPr>
                      <w:color w:val="auto"/>
                      <w:szCs w:val="21"/>
                    </w:rPr>
                  </w:pPr>
                  <w:r>
                    <w:rPr>
                      <w:color w:val="auto"/>
                      <w:szCs w:val="21"/>
                    </w:rPr>
                    <w:t>COD</w:t>
                  </w:r>
                  <w:r>
                    <w:rPr>
                      <w:rFonts w:hint="eastAsia"/>
                      <w:color w:val="auto"/>
                      <w:szCs w:val="21"/>
                    </w:rPr>
                    <w:t>、S</w:t>
                  </w:r>
                  <w:r>
                    <w:rPr>
                      <w:color w:val="auto"/>
                      <w:szCs w:val="21"/>
                    </w:rPr>
                    <w:t>S</w:t>
                  </w:r>
                </w:p>
              </w:tc>
              <w:tc>
                <w:tcPr>
                  <w:tcW w:w="2472" w:type="pct"/>
                  <w:tcMar>
                    <w:top w:w="15" w:type="dxa"/>
                    <w:left w:w="15" w:type="dxa"/>
                    <w:right w:w="15" w:type="dxa"/>
                  </w:tcMar>
                  <w:vAlign w:val="center"/>
                </w:tcPr>
                <w:p w14:paraId="0D7EB591">
                  <w:pPr>
                    <w:adjustRightInd w:val="0"/>
                    <w:snapToGrid w:val="0"/>
                    <w:jc w:val="center"/>
                    <w:textAlignment w:val="baseline"/>
                    <w:rPr>
                      <w:color w:val="auto"/>
                      <w:szCs w:val="21"/>
                    </w:rPr>
                  </w:pPr>
                  <w:r>
                    <w:rPr>
                      <w:rFonts w:hint="eastAsia"/>
                      <w:color w:val="auto"/>
                      <w:szCs w:val="21"/>
                    </w:rPr>
                    <w:t>经车间循环水池冷却后循环使用，不外排，定期补水。</w:t>
                  </w:r>
                </w:p>
              </w:tc>
            </w:tr>
            <w:tr w14:paraId="0BAA91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583" w:type="pct"/>
                  <w:tcMar>
                    <w:top w:w="15" w:type="dxa"/>
                    <w:left w:w="15" w:type="dxa"/>
                    <w:right w:w="15" w:type="dxa"/>
                  </w:tcMar>
                  <w:vAlign w:val="center"/>
                </w:tcPr>
                <w:p w14:paraId="10533D39">
                  <w:pPr>
                    <w:adjustRightInd w:val="0"/>
                    <w:snapToGrid w:val="0"/>
                    <w:jc w:val="center"/>
                    <w:textAlignment w:val="baseline"/>
                    <w:rPr>
                      <w:color w:val="auto"/>
                      <w:szCs w:val="21"/>
                    </w:rPr>
                  </w:pPr>
                  <w:r>
                    <w:rPr>
                      <w:color w:val="auto"/>
                      <w:szCs w:val="21"/>
                    </w:rPr>
                    <w:t>噪声</w:t>
                  </w:r>
                </w:p>
              </w:tc>
              <w:tc>
                <w:tcPr>
                  <w:tcW w:w="1007" w:type="pct"/>
                  <w:tcMar>
                    <w:top w:w="15" w:type="dxa"/>
                    <w:left w:w="15" w:type="dxa"/>
                    <w:right w:w="15" w:type="dxa"/>
                  </w:tcMar>
                  <w:vAlign w:val="center"/>
                </w:tcPr>
                <w:p w14:paraId="64607C9C">
                  <w:pPr>
                    <w:adjustRightInd w:val="0"/>
                    <w:snapToGrid w:val="0"/>
                    <w:jc w:val="center"/>
                    <w:textAlignment w:val="baseline"/>
                    <w:rPr>
                      <w:color w:val="auto"/>
                      <w:szCs w:val="21"/>
                    </w:rPr>
                  </w:pPr>
                  <w:r>
                    <w:rPr>
                      <w:rFonts w:hint="eastAsia"/>
                      <w:color w:val="auto"/>
                      <w:szCs w:val="21"/>
                    </w:rPr>
                    <w:t>生产设备</w:t>
                  </w:r>
                </w:p>
              </w:tc>
              <w:tc>
                <w:tcPr>
                  <w:tcW w:w="938" w:type="pct"/>
                  <w:tcMar>
                    <w:top w:w="15" w:type="dxa"/>
                    <w:left w:w="15" w:type="dxa"/>
                    <w:right w:w="15" w:type="dxa"/>
                  </w:tcMar>
                  <w:vAlign w:val="center"/>
                </w:tcPr>
                <w:p w14:paraId="649962C2">
                  <w:pPr>
                    <w:adjustRightInd w:val="0"/>
                    <w:snapToGrid w:val="0"/>
                    <w:jc w:val="center"/>
                    <w:textAlignment w:val="baseline"/>
                    <w:rPr>
                      <w:color w:val="auto"/>
                      <w:szCs w:val="21"/>
                    </w:rPr>
                  </w:pPr>
                  <w:r>
                    <w:rPr>
                      <w:color w:val="auto"/>
                      <w:szCs w:val="21"/>
                    </w:rPr>
                    <w:t>L</w:t>
                  </w:r>
                  <w:r>
                    <w:rPr>
                      <w:color w:val="auto"/>
                      <w:szCs w:val="21"/>
                      <w:vertAlign w:val="subscript"/>
                    </w:rPr>
                    <w:t>Aeq</w:t>
                  </w:r>
                </w:p>
              </w:tc>
              <w:tc>
                <w:tcPr>
                  <w:tcW w:w="2472" w:type="pct"/>
                  <w:tcMar>
                    <w:top w:w="15" w:type="dxa"/>
                    <w:left w:w="15" w:type="dxa"/>
                    <w:right w:w="15" w:type="dxa"/>
                  </w:tcMar>
                  <w:vAlign w:val="center"/>
                </w:tcPr>
                <w:p w14:paraId="6B6E9081">
                  <w:pPr>
                    <w:adjustRightInd w:val="0"/>
                    <w:snapToGrid w:val="0"/>
                    <w:jc w:val="center"/>
                    <w:textAlignment w:val="baseline"/>
                    <w:rPr>
                      <w:color w:val="auto"/>
                      <w:szCs w:val="21"/>
                    </w:rPr>
                  </w:pPr>
                  <w:r>
                    <w:rPr>
                      <w:rFonts w:hint="eastAsia"/>
                      <w:color w:val="auto"/>
                      <w:szCs w:val="21"/>
                    </w:rPr>
                    <w:t>厂房隔声，基础减振、加装消声器</w:t>
                  </w:r>
                  <w:r>
                    <w:rPr>
                      <w:color w:val="auto"/>
                      <w:szCs w:val="21"/>
                    </w:rPr>
                    <w:t>等措施</w:t>
                  </w:r>
                </w:p>
              </w:tc>
            </w:tr>
            <w:tr w14:paraId="3B1CB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583" w:type="pct"/>
                  <w:vMerge w:val="restart"/>
                  <w:tcMar>
                    <w:top w:w="15" w:type="dxa"/>
                    <w:left w:w="15" w:type="dxa"/>
                    <w:right w:w="15" w:type="dxa"/>
                  </w:tcMar>
                  <w:vAlign w:val="center"/>
                </w:tcPr>
                <w:p w14:paraId="299D10C1">
                  <w:pPr>
                    <w:adjustRightInd w:val="0"/>
                    <w:snapToGrid w:val="0"/>
                    <w:jc w:val="center"/>
                    <w:textAlignment w:val="baseline"/>
                    <w:rPr>
                      <w:color w:val="auto"/>
                      <w:szCs w:val="21"/>
                    </w:rPr>
                  </w:pPr>
                  <w:r>
                    <w:rPr>
                      <w:color w:val="auto"/>
                      <w:szCs w:val="21"/>
                    </w:rPr>
                    <w:t>固体废物</w:t>
                  </w:r>
                </w:p>
              </w:tc>
              <w:tc>
                <w:tcPr>
                  <w:tcW w:w="1007" w:type="pct"/>
                  <w:vMerge w:val="restart"/>
                  <w:tcMar>
                    <w:top w:w="15" w:type="dxa"/>
                    <w:left w:w="15" w:type="dxa"/>
                    <w:right w:w="15" w:type="dxa"/>
                  </w:tcMar>
                  <w:vAlign w:val="center"/>
                </w:tcPr>
                <w:p w14:paraId="09987E81">
                  <w:pPr>
                    <w:adjustRightInd w:val="0"/>
                    <w:snapToGrid w:val="0"/>
                    <w:jc w:val="center"/>
                    <w:textAlignment w:val="baseline"/>
                    <w:rPr>
                      <w:color w:val="auto"/>
                      <w:szCs w:val="21"/>
                    </w:rPr>
                  </w:pPr>
                  <w:r>
                    <w:rPr>
                      <w:rFonts w:hint="eastAsia"/>
                      <w:color w:val="auto"/>
                      <w:szCs w:val="21"/>
                    </w:rPr>
                    <w:t>生产过程</w:t>
                  </w:r>
                </w:p>
              </w:tc>
              <w:tc>
                <w:tcPr>
                  <w:tcW w:w="938" w:type="pct"/>
                  <w:tcMar>
                    <w:top w:w="15" w:type="dxa"/>
                    <w:left w:w="15" w:type="dxa"/>
                    <w:right w:w="15" w:type="dxa"/>
                  </w:tcMar>
                  <w:vAlign w:val="center"/>
                </w:tcPr>
                <w:p w14:paraId="3A39CBCB">
                  <w:pPr>
                    <w:adjustRightInd w:val="0"/>
                    <w:snapToGrid w:val="0"/>
                    <w:jc w:val="center"/>
                    <w:textAlignment w:val="baseline"/>
                    <w:rPr>
                      <w:color w:val="auto"/>
                      <w:szCs w:val="21"/>
                    </w:rPr>
                  </w:pPr>
                  <w:r>
                    <w:rPr>
                      <w:color w:val="auto"/>
                    </w:rPr>
                    <w:t>废边角料</w:t>
                  </w:r>
                  <w:r>
                    <w:rPr>
                      <w:rFonts w:hint="eastAsia"/>
                      <w:color w:val="auto"/>
                    </w:rPr>
                    <w:t>、不合格产品</w:t>
                  </w:r>
                </w:p>
              </w:tc>
              <w:tc>
                <w:tcPr>
                  <w:tcW w:w="2472" w:type="pct"/>
                  <w:tcMar>
                    <w:top w:w="15" w:type="dxa"/>
                    <w:left w:w="15" w:type="dxa"/>
                    <w:right w:w="15" w:type="dxa"/>
                  </w:tcMar>
                  <w:vAlign w:val="center"/>
                </w:tcPr>
                <w:p w14:paraId="564BF5AC">
                  <w:pPr>
                    <w:adjustRightInd w:val="0"/>
                    <w:snapToGrid w:val="0"/>
                    <w:jc w:val="center"/>
                    <w:textAlignment w:val="baseline"/>
                    <w:rPr>
                      <w:color w:val="auto"/>
                      <w:szCs w:val="21"/>
                    </w:rPr>
                  </w:pPr>
                  <w:r>
                    <w:rPr>
                      <w:rFonts w:hint="eastAsia"/>
                      <w:color w:val="auto"/>
                      <w:szCs w:val="21"/>
                    </w:rPr>
                    <w:t>收集后暂存于一般固废暂存间，外售处置。</w:t>
                  </w:r>
                </w:p>
              </w:tc>
            </w:tr>
            <w:tr w14:paraId="06015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583" w:type="pct"/>
                  <w:vMerge w:val="continue"/>
                  <w:tcMar>
                    <w:top w:w="15" w:type="dxa"/>
                    <w:left w:w="15" w:type="dxa"/>
                    <w:right w:w="15" w:type="dxa"/>
                  </w:tcMar>
                  <w:vAlign w:val="center"/>
                </w:tcPr>
                <w:p w14:paraId="238C0B6F">
                  <w:pPr>
                    <w:adjustRightInd w:val="0"/>
                    <w:snapToGrid w:val="0"/>
                    <w:jc w:val="center"/>
                    <w:textAlignment w:val="baseline"/>
                    <w:rPr>
                      <w:color w:val="auto"/>
                      <w:szCs w:val="21"/>
                    </w:rPr>
                  </w:pPr>
                </w:p>
              </w:tc>
              <w:tc>
                <w:tcPr>
                  <w:tcW w:w="1007" w:type="pct"/>
                  <w:vMerge w:val="continue"/>
                  <w:tcMar>
                    <w:top w:w="15" w:type="dxa"/>
                    <w:left w:w="15" w:type="dxa"/>
                    <w:right w:w="15" w:type="dxa"/>
                  </w:tcMar>
                  <w:vAlign w:val="center"/>
                </w:tcPr>
                <w:p w14:paraId="4E9F58B2">
                  <w:pPr>
                    <w:adjustRightInd w:val="0"/>
                    <w:snapToGrid w:val="0"/>
                    <w:jc w:val="center"/>
                    <w:textAlignment w:val="baseline"/>
                    <w:rPr>
                      <w:color w:val="auto"/>
                      <w:szCs w:val="21"/>
                    </w:rPr>
                  </w:pPr>
                </w:p>
              </w:tc>
              <w:tc>
                <w:tcPr>
                  <w:tcW w:w="938" w:type="pct"/>
                  <w:tcMar>
                    <w:top w:w="15" w:type="dxa"/>
                    <w:left w:w="15" w:type="dxa"/>
                    <w:right w:w="15" w:type="dxa"/>
                  </w:tcMar>
                  <w:vAlign w:val="center"/>
                </w:tcPr>
                <w:p w14:paraId="521A876B">
                  <w:pPr>
                    <w:adjustRightInd w:val="0"/>
                    <w:snapToGrid w:val="0"/>
                    <w:jc w:val="center"/>
                    <w:textAlignment w:val="baseline"/>
                    <w:rPr>
                      <w:color w:val="auto"/>
                    </w:rPr>
                  </w:pPr>
                  <w:r>
                    <w:rPr>
                      <w:rFonts w:hint="eastAsia"/>
                      <w:color w:val="auto"/>
                    </w:rPr>
                    <w:t>金属沉渣</w:t>
                  </w:r>
                </w:p>
              </w:tc>
              <w:tc>
                <w:tcPr>
                  <w:tcW w:w="2472" w:type="pct"/>
                  <w:tcMar>
                    <w:top w:w="15" w:type="dxa"/>
                    <w:left w:w="15" w:type="dxa"/>
                    <w:right w:w="15" w:type="dxa"/>
                  </w:tcMar>
                  <w:vAlign w:val="center"/>
                </w:tcPr>
                <w:p w14:paraId="5EC9FD25">
                  <w:pPr>
                    <w:adjustRightInd w:val="0"/>
                    <w:snapToGrid w:val="0"/>
                    <w:jc w:val="center"/>
                    <w:textAlignment w:val="baseline"/>
                    <w:rPr>
                      <w:color w:val="auto"/>
                      <w:szCs w:val="21"/>
                    </w:rPr>
                  </w:pPr>
                  <w:r>
                    <w:rPr>
                      <w:color w:val="auto"/>
                      <w:szCs w:val="21"/>
                    </w:rPr>
                    <w:t>金属沉渣</w:t>
                  </w:r>
                  <w:r>
                    <w:rPr>
                      <w:bCs/>
                      <w:color w:val="auto"/>
                      <w:szCs w:val="21"/>
                    </w:rPr>
                    <w:t>每次清掏</w:t>
                  </w:r>
                  <w:r>
                    <w:rPr>
                      <w:rFonts w:hint="eastAsia"/>
                      <w:bCs/>
                      <w:color w:val="auto"/>
                      <w:szCs w:val="21"/>
                    </w:rPr>
                    <w:t>前</w:t>
                  </w:r>
                  <w:r>
                    <w:rPr>
                      <w:bCs/>
                      <w:color w:val="auto"/>
                      <w:szCs w:val="21"/>
                    </w:rPr>
                    <w:t>进行浸出毒性检测，为一般固废则存放于一般固废暂存间进行外售处置；若为危险固废则暂存于危废暂存间，</w:t>
                  </w:r>
                  <w:r>
                    <w:rPr>
                      <w:color w:val="auto"/>
                      <w:szCs w:val="21"/>
                    </w:rPr>
                    <w:t>定期交由有资质的单位进行处置。</w:t>
                  </w:r>
                </w:p>
              </w:tc>
            </w:tr>
            <w:tr w14:paraId="19C5F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583" w:type="pct"/>
                  <w:vMerge w:val="continue"/>
                  <w:tcMar>
                    <w:top w:w="15" w:type="dxa"/>
                    <w:left w:w="15" w:type="dxa"/>
                    <w:right w:w="15" w:type="dxa"/>
                  </w:tcMar>
                  <w:vAlign w:val="center"/>
                </w:tcPr>
                <w:p w14:paraId="58149467">
                  <w:pPr>
                    <w:adjustRightInd w:val="0"/>
                    <w:snapToGrid w:val="0"/>
                    <w:jc w:val="center"/>
                    <w:textAlignment w:val="baseline"/>
                    <w:rPr>
                      <w:color w:val="auto"/>
                      <w:szCs w:val="21"/>
                    </w:rPr>
                  </w:pPr>
                </w:p>
              </w:tc>
              <w:tc>
                <w:tcPr>
                  <w:tcW w:w="1007" w:type="pct"/>
                  <w:vMerge w:val="continue"/>
                  <w:tcMar>
                    <w:top w:w="15" w:type="dxa"/>
                    <w:left w:w="15" w:type="dxa"/>
                    <w:right w:w="15" w:type="dxa"/>
                  </w:tcMar>
                  <w:vAlign w:val="center"/>
                </w:tcPr>
                <w:p w14:paraId="288E2A2E">
                  <w:pPr>
                    <w:adjustRightInd w:val="0"/>
                    <w:snapToGrid w:val="0"/>
                    <w:jc w:val="center"/>
                    <w:textAlignment w:val="baseline"/>
                    <w:rPr>
                      <w:color w:val="auto"/>
                      <w:szCs w:val="21"/>
                    </w:rPr>
                  </w:pPr>
                </w:p>
              </w:tc>
              <w:tc>
                <w:tcPr>
                  <w:tcW w:w="938" w:type="pct"/>
                  <w:tcMar>
                    <w:top w:w="15" w:type="dxa"/>
                    <w:left w:w="15" w:type="dxa"/>
                    <w:right w:w="15" w:type="dxa"/>
                  </w:tcMar>
                  <w:vAlign w:val="center"/>
                </w:tcPr>
                <w:p w14:paraId="70F4FCBA">
                  <w:pPr>
                    <w:adjustRightInd w:val="0"/>
                    <w:snapToGrid w:val="0"/>
                    <w:jc w:val="center"/>
                    <w:textAlignment w:val="baseline"/>
                    <w:rPr>
                      <w:color w:val="auto"/>
                    </w:rPr>
                  </w:pPr>
                  <w:r>
                    <w:rPr>
                      <w:rFonts w:hint="eastAsia"/>
                      <w:color w:val="auto"/>
                      <w:szCs w:val="21"/>
                    </w:rPr>
                    <w:t>布袋除尘器收集除尘灰</w:t>
                  </w:r>
                </w:p>
              </w:tc>
              <w:tc>
                <w:tcPr>
                  <w:tcW w:w="2472" w:type="pct"/>
                  <w:tcMar>
                    <w:top w:w="15" w:type="dxa"/>
                    <w:left w:w="15" w:type="dxa"/>
                    <w:right w:w="15" w:type="dxa"/>
                  </w:tcMar>
                  <w:vAlign w:val="center"/>
                </w:tcPr>
                <w:p w14:paraId="0190597F">
                  <w:pPr>
                    <w:adjustRightInd w:val="0"/>
                    <w:snapToGrid w:val="0"/>
                    <w:jc w:val="center"/>
                    <w:textAlignment w:val="baseline"/>
                    <w:rPr>
                      <w:color w:val="auto"/>
                      <w:szCs w:val="21"/>
                    </w:rPr>
                  </w:pPr>
                  <w:r>
                    <w:rPr>
                      <w:rFonts w:hint="eastAsia"/>
                      <w:color w:val="auto"/>
                      <w:szCs w:val="21"/>
                    </w:rPr>
                    <w:t>收集后暂存于一般固废暂存间，外售处置。</w:t>
                  </w:r>
                </w:p>
              </w:tc>
            </w:tr>
            <w:tr w14:paraId="5A60D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583" w:type="pct"/>
                  <w:vMerge w:val="continue"/>
                  <w:tcMar>
                    <w:top w:w="15" w:type="dxa"/>
                    <w:left w:w="15" w:type="dxa"/>
                    <w:right w:w="15" w:type="dxa"/>
                  </w:tcMar>
                  <w:vAlign w:val="center"/>
                </w:tcPr>
                <w:p w14:paraId="5B6A4BE2">
                  <w:pPr>
                    <w:adjustRightInd w:val="0"/>
                    <w:snapToGrid w:val="0"/>
                    <w:jc w:val="center"/>
                    <w:textAlignment w:val="baseline"/>
                    <w:rPr>
                      <w:color w:val="auto"/>
                      <w:szCs w:val="21"/>
                    </w:rPr>
                  </w:pPr>
                </w:p>
              </w:tc>
              <w:tc>
                <w:tcPr>
                  <w:tcW w:w="1007" w:type="pct"/>
                  <w:vMerge w:val="continue"/>
                  <w:tcMar>
                    <w:top w:w="15" w:type="dxa"/>
                    <w:left w:w="15" w:type="dxa"/>
                    <w:right w:w="15" w:type="dxa"/>
                  </w:tcMar>
                  <w:vAlign w:val="center"/>
                </w:tcPr>
                <w:p w14:paraId="17EE0A63">
                  <w:pPr>
                    <w:adjustRightInd w:val="0"/>
                    <w:snapToGrid w:val="0"/>
                    <w:jc w:val="center"/>
                    <w:textAlignment w:val="baseline"/>
                    <w:rPr>
                      <w:color w:val="auto"/>
                      <w:szCs w:val="21"/>
                    </w:rPr>
                  </w:pPr>
                </w:p>
              </w:tc>
              <w:tc>
                <w:tcPr>
                  <w:tcW w:w="938" w:type="pct"/>
                  <w:tcMar>
                    <w:top w:w="15" w:type="dxa"/>
                    <w:left w:w="15" w:type="dxa"/>
                    <w:right w:w="15" w:type="dxa"/>
                  </w:tcMar>
                  <w:vAlign w:val="center"/>
                </w:tcPr>
                <w:p w14:paraId="22113BB4">
                  <w:pPr>
                    <w:adjustRightInd w:val="0"/>
                    <w:snapToGrid w:val="0"/>
                    <w:jc w:val="center"/>
                    <w:textAlignment w:val="baseline"/>
                    <w:rPr>
                      <w:color w:val="auto"/>
                    </w:rPr>
                  </w:pPr>
                  <w:r>
                    <w:rPr>
                      <w:rFonts w:hint="eastAsia"/>
                      <w:color w:val="auto"/>
                      <w:kern w:val="0"/>
                      <w:szCs w:val="21"/>
                      <w:lang w:bidi="ar"/>
                    </w:rPr>
                    <w:t>废机油和废油桶</w:t>
                  </w:r>
                </w:p>
              </w:tc>
              <w:tc>
                <w:tcPr>
                  <w:tcW w:w="2472" w:type="pct"/>
                  <w:tcMar>
                    <w:top w:w="15" w:type="dxa"/>
                    <w:left w:w="15" w:type="dxa"/>
                    <w:right w:w="15" w:type="dxa"/>
                  </w:tcMar>
                  <w:vAlign w:val="center"/>
                </w:tcPr>
                <w:p w14:paraId="0A2C23AA">
                  <w:pPr>
                    <w:adjustRightInd w:val="0"/>
                    <w:snapToGrid w:val="0"/>
                    <w:jc w:val="center"/>
                    <w:textAlignment w:val="baseline"/>
                    <w:rPr>
                      <w:color w:val="auto"/>
                      <w:szCs w:val="21"/>
                    </w:rPr>
                  </w:pPr>
                  <w:r>
                    <w:rPr>
                      <w:rFonts w:hint="eastAsia"/>
                      <w:color w:val="auto"/>
                      <w:szCs w:val="21"/>
                    </w:rPr>
                    <w:t>统一收集后暂存于危废暂存间，定期交由有资质的单位进行处置</w:t>
                  </w:r>
                </w:p>
              </w:tc>
            </w:tr>
            <w:tr w14:paraId="638A3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83" w:type="pct"/>
                  <w:vMerge w:val="continue"/>
                  <w:tcMar>
                    <w:top w:w="15" w:type="dxa"/>
                    <w:left w:w="15" w:type="dxa"/>
                    <w:right w:w="15" w:type="dxa"/>
                  </w:tcMar>
                  <w:vAlign w:val="center"/>
                </w:tcPr>
                <w:p w14:paraId="504658CF">
                  <w:pPr>
                    <w:adjustRightInd w:val="0"/>
                    <w:snapToGrid w:val="0"/>
                    <w:jc w:val="center"/>
                    <w:textAlignment w:val="baseline"/>
                    <w:rPr>
                      <w:color w:val="auto"/>
                      <w:szCs w:val="21"/>
                    </w:rPr>
                  </w:pPr>
                </w:p>
              </w:tc>
              <w:tc>
                <w:tcPr>
                  <w:tcW w:w="1007" w:type="pct"/>
                  <w:tcMar>
                    <w:top w:w="15" w:type="dxa"/>
                    <w:left w:w="15" w:type="dxa"/>
                    <w:right w:w="15" w:type="dxa"/>
                  </w:tcMar>
                  <w:vAlign w:val="center"/>
                </w:tcPr>
                <w:p w14:paraId="35C9CC06">
                  <w:pPr>
                    <w:adjustRightInd w:val="0"/>
                    <w:snapToGrid w:val="0"/>
                    <w:jc w:val="center"/>
                    <w:textAlignment w:val="baseline"/>
                    <w:rPr>
                      <w:color w:val="auto"/>
                      <w:szCs w:val="21"/>
                    </w:rPr>
                  </w:pPr>
                  <w:r>
                    <w:rPr>
                      <w:rFonts w:hint="eastAsia"/>
                      <w:color w:val="auto"/>
                      <w:szCs w:val="21"/>
                    </w:rPr>
                    <w:t>员工生活</w:t>
                  </w:r>
                </w:p>
              </w:tc>
              <w:tc>
                <w:tcPr>
                  <w:tcW w:w="938" w:type="pct"/>
                  <w:tcMar>
                    <w:top w:w="15" w:type="dxa"/>
                    <w:left w:w="15" w:type="dxa"/>
                    <w:right w:w="15" w:type="dxa"/>
                  </w:tcMar>
                  <w:vAlign w:val="center"/>
                </w:tcPr>
                <w:p w14:paraId="19A4DF51">
                  <w:pPr>
                    <w:adjustRightInd w:val="0"/>
                    <w:snapToGrid w:val="0"/>
                    <w:jc w:val="center"/>
                    <w:textAlignment w:val="baseline"/>
                    <w:rPr>
                      <w:color w:val="auto"/>
                      <w:szCs w:val="21"/>
                    </w:rPr>
                  </w:pPr>
                  <w:r>
                    <w:rPr>
                      <w:rFonts w:hint="eastAsia"/>
                      <w:color w:val="auto"/>
                      <w:szCs w:val="21"/>
                    </w:rPr>
                    <w:t>生活垃圾</w:t>
                  </w:r>
                </w:p>
              </w:tc>
              <w:tc>
                <w:tcPr>
                  <w:tcW w:w="2472" w:type="pct"/>
                  <w:tcMar>
                    <w:top w:w="15" w:type="dxa"/>
                    <w:left w:w="15" w:type="dxa"/>
                    <w:right w:w="15" w:type="dxa"/>
                  </w:tcMar>
                  <w:vAlign w:val="center"/>
                </w:tcPr>
                <w:p w14:paraId="6517F7CC">
                  <w:pPr>
                    <w:adjustRightInd w:val="0"/>
                    <w:snapToGrid w:val="0"/>
                    <w:jc w:val="center"/>
                    <w:textAlignment w:val="baseline"/>
                    <w:rPr>
                      <w:color w:val="auto"/>
                      <w:szCs w:val="21"/>
                    </w:rPr>
                  </w:pPr>
                  <w:r>
                    <w:rPr>
                      <w:color w:val="auto"/>
                      <w:szCs w:val="21"/>
                    </w:rPr>
                    <w:t>生活垃圾</w:t>
                  </w:r>
                  <w:r>
                    <w:rPr>
                      <w:rFonts w:hint="eastAsia" w:asciiTheme="minorEastAsia" w:hAnsiTheme="minorEastAsia" w:eastAsiaTheme="minorEastAsia"/>
                      <w:color w:val="auto"/>
                      <w:szCs w:val="21"/>
                    </w:rPr>
                    <w:t>委托环卫部门清运处置</w:t>
                  </w:r>
                </w:p>
              </w:tc>
            </w:tr>
            <w:tr w14:paraId="748452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83" w:type="pct"/>
                  <w:vMerge w:val="continue"/>
                  <w:tcMar>
                    <w:top w:w="15" w:type="dxa"/>
                    <w:left w:w="15" w:type="dxa"/>
                    <w:right w:w="15" w:type="dxa"/>
                  </w:tcMar>
                  <w:vAlign w:val="center"/>
                </w:tcPr>
                <w:p w14:paraId="4786389F">
                  <w:pPr>
                    <w:adjustRightInd w:val="0"/>
                    <w:snapToGrid w:val="0"/>
                    <w:jc w:val="center"/>
                    <w:textAlignment w:val="baseline"/>
                    <w:rPr>
                      <w:color w:val="auto"/>
                      <w:szCs w:val="21"/>
                    </w:rPr>
                  </w:pPr>
                  <w:bookmarkStart w:id="65" w:name="_Hlk157611568"/>
                </w:p>
              </w:tc>
              <w:tc>
                <w:tcPr>
                  <w:tcW w:w="1007" w:type="pct"/>
                  <w:tcMar>
                    <w:top w:w="15" w:type="dxa"/>
                    <w:left w:w="15" w:type="dxa"/>
                    <w:right w:w="15" w:type="dxa"/>
                  </w:tcMar>
                  <w:vAlign w:val="center"/>
                </w:tcPr>
                <w:p w14:paraId="0336F605">
                  <w:pPr>
                    <w:adjustRightInd w:val="0"/>
                    <w:snapToGrid w:val="0"/>
                    <w:jc w:val="center"/>
                    <w:textAlignment w:val="baseline"/>
                    <w:rPr>
                      <w:color w:val="auto"/>
                      <w:szCs w:val="21"/>
                    </w:rPr>
                  </w:pPr>
                  <w:r>
                    <w:rPr>
                      <w:rFonts w:hint="eastAsia"/>
                      <w:color w:val="auto"/>
                      <w:szCs w:val="21"/>
                    </w:rPr>
                    <w:t>污泥</w:t>
                  </w:r>
                </w:p>
              </w:tc>
              <w:tc>
                <w:tcPr>
                  <w:tcW w:w="938" w:type="pct"/>
                  <w:tcMar>
                    <w:top w:w="15" w:type="dxa"/>
                    <w:left w:w="15" w:type="dxa"/>
                    <w:right w:w="15" w:type="dxa"/>
                  </w:tcMar>
                  <w:vAlign w:val="center"/>
                </w:tcPr>
                <w:p w14:paraId="11DA9B89">
                  <w:pPr>
                    <w:adjustRightInd w:val="0"/>
                    <w:snapToGrid w:val="0"/>
                    <w:jc w:val="center"/>
                    <w:textAlignment w:val="baseline"/>
                    <w:rPr>
                      <w:color w:val="auto"/>
                      <w:szCs w:val="21"/>
                    </w:rPr>
                  </w:pPr>
                  <w:r>
                    <w:rPr>
                      <w:rFonts w:hint="eastAsia"/>
                      <w:color w:val="auto"/>
                      <w:szCs w:val="21"/>
                    </w:rPr>
                    <w:t>化粪池污泥</w:t>
                  </w:r>
                </w:p>
              </w:tc>
              <w:tc>
                <w:tcPr>
                  <w:tcW w:w="2472" w:type="pct"/>
                  <w:tcMar>
                    <w:top w:w="15" w:type="dxa"/>
                    <w:left w:w="15" w:type="dxa"/>
                    <w:right w:w="15" w:type="dxa"/>
                  </w:tcMar>
                  <w:vAlign w:val="center"/>
                </w:tcPr>
                <w:p w14:paraId="0A8D9470">
                  <w:pPr>
                    <w:adjustRightInd w:val="0"/>
                    <w:snapToGrid w:val="0"/>
                    <w:jc w:val="center"/>
                    <w:textAlignment w:val="baseline"/>
                    <w:rPr>
                      <w:color w:val="auto"/>
                      <w:szCs w:val="21"/>
                    </w:rPr>
                  </w:pPr>
                  <w:r>
                    <w:rPr>
                      <w:rFonts w:hint="eastAsia"/>
                      <w:color w:val="auto"/>
                    </w:rPr>
                    <w:t>化粪池污泥委托环卫部门</w:t>
                  </w:r>
                  <w:r>
                    <w:rPr>
                      <w:rFonts w:hint="eastAsia"/>
                      <w:color w:val="auto"/>
                      <w:kern w:val="24"/>
                    </w:rPr>
                    <w:t>清掏处置</w:t>
                  </w:r>
                </w:p>
              </w:tc>
            </w:tr>
            <w:bookmarkEnd w:id="65"/>
          </w:tbl>
          <w:p w14:paraId="7A2D3764">
            <w:pPr>
              <w:adjustRightInd w:val="0"/>
              <w:snapToGrid w:val="0"/>
              <w:spacing w:line="360" w:lineRule="auto"/>
              <w:ind w:firstLine="480" w:firstLineChars="200"/>
              <w:rPr>
                <w:bCs/>
                <w:color w:val="auto"/>
                <w:sz w:val="24"/>
              </w:rPr>
            </w:pPr>
          </w:p>
        </w:tc>
      </w:tr>
      <w:tr w14:paraId="494D2F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420" w:type="dxa"/>
            <w:vAlign w:val="center"/>
          </w:tcPr>
          <w:p w14:paraId="707C146E">
            <w:pPr>
              <w:pStyle w:val="28"/>
              <w:adjustRightInd w:val="0"/>
              <w:snapToGrid w:val="0"/>
              <w:spacing w:before="0" w:beforeAutospacing="0" w:after="0" w:afterAutospacing="0"/>
              <w:jc w:val="center"/>
              <w:rPr>
                <w:rFonts w:ascii="Times New Roman" w:hAnsi="Times New Roman"/>
                <w:color w:val="auto"/>
                <w:szCs w:val="24"/>
              </w:rPr>
            </w:pPr>
            <w:r>
              <w:rPr>
                <w:rFonts w:ascii="Times New Roman"/>
                <w:bCs/>
                <w:color w:val="auto"/>
                <w:kern w:val="2"/>
                <w:szCs w:val="24"/>
              </w:rPr>
              <w:t>项目有关的原有环境污染问题</w:t>
            </w:r>
          </w:p>
        </w:tc>
        <w:tc>
          <w:tcPr>
            <w:tcW w:w="8864" w:type="dxa"/>
          </w:tcPr>
          <w:p w14:paraId="6748F278">
            <w:pPr>
              <w:adjustRightInd w:val="0"/>
              <w:snapToGrid w:val="0"/>
              <w:spacing w:line="360" w:lineRule="auto"/>
              <w:rPr>
                <w:b/>
                <w:color w:val="auto"/>
                <w:sz w:val="24"/>
              </w:rPr>
            </w:pPr>
            <w:r>
              <w:rPr>
                <w:rFonts w:hint="eastAsia"/>
                <w:b/>
                <w:color w:val="auto"/>
                <w:sz w:val="24"/>
              </w:rPr>
              <w:t>1、原项目简述</w:t>
            </w:r>
          </w:p>
          <w:p w14:paraId="656BD29F">
            <w:pPr>
              <w:adjustRightInd w:val="0"/>
              <w:snapToGrid w:val="0"/>
              <w:spacing w:line="360" w:lineRule="auto"/>
              <w:ind w:firstLine="480" w:firstLineChars="200"/>
              <w:rPr>
                <w:bCs/>
                <w:color w:val="auto"/>
                <w:sz w:val="24"/>
              </w:rPr>
            </w:pPr>
            <w:r>
              <w:rPr>
                <w:rFonts w:hint="eastAsia"/>
                <w:bCs/>
                <w:color w:val="auto"/>
                <w:sz w:val="24"/>
              </w:rPr>
              <w:t>云南省通海县鸿翔焊管有限公司</w:t>
            </w:r>
            <w:r>
              <w:rPr>
                <w:bCs/>
                <w:color w:val="auto"/>
                <w:sz w:val="24"/>
              </w:rPr>
              <w:t>，成立于</w:t>
            </w:r>
            <w:r>
              <w:rPr>
                <w:rFonts w:hint="eastAsia"/>
                <w:bCs/>
                <w:color w:val="auto"/>
                <w:sz w:val="24"/>
              </w:rPr>
              <w:t>1998</w:t>
            </w:r>
            <w:r>
              <w:rPr>
                <w:bCs/>
                <w:color w:val="auto"/>
                <w:sz w:val="24"/>
              </w:rPr>
              <w:t>年</w:t>
            </w:r>
            <w:r>
              <w:rPr>
                <w:rFonts w:hint="eastAsia"/>
                <w:bCs/>
                <w:color w:val="auto"/>
                <w:sz w:val="24"/>
              </w:rPr>
              <w:t>9</w:t>
            </w:r>
            <w:r>
              <w:rPr>
                <w:bCs/>
                <w:color w:val="auto"/>
                <w:sz w:val="24"/>
              </w:rPr>
              <w:t>月</w:t>
            </w:r>
            <w:r>
              <w:rPr>
                <w:rFonts w:hint="eastAsia"/>
                <w:bCs/>
                <w:color w:val="auto"/>
                <w:sz w:val="24"/>
              </w:rPr>
              <w:t>1</w:t>
            </w:r>
            <w:r>
              <w:rPr>
                <w:bCs/>
                <w:color w:val="auto"/>
                <w:sz w:val="24"/>
              </w:rPr>
              <w:t>日，</w:t>
            </w:r>
            <w:r>
              <w:rPr>
                <w:rFonts w:hint="eastAsia"/>
                <w:bCs/>
                <w:color w:val="auto"/>
                <w:sz w:val="24"/>
              </w:rPr>
              <w:t>主要从事高频直缝焊管生产。2008年9月，建设单位建成了年产40000吨焊管生产线项目，包含1条纵剪生产线及4条高频焊管生产线，主要工序为冷轧、纵剪、退火、感应热处理、焊接等，建设单位将退火炉燃煤改造为电加热，再后来拆除了冷轧、退火、感应热处理等工序，目前仅余1条纵剪生产线及4条高频焊管焊接生产线。</w:t>
            </w:r>
          </w:p>
          <w:p w14:paraId="747BFABF">
            <w:pPr>
              <w:adjustRightInd w:val="0"/>
              <w:snapToGrid w:val="0"/>
              <w:spacing w:line="360" w:lineRule="auto"/>
              <w:ind w:firstLine="480" w:firstLineChars="200"/>
              <w:rPr>
                <w:bCs/>
                <w:color w:val="auto"/>
                <w:sz w:val="24"/>
              </w:rPr>
            </w:pPr>
            <w:r>
              <w:rPr>
                <w:rFonts w:hint="eastAsia"/>
                <w:bCs/>
                <w:color w:val="auto"/>
                <w:sz w:val="24"/>
              </w:rPr>
              <w:t>2025年11月25日，玉溪市生态环境局经现场检查，发现公司生产车间4号内建成两条高频焊管生产线（含1条纵剪线），未办理环保手续，以玉环罚告[2026]1-11号对建设单位进行了处罚。目前厂区属于停产状态。原有项目环保手续执行情况如下：</w:t>
            </w:r>
          </w:p>
          <w:p w14:paraId="68280395">
            <w:pPr>
              <w:adjustRightInd w:val="0"/>
              <w:snapToGrid w:val="0"/>
              <w:spacing w:line="360" w:lineRule="auto"/>
              <w:jc w:val="center"/>
              <w:rPr>
                <w:b/>
                <w:color w:val="auto"/>
                <w:kern w:val="24"/>
                <w:sz w:val="24"/>
              </w:rPr>
            </w:pPr>
            <w:r>
              <w:rPr>
                <w:rFonts w:hint="eastAsia"/>
                <w:b/>
                <w:color w:val="auto"/>
                <w:kern w:val="24"/>
                <w:sz w:val="24"/>
              </w:rPr>
              <w:t>表</w:t>
            </w:r>
            <w:r>
              <w:rPr>
                <w:b/>
                <w:color w:val="auto"/>
                <w:kern w:val="24"/>
                <w:sz w:val="24"/>
              </w:rPr>
              <w:t>2-</w:t>
            </w:r>
            <w:r>
              <w:rPr>
                <w:rFonts w:hint="eastAsia"/>
                <w:b/>
                <w:color w:val="auto"/>
                <w:kern w:val="24"/>
                <w:sz w:val="24"/>
              </w:rPr>
              <w:t>8</w:t>
            </w:r>
            <w:r>
              <w:rPr>
                <w:b/>
                <w:color w:val="auto"/>
                <w:kern w:val="24"/>
                <w:sz w:val="24"/>
              </w:rPr>
              <w:t xml:space="preserve">  </w:t>
            </w:r>
            <w:r>
              <w:rPr>
                <w:rFonts w:hint="eastAsia"/>
                <w:b/>
                <w:color w:val="auto"/>
                <w:kern w:val="24"/>
                <w:sz w:val="24"/>
              </w:rPr>
              <w:t>原有项目环保手续执行情况</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741"/>
              <w:gridCol w:w="427"/>
              <w:gridCol w:w="1489"/>
              <w:gridCol w:w="1512"/>
              <w:gridCol w:w="1850"/>
              <w:gridCol w:w="2538"/>
            </w:tblGrid>
            <w:tr w14:paraId="5B400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Align w:val="center"/>
                </w:tcPr>
                <w:p w14:paraId="2C16DA9B">
                  <w:pPr>
                    <w:adjustRightInd w:val="0"/>
                    <w:snapToGrid w:val="0"/>
                    <w:jc w:val="center"/>
                    <w:textAlignment w:val="baseline"/>
                    <w:rPr>
                      <w:b/>
                      <w:bCs/>
                      <w:color w:val="auto"/>
                      <w:szCs w:val="21"/>
                    </w:rPr>
                  </w:pPr>
                  <w:r>
                    <w:rPr>
                      <w:b/>
                      <w:bCs/>
                      <w:color w:val="auto"/>
                      <w:szCs w:val="21"/>
                    </w:rPr>
                    <w:t>序号</w:t>
                  </w:r>
                </w:p>
              </w:tc>
              <w:tc>
                <w:tcPr>
                  <w:tcW w:w="0" w:type="auto"/>
                  <w:vAlign w:val="center"/>
                </w:tcPr>
                <w:p w14:paraId="03CD4182">
                  <w:pPr>
                    <w:adjustRightInd w:val="0"/>
                    <w:snapToGrid w:val="0"/>
                    <w:jc w:val="center"/>
                    <w:textAlignment w:val="baseline"/>
                    <w:rPr>
                      <w:b/>
                      <w:bCs/>
                      <w:color w:val="auto"/>
                      <w:szCs w:val="21"/>
                    </w:rPr>
                  </w:pPr>
                  <w:r>
                    <w:rPr>
                      <w:b/>
                      <w:bCs/>
                      <w:color w:val="auto"/>
                      <w:szCs w:val="21"/>
                    </w:rPr>
                    <w:t>项目名称</w:t>
                  </w:r>
                </w:p>
              </w:tc>
              <w:tc>
                <w:tcPr>
                  <w:tcW w:w="0" w:type="auto"/>
                  <w:vAlign w:val="center"/>
                </w:tcPr>
                <w:p w14:paraId="7456B97E">
                  <w:pPr>
                    <w:adjustRightInd w:val="0"/>
                    <w:snapToGrid w:val="0"/>
                    <w:jc w:val="center"/>
                    <w:textAlignment w:val="baseline"/>
                    <w:rPr>
                      <w:b/>
                      <w:bCs/>
                      <w:color w:val="auto"/>
                      <w:szCs w:val="21"/>
                    </w:rPr>
                  </w:pPr>
                  <w:r>
                    <w:rPr>
                      <w:b/>
                      <w:bCs/>
                      <w:color w:val="auto"/>
                      <w:szCs w:val="21"/>
                    </w:rPr>
                    <w:t>类型</w:t>
                  </w:r>
                </w:p>
              </w:tc>
              <w:tc>
                <w:tcPr>
                  <w:tcW w:w="1534" w:type="dxa"/>
                  <w:vAlign w:val="center"/>
                </w:tcPr>
                <w:p w14:paraId="3E17097D">
                  <w:pPr>
                    <w:adjustRightInd w:val="0"/>
                    <w:snapToGrid w:val="0"/>
                    <w:jc w:val="center"/>
                    <w:textAlignment w:val="baseline"/>
                    <w:rPr>
                      <w:b/>
                      <w:bCs/>
                      <w:color w:val="auto"/>
                      <w:szCs w:val="21"/>
                    </w:rPr>
                  </w:pPr>
                  <w:r>
                    <w:rPr>
                      <w:b/>
                      <w:bCs/>
                      <w:color w:val="auto"/>
                      <w:szCs w:val="21"/>
                    </w:rPr>
                    <w:t>环评批复情况</w:t>
                  </w:r>
                </w:p>
              </w:tc>
              <w:tc>
                <w:tcPr>
                  <w:tcW w:w="1559" w:type="dxa"/>
                  <w:vAlign w:val="center"/>
                </w:tcPr>
                <w:p w14:paraId="14D3DDD9">
                  <w:pPr>
                    <w:adjustRightInd w:val="0"/>
                    <w:snapToGrid w:val="0"/>
                    <w:jc w:val="center"/>
                    <w:textAlignment w:val="baseline"/>
                    <w:rPr>
                      <w:b/>
                      <w:bCs/>
                      <w:color w:val="auto"/>
                      <w:szCs w:val="21"/>
                    </w:rPr>
                  </w:pPr>
                  <w:r>
                    <w:rPr>
                      <w:b/>
                      <w:bCs/>
                      <w:color w:val="auto"/>
                      <w:szCs w:val="21"/>
                    </w:rPr>
                    <w:t>验收情况</w:t>
                  </w:r>
                </w:p>
              </w:tc>
              <w:tc>
                <w:tcPr>
                  <w:tcW w:w="1634" w:type="dxa"/>
                  <w:vAlign w:val="center"/>
                </w:tcPr>
                <w:p w14:paraId="766BAB10">
                  <w:pPr>
                    <w:adjustRightInd w:val="0"/>
                    <w:snapToGrid w:val="0"/>
                    <w:jc w:val="center"/>
                    <w:textAlignment w:val="baseline"/>
                    <w:rPr>
                      <w:b/>
                      <w:bCs/>
                      <w:color w:val="auto"/>
                      <w:szCs w:val="21"/>
                    </w:rPr>
                  </w:pPr>
                  <w:r>
                    <w:rPr>
                      <w:rFonts w:hint="eastAsia"/>
                      <w:b/>
                      <w:bCs/>
                      <w:color w:val="auto"/>
                      <w:szCs w:val="21"/>
                    </w:rPr>
                    <w:t>环境风险应急预案</w:t>
                  </w:r>
                </w:p>
              </w:tc>
              <w:tc>
                <w:tcPr>
                  <w:tcW w:w="2538" w:type="dxa"/>
                  <w:vAlign w:val="center"/>
                </w:tcPr>
                <w:p w14:paraId="1EF294B7">
                  <w:pPr>
                    <w:adjustRightInd w:val="0"/>
                    <w:snapToGrid w:val="0"/>
                    <w:jc w:val="center"/>
                    <w:textAlignment w:val="baseline"/>
                    <w:rPr>
                      <w:b/>
                      <w:bCs/>
                      <w:color w:val="auto"/>
                      <w:szCs w:val="21"/>
                    </w:rPr>
                  </w:pPr>
                  <w:r>
                    <w:rPr>
                      <w:b/>
                      <w:bCs/>
                      <w:color w:val="auto"/>
                      <w:szCs w:val="21"/>
                    </w:rPr>
                    <w:t>排污许可证情况</w:t>
                  </w:r>
                </w:p>
              </w:tc>
            </w:tr>
            <w:tr w14:paraId="2D1C3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Align w:val="center"/>
                </w:tcPr>
                <w:p w14:paraId="41E18895">
                  <w:pPr>
                    <w:adjustRightInd w:val="0"/>
                    <w:snapToGrid w:val="0"/>
                    <w:jc w:val="center"/>
                    <w:textAlignment w:val="baseline"/>
                    <w:rPr>
                      <w:color w:val="auto"/>
                      <w:szCs w:val="21"/>
                    </w:rPr>
                  </w:pPr>
                  <w:r>
                    <w:rPr>
                      <w:rFonts w:hint="eastAsia"/>
                      <w:color w:val="auto"/>
                      <w:szCs w:val="21"/>
                    </w:rPr>
                    <w:t>1</w:t>
                  </w:r>
                </w:p>
              </w:tc>
              <w:tc>
                <w:tcPr>
                  <w:tcW w:w="0" w:type="auto"/>
                  <w:vAlign w:val="center"/>
                </w:tcPr>
                <w:p w14:paraId="04419EAA">
                  <w:pPr>
                    <w:adjustRightInd w:val="0"/>
                    <w:snapToGrid w:val="0"/>
                    <w:jc w:val="center"/>
                    <w:textAlignment w:val="baseline"/>
                    <w:rPr>
                      <w:color w:val="auto"/>
                      <w:szCs w:val="21"/>
                    </w:rPr>
                  </w:pPr>
                  <w:r>
                    <w:rPr>
                      <w:rFonts w:hint="eastAsia"/>
                      <w:bCs/>
                      <w:color w:val="auto"/>
                      <w:szCs w:val="21"/>
                    </w:rPr>
                    <w:t>年产40000吨焊管生产线项目</w:t>
                  </w:r>
                </w:p>
              </w:tc>
              <w:tc>
                <w:tcPr>
                  <w:tcW w:w="0" w:type="auto"/>
                  <w:vAlign w:val="center"/>
                </w:tcPr>
                <w:p w14:paraId="64708DC3">
                  <w:pPr>
                    <w:adjustRightInd w:val="0"/>
                    <w:snapToGrid w:val="0"/>
                    <w:jc w:val="center"/>
                    <w:textAlignment w:val="baseline"/>
                    <w:rPr>
                      <w:color w:val="auto"/>
                      <w:szCs w:val="21"/>
                    </w:rPr>
                  </w:pPr>
                  <w:r>
                    <w:rPr>
                      <w:color w:val="auto"/>
                      <w:szCs w:val="21"/>
                    </w:rPr>
                    <w:t>报告表</w:t>
                  </w:r>
                </w:p>
              </w:tc>
              <w:tc>
                <w:tcPr>
                  <w:tcW w:w="1534" w:type="dxa"/>
                  <w:vAlign w:val="center"/>
                </w:tcPr>
                <w:p w14:paraId="4CFB5FE9">
                  <w:pPr>
                    <w:adjustRightInd w:val="0"/>
                    <w:snapToGrid w:val="0"/>
                    <w:jc w:val="center"/>
                    <w:textAlignment w:val="baseline"/>
                    <w:rPr>
                      <w:color w:val="auto"/>
                      <w:szCs w:val="21"/>
                    </w:rPr>
                  </w:pPr>
                  <w:r>
                    <w:rPr>
                      <w:color w:val="auto"/>
                      <w:szCs w:val="21"/>
                    </w:rPr>
                    <w:t>20</w:t>
                  </w:r>
                  <w:r>
                    <w:rPr>
                      <w:rFonts w:hint="eastAsia"/>
                      <w:color w:val="auto"/>
                      <w:szCs w:val="21"/>
                    </w:rPr>
                    <w:t>08</w:t>
                  </w:r>
                  <w:r>
                    <w:rPr>
                      <w:color w:val="auto"/>
                      <w:szCs w:val="21"/>
                    </w:rPr>
                    <w:t>年</w:t>
                  </w:r>
                  <w:r>
                    <w:rPr>
                      <w:rFonts w:hint="eastAsia"/>
                      <w:color w:val="auto"/>
                      <w:szCs w:val="21"/>
                    </w:rPr>
                    <w:t>9</w:t>
                  </w:r>
                  <w:r>
                    <w:rPr>
                      <w:color w:val="auto"/>
                      <w:szCs w:val="21"/>
                    </w:rPr>
                    <w:t>月</w:t>
                  </w:r>
                  <w:r>
                    <w:rPr>
                      <w:rFonts w:hint="eastAsia"/>
                      <w:color w:val="auto"/>
                      <w:szCs w:val="21"/>
                    </w:rPr>
                    <w:t>8</w:t>
                  </w:r>
                  <w:r>
                    <w:rPr>
                      <w:color w:val="auto"/>
                      <w:szCs w:val="21"/>
                    </w:rPr>
                    <w:t>日</w:t>
                  </w:r>
                  <w:r>
                    <w:rPr>
                      <w:rFonts w:hint="eastAsia"/>
                      <w:color w:val="auto"/>
                      <w:szCs w:val="21"/>
                    </w:rPr>
                    <w:t>，</w:t>
                  </w:r>
                  <w:r>
                    <w:rPr>
                      <w:color w:val="auto"/>
                      <w:szCs w:val="21"/>
                    </w:rPr>
                    <w:t>原</w:t>
                  </w:r>
                  <w:r>
                    <w:rPr>
                      <w:rFonts w:hint="eastAsia"/>
                      <w:color w:val="auto"/>
                      <w:szCs w:val="21"/>
                    </w:rPr>
                    <w:t>玉溪市</w:t>
                  </w:r>
                  <w:r>
                    <w:rPr>
                      <w:color w:val="auto"/>
                      <w:szCs w:val="21"/>
                    </w:rPr>
                    <w:t>环境保护局</w:t>
                  </w:r>
                  <w:r>
                    <w:rPr>
                      <w:rFonts w:hint="eastAsia"/>
                      <w:color w:val="auto"/>
                      <w:szCs w:val="21"/>
                    </w:rPr>
                    <w:t>，玉环许准</w:t>
                  </w:r>
                  <w:r>
                    <w:rPr>
                      <w:color w:val="auto"/>
                      <w:szCs w:val="21"/>
                    </w:rPr>
                    <w:t>〔20</w:t>
                  </w:r>
                  <w:r>
                    <w:rPr>
                      <w:rFonts w:hint="eastAsia"/>
                      <w:color w:val="auto"/>
                      <w:szCs w:val="21"/>
                    </w:rPr>
                    <w:t>0</w:t>
                  </w:r>
                  <w:r>
                    <w:rPr>
                      <w:color w:val="auto"/>
                      <w:szCs w:val="21"/>
                    </w:rPr>
                    <w:t>8〕</w:t>
                  </w:r>
                  <w:r>
                    <w:rPr>
                      <w:rFonts w:hint="eastAsia"/>
                      <w:color w:val="auto"/>
                      <w:szCs w:val="21"/>
                    </w:rPr>
                    <w:t>93</w:t>
                  </w:r>
                  <w:r>
                    <w:rPr>
                      <w:color w:val="auto"/>
                      <w:szCs w:val="21"/>
                    </w:rPr>
                    <w:t>号</w:t>
                  </w:r>
                </w:p>
              </w:tc>
              <w:tc>
                <w:tcPr>
                  <w:tcW w:w="1559" w:type="dxa"/>
                  <w:vAlign w:val="center"/>
                </w:tcPr>
                <w:p w14:paraId="629B40F7">
                  <w:pPr>
                    <w:adjustRightInd w:val="0"/>
                    <w:snapToGrid w:val="0"/>
                    <w:jc w:val="center"/>
                    <w:textAlignment w:val="baseline"/>
                    <w:rPr>
                      <w:color w:val="auto"/>
                      <w:szCs w:val="21"/>
                    </w:rPr>
                  </w:pPr>
                  <w:r>
                    <w:rPr>
                      <w:rFonts w:hint="eastAsia"/>
                      <w:color w:val="auto"/>
                      <w:szCs w:val="21"/>
                    </w:rPr>
                    <w:t>2010年7月29日，</w:t>
                  </w:r>
                  <w:r>
                    <w:rPr>
                      <w:color w:val="auto"/>
                      <w:szCs w:val="21"/>
                    </w:rPr>
                    <w:t>原</w:t>
                  </w:r>
                  <w:r>
                    <w:rPr>
                      <w:rFonts w:hint="eastAsia"/>
                      <w:color w:val="auto"/>
                      <w:szCs w:val="21"/>
                    </w:rPr>
                    <w:t>玉溪市</w:t>
                  </w:r>
                  <w:r>
                    <w:rPr>
                      <w:color w:val="auto"/>
                      <w:szCs w:val="21"/>
                    </w:rPr>
                    <w:t>环境保护局</w:t>
                  </w:r>
                  <w:r>
                    <w:rPr>
                      <w:rFonts w:hint="eastAsia"/>
                      <w:color w:val="auto"/>
                      <w:szCs w:val="21"/>
                    </w:rPr>
                    <w:t>，玉环验</w:t>
                  </w:r>
                  <w:r>
                    <w:rPr>
                      <w:color w:val="auto"/>
                      <w:szCs w:val="21"/>
                    </w:rPr>
                    <w:t>〔20</w:t>
                  </w:r>
                  <w:r>
                    <w:rPr>
                      <w:rFonts w:hint="eastAsia"/>
                      <w:color w:val="auto"/>
                      <w:szCs w:val="21"/>
                    </w:rPr>
                    <w:t>10</w:t>
                  </w:r>
                  <w:r>
                    <w:rPr>
                      <w:color w:val="auto"/>
                      <w:szCs w:val="21"/>
                    </w:rPr>
                    <w:t>〕</w:t>
                  </w:r>
                  <w:r>
                    <w:rPr>
                      <w:rFonts w:hint="eastAsia"/>
                      <w:color w:val="auto"/>
                      <w:szCs w:val="21"/>
                    </w:rPr>
                    <w:t>29</w:t>
                  </w:r>
                  <w:r>
                    <w:rPr>
                      <w:color w:val="auto"/>
                      <w:szCs w:val="21"/>
                    </w:rPr>
                    <w:t>号</w:t>
                  </w:r>
                </w:p>
              </w:tc>
              <w:tc>
                <w:tcPr>
                  <w:tcW w:w="1634" w:type="dxa"/>
                  <w:vAlign w:val="center"/>
                </w:tcPr>
                <w:p w14:paraId="461BB5FE">
                  <w:pPr>
                    <w:adjustRightInd w:val="0"/>
                    <w:snapToGrid w:val="0"/>
                    <w:jc w:val="center"/>
                    <w:textAlignment w:val="baseline"/>
                    <w:rPr>
                      <w:color w:val="auto"/>
                      <w:szCs w:val="21"/>
                    </w:rPr>
                  </w:pPr>
                  <w:r>
                    <w:rPr>
                      <w:rFonts w:hint="eastAsia"/>
                      <w:color w:val="auto"/>
                      <w:szCs w:val="21"/>
                    </w:rPr>
                    <w:t>2023年1月12日备案，备案编号：530423-2023-004L</w:t>
                  </w:r>
                </w:p>
              </w:tc>
              <w:tc>
                <w:tcPr>
                  <w:tcW w:w="2538" w:type="dxa"/>
                  <w:vAlign w:val="center"/>
                </w:tcPr>
                <w:p w14:paraId="79181CF8">
                  <w:pPr>
                    <w:adjustRightInd w:val="0"/>
                    <w:snapToGrid w:val="0"/>
                    <w:jc w:val="center"/>
                    <w:textAlignment w:val="baseline"/>
                    <w:rPr>
                      <w:color w:val="auto"/>
                      <w:szCs w:val="21"/>
                    </w:rPr>
                  </w:pPr>
                  <w:r>
                    <w:rPr>
                      <w:color w:val="auto"/>
                      <w:szCs w:val="21"/>
                    </w:rPr>
                    <w:t>202</w:t>
                  </w:r>
                  <w:r>
                    <w:rPr>
                      <w:rFonts w:hint="eastAsia"/>
                      <w:color w:val="auto"/>
                      <w:szCs w:val="21"/>
                    </w:rPr>
                    <w:t>5</w:t>
                  </w:r>
                  <w:r>
                    <w:rPr>
                      <w:color w:val="auto"/>
                      <w:szCs w:val="21"/>
                    </w:rPr>
                    <w:t>年</w:t>
                  </w:r>
                  <w:r>
                    <w:rPr>
                      <w:rFonts w:hint="eastAsia"/>
                      <w:color w:val="auto"/>
                      <w:szCs w:val="21"/>
                    </w:rPr>
                    <w:t>11</w:t>
                  </w:r>
                  <w:r>
                    <w:rPr>
                      <w:color w:val="auto"/>
                      <w:szCs w:val="21"/>
                    </w:rPr>
                    <w:t>月</w:t>
                  </w:r>
                  <w:r>
                    <w:rPr>
                      <w:rFonts w:hint="eastAsia"/>
                      <w:color w:val="auto"/>
                      <w:szCs w:val="21"/>
                    </w:rPr>
                    <w:t>03</w:t>
                  </w:r>
                  <w:r>
                    <w:rPr>
                      <w:color w:val="auto"/>
                      <w:szCs w:val="21"/>
                    </w:rPr>
                    <w:t>日取得</w:t>
                  </w:r>
                  <w:r>
                    <w:rPr>
                      <w:rFonts w:hint="eastAsia"/>
                      <w:color w:val="auto"/>
                      <w:szCs w:val="21"/>
                    </w:rPr>
                    <w:t>了固定污染源排污登记回执，登记编号：915304237194689075001P</w:t>
                  </w:r>
                </w:p>
              </w:tc>
            </w:tr>
          </w:tbl>
          <w:p w14:paraId="78B2E245">
            <w:pPr>
              <w:pStyle w:val="58"/>
              <w:spacing w:line="360" w:lineRule="auto"/>
              <w:jc w:val="left"/>
              <w:rPr>
                <w:rFonts w:ascii="Times New Roman" w:hAnsi="Times New Roman" w:cs="Times New Roman"/>
                <w:b/>
                <w:bCs/>
                <w:color w:val="auto"/>
                <w:sz w:val="24"/>
              </w:rPr>
            </w:pPr>
          </w:p>
          <w:p w14:paraId="4C850165">
            <w:pPr>
              <w:adjustRightInd w:val="0"/>
              <w:snapToGrid w:val="0"/>
              <w:spacing w:line="360" w:lineRule="auto"/>
              <w:rPr>
                <w:b/>
                <w:color w:val="auto"/>
                <w:sz w:val="24"/>
              </w:rPr>
            </w:pPr>
            <w:r>
              <w:rPr>
                <w:b/>
                <w:color w:val="auto"/>
                <w:sz w:val="24"/>
              </w:rPr>
              <w:t>2、</w:t>
            </w:r>
            <w:r>
              <w:rPr>
                <w:rFonts w:hint="eastAsia"/>
                <w:b/>
                <w:color w:val="auto"/>
                <w:sz w:val="24"/>
              </w:rPr>
              <w:t>原有项目污染物排放情况</w:t>
            </w:r>
          </w:p>
          <w:p w14:paraId="21703C30">
            <w:pPr>
              <w:pStyle w:val="58"/>
              <w:spacing w:line="360" w:lineRule="auto"/>
              <w:ind w:firstLine="480" w:firstLineChars="200"/>
              <w:jc w:val="left"/>
              <w:rPr>
                <w:rFonts w:hint="eastAsia"/>
                <w:color w:val="auto"/>
                <w:sz w:val="24"/>
                <w:lang w:val="en-US"/>
              </w:rPr>
            </w:pPr>
            <w:r>
              <w:rPr>
                <w:color w:val="auto"/>
                <w:sz w:val="24"/>
                <w:lang w:val="en-US"/>
              </w:rPr>
              <w:t>根据现场踏勘，</w:t>
            </w:r>
            <w:r>
              <w:rPr>
                <w:rFonts w:ascii="Times New Roman" w:hAnsi="Times New Roman" w:cs="Times New Roman"/>
                <w:bCs/>
                <w:color w:val="auto"/>
                <w:sz w:val="24"/>
                <w:lang w:val="en-US"/>
              </w:rPr>
              <w:t>年产40000吨焊管生产线项目</w:t>
            </w:r>
            <w:r>
              <w:rPr>
                <w:rFonts w:hint="eastAsia" w:ascii="Times New Roman" w:hAnsi="Times New Roman" w:cs="Times New Roman"/>
                <w:bCs/>
                <w:color w:val="auto"/>
                <w:sz w:val="24"/>
                <w:lang w:val="en-US"/>
              </w:rPr>
              <w:t>（</w:t>
            </w:r>
            <w:r>
              <w:rPr>
                <w:rFonts w:hint="eastAsia"/>
                <w:color w:val="auto"/>
                <w:sz w:val="24"/>
                <w:lang w:val="en-US"/>
              </w:rPr>
              <w:t>原有</w:t>
            </w:r>
            <w:r>
              <w:rPr>
                <w:color w:val="auto"/>
                <w:sz w:val="24"/>
                <w:lang w:val="en-US"/>
              </w:rPr>
              <w:t>项目</w:t>
            </w:r>
            <w:r>
              <w:rPr>
                <w:rFonts w:hint="eastAsia" w:ascii="Times New Roman" w:hAnsi="Times New Roman" w:cs="Times New Roman"/>
                <w:bCs/>
                <w:color w:val="auto"/>
                <w:sz w:val="24"/>
                <w:lang w:val="en-US"/>
              </w:rPr>
              <w:t>）</w:t>
            </w:r>
            <w:r>
              <w:rPr>
                <w:color w:val="auto"/>
                <w:sz w:val="24"/>
                <w:lang w:val="en-US"/>
              </w:rPr>
              <w:t>主要包括</w:t>
            </w:r>
            <w:r>
              <w:rPr>
                <w:rFonts w:hint="eastAsia"/>
                <w:color w:val="auto"/>
                <w:sz w:val="24"/>
                <w:lang w:val="en-US"/>
              </w:rPr>
              <w:t>4</w:t>
            </w:r>
            <w:r>
              <w:rPr>
                <w:color w:val="auto"/>
                <w:sz w:val="24"/>
                <w:lang w:val="en-US"/>
              </w:rPr>
              <w:t>条焊管生产线</w:t>
            </w:r>
            <w:r>
              <w:rPr>
                <w:rFonts w:hint="eastAsia"/>
                <w:color w:val="auto"/>
                <w:sz w:val="24"/>
                <w:lang w:val="en-US"/>
              </w:rPr>
              <w:t>及1条纵剪线</w:t>
            </w:r>
            <w:r>
              <w:rPr>
                <w:color w:val="auto"/>
                <w:sz w:val="24"/>
              </w:rPr>
              <w:t>，目前厂区为停产状态</w:t>
            </w:r>
            <w:r>
              <w:rPr>
                <w:color w:val="auto"/>
                <w:sz w:val="24"/>
                <w:lang w:val="en-US"/>
              </w:rPr>
              <w:t>。根据建设单位提供的资料，</w:t>
            </w:r>
            <w:r>
              <w:rPr>
                <w:rFonts w:hint="eastAsia"/>
                <w:color w:val="auto"/>
                <w:sz w:val="24"/>
                <w:lang w:val="en-US"/>
              </w:rPr>
              <w:t>原</w:t>
            </w:r>
            <w:r>
              <w:rPr>
                <w:color w:val="auto"/>
                <w:sz w:val="24"/>
                <w:lang w:val="en-US"/>
              </w:rPr>
              <w:t>有项目</w:t>
            </w:r>
            <w:r>
              <w:rPr>
                <w:rFonts w:hint="eastAsia"/>
                <w:color w:val="auto"/>
                <w:sz w:val="24"/>
                <w:lang w:val="en-US"/>
              </w:rPr>
              <w:t>因与之前环评有较大出入，</w:t>
            </w:r>
            <w:r>
              <w:rPr>
                <w:color w:val="auto"/>
                <w:sz w:val="24"/>
                <w:lang w:val="en-US"/>
              </w:rPr>
              <w:t>污染物排放情况</w:t>
            </w:r>
            <w:r>
              <w:rPr>
                <w:rFonts w:hint="eastAsia"/>
                <w:color w:val="auto"/>
                <w:sz w:val="24"/>
                <w:lang w:val="en-US"/>
              </w:rPr>
              <w:t>采用实际调查和核算法，排放情况</w:t>
            </w:r>
            <w:r>
              <w:rPr>
                <w:color w:val="auto"/>
                <w:sz w:val="24"/>
                <w:lang w:val="en-US"/>
              </w:rPr>
              <w:t>如下：</w:t>
            </w:r>
          </w:p>
          <w:p w14:paraId="3F1ED87E">
            <w:pPr>
              <w:adjustRightInd w:val="0"/>
              <w:snapToGrid w:val="0"/>
              <w:spacing w:line="360" w:lineRule="auto"/>
              <w:rPr>
                <w:b/>
                <w:bCs/>
                <w:color w:val="auto"/>
                <w:sz w:val="24"/>
              </w:rPr>
            </w:pPr>
            <w:r>
              <w:rPr>
                <w:rFonts w:hint="eastAsia"/>
                <w:b/>
                <w:bCs/>
                <w:color w:val="auto"/>
                <w:sz w:val="24"/>
              </w:rPr>
              <w:t>2.1</w:t>
            </w:r>
            <w:r>
              <w:rPr>
                <w:rFonts w:hint="eastAsia"/>
                <w:b/>
                <w:bCs/>
                <w:snapToGrid w:val="0"/>
                <w:color w:val="auto"/>
                <w:kern w:val="0"/>
                <w:sz w:val="24"/>
              </w:rPr>
              <w:t>废水</w:t>
            </w:r>
          </w:p>
          <w:p w14:paraId="7CD3894F">
            <w:pPr>
              <w:spacing w:line="360" w:lineRule="auto"/>
              <w:ind w:firstLine="480" w:firstLineChars="200"/>
              <w:rPr>
                <w:rFonts w:eastAsiaTheme="minorEastAsia"/>
                <w:color w:val="auto"/>
                <w:sz w:val="24"/>
              </w:rPr>
            </w:pPr>
            <w:r>
              <w:rPr>
                <w:rFonts w:eastAsiaTheme="minorEastAsia"/>
                <w:color w:val="auto"/>
                <w:sz w:val="24"/>
              </w:rPr>
              <w:t>项目生产废水只有冷却水，循环使用不外排。</w:t>
            </w:r>
          </w:p>
          <w:p w14:paraId="5A479CCD">
            <w:pPr>
              <w:spacing w:line="360" w:lineRule="auto"/>
              <w:ind w:firstLine="480" w:firstLineChars="200"/>
              <w:rPr>
                <w:rFonts w:eastAsiaTheme="minorEastAsia"/>
                <w:color w:val="auto"/>
                <w:sz w:val="24"/>
              </w:rPr>
            </w:pPr>
            <w:r>
              <w:rPr>
                <w:rFonts w:eastAsiaTheme="minorEastAsia"/>
                <w:color w:val="auto"/>
                <w:sz w:val="24"/>
              </w:rPr>
              <w:t>生活污水经化粪池处理后，用于厂区内绿化。根据建设单位统计，现有生活用水量为1.2m</w:t>
            </w:r>
            <w:r>
              <w:rPr>
                <w:rFonts w:eastAsiaTheme="minorEastAsia"/>
                <w:color w:val="auto"/>
                <w:sz w:val="24"/>
                <w:vertAlign w:val="superscript"/>
              </w:rPr>
              <w:t>3</w:t>
            </w:r>
            <w:r>
              <w:rPr>
                <w:rFonts w:eastAsiaTheme="minorEastAsia"/>
                <w:color w:val="auto"/>
                <w:sz w:val="24"/>
              </w:rPr>
              <w:t>/d，360m</w:t>
            </w:r>
            <w:r>
              <w:rPr>
                <w:rFonts w:eastAsiaTheme="minorEastAsia"/>
                <w:color w:val="auto"/>
                <w:sz w:val="24"/>
                <w:vertAlign w:val="superscript"/>
              </w:rPr>
              <w:t>3</w:t>
            </w:r>
            <w:r>
              <w:rPr>
                <w:rFonts w:eastAsiaTheme="minorEastAsia"/>
                <w:color w:val="auto"/>
                <w:sz w:val="24"/>
              </w:rPr>
              <w:t>/a，产污系数按0.8计，生活污水产生量为0.96m</w:t>
            </w:r>
            <w:r>
              <w:rPr>
                <w:rFonts w:eastAsiaTheme="minorEastAsia"/>
                <w:color w:val="auto"/>
                <w:sz w:val="24"/>
                <w:vertAlign w:val="superscript"/>
              </w:rPr>
              <w:t>3</w:t>
            </w:r>
            <w:r>
              <w:rPr>
                <w:rFonts w:eastAsiaTheme="minorEastAsia"/>
                <w:color w:val="auto"/>
                <w:sz w:val="24"/>
              </w:rPr>
              <w:t>/d，288m</w:t>
            </w:r>
            <w:r>
              <w:rPr>
                <w:rFonts w:eastAsiaTheme="minorEastAsia"/>
                <w:color w:val="auto"/>
                <w:sz w:val="24"/>
                <w:vertAlign w:val="superscript"/>
              </w:rPr>
              <w:t>3</w:t>
            </w:r>
            <w:r>
              <w:rPr>
                <w:rFonts w:eastAsiaTheme="minorEastAsia"/>
                <w:color w:val="auto"/>
                <w:sz w:val="24"/>
              </w:rPr>
              <w:t>/a。</w:t>
            </w:r>
          </w:p>
          <w:p w14:paraId="27ECB0FE">
            <w:pPr>
              <w:adjustRightInd w:val="0"/>
              <w:snapToGrid w:val="0"/>
              <w:spacing w:line="360" w:lineRule="auto"/>
              <w:jc w:val="left"/>
              <w:rPr>
                <w:b/>
                <w:bCs/>
                <w:color w:val="auto"/>
                <w:sz w:val="24"/>
              </w:rPr>
            </w:pPr>
            <w:r>
              <w:rPr>
                <w:rFonts w:hint="eastAsia"/>
                <w:b/>
                <w:bCs/>
                <w:color w:val="auto"/>
                <w:sz w:val="24"/>
              </w:rPr>
              <w:t>2.</w:t>
            </w:r>
            <w:r>
              <w:rPr>
                <w:b/>
                <w:bCs/>
                <w:color w:val="auto"/>
                <w:sz w:val="24"/>
              </w:rPr>
              <w:t>2</w:t>
            </w:r>
            <w:r>
              <w:rPr>
                <w:rFonts w:hint="eastAsia"/>
                <w:b/>
                <w:bCs/>
                <w:snapToGrid w:val="0"/>
                <w:color w:val="auto"/>
                <w:kern w:val="0"/>
                <w:sz w:val="24"/>
              </w:rPr>
              <w:t>废气</w:t>
            </w:r>
          </w:p>
          <w:p w14:paraId="1ECBCF01">
            <w:pPr>
              <w:pStyle w:val="58"/>
              <w:spacing w:line="360" w:lineRule="auto"/>
              <w:ind w:firstLine="480" w:firstLineChars="200"/>
              <w:jc w:val="left"/>
              <w:rPr>
                <w:rFonts w:ascii="Times New Roman" w:hAnsi="Times New Roman" w:cs="Times New Roman" w:eastAsiaTheme="minorEastAsia"/>
                <w:color w:val="auto"/>
                <w:sz w:val="24"/>
              </w:rPr>
            </w:pPr>
            <w:r>
              <w:rPr>
                <w:rFonts w:ascii="Times New Roman" w:hAnsi="Times New Roman" w:cs="Times New Roman" w:eastAsiaTheme="minorEastAsia"/>
                <w:color w:val="auto"/>
                <w:sz w:val="24"/>
              </w:rPr>
              <w:t>原有项目废气主要来自高频直缝焊管焊接工段产生的焊接烟尘、切割粉尘。</w:t>
            </w:r>
          </w:p>
          <w:p w14:paraId="0BD1215F">
            <w:pPr>
              <w:pStyle w:val="58"/>
              <w:spacing w:line="360" w:lineRule="auto"/>
              <w:ind w:firstLine="480" w:firstLineChars="200"/>
              <w:jc w:val="left"/>
              <w:rPr>
                <w:rFonts w:ascii="Times New Roman" w:hAnsi="Times New Roman" w:cs="Times New Roman" w:eastAsiaTheme="minorEastAsia"/>
                <w:color w:val="auto"/>
                <w:sz w:val="24"/>
              </w:rPr>
            </w:pPr>
            <w:r>
              <w:rPr>
                <w:rFonts w:ascii="Times New Roman" w:hAnsi="Times New Roman" w:cs="Times New Roman" w:eastAsiaTheme="minorEastAsia"/>
                <w:color w:val="auto"/>
                <w:sz w:val="24"/>
              </w:rPr>
              <w:t>（1）焊接烟尘</w:t>
            </w:r>
          </w:p>
          <w:p w14:paraId="70FA0257">
            <w:pPr>
              <w:pStyle w:val="58"/>
              <w:spacing w:line="360" w:lineRule="auto"/>
              <w:ind w:firstLine="480" w:firstLineChars="200"/>
              <w:jc w:val="left"/>
              <w:rPr>
                <w:rFonts w:ascii="Times New Roman" w:hAnsi="Times New Roman" w:cs="Times New Roman" w:eastAsiaTheme="minorEastAsia"/>
                <w:color w:val="auto"/>
                <w:sz w:val="24"/>
              </w:rPr>
            </w:pPr>
            <w:r>
              <w:rPr>
                <w:rFonts w:hint="eastAsia" w:ascii="Times New Roman" w:hAnsi="Times New Roman" w:cs="Times New Roman" w:eastAsiaTheme="minorEastAsia"/>
                <w:color w:val="auto"/>
                <w:sz w:val="24"/>
              </w:rPr>
              <w:t>原</w:t>
            </w:r>
            <w:r>
              <w:rPr>
                <w:rFonts w:ascii="Times New Roman" w:hAnsi="Times New Roman" w:cs="Times New Roman" w:eastAsiaTheme="minorEastAsia"/>
                <w:color w:val="auto"/>
                <w:sz w:val="24"/>
              </w:rPr>
              <w:t>有项目高频直缝焊管焊接工段位于生产厂房内，产生的焊接烟尘直接车间内无组织排放。</w:t>
            </w:r>
            <w:r>
              <w:rPr>
                <w:rFonts w:hint="eastAsia" w:ascii="Times New Roman" w:hAnsi="Times New Roman" w:cs="Times New Roman" w:eastAsiaTheme="minorEastAsia"/>
                <w:color w:val="auto"/>
                <w:sz w:val="24"/>
              </w:rPr>
              <w:t>原</w:t>
            </w:r>
            <w:r>
              <w:rPr>
                <w:rFonts w:ascii="Times New Roman" w:hAnsi="Times New Roman" w:cs="Times New Roman" w:eastAsiaTheme="minorEastAsia"/>
                <w:color w:val="auto"/>
                <w:sz w:val="24"/>
              </w:rPr>
              <w:t>有项目无自行监测资料。焊接烟尘采取产污系数法进行核算。</w:t>
            </w:r>
          </w:p>
          <w:p w14:paraId="4238B2B9">
            <w:pPr>
              <w:pStyle w:val="58"/>
              <w:spacing w:line="360" w:lineRule="auto"/>
              <w:ind w:firstLine="480" w:firstLineChars="200"/>
              <w:jc w:val="left"/>
              <w:rPr>
                <w:rFonts w:ascii="Times New Roman" w:hAnsi="Times New Roman" w:cs="Times New Roman" w:eastAsiaTheme="minorEastAsia"/>
                <w:color w:val="auto"/>
                <w:sz w:val="24"/>
              </w:rPr>
            </w:pPr>
            <w:r>
              <w:rPr>
                <w:rFonts w:ascii="Times New Roman" w:hAnsi="Times New Roman" w:cs="Times New Roman" w:eastAsiaTheme="minorEastAsia"/>
                <w:color w:val="auto"/>
                <w:sz w:val="24"/>
              </w:rPr>
              <w:t>根据</w:t>
            </w:r>
            <w:r>
              <w:rPr>
                <w:rFonts w:hint="eastAsia" w:ascii="Times New Roman" w:hAnsi="Times New Roman" w:cs="Times New Roman" w:eastAsiaTheme="minorEastAsia"/>
                <w:color w:val="auto"/>
                <w:sz w:val="24"/>
              </w:rPr>
              <w:t>原</w:t>
            </w:r>
            <w:r>
              <w:rPr>
                <w:rFonts w:ascii="Times New Roman" w:hAnsi="Times New Roman" w:cs="Times New Roman" w:eastAsiaTheme="minorEastAsia"/>
                <w:color w:val="auto"/>
                <w:sz w:val="24"/>
              </w:rPr>
              <w:t>有项目资料，项目原料带钢年用量约为</w:t>
            </w:r>
            <w:r>
              <w:rPr>
                <w:rFonts w:hint="eastAsia" w:ascii="Times New Roman" w:hAnsi="Times New Roman" w:cs="Times New Roman" w:eastAsiaTheme="minorEastAsia"/>
                <w:color w:val="auto"/>
                <w:sz w:val="24"/>
              </w:rPr>
              <w:t>4.3</w:t>
            </w:r>
            <w:r>
              <w:rPr>
                <w:rFonts w:ascii="Times New Roman" w:hAnsi="Times New Roman" w:cs="Times New Roman" w:eastAsiaTheme="minorEastAsia"/>
                <w:color w:val="auto"/>
                <w:sz w:val="24"/>
              </w:rPr>
              <w:t>万吨，污染物源强核算参照《排放源统计调查产排污核算方法和系数手册》（2021.6.11）中“3130钢压延加工行业系数手册”中焊接钢管-带钢-高频焊法工艺产污系数。</w:t>
            </w:r>
          </w:p>
          <w:p w14:paraId="142D4B6F">
            <w:pPr>
              <w:pStyle w:val="58"/>
              <w:spacing w:line="360" w:lineRule="auto"/>
              <w:ind w:firstLine="480" w:firstLineChars="200"/>
              <w:jc w:val="left"/>
              <w:rPr>
                <w:rFonts w:ascii="Times New Roman" w:hAnsi="Times New Roman" w:cs="Times New Roman" w:eastAsiaTheme="minorEastAsia"/>
                <w:color w:val="auto"/>
                <w:sz w:val="24"/>
              </w:rPr>
            </w:pPr>
            <w:r>
              <w:rPr>
                <w:rFonts w:hint="eastAsia" w:ascii="Times New Roman" w:hAnsi="Times New Roman" w:cs="Times New Roman" w:eastAsiaTheme="minorEastAsia"/>
                <w:color w:val="auto"/>
                <w:sz w:val="24"/>
              </w:rPr>
              <w:t>原</w:t>
            </w:r>
            <w:r>
              <w:rPr>
                <w:rFonts w:ascii="Times New Roman" w:hAnsi="Times New Roman" w:cs="Times New Roman" w:eastAsiaTheme="minorEastAsia"/>
                <w:color w:val="auto"/>
                <w:sz w:val="24"/>
              </w:rPr>
              <w:t>有项目原料带钢年用量为</w:t>
            </w:r>
            <w:r>
              <w:rPr>
                <w:rFonts w:hint="eastAsia" w:ascii="Times New Roman" w:hAnsi="Times New Roman" w:cs="Times New Roman" w:eastAsiaTheme="minorEastAsia"/>
                <w:color w:val="auto"/>
                <w:sz w:val="24"/>
              </w:rPr>
              <w:t>4.3</w:t>
            </w:r>
            <w:r>
              <w:rPr>
                <w:rFonts w:ascii="Times New Roman" w:hAnsi="Times New Roman" w:cs="Times New Roman" w:eastAsiaTheme="minorEastAsia"/>
                <w:color w:val="auto"/>
                <w:sz w:val="24"/>
              </w:rPr>
              <w:t>万吨，产污系数为0.011千克/吨-钢材，则高频焊接工序的颗粒物产生量为0.</w:t>
            </w:r>
            <w:r>
              <w:rPr>
                <w:rFonts w:hint="eastAsia" w:ascii="Times New Roman" w:hAnsi="Times New Roman" w:cs="Times New Roman" w:eastAsiaTheme="minorEastAsia"/>
                <w:color w:val="auto"/>
                <w:sz w:val="24"/>
              </w:rPr>
              <w:t>473</w:t>
            </w:r>
            <w:r>
              <w:rPr>
                <w:rFonts w:ascii="Times New Roman" w:hAnsi="Times New Roman" w:cs="Times New Roman" w:eastAsiaTheme="minorEastAsia"/>
                <w:color w:val="auto"/>
                <w:sz w:val="24"/>
              </w:rPr>
              <w:t>t/a。产生的焊接烟尘直接车间内无组织排放，无组织排放量为</w:t>
            </w:r>
            <w:r>
              <w:rPr>
                <w:rFonts w:hint="eastAsia" w:ascii="Times New Roman" w:hAnsi="Times New Roman" w:cs="Times New Roman" w:eastAsiaTheme="minorEastAsia"/>
                <w:color w:val="auto"/>
                <w:sz w:val="24"/>
              </w:rPr>
              <w:t>0.473</w:t>
            </w:r>
            <w:r>
              <w:rPr>
                <w:rFonts w:ascii="Times New Roman" w:hAnsi="Times New Roman" w:cs="Times New Roman" w:eastAsiaTheme="minorEastAsia"/>
                <w:color w:val="auto"/>
                <w:sz w:val="24"/>
              </w:rPr>
              <w:t>t/a。</w:t>
            </w:r>
          </w:p>
          <w:p w14:paraId="28B3AE34">
            <w:pPr>
              <w:pStyle w:val="58"/>
              <w:spacing w:line="360" w:lineRule="auto"/>
              <w:ind w:firstLine="480" w:firstLineChars="200"/>
              <w:jc w:val="left"/>
              <w:rPr>
                <w:rFonts w:ascii="Times New Roman" w:hAnsi="Times New Roman" w:cs="Times New Roman" w:eastAsiaTheme="minorEastAsia"/>
                <w:color w:val="auto"/>
                <w:sz w:val="24"/>
              </w:rPr>
            </w:pPr>
            <w:r>
              <w:rPr>
                <w:rFonts w:ascii="Times New Roman" w:hAnsi="Times New Roman" w:cs="Times New Roman" w:eastAsiaTheme="minorEastAsia"/>
                <w:color w:val="auto"/>
                <w:sz w:val="24"/>
              </w:rPr>
              <w:t>（2）切割粉尘</w:t>
            </w:r>
          </w:p>
          <w:p w14:paraId="102EC24E">
            <w:pPr>
              <w:pStyle w:val="58"/>
              <w:spacing w:line="360" w:lineRule="auto"/>
              <w:ind w:firstLine="480" w:firstLineChars="200"/>
              <w:jc w:val="left"/>
              <w:rPr>
                <w:rFonts w:ascii="Times New Roman" w:hAnsi="Times New Roman" w:cs="Times New Roman" w:eastAsiaTheme="minorEastAsia"/>
                <w:color w:val="auto"/>
                <w:sz w:val="24"/>
              </w:rPr>
            </w:pPr>
            <w:r>
              <w:rPr>
                <w:rFonts w:hint="eastAsia" w:ascii="Times New Roman" w:hAnsi="Times New Roman" w:cs="Times New Roman" w:eastAsiaTheme="minorEastAsia"/>
                <w:color w:val="auto"/>
                <w:sz w:val="24"/>
              </w:rPr>
              <w:t>原</w:t>
            </w:r>
            <w:r>
              <w:rPr>
                <w:rFonts w:ascii="Times New Roman" w:hAnsi="Times New Roman" w:cs="Times New Roman" w:eastAsiaTheme="minorEastAsia"/>
                <w:color w:val="auto"/>
                <w:sz w:val="24"/>
              </w:rPr>
              <w:t>有项目配置切割工序，</w:t>
            </w:r>
            <w:r>
              <w:rPr>
                <w:rFonts w:ascii="Times New Roman" w:hAnsi="Times New Roman" w:cs="Times New Roman" w:eastAsiaTheme="minorEastAsia"/>
                <w:color w:val="auto"/>
                <w:sz w:val="24"/>
                <w:lang w:val="en-US"/>
              </w:rPr>
              <w:t>原料带钢年用量为4.3万吨，飞锯切割粉尘产生系数按0.00046kg/t钢材，</w:t>
            </w:r>
            <w:r>
              <w:rPr>
                <w:rFonts w:ascii="Times New Roman" w:hAnsi="Times New Roman" w:cs="Times New Roman" w:eastAsiaTheme="minorEastAsia"/>
                <w:color w:val="auto"/>
                <w:sz w:val="24"/>
              </w:rPr>
              <w:t>项目飞锯切割粉尘产生的颗粒物为0.02t/a，此部分颗粒物在车间内呈无组织排放。</w:t>
            </w:r>
          </w:p>
          <w:p w14:paraId="31D7304A">
            <w:pPr>
              <w:adjustRightInd w:val="0"/>
              <w:snapToGrid w:val="0"/>
              <w:spacing w:line="360" w:lineRule="auto"/>
              <w:jc w:val="left"/>
              <w:rPr>
                <w:b/>
                <w:bCs/>
                <w:color w:val="auto"/>
                <w:sz w:val="24"/>
              </w:rPr>
            </w:pPr>
            <w:r>
              <w:rPr>
                <w:rFonts w:hint="eastAsia"/>
                <w:b/>
                <w:bCs/>
                <w:color w:val="auto"/>
                <w:sz w:val="24"/>
              </w:rPr>
              <w:t>2.</w:t>
            </w:r>
            <w:r>
              <w:rPr>
                <w:b/>
                <w:bCs/>
                <w:color w:val="auto"/>
                <w:sz w:val="24"/>
              </w:rPr>
              <w:t>3</w:t>
            </w:r>
            <w:r>
              <w:rPr>
                <w:rFonts w:hint="eastAsia"/>
                <w:b/>
                <w:bCs/>
                <w:snapToGrid w:val="0"/>
                <w:color w:val="auto"/>
                <w:kern w:val="0"/>
                <w:sz w:val="24"/>
              </w:rPr>
              <w:t>噪声</w:t>
            </w:r>
          </w:p>
          <w:p w14:paraId="621F9D33">
            <w:pPr>
              <w:widowControl/>
              <w:spacing w:line="360" w:lineRule="auto"/>
              <w:ind w:firstLine="480" w:firstLineChars="200"/>
              <w:rPr>
                <w:rFonts w:eastAsiaTheme="minorEastAsia"/>
                <w:color w:val="auto"/>
                <w:sz w:val="24"/>
              </w:rPr>
            </w:pPr>
            <w:r>
              <w:rPr>
                <w:rFonts w:hint="eastAsia" w:eastAsiaTheme="minorEastAsia"/>
                <w:color w:val="auto"/>
                <w:sz w:val="24"/>
              </w:rPr>
              <w:t>原</w:t>
            </w:r>
            <w:r>
              <w:rPr>
                <w:rFonts w:eastAsiaTheme="minorEastAsia"/>
                <w:color w:val="auto"/>
                <w:sz w:val="24"/>
              </w:rPr>
              <w:t>有</w:t>
            </w:r>
            <w:r>
              <w:rPr>
                <w:rFonts w:eastAsiaTheme="minorEastAsia"/>
                <w:bCs/>
                <w:color w:val="auto"/>
                <w:sz w:val="24"/>
              </w:rPr>
              <w:t>项目</w:t>
            </w:r>
            <w:r>
              <w:rPr>
                <w:rFonts w:eastAsiaTheme="minorEastAsia"/>
                <w:color w:val="auto"/>
                <w:sz w:val="24"/>
              </w:rPr>
              <w:t>运营期噪声源强主要为生产设备，生产设备布置于厂房内，经墙体隔声；水泵安装有减震垫，进行基础减震。设备噪声源强约85~90dB（A），通过选用低噪声设备、合理布局、基础减震，厂房隔声等措施，噪声值可降低10~20dB（A）。</w:t>
            </w:r>
          </w:p>
          <w:p w14:paraId="3DAAD176">
            <w:pPr>
              <w:widowControl/>
              <w:spacing w:line="360" w:lineRule="auto"/>
              <w:ind w:firstLine="480" w:firstLineChars="200"/>
              <w:rPr>
                <w:rFonts w:eastAsiaTheme="minorEastAsia"/>
                <w:bCs/>
                <w:color w:val="auto"/>
                <w:sz w:val="24"/>
              </w:rPr>
            </w:pPr>
            <w:r>
              <w:rPr>
                <w:rFonts w:eastAsiaTheme="minorEastAsia"/>
                <w:color w:val="auto"/>
                <w:sz w:val="24"/>
              </w:rPr>
              <w:t>为了解项目区域声环境现状，建设单位于2026年7月17日委托玉溪华恒环境科技有限公司在项目临时启动运行的情况下，对项目地四周厂界噪声现状进行了监测</w:t>
            </w:r>
            <w:r>
              <w:rPr>
                <w:rFonts w:hint="eastAsia" w:eastAsiaTheme="minorEastAsia"/>
                <w:color w:val="auto"/>
                <w:sz w:val="24"/>
              </w:rPr>
              <w:t>，</w:t>
            </w:r>
            <w:bookmarkStart w:id="66" w:name="OLE_LINK53"/>
            <w:r>
              <w:rPr>
                <w:rFonts w:hint="eastAsia" w:eastAsiaTheme="minorEastAsia"/>
                <w:color w:val="auto"/>
                <w:sz w:val="24"/>
              </w:rPr>
              <w:t>项目地现有噪声厂界值为55~58dB（A），</w:t>
            </w:r>
            <w:bookmarkEnd w:id="66"/>
            <w:r>
              <w:rPr>
                <w:rFonts w:eastAsiaTheme="minorEastAsia"/>
                <w:color w:val="auto"/>
                <w:sz w:val="24"/>
              </w:rPr>
              <w:t>可以满足《</w:t>
            </w:r>
            <w:r>
              <w:rPr>
                <w:rFonts w:hint="eastAsia" w:eastAsiaTheme="minorEastAsia"/>
                <w:color w:val="auto"/>
                <w:sz w:val="24"/>
              </w:rPr>
              <w:t>工业企业厂界环境噪声排放</w:t>
            </w:r>
            <w:r>
              <w:rPr>
                <w:rFonts w:eastAsiaTheme="minorEastAsia"/>
                <w:color w:val="auto"/>
                <w:sz w:val="24"/>
              </w:rPr>
              <w:t>标准》（GB</w:t>
            </w:r>
            <w:r>
              <w:rPr>
                <w:rFonts w:hint="eastAsia" w:eastAsiaTheme="minorEastAsia"/>
                <w:color w:val="auto"/>
                <w:sz w:val="24"/>
              </w:rPr>
              <w:t>12348</w:t>
            </w:r>
            <w:r>
              <w:rPr>
                <w:rFonts w:eastAsiaTheme="minorEastAsia"/>
                <w:color w:val="auto"/>
                <w:sz w:val="24"/>
              </w:rPr>
              <w:t>-2008）2类区标准。</w:t>
            </w:r>
          </w:p>
          <w:p w14:paraId="4E80E62B">
            <w:pPr>
              <w:adjustRightInd w:val="0"/>
              <w:snapToGrid w:val="0"/>
              <w:spacing w:line="360" w:lineRule="auto"/>
              <w:jc w:val="left"/>
              <w:rPr>
                <w:b/>
                <w:bCs/>
                <w:color w:val="auto"/>
                <w:sz w:val="24"/>
              </w:rPr>
            </w:pPr>
            <w:r>
              <w:rPr>
                <w:rFonts w:hint="eastAsia"/>
                <w:b/>
                <w:bCs/>
                <w:color w:val="auto"/>
                <w:sz w:val="24"/>
              </w:rPr>
              <w:t>2.</w:t>
            </w:r>
            <w:r>
              <w:rPr>
                <w:b/>
                <w:bCs/>
                <w:color w:val="auto"/>
                <w:sz w:val="24"/>
              </w:rPr>
              <w:t>4</w:t>
            </w:r>
            <w:r>
              <w:rPr>
                <w:rFonts w:hint="eastAsia"/>
                <w:b/>
                <w:bCs/>
                <w:snapToGrid w:val="0"/>
                <w:color w:val="auto"/>
                <w:kern w:val="0"/>
                <w:sz w:val="24"/>
              </w:rPr>
              <w:t>固体废物</w:t>
            </w:r>
          </w:p>
          <w:p w14:paraId="26F47659">
            <w:pPr>
              <w:pStyle w:val="58"/>
              <w:spacing w:line="360" w:lineRule="auto"/>
              <w:ind w:firstLine="480" w:firstLineChars="200"/>
              <w:jc w:val="left"/>
              <w:rPr>
                <w:rFonts w:hint="eastAsia" w:eastAsiaTheme="minorEastAsia"/>
                <w:color w:val="auto"/>
                <w:sz w:val="24"/>
                <w:lang w:val="en-US"/>
              </w:rPr>
            </w:pPr>
            <w:r>
              <w:rPr>
                <w:rFonts w:hint="eastAsia" w:eastAsiaTheme="minorEastAsia"/>
                <w:color w:val="auto"/>
                <w:sz w:val="24"/>
              </w:rPr>
              <w:t>原</w:t>
            </w:r>
            <w:r>
              <w:rPr>
                <w:rFonts w:eastAsiaTheme="minorEastAsia"/>
                <w:color w:val="auto"/>
                <w:sz w:val="24"/>
              </w:rPr>
              <w:t>有项目运营期的固体废物主要包括一般工业固废、危险废物、生活垃圾。一般工业固废包括焊渣、废边角料及切割碎屑、不合格产品、金属沉渣</w:t>
            </w:r>
            <w:r>
              <w:rPr>
                <w:rFonts w:hint="eastAsia" w:eastAsiaTheme="minorEastAsia"/>
                <w:color w:val="auto"/>
                <w:sz w:val="24"/>
              </w:rPr>
              <w:t>（原有项目按一般工业固废进行处置）</w:t>
            </w:r>
            <w:r>
              <w:rPr>
                <w:rFonts w:eastAsiaTheme="minorEastAsia"/>
                <w:color w:val="auto"/>
                <w:sz w:val="24"/>
              </w:rPr>
              <w:t>；危险废物包括废机油、废油桶、废劳保用品。</w:t>
            </w:r>
          </w:p>
          <w:p w14:paraId="0B6CFB5E">
            <w:pPr>
              <w:pStyle w:val="58"/>
              <w:spacing w:line="360" w:lineRule="auto"/>
              <w:ind w:firstLine="480" w:firstLineChars="200"/>
              <w:jc w:val="left"/>
              <w:rPr>
                <w:rFonts w:ascii="Times New Roman" w:hAnsi="Times New Roman" w:cs="Times New Roman" w:eastAsiaTheme="minorEastAsia"/>
                <w:color w:val="auto"/>
                <w:sz w:val="24"/>
                <w:lang w:val="en-US"/>
              </w:rPr>
            </w:pPr>
            <w:r>
              <w:rPr>
                <w:rFonts w:hint="eastAsia" w:ascii="Times New Roman" w:hAnsi="Times New Roman" w:cs="Times New Roman" w:eastAsiaTheme="minorEastAsia"/>
                <w:color w:val="auto"/>
                <w:sz w:val="24"/>
                <w:lang w:val="en-US"/>
              </w:rPr>
              <w:t>原</w:t>
            </w:r>
            <w:r>
              <w:rPr>
                <w:rFonts w:ascii="Times New Roman" w:hAnsi="Times New Roman" w:cs="Times New Roman" w:eastAsiaTheme="minorEastAsia"/>
                <w:color w:val="auto"/>
                <w:sz w:val="24"/>
                <w:lang w:val="en-US"/>
              </w:rPr>
              <w:t>有项目高频焊管生产过程中会有废边角料产生。根据建设单位提供的资料，</w:t>
            </w:r>
            <w:r>
              <w:rPr>
                <w:rFonts w:hint="eastAsia" w:ascii="Times New Roman" w:hAnsi="Times New Roman" w:cs="Times New Roman" w:eastAsiaTheme="minorEastAsia"/>
                <w:color w:val="auto"/>
                <w:sz w:val="24"/>
                <w:lang w:val="en-US"/>
              </w:rPr>
              <w:t>原</w:t>
            </w:r>
            <w:r>
              <w:rPr>
                <w:rFonts w:ascii="Times New Roman" w:hAnsi="Times New Roman" w:cs="Times New Roman" w:eastAsiaTheme="minorEastAsia"/>
                <w:color w:val="auto"/>
                <w:sz w:val="24"/>
                <w:lang w:val="en-US"/>
              </w:rPr>
              <w:t>有项目废边角料约为66.7t/a、不合格产品约为506.7t/a、金属沉渣约为1t/a，统一收集后作为外售处置。</w:t>
            </w:r>
            <w:r>
              <w:rPr>
                <w:rFonts w:hint="eastAsia" w:ascii="Times New Roman" w:hAnsi="Times New Roman" w:cs="Times New Roman" w:eastAsiaTheme="minorEastAsia"/>
                <w:color w:val="auto"/>
                <w:sz w:val="24"/>
                <w:lang w:val="en-US"/>
              </w:rPr>
              <w:t>原</w:t>
            </w:r>
            <w:r>
              <w:rPr>
                <w:rFonts w:ascii="Times New Roman" w:hAnsi="Times New Roman" w:cs="Times New Roman" w:eastAsiaTheme="minorEastAsia"/>
                <w:color w:val="auto"/>
                <w:sz w:val="24"/>
                <w:lang w:val="en-US"/>
              </w:rPr>
              <w:t>有项目废机油和废油桶产生量为0.12t/a，用于厂区内机械设备擦拭润滑，不外排；废劳保用品产生量约0.04t/a，混入生活垃圾处理。</w:t>
            </w:r>
          </w:p>
          <w:p w14:paraId="16C63705">
            <w:pPr>
              <w:pStyle w:val="58"/>
              <w:spacing w:line="360" w:lineRule="auto"/>
              <w:jc w:val="left"/>
              <w:rPr>
                <w:rFonts w:hint="eastAsia"/>
                <w:b/>
                <w:bCs/>
                <w:color w:val="auto"/>
                <w:sz w:val="24"/>
              </w:rPr>
            </w:pPr>
            <w:r>
              <w:rPr>
                <w:rFonts w:ascii="Times New Roman" w:hAnsi="Times New Roman" w:cs="Times New Roman"/>
                <w:b/>
                <w:bCs/>
                <w:color w:val="auto"/>
                <w:sz w:val="24"/>
              </w:rPr>
              <w:t>3、</w:t>
            </w:r>
            <w:r>
              <w:rPr>
                <w:rFonts w:hint="eastAsia"/>
                <w:b/>
                <w:bCs/>
                <w:color w:val="auto"/>
                <w:sz w:val="24"/>
              </w:rPr>
              <w:t>与</w:t>
            </w:r>
            <w:bookmarkStart w:id="67" w:name="OLE_LINK57"/>
            <w:r>
              <w:rPr>
                <w:rFonts w:ascii="Times New Roman" w:hAnsi="Times New Roman" w:cs="Times New Roman"/>
                <w:b/>
                <w:bCs/>
                <w:color w:val="auto"/>
                <w:sz w:val="24"/>
              </w:rPr>
              <w:t>现有项目</w:t>
            </w:r>
            <w:bookmarkEnd w:id="67"/>
            <w:r>
              <w:rPr>
                <w:rFonts w:hint="eastAsia"/>
                <w:b/>
                <w:bCs/>
                <w:color w:val="auto"/>
                <w:sz w:val="24"/>
              </w:rPr>
              <w:t>有关的主要环境问题及整改措施</w:t>
            </w:r>
          </w:p>
          <w:p w14:paraId="4D3969B9">
            <w:pPr>
              <w:adjustRightInd w:val="0"/>
              <w:snapToGrid w:val="0"/>
              <w:spacing w:line="360" w:lineRule="auto"/>
              <w:jc w:val="left"/>
              <w:rPr>
                <w:b/>
                <w:bCs/>
                <w:color w:val="auto"/>
                <w:sz w:val="24"/>
              </w:rPr>
            </w:pPr>
            <w:r>
              <w:rPr>
                <w:b/>
                <w:bCs/>
                <w:color w:val="auto"/>
                <w:sz w:val="24"/>
              </w:rPr>
              <w:t>3</w:t>
            </w:r>
            <w:r>
              <w:rPr>
                <w:rFonts w:hint="eastAsia"/>
                <w:b/>
                <w:bCs/>
                <w:color w:val="auto"/>
                <w:sz w:val="24"/>
              </w:rPr>
              <w:t>.1现有项目存在的主要环境问题</w:t>
            </w:r>
          </w:p>
          <w:p w14:paraId="2E99B84F">
            <w:pPr>
              <w:pStyle w:val="58"/>
              <w:spacing w:line="360" w:lineRule="auto"/>
              <w:ind w:firstLine="480" w:firstLineChars="200"/>
              <w:jc w:val="left"/>
              <w:rPr>
                <w:rFonts w:hint="eastAsia"/>
                <w:color w:val="auto"/>
                <w:sz w:val="24"/>
                <w:lang w:val="en-US"/>
              </w:rPr>
            </w:pPr>
            <w:r>
              <w:rPr>
                <w:rFonts w:hint="eastAsia"/>
                <w:color w:val="auto"/>
                <w:sz w:val="24"/>
              </w:rPr>
              <w:t>（</w:t>
            </w:r>
            <w:r>
              <w:rPr>
                <w:color w:val="auto"/>
                <w:sz w:val="24"/>
              </w:rPr>
              <w:t>1</w:t>
            </w:r>
            <w:r>
              <w:rPr>
                <w:rFonts w:hint="eastAsia"/>
                <w:color w:val="auto"/>
                <w:sz w:val="24"/>
              </w:rPr>
              <w:t>）项目未设置危险废物暂存间及危险废物相关标志牌。</w:t>
            </w:r>
            <w:r>
              <w:rPr>
                <w:rFonts w:ascii="Times New Roman" w:cs="Times New Roman"/>
                <w:color w:val="auto"/>
                <w:sz w:val="24"/>
                <w:lang w:val="en-US" w:bidi="ar-SA"/>
              </w:rPr>
              <w:t>废机油、废液压油及桶随意摆放，</w:t>
            </w:r>
            <w:r>
              <w:rPr>
                <w:rFonts w:hint="eastAsia" w:ascii="Times New Roman" w:cs="Times New Roman"/>
                <w:color w:val="auto"/>
                <w:sz w:val="24"/>
                <w:lang w:val="en-US" w:bidi="ar-SA"/>
              </w:rPr>
              <w:t>设备维护检修产生含油废抹布并入生活垃圾，</w:t>
            </w:r>
            <w:r>
              <w:rPr>
                <w:rFonts w:ascii="Times New Roman" w:cs="Times New Roman"/>
                <w:color w:val="auto"/>
                <w:sz w:val="24"/>
                <w:lang w:val="en-US" w:bidi="ar-SA"/>
              </w:rPr>
              <w:t>收集、贮存及处置措施不规范。</w:t>
            </w:r>
          </w:p>
          <w:p w14:paraId="5A40859D">
            <w:pPr>
              <w:adjustRightInd w:val="0"/>
              <w:snapToGrid w:val="0"/>
              <w:spacing w:line="360" w:lineRule="auto"/>
              <w:ind w:firstLine="480" w:firstLineChars="200"/>
              <w:rPr>
                <w:rFonts w:hint="eastAsia" w:hAnsi="宋体"/>
                <w:color w:val="auto"/>
                <w:sz w:val="24"/>
              </w:rPr>
            </w:pPr>
            <w:r>
              <w:rPr>
                <w:rFonts w:hint="eastAsia" w:hAnsi="宋体"/>
                <w:color w:val="auto"/>
                <w:sz w:val="24"/>
              </w:rPr>
              <w:t>（2）循环水池金属沉渣未进行过浸出毒性检测，未能明确危险性，无法明确界定其危险特性，直接外售存在风险。</w:t>
            </w:r>
          </w:p>
          <w:p w14:paraId="7852CCD8">
            <w:pPr>
              <w:adjustRightInd w:val="0"/>
              <w:snapToGrid w:val="0"/>
              <w:spacing w:line="360" w:lineRule="auto"/>
              <w:ind w:firstLine="480" w:firstLineChars="200"/>
              <w:rPr>
                <w:rFonts w:hint="eastAsia" w:hAnsi="宋体"/>
                <w:color w:val="auto"/>
                <w:sz w:val="24"/>
              </w:rPr>
            </w:pPr>
            <w:r>
              <w:rPr>
                <w:rFonts w:hint="eastAsia" w:hAnsi="宋体"/>
                <w:color w:val="auto"/>
                <w:sz w:val="24"/>
              </w:rPr>
              <w:t>（3）厂区未设置事故水池，在事故情况下，生产线冷却水存在外溢风险。</w:t>
            </w:r>
          </w:p>
          <w:p w14:paraId="1B89817E">
            <w:pPr>
              <w:pStyle w:val="58"/>
              <w:spacing w:line="360" w:lineRule="auto"/>
              <w:ind w:firstLine="480" w:firstLineChars="200"/>
              <w:jc w:val="left"/>
              <w:rPr>
                <w:rFonts w:ascii="Times New Roman" w:hAnsi="Times New Roman" w:cs="Times New Roman"/>
                <w:color w:val="auto"/>
                <w:kern w:val="24"/>
                <w:sz w:val="24"/>
              </w:rPr>
            </w:pPr>
            <w:r>
              <w:rPr>
                <w:rFonts w:hint="eastAsia" w:ascii="Times New Roman" w:hAnsi="Times New Roman" w:cs="Times New Roman"/>
                <w:color w:val="auto"/>
                <w:sz w:val="24"/>
                <w:lang w:val="en-US"/>
              </w:rPr>
              <w:t>（4）</w:t>
            </w:r>
            <w:r>
              <w:rPr>
                <w:rFonts w:hint="eastAsia"/>
                <w:color w:val="auto"/>
                <w:sz w:val="24"/>
              </w:rPr>
              <w:t>已建项目</w:t>
            </w:r>
            <w:r>
              <w:rPr>
                <w:rFonts w:ascii="Times New Roman" w:hAnsi="Times New Roman" w:cs="Times New Roman"/>
                <w:color w:val="auto"/>
                <w:kern w:val="24"/>
                <w:sz w:val="24"/>
              </w:rPr>
              <w:t>高频直缝焊管焊接工段产生的焊接烟尘</w:t>
            </w:r>
            <w:r>
              <w:rPr>
                <w:rFonts w:hint="eastAsia" w:ascii="Times New Roman" w:hAnsi="Times New Roman" w:cs="Times New Roman"/>
                <w:color w:val="auto"/>
                <w:kern w:val="24"/>
                <w:sz w:val="24"/>
              </w:rPr>
              <w:t>在车间内无组织排放，未采取收集、治理措施。</w:t>
            </w:r>
          </w:p>
          <w:p w14:paraId="2AC2448A">
            <w:pPr>
              <w:pStyle w:val="58"/>
              <w:spacing w:line="360" w:lineRule="auto"/>
              <w:ind w:firstLine="480" w:firstLineChars="200"/>
              <w:jc w:val="left"/>
              <w:rPr>
                <w:rFonts w:ascii="Times New Roman" w:hAnsi="Times New Roman" w:cs="Times New Roman"/>
                <w:color w:val="auto"/>
                <w:kern w:val="24"/>
                <w:sz w:val="24"/>
                <w:lang w:val="en-US"/>
              </w:rPr>
            </w:pPr>
            <w:r>
              <w:rPr>
                <w:rFonts w:hint="eastAsia" w:ascii="Times New Roman" w:hAnsi="Times New Roman" w:cs="Times New Roman"/>
                <w:color w:val="auto"/>
                <w:kern w:val="24"/>
                <w:sz w:val="24"/>
              </w:rPr>
              <w:t>（5）</w:t>
            </w:r>
            <w:r>
              <w:rPr>
                <w:rFonts w:ascii="Times New Roman" w:hAnsi="Times New Roman" w:cs="Times New Roman"/>
                <w:color w:val="auto"/>
                <w:kern w:val="24"/>
                <w:sz w:val="24"/>
                <w:lang w:val="en-US"/>
              </w:rPr>
              <w:t>厂区生活</w:t>
            </w:r>
            <w:r>
              <w:rPr>
                <w:rFonts w:hint="eastAsia" w:ascii="Times New Roman" w:hAnsi="Times New Roman" w:cs="Times New Roman"/>
                <w:color w:val="auto"/>
                <w:kern w:val="24"/>
                <w:sz w:val="24"/>
                <w:lang w:val="en-US"/>
              </w:rPr>
              <w:t>污水</w:t>
            </w:r>
            <w:r>
              <w:rPr>
                <w:rFonts w:ascii="Times New Roman" w:hAnsi="Times New Roman" w:cs="Times New Roman"/>
                <w:color w:val="auto"/>
                <w:kern w:val="24"/>
                <w:sz w:val="24"/>
                <w:lang w:val="en-US"/>
              </w:rPr>
              <w:t>通过</w:t>
            </w:r>
            <w:r>
              <w:rPr>
                <w:rFonts w:hint="eastAsia" w:ascii="Times New Roman" w:hAnsi="Times New Roman" w:cs="Times New Roman"/>
                <w:color w:val="auto"/>
                <w:kern w:val="24"/>
                <w:sz w:val="24"/>
                <w:lang w:val="en-US"/>
              </w:rPr>
              <w:t>化粪池</w:t>
            </w:r>
            <w:r>
              <w:rPr>
                <w:rFonts w:ascii="Times New Roman" w:hAnsi="Times New Roman" w:cs="Times New Roman"/>
                <w:color w:val="auto"/>
                <w:kern w:val="24"/>
                <w:sz w:val="24"/>
                <w:lang w:val="en-US"/>
              </w:rPr>
              <w:t>处理后</w:t>
            </w:r>
            <w:r>
              <w:rPr>
                <w:rFonts w:hint="eastAsia" w:ascii="Times New Roman" w:hAnsi="Times New Roman" w:cs="Times New Roman"/>
                <w:color w:val="auto"/>
                <w:kern w:val="24"/>
                <w:sz w:val="24"/>
                <w:lang w:val="en-US"/>
              </w:rPr>
              <w:t>用于厂区绿化</w:t>
            </w:r>
            <w:r>
              <w:rPr>
                <w:rFonts w:ascii="Times New Roman" w:hAnsi="Times New Roman" w:cs="Times New Roman"/>
                <w:color w:val="auto"/>
                <w:kern w:val="24"/>
                <w:sz w:val="24"/>
                <w:lang w:val="en-US"/>
              </w:rPr>
              <w:t>，</w:t>
            </w:r>
            <w:r>
              <w:rPr>
                <w:rFonts w:hint="eastAsia" w:ascii="Times New Roman" w:hAnsi="Times New Roman" w:cs="Times New Roman"/>
                <w:color w:val="auto"/>
                <w:kern w:val="24"/>
                <w:sz w:val="24"/>
                <w:lang w:val="en-US"/>
              </w:rPr>
              <w:t>不符合废水达标排放要求</w:t>
            </w:r>
            <w:r>
              <w:rPr>
                <w:rFonts w:ascii="Times New Roman" w:hAnsi="Times New Roman" w:cs="Times New Roman"/>
                <w:color w:val="auto"/>
                <w:kern w:val="24"/>
                <w:sz w:val="24"/>
                <w:lang w:val="en-US"/>
              </w:rPr>
              <w:t>。</w:t>
            </w:r>
          </w:p>
          <w:p w14:paraId="5979D139">
            <w:pPr>
              <w:pStyle w:val="58"/>
              <w:spacing w:line="360" w:lineRule="auto"/>
              <w:ind w:firstLine="480" w:firstLineChars="200"/>
              <w:jc w:val="left"/>
              <w:rPr>
                <w:rFonts w:hint="eastAsia"/>
                <w:color w:val="auto"/>
                <w:kern w:val="24"/>
                <w:sz w:val="24"/>
                <w:lang w:val="en-US"/>
              </w:rPr>
            </w:pPr>
            <w:r>
              <w:rPr>
                <w:rFonts w:hint="eastAsia" w:ascii="Times New Roman" w:hAnsi="Times New Roman" w:cs="Times New Roman"/>
                <w:color w:val="auto"/>
                <w:kern w:val="24"/>
                <w:sz w:val="24"/>
                <w:lang w:val="en-US"/>
              </w:rPr>
              <w:t>（6）</w:t>
            </w:r>
            <w:r>
              <w:rPr>
                <w:color w:val="auto"/>
                <w:kern w:val="24"/>
                <w:sz w:val="24"/>
                <w:lang w:val="en-US"/>
              </w:rPr>
              <w:t>厂区未设置一般固废暂存间，生产过程中产生的一般固废随意堆放，布置杂乱</w:t>
            </w:r>
            <w:r>
              <w:rPr>
                <w:rFonts w:hint="eastAsia"/>
                <w:color w:val="auto"/>
                <w:kern w:val="24"/>
                <w:sz w:val="24"/>
                <w:lang w:val="en-US"/>
              </w:rPr>
              <w:t>。</w:t>
            </w:r>
          </w:p>
          <w:p w14:paraId="1010C2FF">
            <w:pPr>
              <w:pStyle w:val="58"/>
              <w:spacing w:line="360" w:lineRule="auto"/>
              <w:ind w:firstLine="480" w:firstLineChars="200"/>
              <w:jc w:val="left"/>
              <w:rPr>
                <w:rFonts w:ascii="Times New Roman" w:hAnsi="Times New Roman" w:cs="Times New Roman"/>
                <w:color w:val="auto"/>
                <w:kern w:val="24"/>
                <w:sz w:val="24"/>
                <w:lang w:val="en-US"/>
              </w:rPr>
            </w:pPr>
            <w:r>
              <w:rPr>
                <w:rFonts w:ascii="Times New Roman" w:hAnsi="Times New Roman" w:cs="Times New Roman"/>
                <w:color w:val="auto"/>
                <w:kern w:val="24"/>
                <w:sz w:val="24"/>
                <w:lang w:val="en-US"/>
              </w:rPr>
              <w:t>（7）现有项目未按相关要求建立固废处理处置台账。</w:t>
            </w:r>
          </w:p>
          <w:p w14:paraId="05397E8B">
            <w:pPr>
              <w:adjustRightInd w:val="0"/>
              <w:snapToGrid w:val="0"/>
              <w:spacing w:line="360" w:lineRule="auto"/>
              <w:jc w:val="left"/>
              <w:rPr>
                <w:b/>
                <w:bCs/>
                <w:color w:val="auto"/>
                <w:sz w:val="24"/>
              </w:rPr>
            </w:pPr>
            <w:r>
              <w:rPr>
                <w:b/>
                <w:bCs/>
                <w:color w:val="auto"/>
                <w:sz w:val="24"/>
              </w:rPr>
              <w:t>3</w:t>
            </w:r>
            <w:r>
              <w:rPr>
                <w:rFonts w:hint="eastAsia"/>
                <w:b/>
                <w:bCs/>
                <w:color w:val="auto"/>
                <w:sz w:val="24"/>
              </w:rPr>
              <w:t>.2 现有项目整改措施</w:t>
            </w:r>
          </w:p>
          <w:p w14:paraId="3BCFA025">
            <w:pPr>
              <w:adjustRightInd w:val="0"/>
              <w:snapToGrid w:val="0"/>
              <w:spacing w:line="360" w:lineRule="auto"/>
              <w:ind w:firstLine="480" w:firstLineChars="200"/>
              <w:rPr>
                <w:rFonts w:hint="eastAsia" w:hAnsi="宋体"/>
                <w:color w:val="auto"/>
                <w:sz w:val="24"/>
              </w:rPr>
            </w:pPr>
            <w:r>
              <w:rPr>
                <w:rFonts w:hint="eastAsia" w:hAnsi="宋体"/>
                <w:color w:val="auto"/>
                <w:sz w:val="24"/>
              </w:rPr>
              <w:t>（1）成品库内设置面积5 m</w:t>
            </w:r>
            <w:r>
              <w:rPr>
                <w:rFonts w:hint="eastAsia" w:hAnsi="宋体"/>
                <w:color w:val="auto"/>
                <w:sz w:val="24"/>
                <w:vertAlign w:val="superscript"/>
              </w:rPr>
              <w:t>2</w:t>
            </w:r>
            <w:r>
              <w:rPr>
                <w:rFonts w:hint="eastAsia" w:hAnsi="宋体"/>
                <w:color w:val="auto"/>
                <w:sz w:val="24"/>
              </w:rPr>
              <w:t>的危废暂存间，临时存放危险废物。按照《危险废物识别标志设置技术规范》（HJ 1276-2022）要求设置危废暂存间的危险废物识别标志，危废废物贮存分区标志，危险废物贮存设施标志。危废暂存间进行重点防渗改造，防渗措施采用抗渗混凝土+2mm厚高密度聚乙烯膜+环氧树脂涂层，确保</w:t>
            </w:r>
            <w:r>
              <w:rPr>
                <w:rFonts w:hAnsi="宋体"/>
                <w:color w:val="auto"/>
                <w:sz w:val="24"/>
              </w:rPr>
              <w:t>渗透系数≦10</w:t>
            </w:r>
            <w:r>
              <w:rPr>
                <w:rFonts w:hAnsi="宋体"/>
                <w:color w:val="auto"/>
                <w:sz w:val="24"/>
                <w:vertAlign w:val="superscript"/>
              </w:rPr>
              <w:t>-10</w:t>
            </w:r>
            <w:r>
              <w:rPr>
                <w:rFonts w:hAnsi="宋体"/>
                <w:color w:val="auto"/>
                <w:sz w:val="24"/>
              </w:rPr>
              <w:t>cm/s</w:t>
            </w:r>
            <w:r>
              <w:rPr>
                <w:rFonts w:hint="eastAsia" w:hAnsi="宋体"/>
                <w:color w:val="auto"/>
                <w:sz w:val="24"/>
              </w:rPr>
              <w:t>，以满足《危险废物贮存污染控制标准》（</w:t>
            </w:r>
            <w:r>
              <w:rPr>
                <w:rFonts w:hAnsi="宋体"/>
                <w:color w:val="auto"/>
                <w:sz w:val="24"/>
              </w:rPr>
              <w:t>GB18597</w:t>
            </w:r>
            <w:r>
              <w:rPr>
                <w:rFonts w:hint="eastAsia" w:hAnsi="宋体"/>
                <w:color w:val="auto"/>
                <w:sz w:val="24"/>
              </w:rPr>
              <w:t>-</w:t>
            </w:r>
            <w:r>
              <w:rPr>
                <w:rFonts w:hAnsi="宋体"/>
                <w:color w:val="auto"/>
                <w:sz w:val="24"/>
              </w:rPr>
              <w:t>2023</w:t>
            </w:r>
            <w:r>
              <w:rPr>
                <w:rFonts w:hint="eastAsia" w:hAnsi="宋体"/>
                <w:color w:val="auto"/>
                <w:sz w:val="24"/>
              </w:rPr>
              <w:t>）</w:t>
            </w:r>
            <w:r>
              <w:rPr>
                <w:rFonts w:hAnsi="宋体"/>
                <w:color w:val="auto"/>
                <w:sz w:val="24"/>
              </w:rPr>
              <w:t>要求</w:t>
            </w:r>
            <w:r>
              <w:rPr>
                <w:rFonts w:hint="eastAsia" w:hAnsi="宋体"/>
                <w:color w:val="auto"/>
                <w:sz w:val="24"/>
              </w:rPr>
              <w:t>。</w:t>
            </w:r>
          </w:p>
          <w:p w14:paraId="273F7420">
            <w:pPr>
              <w:adjustRightInd w:val="0"/>
              <w:snapToGrid w:val="0"/>
              <w:spacing w:line="360" w:lineRule="auto"/>
              <w:ind w:firstLine="480" w:firstLineChars="200"/>
              <w:rPr>
                <w:rFonts w:hint="eastAsia" w:hAnsi="宋体"/>
                <w:color w:val="auto"/>
                <w:sz w:val="24"/>
              </w:rPr>
            </w:pPr>
            <w:r>
              <w:rPr>
                <w:rFonts w:hint="eastAsia" w:hAnsi="宋体"/>
                <w:color w:val="auto"/>
                <w:sz w:val="24"/>
              </w:rPr>
              <w:t>（2）</w:t>
            </w:r>
            <w:r>
              <w:rPr>
                <w:rFonts w:hAnsi="宋体"/>
                <w:color w:val="auto"/>
                <w:sz w:val="24"/>
              </w:rPr>
              <w:t>金属沉渣</w:t>
            </w:r>
            <w:r>
              <w:rPr>
                <w:rFonts w:hAnsi="宋体"/>
                <w:bCs/>
                <w:color w:val="auto"/>
                <w:sz w:val="24"/>
              </w:rPr>
              <w:t>每次清掏</w:t>
            </w:r>
            <w:r>
              <w:rPr>
                <w:rFonts w:hint="eastAsia" w:hAnsi="宋体"/>
                <w:bCs/>
                <w:color w:val="auto"/>
                <w:sz w:val="24"/>
              </w:rPr>
              <w:t>前</w:t>
            </w:r>
            <w:r>
              <w:rPr>
                <w:rFonts w:hAnsi="宋体"/>
                <w:bCs/>
                <w:color w:val="auto"/>
                <w:sz w:val="24"/>
              </w:rPr>
              <w:t>进行浸出毒性检测，为一般固废则存放于一般固废暂存间进行外售处置；若为危险固废则暂存于危废暂存间，</w:t>
            </w:r>
            <w:r>
              <w:rPr>
                <w:rFonts w:hAnsi="宋体"/>
                <w:color w:val="auto"/>
                <w:sz w:val="24"/>
              </w:rPr>
              <w:t>定期交由有资质的单位进行处置。</w:t>
            </w:r>
          </w:p>
          <w:p w14:paraId="308083FB">
            <w:pPr>
              <w:adjustRightInd w:val="0"/>
              <w:snapToGrid w:val="0"/>
              <w:spacing w:line="360" w:lineRule="auto"/>
              <w:ind w:firstLine="480" w:firstLineChars="200"/>
              <w:rPr>
                <w:rFonts w:hint="eastAsia" w:hAnsi="宋体"/>
                <w:color w:val="auto"/>
                <w:sz w:val="24"/>
              </w:rPr>
            </w:pPr>
            <w:r>
              <w:rPr>
                <w:rFonts w:hint="eastAsia" w:hAnsi="宋体"/>
                <w:color w:val="auto"/>
                <w:sz w:val="24"/>
              </w:rPr>
              <w:t>（</w:t>
            </w:r>
            <w:r>
              <w:rPr>
                <w:rFonts w:hAnsi="宋体"/>
                <w:color w:val="auto"/>
                <w:sz w:val="24"/>
              </w:rPr>
              <w:t>3</w:t>
            </w:r>
            <w:r>
              <w:rPr>
                <w:rFonts w:hint="eastAsia" w:hAnsi="宋体"/>
                <w:color w:val="auto"/>
                <w:sz w:val="24"/>
              </w:rPr>
              <w:t>）利用生产车间3号北侧现有闲置的蓄水池封闭起来作为应急事故水池，容积556</w:t>
            </w:r>
            <w:r>
              <w:rPr>
                <w:rFonts w:hAnsi="宋体"/>
                <w:color w:val="auto"/>
                <w:sz w:val="24"/>
              </w:rPr>
              <w:t>m</w:t>
            </w:r>
            <w:r>
              <w:rPr>
                <w:rFonts w:hAnsi="宋体"/>
                <w:color w:val="auto"/>
                <w:sz w:val="24"/>
                <w:vertAlign w:val="superscript"/>
              </w:rPr>
              <w:t>3</w:t>
            </w:r>
            <w:r>
              <w:rPr>
                <w:rFonts w:hint="eastAsia" w:hAnsi="宋体"/>
                <w:color w:val="auto"/>
                <w:sz w:val="24"/>
              </w:rPr>
              <w:t>。平常需空置，用于暂存事故状态下的直接冷却水。</w:t>
            </w:r>
          </w:p>
          <w:p w14:paraId="6A67E11A">
            <w:pPr>
              <w:adjustRightInd w:val="0"/>
              <w:snapToGrid w:val="0"/>
              <w:spacing w:line="360" w:lineRule="auto"/>
              <w:ind w:firstLine="480" w:firstLineChars="200"/>
              <w:rPr>
                <w:rFonts w:hint="eastAsia" w:hAnsi="宋体"/>
                <w:color w:val="auto"/>
                <w:sz w:val="24"/>
              </w:rPr>
            </w:pPr>
            <w:r>
              <w:rPr>
                <w:rFonts w:hint="eastAsia"/>
                <w:color w:val="auto"/>
                <w:sz w:val="24"/>
              </w:rPr>
              <w:t>（</w:t>
            </w:r>
            <w:r>
              <w:rPr>
                <w:color w:val="auto"/>
                <w:sz w:val="24"/>
              </w:rPr>
              <w:t>4</w:t>
            </w:r>
            <w:r>
              <w:rPr>
                <w:rFonts w:hint="eastAsia"/>
                <w:color w:val="auto"/>
                <w:sz w:val="24"/>
              </w:rPr>
              <w:t>）</w:t>
            </w:r>
            <w:r>
              <w:rPr>
                <w:rFonts w:hint="eastAsia" w:hAnsi="宋体"/>
                <w:color w:val="auto"/>
                <w:sz w:val="24"/>
              </w:rPr>
              <w:t>现有4条高频焊接生产线及2条未批先建高频焊接生产线废气处理进行改造，从无组织排放变更为有组织排放。各条生产线焊接烟尘经集气罩+布袋除尘器处理后经由15m高排气筒排放。</w:t>
            </w:r>
          </w:p>
          <w:p w14:paraId="6363EB74">
            <w:pPr>
              <w:adjustRightInd w:val="0"/>
              <w:snapToGrid w:val="0"/>
              <w:spacing w:line="360" w:lineRule="auto"/>
              <w:ind w:firstLine="480" w:firstLineChars="200"/>
              <w:rPr>
                <w:color w:val="auto"/>
                <w:kern w:val="24"/>
                <w:sz w:val="24"/>
                <w:lang w:bidi="zh-CN"/>
              </w:rPr>
            </w:pPr>
            <w:r>
              <w:rPr>
                <w:rFonts w:hint="eastAsia" w:hAnsi="宋体"/>
                <w:color w:val="auto"/>
                <w:sz w:val="24"/>
              </w:rPr>
              <w:t>（5）</w:t>
            </w:r>
            <w:r>
              <w:rPr>
                <w:color w:val="auto"/>
                <w:kern w:val="24"/>
                <w:sz w:val="24"/>
                <w:lang w:bidi="zh-CN"/>
              </w:rPr>
              <w:t>厂区生活</w:t>
            </w:r>
            <w:r>
              <w:rPr>
                <w:rFonts w:hint="eastAsia"/>
                <w:color w:val="auto"/>
                <w:kern w:val="24"/>
                <w:sz w:val="24"/>
                <w:lang w:bidi="zh-CN"/>
              </w:rPr>
              <w:t>污水</w:t>
            </w:r>
            <w:r>
              <w:rPr>
                <w:color w:val="auto"/>
                <w:kern w:val="24"/>
                <w:sz w:val="24"/>
                <w:lang w:bidi="zh-CN"/>
              </w:rPr>
              <w:t>通过</w:t>
            </w:r>
            <w:r>
              <w:rPr>
                <w:rFonts w:hint="eastAsia"/>
                <w:color w:val="auto"/>
                <w:kern w:val="24"/>
                <w:sz w:val="24"/>
              </w:rPr>
              <w:t>化粪池</w:t>
            </w:r>
            <w:r>
              <w:rPr>
                <w:color w:val="auto"/>
                <w:kern w:val="24"/>
                <w:sz w:val="24"/>
                <w:lang w:bidi="zh-CN"/>
              </w:rPr>
              <w:t>处理后</w:t>
            </w:r>
            <w:r>
              <w:rPr>
                <w:rFonts w:hint="eastAsia"/>
                <w:color w:val="auto"/>
                <w:kern w:val="24"/>
                <w:sz w:val="24"/>
                <w:lang w:bidi="zh-CN"/>
              </w:rPr>
              <w:t>，利用罐车拉运至纳古镇污水处理站处理</w:t>
            </w:r>
            <w:r>
              <w:rPr>
                <w:color w:val="auto"/>
                <w:kern w:val="24"/>
                <w:sz w:val="24"/>
                <w:lang w:bidi="zh-CN"/>
              </w:rPr>
              <w:t>。</w:t>
            </w:r>
          </w:p>
          <w:p w14:paraId="679B385A">
            <w:pPr>
              <w:adjustRightInd w:val="0"/>
              <w:snapToGrid w:val="0"/>
              <w:spacing w:line="360" w:lineRule="auto"/>
              <w:ind w:firstLine="480" w:firstLineChars="200"/>
              <w:rPr>
                <w:color w:val="auto"/>
                <w:kern w:val="24"/>
                <w:sz w:val="24"/>
                <w:lang w:bidi="zh-CN"/>
              </w:rPr>
            </w:pPr>
            <w:r>
              <w:rPr>
                <w:rFonts w:hint="eastAsia"/>
                <w:color w:val="auto"/>
                <w:kern w:val="24"/>
                <w:sz w:val="24"/>
                <w:lang w:bidi="zh-CN"/>
              </w:rPr>
              <w:t>（6）成品库内设置面积20 m</w:t>
            </w:r>
            <w:r>
              <w:rPr>
                <w:rFonts w:hint="eastAsia"/>
                <w:color w:val="auto"/>
                <w:kern w:val="24"/>
                <w:sz w:val="24"/>
                <w:vertAlign w:val="superscript"/>
                <w:lang w:bidi="zh-CN"/>
              </w:rPr>
              <w:t>2</w:t>
            </w:r>
            <w:r>
              <w:rPr>
                <w:rFonts w:hint="eastAsia"/>
                <w:color w:val="auto"/>
                <w:kern w:val="24"/>
                <w:sz w:val="24"/>
                <w:lang w:bidi="zh-CN"/>
              </w:rPr>
              <w:t>的一般固废暂存间，</w:t>
            </w:r>
            <w:r>
              <w:rPr>
                <w:color w:val="auto"/>
                <w:kern w:val="24"/>
                <w:sz w:val="24"/>
                <w:lang w:bidi="zh-CN"/>
              </w:rPr>
              <w:t>用于统一堆存项目</w:t>
            </w:r>
            <w:r>
              <w:rPr>
                <w:rFonts w:hint="eastAsia"/>
                <w:color w:val="auto"/>
                <w:kern w:val="24"/>
                <w:sz w:val="24"/>
                <w:lang w:bidi="zh-CN"/>
              </w:rPr>
              <w:t>运营期</w:t>
            </w:r>
            <w:r>
              <w:rPr>
                <w:color w:val="auto"/>
                <w:kern w:val="24"/>
                <w:sz w:val="24"/>
                <w:lang w:bidi="zh-CN"/>
              </w:rPr>
              <w:t>产生的一般固体废弃物</w:t>
            </w:r>
            <w:r>
              <w:rPr>
                <w:rFonts w:hint="eastAsia"/>
                <w:color w:val="auto"/>
                <w:kern w:val="24"/>
                <w:sz w:val="24"/>
                <w:lang w:bidi="zh-CN"/>
              </w:rPr>
              <w:t>，</w:t>
            </w:r>
            <w:r>
              <w:rPr>
                <w:color w:val="auto"/>
                <w:kern w:val="24"/>
                <w:sz w:val="24"/>
                <w:lang w:bidi="zh-CN"/>
              </w:rPr>
              <w:t>禁止在厂区内随意堆存固废。</w:t>
            </w:r>
            <w:r>
              <w:rPr>
                <w:rFonts w:hint="eastAsia"/>
                <w:color w:val="auto"/>
                <w:kern w:val="24"/>
                <w:sz w:val="24"/>
                <w:lang w:bidi="zh-CN"/>
              </w:rPr>
              <w:t>循环水池沉渣外每次清掏前进行浸出毒性检测，经检测确认为一般工业固体废物的，方可作为一般工业固体废物进行外售或委托处置，若为危废按照危废委托有资质单位清运处置。</w:t>
            </w:r>
          </w:p>
          <w:p w14:paraId="09AC5ECA">
            <w:pPr>
              <w:adjustRightInd w:val="0"/>
              <w:snapToGrid w:val="0"/>
              <w:spacing w:line="360" w:lineRule="auto"/>
              <w:ind w:firstLine="480" w:firstLineChars="200"/>
              <w:rPr>
                <w:rFonts w:hint="eastAsia" w:hAnsi="宋体"/>
                <w:color w:val="auto"/>
                <w:sz w:val="24"/>
              </w:rPr>
            </w:pPr>
            <w:r>
              <w:rPr>
                <w:rFonts w:hint="eastAsia" w:hAnsi="宋体"/>
                <w:color w:val="auto"/>
                <w:sz w:val="24"/>
              </w:rPr>
              <w:t>（7）</w:t>
            </w:r>
            <w:r>
              <w:rPr>
                <w:rFonts w:hAnsi="宋体"/>
                <w:color w:val="auto"/>
                <w:sz w:val="24"/>
              </w:rPr>
              <w:t>建立固废处置处理台账，包括危险废物和一般固体废弃物。</w:t>
            </w:r>
          </w:p>
          <w:p w14:paraId="019F5794">
            <w:pPr>
              <w:pStyle w:val="58"/>
              <w:spacing w:line="360" w:lineRule="auto"/>
              <w:jc w:val="left"/>
              <w:rPr>
                <w:rFonts w:ascii="Times New Roman" w:hAnsi="Times New Roman" w:cs="Times New Roman"/>
                <w:color w:val="auto"/>
                <w:sz w:val="24"/>
                <w:lang w:val="en-US"/>
              </w:rPr>
            </w:pPr>
            <w:r>
              <w:rPr>
                <w:rFonts w:ascii="Times New Roman" w:hAnsi="Times New Roman" w:cs="Times New Roman"/>
                <w:b/>
                <w:bCs/>
                <w:color w:val="auto"/>
                <w:sz w:val="24"/>
              </w:rPr>
              <w:t>4、</w:t>
            </w:r>
            <w:r>
              <w:rPr>
                <w:rFonts w:hint="eastAsia" w:ascii="Times New Roman" w:hAnsi="Times New Roman"/>
                <w:b/>
                <w:bCs/>
                <w:color w:val="auto"/>
                <w:sz w:val="24"/>
                <w:lang w:val="en-US"/>
              </w:rPr>
              <w:t>项目建设前后“三本账”汇总表</w:t>
            </w:r>
          </w:p>
          <w:p w14:paraId="58EF6EFA">
            <w:pPr>
              <w:adjustRightInd w:val="0"/>
              <w:snapToGrid w:val="0"/>
              <w:spacing w:line="360" w:lineRule="auto"/>
              <w:ind w:firstLine="482" w:firstLineChars="200"/>
              <w:jc w:val="center"/>
              <w:rPr>
                <w:b/>
                <w:color w:val="auto"/>
                <w:kern w:val="24"/>
                <w:sz w:val="24"/>
              </w:rPr>
            </w:pPr>
            <w:r>
              <w:rPr>
                <w:rFonts w:hint="eastAsia"/>
                <w:b/>
                <w:color w:val="auto"/>
                <w:kern w:val="24"/>
                <w:sz w:val="24"/>
              </w:rPr>
              <w:t>表</w:t>
            </w:r>
            <w:r>
              <w:rPr>
                <w:b/>
                <w:color w:val="auto"/>
                <w:kern w:val="24"/>
                <w:sz w:val="24"/>
              </w:rPr>
              <w:t>2-</w:t>
            </w:r>
            <w:r>
              <w:rPr>
                <w:rFonts w:hint="eastAsia"/>
                <w:b/>
                <w:color w:val="auto"/>
                <w:kern w:val="24"/>
                <w:sz w:val="24"/>
              </w:rPr>
              <w:t>9</w:t>
            </w:r>
            <w:r>
              <w:rPr>
                <w:b/>
                <w:color w:val="auto"/>
                <w:kern w:val="24"/>
                <w:sz w:val="24"/>
              </w:rPr>
              <w:t xml:space="preserve">  </w:t>
            </w:r>
            <w:r>
              <w:rPr>
                <w:rFonts w:hint="eastAsia"/>
                <w:b/>
                <w:color w:val="auto"/>
                <w:kern w:val="24"/>
                <w:sz w:val="24"/>
              </w:rPr>
              <w:t xml:space="preserve">项目建设前后“三本账”汇总表 </w:t>
            </w:r>
            <w:r>
              <w:rPr>
                <w:b/>
                <w:color w:val="auto"/>
                <w:kern w:val="24"/>
                <w:sz w:val="24"/>
              </w:rPr>
              <w:t xml:space="preserve"> </w:t>
            </w:r>
            <w:r>
              <w:rPr>
                <w:rFonts w:hint="eastAsia"/>
                <w:b/>
                <w:color w:val="auto"/>
                <w:kern w:val="24"/>
                <w:sz w:val="24"/>
              </w:rPr>
              <w:t>单位：t/a</w:t>
            </w:r>
          </w:p>
          <w:tbl>
            <w:tblPr>
              <w:tblStyle w:val="32"/>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314"/>
              <w:gridCol w:w="1187"/>
              <w:gridCol w:w="1399"/>
              <w:gridCol w:w="1293"/>
              <w:gridCol w:w="1337"/>
              <w:gridCol w:w="1418"/>
              <w:gridCol w:w="1026"/>
            </w:tblGrid>
            <w:tr w14:paraId="253310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14" w:type="dxa"/>
                  <w:tcBorders>
                    <w:tl2br w:val="single" w:color="auto" w:sz="4" w:space="0"/>
                  </w:tcBorders>
                  <w:tcMar>
                    <w:left w:w="28" w:type="dxa"/>
                    <w:right w:w="28" w:type="dxa"/>
                  </w:tcMar>
                  <w:vAlign w:val="center"/>
                </w:tcPr>
                <w:p w14:paraId="74815F16">
                  <w:pPr>
                    <w:pStyle w:val="47"/>
                    <w:spacing w:beforeLines="0" w:afterLines="0" w:line="240" w:lineRule="auto"/>
                    <w:jc w:val="right"/>
                    <w:rPr>
                      <w:rFonts w:ascii="Times New Roman"/>
                      <w:snapToGrid w:val="0"/>
                      <w:color w:val="auto"/>
                      <w:spacing w:val="-6"/>
                      <w:kern w:val="21"/>
                      <w:szCs w:val="21"/>
                    </w:rPr>
                  </w:pPr>
                  <w:r>
                    <w:rPr>
                      <w:rFonts w:ascii="Times New Roman"/>
                      <w:snapToGrid w:val="0"/>
                      <w:color w:val="auto"/>
                      <w:spacing w:val="-6"/>
                      <w:kern w:val="21"/>
                      <w:szCs w:val="21"/>
                    </w:rPr>
                    <w:t>项目</w:t>
                  </w:r>
                </w:p>
                <w:p w14:paraId="2229B45F">
                  <w:pPr>
                    <w:pStyle w:val="47"/>
                    <w:spacing w:beforeLines="0" w:afterLines="0" w:line="240" w:lineRule="auto"/>
                    <w:jc w:val="left"/>
                    <w:rPr>
                      <w:rFonts w:ascii="Times New Roman"/>
                      <w:snapToGrid w:val="0"/>
                      <w:color w:val="auto"/>
                      <w:spacing w:val="-6"/>
                      <w:kern w:val="21"/>
                      <w:szCs w:val="21"/>
                    </w:rPr>
                  </w:pPr>
                  <w:r>
                    <w:rPr>
                      <w:rFonts w:ascii="Times New Roman"/>
                      <w:snapToGrid w:val="0"/>
                      <w:color w:val="auto"/>
                      <w:spacing w:val="-6"/>
                      <w:kern w:val="21"/>
                      <w:szCs w:val="21"/>
                    </w:rPr>
                    <w:t>分类</w:t>
                  </w:r>
                </w:p>
              </w:tc>
              <w:tc>
                <w:tcPr>
                  <w:tcW w:w="1187" w:type="dxa"/>
                  <w:tcMar>
                    <w:left w:w="28" w:type="dxa"/>
                    <w:right w:w="28" w:type="dxa"/>
                  </w:tcMar>
                  <w:vAlign w:val="center"/>
                </w:tcPr>
                <w:p w14:paraId="34F97136">
                  <w:pPr>
                    <w:pStyle w:val="47"/>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t>污染物名称</w:t>
                  </w:r>
                </w:p>
              </w:tc>
              <w:tc>
                <w:tcPr>
                  <w:tcW w:w="1399" w:type="dxa"/>
                  <w:tcMar>
                    <w:left w:w="28" w:type="dxa"/>
                    <w:right w:w="28" w:type="dxa"/>
                  </w:tcMar>
                  <w:vAlign w:val="center"/>
                </w:tcPr>
                <w:p w14:paraId="6078F025">
                  <w:pPr>
                    <w:pStyle w:val="47"/>
                    <w:spacing w:beforeLines="0" w:afterLines="0" w:line="240" w:lineRule="auto"/>
                    <w:rPr>
                      <w:rFonts w:ascii="Times New Roman"/>
                      <w:snapToGrid w:val="0"/>
                      <w:color w:val="auto"/>
                      <w:spacing w:val="-6"/>
                      <w:kern w:val="21"/>
                      <w:szCs w:val="21"/>
                    </w:rPr>
                  </w:pPr>
                  <w:r>
                    <w:rPr>
                      <w:rFonts w:hint="eastAsia" w:ascii="Times New Roman"/>
                      <w:snapToGrid w:val="0"/>
                      <w:color w:val="auto"/>
                      <w:spacing w:val="-6"/>
                      <w:kern w:val="21"/>
                      <w:szCs w:val="21"/>
                    </w:rPr>
                    <w:t>原有</w:t>
                  </w:r>
                  <w:r>
                    <w:rPr>
                      <w:rFonts w:ascii="Times New Roman"/>
                      <w:snapToGrid w:val="0"/>
                      <w:color w:val="auto"/>
                      <w:spacing w:val="-6"/>
                      <w:kern w:val="21"/>
                      <w:szCs w:val="21"/>
                    </w:rPr>
                    <w:t>工程</w:t>
                  </w:r>
                </w:p>
                <w:p w14:paraId="1AA198E1">
                  <w:pPr>
                    <w:pStyle w:val="47"/>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t>排放量（固体废物产生量）</w:t>
                  </w:r>
                </w:p>
              </w:tc>
              <w:tc>
                <w:tcPr>
                  <w:tcW w:w="1293" w:type="dxa"/>
                  <w:tcMar>
                    <w:left w:w="28" w:type="dxa"/>
                    <w:right w:w="28" w:type="dxa"/>
                  </w:tcMar>
                  <w:vAlign w:val="center"/>
                </w:tcPr>
                <w:p w14:paraId="4472B69F">
                  <w:pPr>
                    <w:pStyle w:val="47"/>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t>本项目</w:t>
                  </w:r>
                </w:p>
                <w:p w14:paraId="7FD4C527">
                  <w:pPr>
                    <w:pStyle w:val="47"/>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t>排放量（固体废物产生量）</w:t>
                  </w:r>
                </w:p>
              </w:tc>
              <w:tc>
                <w:tcPr>
                  <w:tcW w:w="1337" w:type="dxa"/>
                  <w:tcMar>
                    <w:left w:w="28" w:type="dxa"/>
                    <w:right w:w="28" w:type="dxa"/>
                  </w:tcMar>
                  <w:vAlign w:val="center"/>
                </w:tcPr>
                <w:p w14:paraId="4413685D">
                  <w:pPr>
                    <w:pStyle w:val="47"/>
                    <w:spacing w:beforeLines="0" w:afterLines="0" w:line="240" w:lineRule="auto"/>
                    <w:rPr>
                      <w:rFonts w:ascii="Times New Roman"/>
                      <w:snapToGrid w:val="0"/>
                      <w:color w:val="auto"/>
                      <w:spacing w:val="-16"/>
                      <w:kern w:val="21"/>
                      <w:szCs w:val="21"/>
                    </w:rPr>
                  </w:pPr>
                  <w:r>
                    <w:rPr>
                      <w:rFonts w:ascii="Times New Roman"/>
                      <w:snapToGrid w:val="0"/>
                      <w:color w:val="auto"/>
                      <w:spacing w:val="-16"/>
                      <w:kern w:val="21"/>
                      <w:szCs w:val="21"/>
                    </w:rPr>
                    <w:t>以新带老</w:t>
                  </w:r>
                </w:p>
                <w:p w14:paraId="209C6FBE">
                  <w:pPr>
                    <w:pStyle w:val="47"/>
                    <w:spacing w:beforeLines="0" w:afterLines="0" w:line="240" w:lineRule="auto"/>
                    <w:rPr>
                      <w:rFonts w:ascii="Times New Roman"/>
                      <w:snapToGrid w:val="0"/>
                      <w:color w:val="auto"/>
                      <w:spacing w:val="-16"/>
                      <w:kern w:val="21"/>
                      <w:szCs w:val="21"/>
                    </w:rPr>
                  </w:pPr>
                  <w:r>
                    <w:rPr>
                      <w:rFonts w:ascii="Times New Roman"/>
                      <w:snapToGrid w:val="0"/>
                      <w:color w:val="auto"/>
                      <w:spacing w:val="-16"/>
                      <w:kern w:val="21"/>
                      <w:szCs w:val="21"/>
                    </w:rPr>
                    <w:t>削减量</w:t>
                  </w:r>
                </w:p>
              </w:tc>
              <w:tc>
                <w:tcPr>
                  <w:tcW w:w="1418" w:type="dxa"/>
                  <w:tcMar>
                    <w:left w:w="28" w:type="dxa"/>
                    <w:right w:w="28" w:type="dxa"/>
                  </w:tcMar>
                  <w:vAlign w:val="center"/>
                </w:tcPr>
                <w:p w14:paraId="2C778831">
                  <w:pPr>
                    <w:pStyle w:val="47"/>
                    <w:spacing w:beforeLines="0" w:afterLines="0" w:line="240" w:lineRule="auto"/>
                    <w:rPr>
                      <w:rFonts w:ascii="Times New Roman"/>
                      <w:snapToGrid w:val="0"/>
                      <w:color w:val="auto"/>
                      <w:spacing w:val="-16"/>
                      <w:kern w:val="21"/>
                      <w:szCs w:val="21"/>
                    </w:rPr>
                  </w:pPr>
                  <w:r>
                    <w:rPr>
                      <w:rFonts w:ascii="Times New Roman"/>
                      <w:snapToGrid w:val="0"/>
                      <w:color w:val="auto"/>
                      <w:spacing w:val="-16"/>
                      <w:kern w:val="21"/>
                      <w:szCs w:val="21"/>
                    </w:rPr>
                    <w:t>本项目建成后</w:t>
                  </w:r>
                </w:p>
                <w:p w14:paraId="00B0942D">
                  <w:pPr>
                    <w:pStyle w:val="47"/>
                    <w:spacing w:beforeLines="0" w:afterLines="0" w:line="240" w:lineRule="auto"/>
                    <w:rPr>
                      <w:rFonts w:ascii="Times New Roman"/>
                      <w:snapToGrid w:val="0"/>
                      <w:color w:val="auto"/>
                      <w:spacing w:val="-16"/>
                      <w:kern w:val="21"/>
                      <w:szCs w:val="21"/>
                    </w:rPr>
                  </w:pPr>
                  <w:r>
                    <w:rPr>
                      <w:rFonts w:ascii="Times New Roman"/>
                      <w:snapToGrid w:val="0"/>
                      <w:color w:val="auto"/>
                      <w:spacing w:val="-16"/>
                      <w:kern w:val="21"/>
                      <w:szCs w:val="21"/>
                    </w:rPr>
                    <w:t>全厂排放量（固体废物产生量）</w:t>
                  </w:r>
                </w:p>
              </w:tc>
              <w:tc>
                <w:tcPr>
                  <w:tcW w:w="1026" w:type="dxa"/>
                  <w:tcMar>
                    <w:left w:w="28" w:type="dxa"/>
                    <w:right w:w="28" w:type="dxa"/>
                  </w:tcMar>
                  <w:vAlign w:val="center"/>
                </w:tcPr>
                <w:p w14:paraId="113123B2">
                  <w:pPr>
                    <w:pStyle w:val="47"/>
                    <w:spacing w:beforeLines="0" w:afterLines="0" w:line="240" w:lineRule="auto"/>
                    <w:rPr>
                      <w:rFonts w:ascii="Times New Roman"/>
                      <w:snapToGrid w:val="0"/>
                      <w:color w:val="auto"/>
                      <w:spacing w:val="-6"/>
                      <w:kern w:val="21"/>
                      <w:szCs w:val="21"/>
                    </w:rPr>
                  </w:pPr>
                  <w:r>
                    <w:rPr>
                      <w:rFonts w:ascii="Times New Roman"/>
                      <w:snapToGrid w:val="0"/>
                      <w:color w:val="auto"/>
                      <w:spacing w:val="-6"/>
                      <w:kern w:val="21"/>
                      <w:szCs w:val="21"/>
                    </w:rPr>
                    <w:t>变化量</w:t>
                  </w:r>
                </w:p>
              </w:tc>
            </w:tr>
            <w:tr w14:paraId="53DB35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 w:hRule="atLeast"/>
              </w:trPr>
              <w:tc>
                <w:tcPr>
                  <w:tcW w:w="1314" w:type="dxa"/>
                  <w:vAlign w:val="center"/>
                </w:tcPr>
                <w:p w14:paraId="33118881">
                  <w:pPr>
                    <w:pStyle w:val="47"/>
                    <w:spacing w:beforeLines="0" w:afterLines="0" w:line="240" w:lineRule="auto"/>
                    <w:rPr>
                      <w:rFonts w:ascii="Times New Roman"/>
                      <w:snapToGrid w:val="0"/>
                      <w:color w:val="auto"/>
                      <w:kern w:val="21"/>
                      <w:szCs w:val="21"/>
                    </w:rPr>
                  </w:pPr>
                  <w:r>
                    <w:rPr>
                      <w:rFonts w:ascii="Times New Roman"/>
                      <w:snapToGrid w:val="0"/>
                      <w:color w:val="auto"/>
                      <w:kern w:val="21"/>
                      <w:szCs w:val="21"/>
                    </w:rPr>
                    <w:t>废气</w:t>
                  </w:r>
                </w:p>
              </w:tc>
              <w:tc>
                <w:tcPr>
                  <w:tcW w:w="1187" w:type="dxa"/>
                  <w:vAlign w:val="center"/>
                </w:tcPr>
                <w:p w14:paraId="42AE8BCD">
                  <w:pPr>
                    <w:pStyle w:val="47"/>
                    <w:spacing w:beforeLines="0" w:afterLines="0" w:line="240" w:lineRule="auto"/>
                    <w:rPr>
                      <w:rFonts w:ascii="Times New Roman"/>
                      <w:snapToGrid w:val="0"/>
                      <w:color w:val="auto"/>
                      <w:kern w:val="21"/>
                      <w:szCs w:val="21"/>
                    </w:rPr>
                  </w:pPr>
                  <w:r>
                    <w:rPr>
                      <w:rFonts w:ascii="Times New Roman"/>
                      <w:snapToGrid w:val="0"/>
                      <w:color w:val="auto"/>
                      <w:kern w:val="21"/>
                      <w:szCs w:val="21"/>
                    </w:rPr>
                    <w:t>颗粒物</w:t>
                  </w:r>
                </w:p>
              </w:tc>
              <w:tc>
                <w:tcPr>
                  <w:tcW w:w="1399" w:type="dxa"/>
                  <w:vAlign w:val="center"/>
                </w:tcPr>
                <w:p w14:paraId="3D360BE1">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0.473</w:t>
                  </w:r>
                </w:p>
              </w:tc>
              <w:tc>
                <w:tcPr>
                  <w:tcW w:w="1293" w:type="dxa"/>
                  <w:vAlign w:val="center"/>
                </w:tcPr>
                <w:p w14:paraId="5D729525">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0.277</w:t>
                  </w:r>
                </w:p>
              </w:tc>
              <w:tc>
                <w:tcPr>
                  <w:tcW w:w="1337" w:type="dxa"/>
                  <w:vAlign w:val="center"/>
                </w:tcPr>
                <w:p w14:paraId="0FD0A78D">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0.473</w:t>
                  </w:r>
                </w:p>
              </w:tc>
              <w:tc>
                <w:tcPr>
                  <w:tcW w:w="1418" w:type="dxa"/>
                  <w:vAlign w:val="center"/>
                </w:tcPr>
                <w:p w14:paraId="52B89068">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0.277</w:t>
                  </w:r>
                </w:p>
              </w:tc>
              <w:tc>
                <w:tcPr>
                  <w:tcW w:w="1026" w:type="dxa"/>
                  <w:vAlign w:val="center"/>
                </w:tcPr>
                <w:p w14:paraId="0D88CADD">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-0.196</w:t>
                  </w:r>
                </w:p>
              </w:tc>
            </w:tr>
            <w:tr w14:paraId="109A52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 w:hRule="atLeast"/>
              </w:trPr>
              <w:tc>
                <w:tcPr>
                  <w:tcW w:w="1314" w:type="dxa"/>
                  <w:vAlign w:val="center"/>
                </w:tcPr>
                <w:p w14:paraId="7BABAAB2">
                  <w:pPr>
                    <w:pStyle w:val="47"/>
                    <w:spacing w:beforeLines="0" w:afterLines="0" w:line="240" w:lineRule="auto"/>
                    <w:rPr>
                      <w:rFonts w:ascii="Times New Roman"/>
                      <w:snapToGrid w:val="0"/>
                      <w:color w:val="auto"/>
                      <w:kern w:val="21"/>
                      <w:szCs w:val="21"/>
                    </w:rPr>
                  </w:pPr>
                  <w:r>
                    <w:rPr>
                      <w:rFonts w:ascii="Times New Roman"/>
                      <w:snapToGrid w:val="0"/>
                      <w:color w:val="auto"/>
                      <w:kern w:val="21"/>
                      <w:szCs w:val="21"/>
                    </w:rPr>
                    <w:t>废水</w:t>
                  </w:r>
                </w:p>
              </w:tc>
              <w:tc>
                <w:tcPr>
                  <w:tcW w:w="1187" w:type="dxa"/>
                  <w:vAlign w:val="center"/>
                </w:tcPr>
                <w:p w14:paraId="03C07218">
                  <w:pPr>
                    <w:pStyle w:val="47"/>
                    <w:spacing w:beforeLines="0" w:afterLines="0" w:line="240" w:lineRule="auto"/>
                    <w:rPr>
                      <w:rFonts w:ascii="Times New Roman"/>
                      <w:snapToGrid w:val="0"/>
                      <w:color w:val="auto"/>
                      <w:kern w:val="21"/>
                      <w:szCs w:val="21"/>
                    </w:rPr>
                  </w:pPr>
                  <w:r>
                    <w:rPr>
                      <w:rFonts w:ascii="Times New Roman"/>
                      <w:color w:val="auto"/>
                      <w:szCs w:val="21"/>
                    </w:rPr>
                    <w:t>生活污水</w:t>
                  </w:r>
                </w:p>
              </w:tc>
              <w:tc>
                <w:tcPr>
                  <w:tcW w:w="1399" w:type="dxa"/>
                  <w:vAlign w:val="center"/>
                </w:tcPr>
                <w:p w14:paraId="08E5A6EA">
                  <w:pPr>
                    <w:pStyle w:val="47"/>
                    <w:spacing w:beforeLines="0" w:afterLines="0" w:line="240" w:lineRule="auto"/>
                    <w:rPr>
                      <w:rFonts w:ascii="Times New Roman"/>
                      <w:snapToGrid w:val="0"/>
                      <w:color w:val="auto"/>
                      <w:kern w:val="21"/>
                      <w:szCs w:val="21"/>
                    </w:rPr>
                  </w:pPr>
                  <w:r>
                    <w:rPr>
                      <w:rFonts w:ascii="Times New Roman"/>
                      <w:snapToGrid w:val="0"/>
                      <w:color w:val="auto"/>
                      <w:kern w:val="21"/>
                      <w:szCs w:val="21"/>
                    </w:rPr>
                    <w:t>0</w:t>
                  </w:r>
                </w:p>
              </w:tc>
              <w:tc>
                <w:tcPr>
                  <w:tcW w:w="1293" w:type="dxa"/>
                  <w:vAlign w:val="center"/>
                </w:tcPr>
                <w:p w14:paraId="6D410837">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w:t>
                  </w:r>
                </w:p>
              </w:tc>
              <w:tc>
                <w:tcPr>
                  <w:tcW w:w="1337" w:type="dxa"/>
                  <w:vAlign w:val="center"/>
                </w:tcPr>
                <w:p w14:paraId="72E5226F">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w:t>
                  </w:r>
                </w:p>
              </w:tc>
              <w:tc>
                <w:tcPr>
                  <w:tcW w:w="1418" w:type="dxa"/>
                  <w:vAlign w:val="center"/>
                </w:tcPr>
                <w:p w14:paraId="5B66F149">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w:t>
                  </w:r>
                </w:p>
              </w:tc>
              <w:tc>
                <w:tcPr>
                  <w:tcW w:w="1026" w:type="dxa"/>
                  <w:vAlign w:val="center"/>
                </w:tcPr>
                <w:p w14:paraId="17436C31">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w:t>
                  </w:r>
                </w:p>
              </w:tc>
            </w:tr>
            <w:tr w14:paraId="0793FB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 w:hRule="atLeast"/>
              </w:trPr>
              <w:tc>
                <w:tcPr>
                  <w:tcW w:w="1314" w:type="dxa"/>
                  <w:vMerge w:val="restart"/>
                  <w:vAlign w:val="center"/>
                </w:tcPr>
                <w:p w14:paraId="0B4E0DB7">
                  <w:pPr>
                    <w:pStyle w:val="47"/>
                    <w:spacing w:beforeLines="0" w:afterLines="0" w:line="240" w:lineRule="auto"/>
                    <w:rPr>
                      <w:rFonts w:ascii="Times New Roman"/>
                      <w:snapToGrid w:val="0"/>
                      <w:color w:val="auto"/>
                      <w:kern w:val="21"/>
                      <w:szCs w:val="21"/>
                    </w:rPr>
                  </w:pPr>
                  <w:r>
                    <w:rPr>
                      <w:rFonts w:ascii="Times New Roman"/>
                      <w:snapToGrid w:val="0"/>
                      <w:color w:val="auto"/>
                      <w:kern w:val="21"/>
                      <w:szCs w:val="21"/>
                    </w:rPr>
                    <w:t>一般工业</w:t>
                  </w:r>
                </w:p>
                <w:p w14:paraId="4C70E8C4">
                  <w:pPr>
                    <w:pStyle w:val="47"/>
                    <w:spacing w:beforeLines="0" w:afterLines="0" w:line="240" w:lineRule="auto"/>
                    <w:rPr>
                      <w:rFonts w:ascii="Times New Roman"/>
                      <w:snapToGrid w:val="0"/>
                      <w:color w:val="auto"/>
                      <w:kern w:val="21"/>
                      <w:szCs w:val="21"/>
                    </w:rPr>
                  </w:pPr>
                  <w:r>
                    <w:rPr>
                      <w:rFonts w:ascii="Times New Roman"/>
                      <w:snapToGrid w:val="0"/>
                      <w:color w:val="auto"/>
                      <w:kern w:val="21"/>
                      <w:szCs w:val="21"/>
                    </w:rPr>
                    <w:t>固体废物</w:t>
                  </w:r>
                </w:p>
              </w:tc>
              <w:tc>
                <w:tcPr>
                  <w:tcW w:w="1187" w:type="dxa"/>
                  <w:vAlign w:val="center"/>
                </w:tcPr>
                <w:p w14:paraId="229E8564">
                  <w:pPr>
                    <w:pStyle w:val="47"/>
                    <w:spacing w:beforeLines="0" w:afterLines="0" w:line="240" w:lineRule="auto"/>
                    <w:rPr>
                      <w:rFonts w:ascii="Times New Roman"/>
                      <w:snapToGrid w:val="0"/>
                      <w:color w:val="auto"/>
                      <w:kern w:val="21"/>
                      <w:szCs w:val="21"/>
                    </w:rPr>
                  </w:pPr>
                  <w:r>
                    <w:rPr>
                      <w:rFonts w:ascii="Times New Roman"/>
                      <w:color w:val="auto"/>
                      <w:szCs w:val="21"/>
                    </w:rPr>
                    <w:t>废边角料</w:t>
                  </w:r>
                </w:p>
              </w:tc>
              <w:tc>
                <w:tcPr>
                  <w:tcW w:w="1399" w:type="dxa"/>
                  <w:vAlign w:val="center"/>
                </w:tcPr>
                <w:p w14:paraId="36700D2B">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66.7</w:t>
                  </w:r>
                </w:p>
              </w:tc>
              <w:tc>
                <w:tcPr>
                  <w:tcW w:w="1293" w:type="dxa"/>
                  <w:vAlign w:val="center"/>
                </w:tcPr>
                <w:p w14:paraId="03B5FB2C">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150</w:t>
                  </w:r>
                </w:p>
              </w:tc>
              <w:tc>
                <w:tcPr>
                  <w:tcW w:w="1337" w:type="dxa"/>
                  <w:vAlign w:val="center"/>
                </w:tcPr>
                <w:p w14:paraId="77718493">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66.7</w:t>
                  </w:r>
                </w:p>
              </w:tc>
              <w:tc>
                <w:tcPr>
                  <w:tcW w:w="1418" w:type="dxa"/>
                  <w:vAlign w:val="center"/>
                </w:tcPr>
                <w:p w14:paraId="58F7E114">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150</w:t>
                  </w:r>
                </w:p>
              </w:tc>
              <w:tc>
                <w:tcPr>
                  <w:tcW w:w="1026" w:type="dxa"/>
                  <w:vAlign w:val="center"/>
                </w:tcPr>
                <w:p w14:paraId="3882A8D6">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+83.3</w:t>
                  </w:r>
                </w:p>
              </w:tc>
            </w:tr>
            <w:tr w14:paraId="5E1616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1314" w:type="dxa"/>
                  <w:vMerge w:val="continue"/>
                  <w:vAlign w:val="center"/>
                </w:tcPr>
                <w:p w14:paraId="5316BFBD">
                  <w:pPr>
                    <w:pStyle w:val="47"/>
                    <w:spacing w:beforeLines="0" w:afterLines="0" w:line="240" w:lineRule="auto"/>
                    <w:rPr>
                      <w:rFonts w:ascii="Times New Roman"/>
                      <w:snapToGrid w:val="0"/>
                      <w:color w:val="auto"/>
                      <w:kern w:val="21"/>
                      <w:szCs w:val="21"/>
                    </w:rPr>
                  </w:pPr>
                </w:p>
              </w:tc>
              <w:tc>
                <w:tcPr>
                  <w:tcW w:w="1187" w:type="dxa"/>
                  <w:vAlign w:val="center"/>
                </w:tcPr>
                <w:p w14:paraId="2AC694D2">
                  <w:pPr>
                    <w:pStyle w:val="47"/>
                    <w:spacing w:beforeLines="0" w:afterLines="0" w:line="240" w:lineRule="auto"/>
                    <w:rPr>
                      <w:rFonts w:ascii="Times New Roman"/>
                      <w:snapToGrid w:val="0"/>
                      <w:color w:val="auto"/>
                      <w:kern w:val="21"/>
                      <w:szCs w:val="21"/>
                    </w:rPr>
                  </w:pPr>
                  <w:r>
                    <w:rPr>
                      <w:rFonts w:ascii="Times New Roman"/>
                      <w:color w:val="auto"/>
                      <w:szCs w:val="21"/>
                    </w:rPr>
                    <w:t>不合格产品</w:t>
                  </w:r>
                </w:p>
              </w:tc>
              <w:tc>
                <w:tcPr>
                  <w:tcW w:w="1399" w:type="dxa"/>
                  <w:vAlign w:val="center"/>
                </w:tcPr>
                <w:p w14:paraId="1F4809FE">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506.7</w:t>
                  </w:r>
                </w:p>
              </w:tc>
              <w:tc>
                <w:tcPr>
                  <w:tcW w:w="1293" w:type="dxa"/>
                  <w:vAlign w:val="center"/>
                </w:tcPr>
                <w:p w14:paraId="29B4169D">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847</w:t>
                  </w:r>
                </w:p>
              </w:tc>
              <w:tc>
                <w:tcPr>
                  <w:tcW w:w="1337" w:type="dxa"/>
                  <w:vAlign w:val="center"/>
                </w:tcPr>
                <w:p w14:paraId="7CD4477E">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506.7</w:t>
                  </w:r>
                </w:p>
              </w:tc>
              <w:tc>
                <w:tcPr>
                  <w:tcW w:w="1418" w:type="dxa"/>
                  <w:vAlign w:val="center"/>
                </w:tcPr>
                <w:p w14:paraId="76C7B165">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847</w:t>
                  </w:r>
                </w:p>
              </w:tc>
              <w:tc>
                <w:tcPr>
                  <w:tcW w:w="1026" w:type="dxa"/>
                  <w:vAlign w:val="center"/>
                </w:tcPr>
                <w:p w14:paraId="65ED5D03">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+340.3</w:t>
                  </w:r>
                </w:p>
              </w:tc>
            </w:tr>
            <w:tr w14:paraId="71148D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 w:hRule="atLeast"/>
              </w:trPr>
              <w:tc>
                <w:tcPr>
                  <w:tcW w:w="1314" w:type="dxa"/>
                  <w:vMerge w:val="continue"/>
                  <w:vAlign w:val="center"/>
                </w:tcPr>
                <w:p w14:paraId="106B1C1A">
                  <w:pPr>
                    <w:pStyle w:val="47"/>
                    <w:spacing w:beforeLines="0" w:afterLines="0" w:line="240" w:lineRule="auto"/>
                    <w:rPr>
                      <w:rFonts w:ascii="Times New Roman"/>
                      <w:snapToGrid w:val="0"/>
                      <w:color w:val="auto"/>
                      <w:kern w:val="21"/>
                      <w:szCs w:val="21"/>
                    </w:rPr>
                  </w:pPr>
                </w:p>
              </w:tc>
              <w:tc>
                <w:tcPr>
                  <w:tcW w:w="1187" w:type="dxa"/>
                  <w:vAlign w:val="center"/>
                </w:tcPr>
                <w:p w14:paraId="7821C9DD">
                  <w:pPr>
                    <w:pStyle w:val="47"/>
                    <w:spacing w:beforeLines="0" w:afterLines="0" w:line="240" w:lineRule="auto"/>
                    <w:rPr>
                      <w:rFonts w:ascii="Times New Roman"/>
                      <w:snapToGrid w:val="0"/>
                      <w:color w:val="auto"/>
                      <w:kern w:val="21"/>
                      <w:szCs w:val="21"/>
                    </w:rPr>
                  </w:pPr>
                  <w:r>
                    <w:rPr>
                      <w:rFonts w:ascii="Times New Roman"/>
                      <w:color w:val="auto"/>
                      <w:szCs w:val="21"/>
                    </w:rPr>
                    <w:t>循环水池金属沉渣</w:t>
                  </w:r>
                </w:p>
              </w:tc>
              <w:tc>
                <w:tcPr>
                  <w:tcW w:w="1399" w:type="dxa"/>
                  <w:vAlign w:val="center"/>
                </w:tcPr>
                <w:p w14:paraId="434A1ADF">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1</w:t>
                  </w:r>
                </w:p>
              </w:tc>
              <w:tc>
                <w:tcPr>
                  <w:tcW w:w="1293" w:type="dxa"/>
                  <w:vAlign w:val="center"/>
                </w:tcPr>
                <w:p w14:paraId="0CF5B2F5">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2.1</w:t>
                  </w:r>
                </w:p>
              </w:tc>
              <w:tc>
                <w:tcPr>
                  <w:tcW w:w="1337" w:type="dxa"/>
                  <w:vAlign w:val="center"/>
                </w:tcPr>
                <w:p w14:paraId="48DF2198">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1</w:t>
                  </w:r>
                </w:p>
              </w:tc>
              <w:tc>
                <w:tcPr>
                  <w:tcW w:w="1418" w:type="dxa"/>
                  <w:vAlign w:val="center"/>
                </w:tcPr>
                <w:p w14:paraId="33188DB9">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2.1</w:t>
                  </w:r>
                </w:p>
              </w:tc>
              <w:tc>
                <w:tcPr>
                  <w:tcW w:w="1026" w:type="dxa"/>
                  <w:vAlign w:val="center"/>
                </w:tcPr>
                <w:p w14:paraId="5001D350">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+1.1</w:t>
                  </w:r>
                </w:p>
              </w:tc>
            </w:tr>
            <w:tr w14:paraId="561C10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 w:hRule="atLeast"/>
              </w:trPr>
              <w:tc>
                <w:tcPr>
                  <w:tcW w:w="1314" w:type="dxa"/>
                  <w:vMerge w:val="continue"/>
                  <w:vAlign w:val="center"/>
                </w:tcPr>
                <w:p w14:paraId="3C84BDB1">
                  <w:pPr>
                    <w:pStyle w:val="47"/>
                    <w:spacing w:beforeLines="0" w:afterLines="0" w:line="240" w:lineRule="auto"/>
                    <w:rPr>
                      <w:rFonts w:ascii="Times New Roman"/>
                      <w:snapToGrid w:val="0"/>
                      <w:color w:val="auto"/>
                      <w:kern w:val="21"/>
                      <w:szCs w:val="21"/>
                    </w:rPr>
                  </w:pPr>
                </w:p>
              </w:tc>
              <w:tc>
                <w:tcPr>
                  <w:tcW w:w="1187" w:type="dxa"/>
                  <w:vAlign w:val="center"/>
                </w:tcPr>
                <w:p w14:paraId="4B6DFBA7">
                  <w:pPr>
                    <w:pStyle w:val="47"/>
                    <w:spacing w:beforeLines="0" w:afterLines="0" w:line="240" w:lineRule="auto"/>
                    <w:rPr>
                      <w:rFonts w:ascii="Times New Roman"/>
                      <w:color w:val="auto"/>
                      <w:szCs w:val="21"/>
                    </w:rPr>
                  </w:pPr>
                  <w:r>
                    <w:rPr>
                      <w:rFonts w:ascii="Times New Roman"/>
                      <w:color w:val="auto"/>
                      <w:szCs w:val="21"/>
                    </w:rPr>
                    <w:t>除尘灰</w:t>
                  </w:r>
                </w:p>
              </w:tc>
              <w:tc>
                <w:tcPr>
                  <w:tcW w:w="1399" w:type="dxa"/>
                  <w:vAlign w:val="center"/>
                </w:tcPr>
                <w:p w14:paraId="555C1307">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w:t>
                  </w:r>
                </w:p>
              </w:tc>
              <w:tc>
                <w:tcPr>
                  <w:tcW w:w="1293" w:type="dxa"/>
                  <w:vAlign w:val="center"/>
                </w:tcPr>
                <w:p w14:paraId="4852D9D2">
                  <w:pPr>
                    <w:pStyle w:val="47"/>
                    <w:spacing w:beforeLines="0" w:afterLines="0" w:line="240" w:lineRule="auto"/>
                    <w:rPr>
                      <w:rFonts w:ascii="Times New Roman"/>
                      <w:color w:val="auto"/>
                      <w:szCs w:val="21"/>
                    </w:rPr>
                  </w:pPr>
                  <w:r>
                    <w:rPr>
                      <w:rFonts w:hint="eastAsia" w:ascii="Times New Roman"/>
                      <w:color w:val="auto"/>
                      <w:szCs w:val="21"/>
                    </w:rPr>
                    <w:t>0.879</w:t>
                  </w:r>
                </w:p>
              </w:tc>
              <w:tc>
                <w:tcPr>
                  <w:tcW w:w="1337" w:type="dxa"/>
                  <w:vAlign w:val="center"/>
                </w:tcPr>
                <w:p w14:paraId="2D7B24CF">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w:t>
                  </w:r>
                </w:p>
              </w:tc>
              <w:tc>
                <w:tcPr>
                  <w:tcW w:w="1418" w:type="dxa"/>
                  <w:vAlign w:val="center"/>
                </w:tcPr>
                <w:p w14:paraId="683FD2AB">
                  <w:pPr>
                    <w:pStyle w:val="47"/>
                    <w:spacing w:beforeLines="0" w:afterLines="0" w:line="240" w:lineRule="auto"/>
                    <w:rPr>
                      <w:rFonts w:ascii="Times New Roman"/>
                      <w:color w:val="auto"/>
                      <w:szCs w:val="21"/>
                    </w:rPr>
                  </w:pPr>
                  <w:r>
                    <w:rPr>
                      <w:rFonts w:hint="eastAsia" w:ascii="Times New Roman"/>
                      <w:color w:val="auto"/>
                      <w:szCs w:val="21"/>
                    </w:rPr>
                    <w:t>0.879</w:t>
                  </w:r>
                </w:p>
              </w:tc>
              <w:tc>
                <w:tcPr>
                  <w:tcW w:w="1026" w:type="dxa"/>
                  <w:vAlign w:val="center"/>
                </w:tcPr>
                <w:p w14:paraId="7381D02C">
                  <w:pPr>
                    <w:pStyle w:val="47"/>
                    <w:spacing w:beforeLines="0" w:afterLines="0" w:line="240" w:lineRule="auto"/>
                    <w:rPr>
                      <w:rFonts w:ascii="Times New Roman"/>
                      <w:color w:val="auto"/>
                      <w:szCs w:val="21"/>
                    </w:rPr>
                  </w:pPr>
                  <w:r>
                    <w:rPr>
                      <w:rFonts w:hint="eastAsia" w:ascii="Times New Roman"/>
                      <w:color w:val="auto"/>
                      <w:szCs w:val="21"/>
                    </w:rPr>
                    <w:t>+0.879</w:t>
                  </w:r>
                </w:p>
              </w:tc>
            </w:tr>
            <w:tr w14:paraId="6AE9F2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 w:hRule="atLeast"/>
              </w:trPr>
              <w:tc>
                <w:tcPr>
                  <w:tcW w:w="1314" w:type="dxa"/>
                  <w:vMerge w:val="continue"/>
                  <w:vAlign w:val="center"/>
                </w:tcPr>
                <w:p w14:paraId="0DC37347">
                  <w:pPr>
                    <w:pStyle w:val="47"/>
                    <w:spacing w:beforeLines="0" w:afterLines="0" w:line="240" w:lineRule="auto"/>
                    <w:rPr>
                      <w:rFonts w:ascii="Times New Roman"/>
                      <w:snapToGrid w:val="0"/>
                      <w:color w:val="auto"/>
                      <w:kern w:val="21"/>
                      <w:szCs w:val="21"/>
                    </w:rPr>
                  </w:pPr>
                </w:p>
              </w:tc>
              <w:tc>
                <w:tcPr>
                  <w:tcW w:w="1187" w:type="dxa"/>
                  <w:vAlign w:val="center"/>
                </w:tcPr>
                <w:p w14:paraId="1E2A3054">
                  <w:pPr>
                    <w:pStyle w:val="47"/>
                    <w:spacing w:beforeLines="0" w:afterLines="0" w:line="240" w:lineRule="auto"/>
                    <w:rPr>
                      <w:rFonts w:ascii="Times New Roman"/>
                      <w:snapToGrid w:val="0"/>
                      <w:color w:val="auto"/>
                      <w:kern w:val="21"/>
                      <w:szCs w:val="21"/>
                    </w:rPr>
                  </w:pPr>
                  <w:r>
                    <w:rPr>
                      <w:rFonts w:ascii="Times New Roman"/>
                      <w:snapToGrid w:val="0"/>
                      <w:color w:val="auto"/>
                      <w:kern w:val="21"/>
                      <w:szCs w:val="21"/>
                    </w:rPr>
                    <w:t>化粪池污泥</w:t>
                  </w:r>
                </w:p>
              </w:tc>
              <w:tc>
                <w:tcPr>
                  <w:tcW w:w="1399" w:type="dxa"/>
                  <w:vAlign w:val="center"/>
                </w:tcPr>
                <w:p w14:paraId="538CCF92">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w:t>
                  </w:r>
                </w:p>
              </w:tc>
              <w:tc>
                <w:tcPr>
                  <w:tcW w:w="1293" w:type="dxa"/>
                  <w:vAlign w:val="center"/>
                </w:tcPr>
                <w:p w14:paraId="5C03F1B3">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0.197</w:t>
                  </w:r>
                </w:p>
              </w:tc>
              <w:tc>
                <w:tcPr>
                  <w:tcW w:w="1337" w:type="dxa"/>
                  <w:vAlign w:val="center"/>
                </w:tcPr>
                <w:p w14:paraId="1E5C3BD1">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w:t>
                  </w:r>
                </w:p>
              </w:tc>
              <w:tc>
                <w:tcPr>
                  <w:tcW w:w="1418" w:type="dxa"/>
                  <w:vAlign w:val="center"/>
                </w:tcPr>
                <w:p w14:paraId="536F87F5">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0.197</w:t>
                  </w:r>
                </w:p>
              </w:tc>
              <w:tc>
                <w:tcPr>
                  <w:tcW w:w="1026" w:type="dxa"/>
                  <w:vAlign w:val="center"/>
                </w:tcPr>
                <w:p w14:paraId="78BFA355">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+0.065</w:t>
                  </w:r>
                </w:p>
              </w:tc>
            </w:tr>
            <w:tr w14:paraId="278DA6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 w:hRule="atLeast"/>
              </w:trPr>
              <w:tc>
                <w:tcPr>
                  <w:tcW w:w="1314" w:type="dxa"/>
                  <w:vMerge w:val="restart"/>
                  <w:vAlign w:val="center"/>
                </w:tcPr>
                <w:p w14:paraId="2BFDBEAF">
                  <w:pPr>
                    <w:pStyle w:val="47"/>
                    <w:spacing w:beforeLines="0" w:afterLines="0" w:line="240" w:lineRule="auto"/>
                    <w:rPr>
                      <w:rFonts w:ascii="Times New Roman"/>
                      <w:snapToGrid w:val="0"/>
                      <w:color w:val="auto"/>
                      <w:kern w:val="21"/>
                      <w:szCs w:val="21"/>
                    </w:rPr>
                  </w:pPr>
                  <w:r>
                    <w:rPr>
                      <w:rFonts w:ascii="Times New Roman"/>
                      <w:snapToGrid w:val="0"/>
                      <w:color w:val="auto"/>
                      <w:kern w:val="21"/>
                      <w:szCs w:val="21"/>
                    </w:rPr>
                    <w:t>危险废物</w:t>
                  </w:r>
                </w:p>
              </w:tc>
              <w:tc>
                <w:tcPr>
                  <w:tcW w:w="1187" w:type="dxa"/>
                  <w:vAlign w:val="center"/>
                </w:tcPr>
                <w:p w14:paraId="40891AE9">
                  <w:pPr>
                    <w:pStyle w:val="47"/>
                    <w:spacing w:beforeLines="0" w:afterLines="0" w:line="240" w:lineRule="auto"/>
                    <w:rPr>
                      <w:rFonts w:ascii="Times New Roman"/>
                      <w:snapToGrid w:val="0"/>
                      <w:color w:val="auto"/>
                      <w:kern w:val="21"/>
                      <w:szCs w:val="21"/>
                    </w:rPr>
                  </w:pPr>
                  <w:r>
                    <w:rPr>
                      <w:rFonts w:ascii="Times New Roman"/>
                      <w:snapToGrid w:val="0"/>
                      <w:color w:val="auto"/>
                      <w:kern w:val="21"/>
                      <w:szCs w:val="21"/>
                    </w:rPr>
                    <w:t>废机油</w:t>
                  </w:r>
                </w:p>
              </w:tc>
              <w:tc>
                <w:tcPr>
                  <w:tcW w:w="1399" w:type="dxa"/>
                  <w:vAlign w:val="center"/>
                </w:tcPr>
                <w:p w14:paraId="66DA4697">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0.1</w:t>
                  </w:r>
                </w:p>
              </w:tc>
              <w:tc>
                <w:tcPr>
                  <w:tcW w:w="1293" w:type="dxa"/>
                  <w:vAlign w:val="center"/>
                </w:tcPr>
                <w:p w14:paraId="5ED308E9">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0.2</w:t>
                  </w:r>
                </w:p>
              </w:tc>
              <w:tc>
                <w:tcPr>
                  <w:tcW w:w="1337" w:type="dxa"/>
                  <w:vAlign w:val="center"/>
                </w:tcPr>
                <w:p w14:paraId="6109CEB9">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0.1</w:t>
                  </w:r>
                </w:p>
              </w:tc>
              <w:tc>
                <w:tcPr>
                  <w:tcW w:w="1418" w:type="dxa"/>
                  <w:vAlign w:val="center"/>
                </w:tcPr>
                <w:p w14:paraId="504C879E">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0.2</w:t>
                  </w:r>
                </w:p>
              </w:tc>
              <w:tc>
                <w:tcPr>
                  <w:tcW w:w="1026" w:type="dxa"/>
                  <w:vAlign w:val="center"/>
                </w:tcPr>
                <w:p w14:paraId="22FB8E45">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+0.1</w:t>
                  </w:r>
                </w:p>
              </w:tc>
            </w:tr>
            <w:tr w14:paraId="394826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 w:hRule="atLeast"/>
              </w:trPr>
              <w:tc>
                <w:tcPr>
                  <w:tcW w:w="1314" w:type="dxa"/>
                  <w:vMerge w:val="continue"/>
                  <w:vAlign w:val="center"/>
                </w:tcPr>
                <w:p w14:paraId="00407B91">
                  <w:pPr>
                    <w:pStyle w:val="47"/>
                    <w:spacing w:beforeLines="0" w:afterLines="0" w:line="240" w:lineRule="auto"/>
                    <w:rPr>
                      <w:rFonts w:ascii="Times New Roman"/>
                      <w:snapToGrid w:val="0"/>
                      <w:color w:val="auto"/>
                      <w:kern w:val="21"/>
                      <w:szCs w:val="21"/>
                    </w:rPr>
                  </w:pPr>
                </w:p>
              </w:tc>
              <w:tc>
                <w:tcPr>
                  <w:tcW w:w="1187" w:type="dxa"/>
                  <w:vAlign w:val="center"/>
                </w:tcPr>
                <w:p w14:paraId="44D1240C">
                  <w:pPr>
                    <w:pStyle w:val="47"/>
                    <w:spacing w:beforeLines="0" w:afterLines="0" w:line="240" w:lineRule="auto"/>
                    <w:rPr>
                      <w:rFonts w:ascii="Times New Roman"/>
                      <w:snapToGrid w:val="0"/>
                      <w:color w:val="auto"/>
                      <w:kern w:val="21"/>
                      <w:szCs w:val="21"/>
                    </w:rPr>
                  </w:pPr>
                  <w:r>
                    <w:rPr>
                      <w:rFonts w:ascii="Times New Roman"/>
                      <w:snapToGrid w:val="0"/>
                      <w:color w:val="auto"/>
                      <w:kern w:val="21"/>
                      <w:szCs w:val="21"/>
                    </w:rPr>
                    <w:t>废机油桶</w:t>
                  </w:r>
                </w:p>
              </w:tc>
              <w:tc>
                <w:tcPr>
                  <w:tcW w:w="1399" w:type="dxa"/>
                  <w:vAlign w:val="center"/>
                </w:tcPr>
                <w:p w14:paraId="2660A6F2">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0.02</w:t>
                  </w:r>
                </w:p>
              </w:tc>
              <w:tc>
                <w:tcPr>
                  <w:tcW w:w="1293" w:type="dxa"/>
                  <w:vAlign w:val="center"/>
                </w:tcPr>
                <w:p w14:paraId="64F157D2">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0.1</w:t>
                  </w:r>
                </w:p>
              </w:tc>
              <w:tc>
                <w:tcPr>
                  <w:tcW w:w="1337" w:type="dxa"/>
                  <w:vAlign w:val="center"/>
                </w:tcPr>
                <w:p w14:paraId="19C2FF30">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0.02</w:t>
                  </w:r>
                </w:p>
              </w:tc>
              <w:tc>
                <w:tcPr>
                  <w:tcW w:w="1418" w:type="dxa"/>
                  <w:vAlign w:val="center"/>
                </w:tcPr>
                <w:p w14:paraId="68C49D7E">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0.1</w:t>
                  </w:r>
                </w:p>
              </w:tc>
              <w:tc>
                <w:tcPr>
                  <w:tcW w:w="1026" w:type="dxa"/>
                  <w:vAlign w:val="center"/>
                </w:tcPr>
                <w:p w14:paraId="59DAC86F">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+0.08</w:t>
                  </w:r>
                </w:p>
              </w:tc>
            </w:tr>
            <w:tr w14:paraId="40634E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 w:hRule="atLeast"/>
              </w:trPr>
              <w:tc>
                <w:tcPr>
                  <w:tcW w:w="1314" w:type="dxa"/>
                  <w:vMerge w:val="continue"/>
                  <w:vAlign w:val="center"/>
                </w:tcPr>
                <w:p w14:paraId="75FCE855">
                  <w:pPr>
                    <w:pStyle w:val="47"/>
                    <w:spacing w:beforeLines="0" w:afterLines="0" w:line="240" w:lineRule="auto"/>
                    <w:rPr>
                      <w:rFonts w:ascii="Times New Roman"/>
                      <w:snapToGrid w:val="0"/>
                      <w:color w:val="auto"/>
                      <w:kern w:val="21"/>
                      <w:szCs w:val="21"/>
                    </w:rPr>
                  </w:pPr>
                </w:p>
              </w:tc>
              <w:tc>
                <w:tcPr>
                  <w:tcW w:w="1187" w:type="dxa"/>
                  <w:vAlign w:val="center"/>
                </w:tcPr>
                <w:p w14:paraId="0269FE57">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废劳保用品</w:t>
                  </w:r>
                </w:p>
              </w:tc>
              <w:tc>
                <w:tcPr>
                  <w:tcW w:w="1399" w:type="dxa"/>
                  <w:vAlign w:val="center"/>
                </w:tcPr>
                <w:p w14:paraId="374F1404">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0.04</w:t>
                  </w:r>
                </w:p>
              </w:tc>
              <w:tc>
                <w:tcPr>
                  <w:tcW w:w="1293" w:type="dxa"/>
                  <w:vAlign w:val="center"/>
                </w:tcPr>
                <w:p w14:paraId="6FBFB113">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0.07</w:t>
                  </w:r>
                </w:p>
              </w:tc>
              <w:tc>
                <w:tcPr>
                  <w:tcW w:w="1337" w:type="dxa"/>
                  <w:vAlign w:val="center"/>
                </w:tcPr>
                <w:p w14:paraId="27F90BA8">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0.04</w:t>
                  </w:r>
                </w:p>
              </w:tc>
              <w:tc>
                <w:tcPr>
                  <w:tcW w:w="1418" w:type="dxa"/>
                  <w:vAlign w:val="center"/>
                </w:tcPr>
                <w:p w14:paraId="1840F949">
                  <w:pPr>
                    <w:pStyle w:val="47"/>
                    <w:spacing w:beforeLines="0" w:afterLines="0" w:line="240" w:lineRule="auto"/>
                    <w:rPr>
                      <w:rFonts w:ascii="Times New Roman"/>
                      <w:color w:val="auto"/>
                      <w:szCs w:val="21"/>
                      <w:lang w:bidi="ar"/>
                    </w:rPr>
                  </w:pPr>
                  <w:r>
                    <w:rPr>
                      <w:rFonts w:hint="eastAsia" w:ascii="Times New Roman"/>
                      <w:snapToGrid w:val="0"/>
                      <w:color w:val="auto"/>
                      <w:kern w:val="21"/>
                      <w:szCs w:val="21"/>
                    </w:rPr>
                    <w:t>0.07</w:t>
                  </w:r>
                </w:p>
              </w:tc>
              <w:tc>
                <w:tcPr>
                  <w:tcW w:w="1026" w:type="dxa"/>
                  <w:vAlign w:val="center"/>
                </w:tcPr>
                <w:p w14:paraId="0FA8236A">
                  <w:pPr>
                    <w:pStyle w:val="47"/>
                    <w:spacing w:beforeLines="0" w:afterLines="0" w:line="240" w:lineRule="auto"/>
                    <w:rPr>
                      <w:rFonts w:ascii="Times New Roman"/>
                      <w:color w:val="auto"/>
                      <w:szCs w:val="21"/>
                      <w:lang w:bidi="ar"/>
                    </w:rPr>
                  </w:pPr>
                  <w:r>
                    <w:rPr>
                      <w:rFonts w:hint="eastAsia" w:ascii="Times New Roman"/>
                      <w:color w:val="auto"/>
                      <w:szCs w:val="21"/>
                      <w:lang w:bidi="ar"/>
                    </w:rPr>
                    <w:t>+0.03</w:t>
                  </w:r>
                </w:p>
              </w:tc>
            </w:tr>
          </w:tbl>
          <w:p w14:paraId="00E416D9">
            <w:pPr>
              <w:adjustRightInd w:val="0"/>
              <w:snapToGrid w:val="0"/>
              <w:spacing w:line="360" w:lineRule="auto"/>
              <w:ind w:firstLine="480" w:firstLineChars="200"/>
              <w:rPr>
                <w:rFonts w:hint="eastAsia"/>
                <w:bCs/>
                <w:color w:val="auto"/>
                <w:sz w:val="24"/>
              </w:rPr>
            </w:pPr>
            <w:r>
              <w:rPr>
                <w:rFonts w:hint="eastAsia"/>
                <w:bCs/>
                <w:color w:val="auto"/>
                <w:sz w:val="24"/>
              </w:rPr>
              <w:t>注：原有项目为原4条焊管生产线及1条纵剪线，本项目为改扩建后全厂</w:t>
            </w:r>
            <w:r>
              <w:rPr>
                <w:bCs/>
                <w:color w:val="auto"/>
                <w:sz w:val="24"/>
              </w:rPr>
              <w:t>9条焊管机生产线及4条带钢纵剪线</w:t>
            </w:r>
            <w:r>
              <w:rPr>
                <w:rFonts w:hint="eastAsia"/>
                <w:bCs/>
                <w:color w:val="auto"/>
                <w:sz w:val="24"/>
              </w:rPr>
              <w:t>。本项目排放量（固体废物产生量）核算已包含原有工程中的生产线，因此本项目建成后全厂排放量（固体废物产生量）=本项目排放量（固体废物产生量）。</w:t>
            </w:r>
          </w:p>
          <w:p w14:paraId="728F15A6">
            <w:pPr>
              <w:adjustRightInd w:val="0"/>
              <w:snapToGrid w:val="0"/>
              <w:spacing w:line="360" w:lineRule="auto"/>
              <w:ind w:firstLine="480" w:firstLineChars="200"/>
              <w:rPr>
                <w:rFonts w:hint="eastAsia"/>
                <w:bCs/>
                <w:color w:val="auto"/>
                <w:sz w:val="24"/>
              </w:rPr>
            </w:pPr>
          </w:p>
          <w:p w14:paraId="061A8665">
            <w:pPr>
              <w:adjustRightInd w:val="0"/>
              <w:snapToGrid w:val="0"/>
              <w:spacing w:line="360" w:lineRule="auto"/>
              <w:ind w:firstLine="480" w:firstLineChars="200"/>
              <w:rPr>
                <w:rFonts w:hint="eastAsia"/>
                <w:bCs/>
                <w:color w:val="auto"/>
                <w:sz w:val="24"/>
              </w:rPr>
            </w:pPr>
          </w:p>
          <w:p w14:paraId="2B8ABE87">
            <w:pPr>
              <w:adjustRightInd w:val="0"/>
              <w:snapToGrid w:val="0"/>
              <w:spacing w:line="360" w:lineRule="auto"/>
              <w:ind w:firstLine="480" w:firstLineChars="200"/>
              <w:rPr>
                <w:rFonts w:hint="eastAsia"/>
                <w:bCs/>
                <w:color w:val="auto"/>
                <w:sz w:val="24"/>
              </w:rPr>
            </w:pPr>
          </w:p>
          <w:p w14:paraId="141DE9EE">
            <w:pPr>
              <w:adjustRightInd w:val="0"/>
              <w:snapToGrid w:val="0"/>
              <w:spacing w:line="360" w:lineRule="auto"/>
              <w:ind w:firstLine="480" w:firstLineChars="200"/>
              <w:rPr>
                <w:rFonts w:hint="eastAsia"/>
                <w:bCs/>
                <w:color w:val="auto"/>
                <w:sz w:val="24"/>
              </w:rPr>
            </w:pPr>
          </w:p>
          <w:p w14:paraId="7EBA4F04">
            <w:pPr>
              <w:adjustRightInd w:val="0"/>
              <w:snapToGrid w:val="0"/>
              <w:spacing w:line="360" w:lineRule="auto"/>
              <w:ind w:firstLine="480" w:firstLineChars="200"/>
              <w:rPr>
                <w:rFonts w:hint="eastAsia"/>
                <w:bCs/>
                <w:color w:val="auto"/>
                <w:sz w:val="24"/>
              </w:rPr>
            </w:pPr>
          </w:p>
          <w:p w14:paraId="1A26AC7E">
            <w:pPr>
              <w:adjustRightInd w:val="0"/>
              <w:snapToGrid w:val="0"/>
              <w:spacing w:line="360" w:lineRule="auto"/>
              <w:ind w:firstLine="480" w:firstLineChars="200"/>
              <w:rPr>
                <w:rFonts w:hint="eastAsia"/>
                <w:bCs/>
                <w:color w:val="auto"/>
                <w:sz w:val="24"/>
              </w:rPr>
            </w:pPr>
          </w:p>
          <w:p w14:paraId="09A29F7A">
            <w:pPr>
              <w:adjustRightInd w:val="0"/>
              <w:snapToGrid w:val="0"/>
              <w:spacing w:line="360" w:lineRule="auto"/>
              <w:ind w:firstLine="480" w:firstLineChars="200"/>
              <w:rPr>
                <w:rFonts w:hint="eastAsia"/>
                <w:bCs/>
                <w:color w:val="auto"/>
                <w:sz w:val="24"/>
              </w:rPr>
            </w:pPr>
          </w:p>
          <w:p w14:paraId="1820AC53">
            <w:pPr>
              <w:adjustRightInd w:val="0"/>
              <w:snapToGrid w:val="0"/>
              <w:spacing w:line="360" w:lineRule="auto"/>
              <w:ind w:firstLine="480" w:firstLineChars="200"/>
              <w:rPr>
                <w:rFonts w:hint="eastAsia"/>
                <w:bCs/>
                <w:color w:val="auto"/>
                <w:sz w:val="24"/>
              </w:rPr>
            </w:pPr>
          </w:p>
          <w:p w14:paraId="45FAC931">
            <w:pPr>
              <w:adjustRightInd w:val="0"/>
              <w:snapToGrid w:val="0"/>
              <w:spacing w:line="360" w:lineRule="auto"/>
              <w:ind w:firstLine="480" w:firstLineChars="200"/>
              <w:rPr>
                <w:rFonts w:hint="eastAsia"/>
                <w:bCs/>
                <w:color w:val="auto"/>
                <w:sz w:val="24"/>
              </w:rPr>
            </w:pPr>
          </w:p>
          <w:p w14:paraId="21B7A1D2">
            <w:pPr>
              <w:adjustRightInd w:val="0"/>
              <w:snapToGrid w:val="0"/>
              <w:spacing w:line="360" w:lineRule="auto"/>
              <w:ind w:firstLine="480" w:firstLineChars="200"/>
              <w:rPr>
                <w:rFonts w:hint="eastAsia"/>
                <w:bCs/>
                <w:color w:val="auto"/>
                <w:sz w:val="24"/>
              </w:rPr>
            </w:pPr>
          </w:p>
          <w:p w14:paraId="737AD986">
            <w:pPr>
              <w:adjustRightInd w:val="0"/>
              <w:snapToGrid w:val="0"/>
              <w:spacing w:line="360" w:lineRule="auto"/>
              <w:ind w:firstLine="480" w:firstLineChars="200"/>
              <w:rPr>
                <w:rFonts w:hint="eastAsia"/>
                <w:bCs/>
                <w:color w:val="auto"/>
                <w:sz w:val="24"/>
              </w:rPr>
            </w:pPr>
          </w:p>
          <w:p w14:paraId="62132215">
            <w:pPr>
              <w:adjustRightInd w:val="0"/>
              <w:snapToGrid w:val="0"/>
              <w:spacing w:line="360" w:lineRule="auto"/>
              <w:ind w:firstLine="480" w:firstLineChars="200"/>
              <w:rPr>
                <w:rFonts w:hint="eastAsia"/>
                <w:bCs/>
                <w:color w:val="auto"/>
                <w:sz w:val="24"/>
              </w:rPr>
            </w:pPr>
          </w:p>
          <w:p w14:paraId="00E8F961">
            <w:pPr>
              <w:adjustRightInd w:val="0"/>
              <w:snapToGrid w:val="0"/>
              <w:spacing w:line="360" w:lineRule="auto"/>
              <w:ind w:firstLine="480" w:firstLineChars="200"/>
              <w:rPr>
                <w:rFonts w:hint="eastAsia"/>
                <w:bCs/>
                <w:color w:val="auto"/>
                <w:sz w:val="24"/>
              </w:rPr>
            </w:pPr>
          </w:p>
          <w:p w14:paraId="47992E4A">
            <w:pPr>
              <w:adjustRightInd w:val="0"/>
              <w:snapToGrid w:val="0"/>
              <w:spacing w:line="360" w:lineRule="auto"/>
              <w:ind w:firstLine="480" w:firstLineChars="200"/>
              <w:rPr>
                <w:rFonts w:hint="eastAsia"/>
                <w:bCs/>
                <w:color w:val="auto"/>
                <w:sz w:val="24"/>
              </w:rPr>
            </w:pPr>
          </w:p>
          <w:p w14:paraId="05EF6AA0">
            <w:pPr>
              <w:adjustRightInd w:val="0"/>
              <w:snapToGrid w:val="0"/>
              <w:spacing w:line="360" w:lineRule="auto"/>
              <w:ind w:firstLine="480" w:firstLineChars="200"/>
              <w:rPr>
                <w:rFonts w:hint="eastAsia"/>
                <w:bCs/>
                <w:color w:val="auto"/>
                <w:sz w:val="24"/>
              </w:rPr>
            </w:pPr>
          </w:p>
          <w:p w14:paraId="09991CFA">
            <w:pPr>
              <w:adjustRightInd w:val="0"/>
              <w:snapToGrid w:val="0"/>
              <w:spacing w:line="360" w:lineRule="auto"/>
              <w:ind w:firstLine="480" w:firstLineChars="200"/>
              <w:rPr>
                <w:rFonts w:hint="eastAsia"/>
                <w:bCs/>
                <w:color w:val="auto"/>
                <w:sz w:val="24"/>
              </w:rPr>
            </w:pPr>
          </w:p>
          <w:p w14:paraId="61A7C5E3">
            <w:pPr>
              <w:adjustRightInd w:val="0"/>
              <w:snapToGrid w:val="0"/>
              <w:spacing w:line="360" w:lineRule="auto"/>
              <w:ind w:firstLine="480" w:firstLineChars="200"/>
              <w:rPr>
                <w:rFonts w:hint="eastAsia"/>
                <w:bCs/>
                <w:color w:val="auto"/>
                <w:sz w:val="24"/>
              </w:rPr>
            </w:pPr>
          </w:p>
          <w:p w14:paraId="21AF7503">
            <w:pPr>
              <w:adjustRightInd w:val="0"/>
              <w:snapToGrid w:val="0"/>
              <w:spacing w:line="360" w:lineRule="auto"/>
              <w:ind w:firstLine="480" w:firstLineChars="200"/>
              <w:rPr>
                <w:rFonts w:hint="eastAsia"/>
                <w:bCs/>
                <w:color w:val="auto"/>
                <w:sz w:val="24"/>
              </w:rPr>
            </w:pPr>
          </w:p>
          <w:p w14:paraId="7D5218D9">
            <w:pPr>
              <w:adjustRightInd w:val="0"/>
              <w:snapToGrid w:val="0"/>
              <w:spacing w:line="360" w:lineRule="auto"/>
              <w:ind w:firstLine="480" w:firstLineChars="200"/>
              <w:rPr>
                <w:rFonts w:hint="eastAsia"/>
                <w:bCs/>
                <w:color w:val="auto"/>
                <w:sz w:val="24"/>
              </w:rPr>
            </w:pPr>
          </w:p>
          <w:p w14:paraId="246D0A80">
            <w:pPr>
              <w:adjustRightInd w:val="0"/>
              <w:snapToGrid w:val="0"/>
              <w:spacing w:line="360" w:lineRule="auto"/>
              <w:ind w:firstLine="480" w:firstLineChars="200"/>
              <w:rPr>
                <w:rFonts w:hint="eastAsia"/>
                <w:bCs/>
                <w:color w:val="auto"/>
                <w:sz w:val="24"/>
              </w:rPr>
            </w:pPr>
          </w:p>
          <w:p w14:paraId="203BCCEA">
            <w:pPr>
              <w:adjustRightInd w:val="0"/>
              <w:snapToGrid w:val="0"/>
              <w:spacing w:line="360" w:lineRule="auto"/>
              <w:ind w:firstLine="480" w:firstLineChars="200"/>
              <w:rPr>
                <w:rFonts w:hint="eastAsia"/>
                <w:bCs/>
                <w:color w:val="auto"/>
                <w:sz w:val="24"/>
              </w:rPr>
            </w:pPr>
          </w:p>
          <w:p w14:paraId="2153F8E1">
            <w:pPr>
              <w:adjustRightInd w:val="0"/>
              <w:snapToGrid w:val="0"/>
              <w:spacing w:line="360" w:lineRule="auto"/>
              <w:ind w:firstLine="480" w:firstLineChars="200"/>
              <w:rPr>
                <w:rFonts w:hint="eastAsia"/>
                <w:bCs/>
                <w:color w:val="auto"/>
                <w:sz w:val="24"/>
              </w:rPr>
            </w:pPr>
          </w:p>
          <w:p w14:paraId="6A926B83">
            <w:pPr>
              <w:adjustRightInd w:val="0"/>
              <w:snapToGrid w:val="0"/>
              <w:spacing w:line="360" w:lineRule="auto"/>
              <w:ind w:firstLine="480" w:firstLineChars="200"/>
              <w:rPr>
                <w:rFonts w:hint="eastAsia"/>
                <w:bCs/>
                <w:color w:val="auto"/>
                <w:sz w:val="24"/>
              </w:rPr>
            </w:pPr>
          </w:p>
          <w:p w14:paraId="17B7C7EF">
            <w:pPr>
              <w:adjustRightInd w:val="0"/>
              <w:snapToGrid w:val="0"/>
              <w:spacing w:line="360" w:lineRule="auto"/>
              <w:ind w:firstLine="480" w:firstLineChars="200"/>
              <w:rPr>
                <w:rFonts w:hint="eastAsia"/>
                <w:bCs/>
                <w:color w:val="auto"/>
                <w:sz w:val="24"/>
              </w:rPr>
            </w:pPr>
          </w:p>
        </w:tc>
      </w:tr>
    </w:tbl>
    <w:p w14:paraId="312971E2">
      <w:pPr>
        <w:pStyle w:val="28"/>
        <w:jc w:val="center"/>
        <w:rPr>
          <w:rFonts w:ascii="Times New Roman" w:hAnsi="Times New Roman" w:eastAsia="黑体"/>
          <w:snapToGrid w:val="0"/>
          <w:color w:val="auto"/>
          <w:sz w:val="36"/>
          <w:szCs w:val="36"/>
        </w:rPr>
        <w:sectPr>
          <w:pgSz w:w="11906" w:h="16838"/>
          <w:pgMar w:top="1701" w:right="1531" w:bottom="1701" w:left="1531" w:header="851" w:footer="851" w:gutter="0"/>
          <w:cols w:space="720" w:num="1"/>
          <w:docGrid w:linePitch="312" w:charSpace="0"/>
        </w:sectPr>
      </w:pPr>
    </w:p>
    <w:p w14:paraId="1E02BF19">
      <w:pPr>
        <w:pStyle w:val="28"/>
        <w:adjustRightInd w:val="0"/>
        <w:snapToGrid w:val="0"/>
        <w:spacing w:before="0" w:beforeAutospacing="0" w:after="0" w:afterAutospacing="0" w:line="14" w:lineRule="auto"/>
        <w:jc w:val="center"/>
        <w:rPr>
          <w:rFonts w:ascii="Times New Roman" w:hAnsi="Times New Roman" w:eastAsia="黑体"/>
          <w:snapToGrid w:val="0"/>
          <w:color w:val="auto"/>
          <w:sz w:val="30"/>
          <w:szCs w:val="30"/>
        </w:rPr>
      </w:pPr>
    </w:p>
    <w:p w14:paraId="6A69ED4F">
      <w:pPr>
        <w:pStyle w:val="28"/>
        <w:jc w:val="center"/>
        <w:outlineLvl w:val="0"/>
        <w:rPr>
          <w:rFonts w:ascii="Times New Roman" w:hAnsi="Times New Roman" w:eastAsia="黑体"/>
          <w:snapToGrid w:val="0"/>
          <w:color w:val="auto"/>
          <w:sz w:val="30"/>
          <w:szCs w:val="30"/>
        </w:rPr>
      </w:pPr>
      <w:bookmarkStart w:id="68" w:name="_Toc152840731"/>
      <w:r>
        <w:rPr>
          <w:rFonts w:ascii="Times New Roman" w:hAnsi="黑体" w:eastAsia="黑体"/>
          <w:snapToGrid w:val="0"/>
          <w:color w:val="auto"/>
          <w:sz w:val="30"/>
          <w:szCs w:val="30"/>
        </w:rPr>
        <w:t>三、区域环境质量现状、环境保护目标及评价标准</w:t>
      </w:r>
      <w:bookmarkEnd w:id="68"/>
    </w:p>
    <w:tbl>
      <w:tblPr>
        <w:tblStyle w:val="32"/>
        <w:tblW w:w="963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02"/>
        <w:gridCol w:w="8837"/>
      </w:tblGrid>
      <w:tr w14:paraId="0C7469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800" w:type="dxa"/>
            <w:vAlign w:val="center"/>
          </w:tcPr>
          <w:p w14:paraId="7CC1D79F">
            <w:pPr>
              <w:adjustRightInd w:val="0"/>
              <w:snapToGrid w:val="0"/>
              <w:jc w:val="center"/>
              <w:rPr>
                <w:color w:val="auto"/>
                <w:kern w:val="0"/>
                <w:sz w:val="24"/>
              </w:rPr>
            </w:pPr>
            <w:r>
              <w:rPr>
                <w:rFonts w:hAnsi="宋体"/>
                <w:color w:val="auto"/>
                <w:kern w:val="0"/>
                <w:sz w:val="24"/>
              </w:rPr>
              <w:t>区域</w:t>
            </w:r>
          </w:p>
          <w:p w14:paraId="3379EC7E">
            <w:pPr>
              <w:adjustRightInd w:val="0"/>
              <w:snapToGrid w:val="0"/>
              <w:jc w:val="center"/>
              <w:rPr>
                <w:color w:val="auto"/>
                <w:kern w:val="0"/>
                <w:sz w:val="24"/>
              </w:rPr>
            </w:pPr>
            <w:r>
              <w:rPr>
                <w:rFonts w:hAnsi="宋体"/>
                <w:color w:val="auto"/>
                <w:kern w:val="0"/>
                <w:sz w:val="24"/>
              </w:rPr>
              <w:t>环境</w:t>
            </w:r>
          </w:p>
          <w:p w14:paraId="67726FD1">
            <w:pPr>
              <w:adjustRightInd w:val="0"/>
              <w:snapToGrid w:val="0"/>
              <w:jc w:val="center"/>
              <w:rPr>
                <w:color w:val="auto"/>
                <w:kern w:val="0"/>
                <w:sz w:val="24"/>
              </w:rPr>
            </w:pPr>
            <w:r>
              <w:rPr>
                <w:rFonts w:hAnsi="宋体"/>
                <w:color w:val="auto"/>
                <w:kern w:val="0"/>
                <w:sz w:val="24"/>
              </w:rPr>
              <w:t>质量</w:t>
            </w:r>
          </w:p>
          <w:p w14:paraId="2C38A129">
            <w:pPr>
              <w:adjustRightInd w:val="0"/>
              <w:snapToGrid w:val="0"/>
              <w:jc w:val="center"/>
              <w:rPr>
                <w:color w:val="auto"/>
                <w:kern w:val="0"/>
                <w:sz w:val="24"/>
              </w:rPr>
            </w:pPr>
            <w:r>
              <w:rPr>
                <w:rFonts w:hAnsi="宋体"/>
                <w:color w:val="auto"/>
                <w:kern w:val="0"/>
                <w:sz w:val="24"/>
              </w:rPr>
              <w:t>现状</w:t>
            </w:r>
          </w:p>
        </w:tc>
        <w:tc>
          <w:tcPr>
            <w:tcW w:w="8487" w:type="dxa"/>
          </w:tcPr>
          <w:p w14:paraId="138B5B84">
            <w:pPr>
              <w:pStyle w:val="58"/>
              <w:spacing w:line="360" w:lineRule="auto"/>
              <w:rPr>
                <w:rFonts w:ascii="Times New Roman" w:hAnsi="Times New Roman" w:cs="Times New Roman"/>
                <w:b/>
                <w:color w:val="auto"/>
                <w:kern w:val="0"/>
                <w:sz w:val="24"/>
              </w:rPr>
            </w:pPr>
            <w:r>
              <w:rPr>
                <w:rFonts w:hint="eastAsia" w:ascii="Times New Roman" w:hAnsi="Times New Roman" w:cs="Times New Roman"/>
                <w:b/>
                <w:color w:val="auto"/>
                <w:kern w:val="0"/>
                <w:sz w:val="24"/>
              </w:rPr>
              <w:t>一、区域环境质量现状</w:t>
            </w:r>
          </w:p>
          <w:p w14:paraId="6442A494">
            <w:pPr>
              <w:pStyle w:val="58"/>
              <w:spacing w:line="360" w:lineRule="auto"/>
              <w:rPr>
                <w:rFonts w:ascii="Times New Roman" w:hAnsi="Times New Roman" w:cs="Times New Roman"/>
                <w:b/>
                <w:color w:val="auto"/>
                <w:kern w:val="0"/>
                <w:sz w:val="24"/>
              </w:rPr>
            </w:pPr>
            <w:r>
              <w:rPr>
                <w:rFonts w:hint="eastAsia" w:ascii="Times New Roman" w:hAnsi="Times New Roman" w:cs="Times New Roman"/>
                <w:b/>
                <w:color w:val="auto"/>
                <w:kern w:val="0"/>
                <w:sz w:val="24"/>
              </w:rPr>
              <w:t>1、大气环境</w:t>
            </w:r>
          </w:p>
          <w:p w14:paraId="5FD5943B">
            <w:pPr>
              <w:adjustRightInd w:val="0"/>
              <w:snapToGrid w:val="0"/>
              <w:spacing w:line="360" w:lineRule="auto"/>
              <w:rPr>
                <w:b/>
                <w:bCs/>
                <w:color w:val="auto"/>
                <w:sz w:val="24"/>
              </w:rPr>
            </w:pPr>
            <w:r>
              <w:rPr>
                <w:rFonts w:hint="eastAsia"/>
                <w:b/>
                <w:bCs/>
                <w:color w:val="auto"/>
                <w:sz w:val="24"/>
              </w:rPr>
              <w:t>1.1环境</w:t>
            </w:r>
            <w:r>
              <w:rPr>
                <w:b/>
                <w:bCs/>
                <w:color w:val="auto"/>
                <w:sz w:val="24"/>
              </w:rPr>
              <w:t>质量标准</w:t>
            </w:r>
          </w:p>
          <w:p w14:paraId="1FA48742">
            <w:pPr>
              <w:adjustRightInd w:val="0"/>
              <w:snapToGrid w:val="0"/>
              <w:spacing w:line="360" w:lineRule="auto"/>
              <w:ind w:firstLine="480" w:firstLineChars="200"/>
              <w:rPr>
                <w:color w:val="auto"/>
                <w:sz w:val="24"/>
              </w:rPr>
            </w:pPr>
            <w:r>
              <w:rPr>
                <w:rFonts w:hint="eastAsia"/>
                <w:color w:val="auto"/>
                <w:sz w:val="24"/>
              </w:rPr>
              <w:t>项目所在区域为环境空气功能区划中的二类区，执行《环境空气质量标准》（GB 3095-2026）过渡阶段浓度限值的二级标准</w:t>
            </w:r>
            <w:r>
              <w:rPr>
                <w:color w:val="auto"/>
                <w:sz w:val="24"/>
              </w:rPr>
              <w:t>。标准值见表</w:t>
            </w:r>
            <w:r>
              <w:rPr>
                <w:rFonts w:hint="eastAsia"/>
                <w:color w:val="auto"/>
                <w:sz w:val="24"/>
              </w:rPr>
              <w:t>3</w:t>
            </w:r>
            <w:r>
              <w:rPr>
                <w:color w:val="auto"/>
                <w:sz w:val="24"/>
              </w:rPr>
              <w:t>-</w:t>
            </w:r>
            <w:r>
              <w:rPr>
                <w:rFonts w:hint="eastAsia"/>
                <w:color w:val="auto"/>
                <w:sz w:val="24"/>
              </w:rPr>
              <w:t>1</w:t>
            </w:r>
            <w:r>
              <w:rPr>
                <w:color w:val="auto"/>
                <w:sz w:val="24"/>
              </w:rPr>
              <w:t>。</w:t>
            </w:r>
          </w:p>
          <w:p w14:paraId="05E5B111">
            <w:pPr>
              <w:pStyle w:val="60"/>
              <w:snapToGrid w:val="0"/>
              <w:spacing w:line="360" w:lineRule="auto"/>
              <w:ind w:firstLine="0"/>
              <w:jc w:val="center"/>
              <w:textAlignment w:val="auto"/>
              <w:rPr>
                <w:color w:val="auto"/>
                <w:kern w:val="24"/>
              </w:rPr>
            </w:pPr>
            <w:r>
              <w:rPr>
                <w:b/>
                <w:bCs/>
                <w:color w:val="auto"/>
                <w:szCs w:val="24"/>
              </w:rPr>
              <w:t>表</w:t>
            </w:r>
            <w:r>
              <w:rPr>
                <w:rFonts w:hint="eastAsia"/>
                <w:b/>
                <w:bCs/>
                <w:color w:val="auto"/>
                <w:szCs w:val="24"/>
              </w:rPr>
              <w:t>3</w:t>
            </w:r>
            <w:r>
              <w:rPr>
                <w:b/>
                <w:bCs/>
                <w:color w:val="auto"/>
                <w:szCs w:val="24"/>
              </w:rPr>
              <w:t>-</w:t>
            </w:r>
            <w:r>
              <w:rPr>
                <w:rFonts w:hint="eastAsia"/>
                <w:b/>
                <w:bCs/>
                <w:color w:val="auto"/>
                <w:szCs w:val="24"/>
              </w:rPr>
              <w:t>1</w:t>
            </w:r>
            <w:r>
              <w:rPr>
                <w:b/>
                <w:bCs/>
                <w:color w:val="auto"/>
                <w:szCs w:val="24"/>
              </w:rPr>
              <w:t xml:space="preserve">   环境空气质量标准</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6"/>
              <w:gridCol w:w="1961"/>
              <w:gridCol w:w="1501"/>
              <w:gridCol w:w="988"/>
              <w:gridCol w:w="1955"/>
            </w:tblGrid>
            <w:tr w14:paraId="37721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9" w:type="dxa"/>
                  <w:vMerge w:val="restart"/>
                  <w:vAlign w:val="center"/>
                </w:tcPr>
                <w:p w14:paraId="3F373DC9">
                  <w:pPr>
                    <w:adjustRightInd w:val="0"/>
                    <w:snapToGrid w:val="0"/>
                    <w:jc w:val="center"/>
                    <w:rPr>
                      <w:b/>
                      <w:color w:val="auto"/>
                      <w:kern w:val="24"/>
                      <w:szCs w:val="21"/>
                    </w:rPr>
                  </w:pPr>
                  <w:r>
                    <w:rPr>
                      <w:b/>
                      <w:color w:val="auto"/>
                      <w:szCs w:val="21"/>
                    </w:rPr>
                    <w:t>污染物项目</w:t>
                  </w:r>
                </w:p>
              </w:tc>
              <w:tc>
                <w:tcPr>
                  <w:tcW w:w="1955" w:type="dxa"/>
                  <w:vMerge w:val="restart"/>
                  <w:vAlign w:val="center"/>
                </w:tcPr>
                <w:p w14:paraId="454A199E">
                  <w:pPr>
                    <w:adjustRightInd w:val="0"/>
                    <w:snapToGrid w:val="0"/>
                    <w:jc w:val="center"/>
                    <w:rPr>
                      <w:b/>
                      <w:color w:val="auto"/>
                      <w:kern w:val="24"/>
                      <w:szCs w:val="21"/>
                    </w:rPr>
                  </w:pPr>
                  <w:r>
                    <w:rPr>
                      <w:b/>
                      <w:color w:val="auto"/>
                      <w:szCs w:val="21"/>
                    </w:rPr>
                    <w:t>平均时间</w:t>
                  </w:r>
                </w:p>
              </w:tc>
              <w:tc>
                <w:tcPr>
                  <w:tcW w:w="1496" w:type="dxa"/>
                  <w:vAlign w:val="center"/>
                </w:tcPr>
                <w:p w14:paraId="46C594D2">
                  <w:pPr>
                    <w:adjustRightInd w:val="0"/>
                    <w:snapToGrid w:val="0"/>
                    <w:jc w:val="center"/>
                    <w:rPr>
                      <w:b/>
                      <w:color w:val="auto"/>
                      <w:szCs w:val="21"/>
                    </w:rPr>
                  </w:pPr>
                  <w:r>
                    <w:rPr>
                      <w:b/>
                      <w:color w:val="auto"/>
                      <w:szCs w:val="21"/>
                    </w:rPr>
                    <w:t>过渡阶段</w:t>
                  </w:r>
                </w:p>
                <w:p w14:paraId="24EB0EA3">
                  <w:pPr>
                    <w:adjustRightInd w:val="0"/>
                    <w:snapToGrid w:val="0"/>
                    <w:jc w:val="center"/>
                    <w:rPr>
                      <w:b/>
                      <w:color w:val="auto"/>
                      <w:kern w:val="24"/>
                      <w:szCs w:val="21"/>
                    </w:rPr>
                  </w:pPr>
                  <w:r>
                    <w:rPr>
                      <w:b/>
                      <w:color w:val="auto"/>
                      <w:szCs w:val="21"/>
                    </w:rPr>
                    <w:t>浓度限值</w:t>
                  </w:r>
                </w:p>
              </w:tc>
              <w:tc>
                <w:tcPr>
                  <w:tcW w:w="985" w:type="dxa"/>
                  <w:vMerge w:val="restart"/>
                  <w:vAlign w:val="center"/>
                </w:tcPr>
                <w:p w14:paraId="689D4E97">
                  <w:pPr>
                    <w:adjustRightInd w:val="0"/>
                    <w:snapToGrid w:val="0"/>
                    <w:jc w:val="center"/>
                    <w:rPr>
                      <w:b/>
                      <w:color w:val="auto"/>
                      <w:kern w:val="24"/>
                      <w:szCs w:val="21"/>
                    </w:rPr>
                  </w:pPr>
                  <w:r>
                    <w:rPr>
                      <w:b/>
                      <w:color w:val="auto"/>
                      <w:szCs w:val="21"/>
                    </w:rPr>
                    <w:t>单位</w:t>
                  </w:r>
                </w:p>
              </w:tc>
              <w:tc>
                <w:tcPr>
                  <w:tcW w:w="1948" w:type="dxa"/>
                  <w:vMerge w:val="restart"/>
                  <w:vAlign w:val="center"/>
                </w:tcPr>
                <w:p w14:paraId="75DCECB7">
                  <w:pPr>
                    <w:adjustRightInd w:val="0"/>
                    <w:snapToGrid w:val="0"/>
                    <w:jc w:val="center"/>
                    <w:rPr>
                      <w:b/>
                      <w:color w:val="auto"/>
                      <w:szCs w:val="21"/>
                    </w:rPr>
                  </w:pPr>
                  <w:r>
                    <w:rPr>
                      <w:b/>
                      <w:color w:val="auto"/>
                      <w:szCs w:val="21"/>
                    </w:rPr>
                    <w:t>标准来源</w:t>
                  </w:r>
                </w:p>
              </w:tc>
            </w:tr>
            <w:tr w14:paraId="2D5AD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9" w:type="dxa"/>
                  <w:vMerge w:val="continue"/>
                  <w:vAlign w:val="center"/>
                </w:tcPr>
                <w:p w14:paraId="2FF485BE">
                  <w:pPr>
                    <w:adjustRightInd w:val="0"/>
                    <w:snapToGrid w:val="0"/>
                    <w:jc w:val="center"/>
                    <w:rPr>
                      <w:b/>
                      <w:color w:val="auto"/>
                      <w:kern w:val="24"/>
                      <w:szCs w:val="21"/>
                    </w:rPr>
                  </w:pPr>
                </w:p>
              </w:tc>
              <w:tc>
                <w:tcPr>
                  <w:tcW w:w="1955" w:type="dxa"/>
                  <w:vMerge w:val="continue"/>
                  <w:vAlign w:val="center"/>
                </w:tcPr>
                <w:p w14:paraId="52BB8AE9">
                  <w:pPr>
                    <w:adjustRightInd w:val="0"/>
                    <w:snapToGrid w:val="0"/>
                    <w:jc w:val="center"/>
                    <w:rPr>
                      <w:b/>
                      <w:color w:val="auto"/>
                      <w:kern w:val="24"/>
                      <w:szCs w:val="21"/>
                    </w:rPr>
                  </w:pPr>
                </w:p>
              </w:tc>
              <w:tc>
                <w:tcPr>
                  <w:tcW w:w="1496" w:type="dxa"/>
                  <w:vAlign w:val="center"/>
                </w:tcPr>
                <w:p w14:paraId="7FCCF205">
                  <w:pPr>
                    <w:adjustRightInd w:val="0"/>
                    <w:snapToGrid w:val="0"/>
                    <w:jc w:val="center"/>
                    <w:rPr>
                      <w:b/>
                      <w:color w:val="auto"/>
                      <w:kern w:val="24"/>
                      <w:szCs w:val="21"/>
                    </w:rPr>
                  </w:pPr>
                  <w:r>
                    <w:rPr>
                      <w:b/>
                      <w:color w:val="auto"/>
                      <w:kern w:val="24"/>
                      <w:szCs w:val="21"/>
                    </w:rPr>
                    <w:t>二级标准</w:t>
                  </w:r>
                </w:p>
              </w:tc>
              <w:tc>
                <w:tcPr>
                  <w:tcW w:w="985" w:type="dxa"/>
                  <w:vMerge w:val="continue"/>
                  <w:vAlign w:val="center"/>
                </w:tcPr>
                <w:p w14:paraId="746DA0CD">
                  <w:pPr>
                    <w:adjustRightInd w:val="0"/>
                    <w:snapToGrid w:val="0"/>
                    <w:jc w:val="center"/>
                    <w:rPr>
                      <w:b/>
                      <w:color w:val="auto"/>
                      <w:kern w:val="24"/>
                      <w:szCs w:val="21"/>
                    </w:rPr>
                  </w:pPr>
                </w:p>
              </w:tc>
              <w:tc>
                <w:tcPr>
                  <w:tcW w:w="1948" w:type="dxa"/>
                  <w:vMerge w:val="continue"/>
                  <w:vAlign w:val="center"/>
                </w:tcPr>
                <w:p w14:paraId="2CBEC366">
                  <w:pPr>
                    <w:adjustRightInd w:val="0"/>
                    <w:snapToGrid w:val="0"/>
                    <w:jc w:val="center"/>
                    <w:rPr>
                      <w:b/>
                      <w:color w:val="auto"/>
                      <w:kern w:val="24"/>
                      <w:szCs w:val="21"/>
                    </w:rPr>
                  </w:pPr>
                </w:p>
              </w:tc>
            </w:tr>
            <w:tr w14:paraId="2BA64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9" w:type="dxa"/>
                  <w:vMerge w:val="restart"/>
                  <w:vAlign w:val="center"/>
                </w:tcPr>
                <w:p w14:paraId="119CCCA2">
                  <w:pPr>
                    <w:adjustRightInd w:val="0"/>
                    <w:snapToGrid w:val="0"/>
                    <w:jc w:val="center"/>
                    <w:rPr>
                      <w:b/>
                      <w:color w:val="auto"/>
                      <w:kern w:val="24"/>
                      <w:szCs w:val="21"/>
                    </w:rPr>
                  </w:pPr>
                  <w:r>
                    <w:rPr>
                      <w:color w:val="auto"/>
                      <w:szCs w:val="21"/>
                    </w:rPr>
                    <w:t>二氧化硫（SO</w:t>
                  </w:r>
                  <w:r>
                    <w:rPr>
                      <w:color w:val="auto"/>
                      <w:szCs w:val="21"/>
                      <w:vertAlign w:val="subscript"/>
                    </w:rPr>
                    <w:t>2</w:t>
                  </w:r>
                  <w:r>
                    <w:rPr>
                      <w:color w:val="auto"/>
                      <w:szCs w:val="21"/>
                    </w:rPr>
                    <w:t>）</w:t>
                  </w:r>
                </w:p>
              </w:tc>
              <w:tc>
                <w:tcPr>
                  <w:tcW w:w="1955" w:type="dxa"/>
                  <w:vAlign w:val="center"/>
                </w:tcPr>
                <w:p w14:paraId="47630F49">
                  <w:pPr>
                    <w:adjustRightInd w:val="0"/>
                    <w:snapToGrid w:val="0"/>
                    <w:jc w:val="center"/>
                    <w:rPr>
                      <w:b/>
                      <w:color w:val="auto"/>
                      <w:kern w:val="24"/>
                      <w:szCs w:val="21"/>
                    </w:rPr>
                  </w:pPr>
                  <w:r>
                    <w:rPr>
                      <w:bCs/>
                      <w:color w:val="auto"/>
                      <w:szCs w:val="21"/>
                    </w:rPr>
                    <w:t>年平均</w:t>
                  </w:r>
                </w:p>
              </w:tc>
              <w:tc>
                <w:tcPr>
                  <w:tcW w:w="1496" w:type="dxa"/>
                  <w:vAlign w:val="center"/>
                </w:tcPr>
                <w:p w14:paraId="3E4E3258">
                  <w:pPr>
                    <w:adjustRightInd w:val="0"/>
                    <w:snapToGrid w:val="0"/>
                    <w:jc w:val="center"/>
                    <w:rPr>
                      <w:b/>
                      <w:color w:val="auto"/>
                      <w:kern w:val="24"/>
                      <w:szCs w:val="21"/>
                    </w:rPr>
                  </w:pPr>
                  <w:r>
                    <w:rPr>
                      <w:bCs/>
                      <w:color w:val="auto"/>
                      <w:szCs w:val="21"/>
                    </w:rPr>
                    <w:t>60</w:t>
                  </w:r>
                </w:p>
              </w:tc>
              <w:tc>
                <w:tcPr>
                  <w:tcW w:w="985" w:type="dxa"/>
                  <w:vMerge w:val="restart"/>
                  <w:vAlign w:val="center"/>
                </w:tcPr>
                <w:p w14:paraId="58EE371A">
                  <w:pPr>
                    <w:adjustRightInd w:val="0"/>
                    <w:snapToGrid w:val="0"/>
                    <w:jc w:val="center"/>
                    <w:rPr>
                      <w:b/>
                      <w:color w:val="auto"/>
                      <w:kern w:val="24"/>
                      <w:szCs w:val="21"/>
                    </w:rPr>
                  </w:pPr>
                  <w:r>
                    <w:rPr>
                      <w:bCs/>
                      <w:color w:val="auto"/>
                      <w:szCs w:val="21"/>
                    </w:rPr>
                    <w:t>μg/m</w:t>
                  </w:r>
                  <w:r>
                    <w:rPr>
                      <w:bCs/>
                      <w:color w:val="auto"/>
                      <w:szCs w:val="21"/>
                      <w:vertAlign w:val="superscript"/>
                    </w:rPr>
                    <w:t>3</w:t>
                  </w:r>
                </w:p>
              </w:tc>
              <w:tc>
                <w:tcPr>
                  <w:tcW w:w="1948" w:type="dxa"/>
                  <w:vMerge w:val="restart"/>
                  <w:vAlign w:val="center"/>
                </w:tcPr>
                <w:p w14:paraId="45C4D82E">
                  <w:pPr>
                    <w:adjustRightInd w:val="0"/>
                    <w:snapToGrid w:val="0"/>
                    <w:jc w:val="center"/>
                    <w:rPr>
                      <w:bCs/>
                      <w:color w:val="auto"/>
                      <w:szCs w:val="21"/>
                    </w:rPr>
                  </w:pPr>
                  <w:r>
                    <w:rPr>
                      <w:bCs/>
                      <w:color w:val="auto"/>
                      <w:szCs w:val="21"/>
                    </w:rPr>
                    <w:t>《环境空气质量标准》（GB 3095-2026）</w:t>
                  </w:r>
                </w:p>
              </w:tc>
            </w:tr>
            <w:tr w14:paraId="780B5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9" w:type="dxa"/>
                  <w:vMerge w:val="continue"/>
                  <w:vAlign w:val="center"/>
                </w:tcPr>
                <w:p w14:paraId="2408BF91">
                  <w:pPr>
                    <w:adjustRightInd w:val="0"/>
                    <w:snapToGrid w:val="0"/>
                    <w:jc w:val="center"/>
                    <w:rPr>
                      <w:b/>
                      <w:color w:val="auto"/>
                      <w:kern w:val="24"/>
                      <w:szCs w:val="21"/>
                    </w:rPr>
                  </w:pPr>
                </w:p>
              </w:tc>
              <w:tc>
                <w:tcPr>
                  <w:tcW w:w="1955" w:type="dxa"/>
                  <w:vAlign w:val="center"/>
                </w:tcPr>
                <w:p w14:paraId="7EA9E7ED">
                  <w:pPr>
                    <w:adjustRightInd w:val="0"/>
                    <w:snapToGrid w:val="0"/>
                    <w:jc w:val="center"/>
                    <w:rPr>
                      <w:b/>
                      <w:color w:val="auto"/>
                      <w:kern w:val="24"/>
                      <w:szCs w:val="21"/>
                    </w:rPr>
                  </w:pPr>
                  <w:r>
                    <w:rPr>
                      <w:bCs/>
                      <w:color w:val="auto"/>
                      <w:szCs w:val="21"/>
                    </w:rPr>
                    <w:t>日平均</w:t>
                  </w:r>
                </w:p>
              </w:tc>
              <w:tc>
                <w:tcPr>
                  <w:tcW w:w="1496" w:type="dxa"/>
                  <w:vAlign w:val="center"/>
                </w:tcPr>
                <w:p w14:paraId="57336F86">
                  <w:pPr>
                    <w:adjustRightInd w:val="0"/>
                    <w:snapToGrid w:val="0"/>
                    <w:jc w:val="center"/>
                    <w:rPr>
                      <w:b/>
                      <w:color w:val="auto"/>
                      <w:kern w:val="24"/>
                      <w:szCs w:val="21"/>
                    </w:rPr>
                  </w:pPr>
                  <w:r>
                    <w:rPr>
                      <w:bCs/>
                      <w:color w:val="auto"/>
                      <w:szCs w:val="21"/>
                    </w:rPr>
                    <w:t>150</w:t>
                  </w:r>
                </w:p>
              </w:tc>
              <w:tc>
                <w:tcPr>
                  <w:tcW w:w="985" w:type="dxa"/>
                  <w:vMerge w:val="continue"/>
                  <w:vAlign w:val="center"/>
                </w:tcPr>
                <w:p w14:paraId="6B4A4E67">
                  <w:pPr>
                    <w:adjustRightInd w:val="0"/>
                    <w:snapToGrid w:val="0"/>
                    <w:jc w:val="center"/>
                    <w:rPr>
                      <w:b/>
                      <w:color w:val="auto"/>
                      <w:kern w:val="24"/>
                      <w:szCs w:val="21"/>
                    </w:rPr>
                  </w:pPr>
                </w:p>
              </w:tc>
              <w:tc>
                <w:tcPr>
                  <w:tcW w:w="1948" w:type="dxa"/>
                  <w:vMerge w:val="continue"/>
                  <w:vAlign w:val="center"/>
                </w:tcPr>
                <w:p w14:paraId="1CAEC6BF">
                  <w:pPr>
                    <w:adjustRightInd w:val="0"/>
                    <w:snapToGrid w:val="0"/>
                    <w:jc w:val="center"/>
                    <w:rPr>
                      <w:b/>
                      <w:color w:val="auto"/>
                      <w:kern w:val="24"/>
                      <w:szCs w:val="21"/>
                    </w:rPr>
                  </w:pPr>
                </w:p>
              </w:tc>
            </w:tr>
            <w:tr w14:paraId="5318C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9" w:type="dxa"/>
                  <w:vMerge w:val="continue"/>
                  <w:vAlign w:val="center"/>
                </w:tcPr>
                <w:p w14:paraId="65BB0DD0">
                  <w:pPr>
                    <w:adjustRightInd w:val="0"/>
                    <w:snapToGrid w:val="0"/>
                    <w:jc w:val="center"/>
                    <w:rPr>
                      <w:b/>
                      <w:color w:val="auto"/>
                      <w:kern w:val="24"/>
                      <w:szCs w:val="21"/>
                    </w:rPr>
                  </w:pPr>
                </w:p>
              </w:tc>
              <w:tc>
                <w:tcPr>
                  <w:tcW w:w="1955" w:type="dxa"/>
                  <w:vAlign w:val="center"/>
                </w:tcPr>
                <w:p w14:paraId="540DD6AD">
                  <w:pPr>
                    <w:adjustRightInd w:val="0"/>
                    <w:snapToGrid w:val="0"/>
                    <w:jc w:val="center"/>
                    <w:rPr>
                      <w:b/>
                      <w:color w:val="auto"/>
                      <w:kern w:val="24"/>
                      <w:szCs w:val="21"/>
                    </w:rPr>
                  </w:pPr>
                  <w:r>
                    <w:rPr>
                      <w:bCs/>
                      <w:color w:val="auto"/>
                      <w:szCs w:val="21"/>
                    </w:rPr>
                    <w:t>1小时平均</w:t>
                  </w:r>
                </w:p>
              </w:tc>
              <w:tc>
                <w:tcPr>
                  <w:tcW w:w="1496" w:type="dxa"/>
                  <w:vAlign w:val="center"/>
                </w:tcPr>
                <w:p w14:paraId="31F19D30">
                  <w:pPr>
                    <w:adjustRightInd w:val="0"/>
                    <w:snapToGrid w:val="0"/>
                    <w:jc w:val="center"/>
                    <w:rPr>
                      <w:b/>
                      <w:color w:val="auto"/>
                      <w:kern w:val="24"/>
                      <w:szCs w:val="21"/>
                    </w:rPr>
                  </w:pPr>
                  <w:r>
                    <w:rPr>
                      <w:bCs/>
                      <w:color w:val="auto"/>
                      <w:szCs w:val="21"/>
                    </w:rPr>
                    <w:t>500</w:t>
                  </w:r>
                </w:p>
              </w:tc>
              <w:tc>
                <w:tcPr>
                  <w:tcW w:w="985" w:type="dxa"/>
                  <w:vMerge w:val="continue"/>
                  <w:vAlign w:val="center"/>
                </w:tcPr>
                <w:p w14:paraId="1D281B52">
                  <w:pPr>
                    <w:adjustRightInd w:val="0"/>
                    <w:snapToGrid w:val="0"/>
                    <w:jc w:val="center"/>
                    <w:rPr>
                      <w:b/>
                      <w:color w:val="auto"/>
                      <w:kern w:val="24"/>
                      <w:szCs w:val="21"/>
                    </w:rPr>
                  </w:pPr>
                </w:p>
              </w:tc>
              <w:tc>
                <w:tcPr>
                  <w:tcW w:w="1948" w:type="dxa"/>
                  <w:vMerge w:val="continue"/>
                  <w:vAlign w:val="center"/>
                </w:tcPr>
                <w:p w14:paraId="26ACED4F">
                  <w:pPr>
                    <w:adjustRightInd w:val="0"/>
                    <w:snapToGrid w:val="0"/>
                    <w:jc w:val="center"/>
                    <w:rPr>
                      <w:b/>
                      <w:color w:val="auto"/>
                      <w:kern w:val="24"/>
                      <w:szCs w:val="21"/>
                    </w:rPr>
                  </w:pPr>
                </w:p>
              </w:tc>
            </w:tr>
            <w:tr w14:paraId="30731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9" w:type="dxa"/>
                  <w:vMerge w:val="restart"/>
                  <w:vAlign w:val="center"/>
                </w:tcPr>
                <w:p w14:paraId="78578C0B">
                  <w:pPr>
                    <w:adjustRightInd w:val="0"/>
                    <w:snapToGrid w:val="0"/>
                    <w:jc w:val="center"/>
                    <w:rPr>
                      <w:b/>
                      <w:color w:val="auto"/>
                      <w:kern w:val="24"/>
                      <w:szCs w:val="21"/>
                    </w:rPr>
                  </w:pPr>
                  <w:r>
                    <w:rPr>
                      <w:bCs/>
                      <w:color w:val="auto"/>
                      <w:szCs w:val="21"/>
                    </w:rPr>
                    <w:t>二氧化氮（NO</w:t>
                  </w:r>
                  <w:r>
                    <w:rPr>
                      <w:bCs/>
                      <w:color w:val="auto"/>
                      <w:szCs w:val="21"/>
                      <w:vertAlign w:val="subscript"/>
                    </w:rPr>
                    <w:t>2</w:t>
                  </w:r>
                  <w:r>
                    <w:rPr>
                      <w:bCs/>
                      <w:color w:val="auto"/>
                      <w:szCs w:val="21"/>
                    </w:rPr>
                    <w:t>）</w:t>
                  </w:r>
                </w:p>
              </w:tc>
              <w:tc>
                <w:tcPr>
                  <w:tcW w:w="1955" w:type="dxa"/>
                  <w:vAlign w:val="center"/>
                </w:tcPr>
                <w:p w14:paraId="51A48259">
                  <w:pPr>
                    <w:adjustRightInd w:val="0"/>
                    <w:snapToGrid w:val="0"/>
                    <w:jc w:val="center"/>
                    <w:rPr>
                      <w:b/>
                      <w:color w:val="auto"/>
                      <w:kern w:val="24"/>
                      <w:szCs w:val="21"/>
                    </w:rPr>
                  </w:pPr>
                  <w:r>
                    <w:rPr>
                      <w:bCs/>
                      <w:color w:val="auto"/>
                      <w:szCs w:val="21"/>
                    </w:rPr>
                    <w:t>年平均</w:t>
                  </w:r>
                </w:p>
              </w:tc>
              <w:tc>
                <w:tcPr>
                  <w:tcW w:w="1496" w:type="dxa"/>
                  <w:vAlign w:val="center"/>
                </w:tcPr>
                <w:p w14:paraId="2F297004">
                  <w:pPr>
                    <w:adjustRightInd w:val="0"/>
                    <w:snapToGrid w:val="0"/>
                    <w:jc w:val="center"/>
                    <w:rPr>
                      <w:b/>
                      <w:color w:val="auto"/>
                      <w:kern w:val="24"/>
                      <w:szCs w:val="21"/>
                    </w:rPr>
                  </w:pPr>
                  <w:r>
                    <w:rPr>
                      <w:bCs/>
                      <w:color w:val="auto"/>
                      <w:szCs w:val="21"/>
                    </w:rPr>
                    <w:t>40</w:t>
                  </w:r>
                </w:p>
              </w:tc>
              <w:tc>
                <w:tcPr>
                  <w:tcW w:w="985" w:type="dxa"/>
                  <w:vMerge w:val="restart"/>
                  <w:vAlign w:val="center"/>
                </w:tcPr>
                <w:p w14:paraId="63BB2191">
                  <w:pPr>
                    <w:adjustRightInd w:val="0"/>
                    <w:snapToGrid w:val="0"/>
                    <w:jc w:val="center"/>
                    <w:rPr>
                      <w:b/>
                      <w:color w:val="auto"/>
                      <w:kern w:val="24"/>
                      <w:szCs w:val="21"/>
                    </w:rPr>
                  </w:pPr>
                  <w:r>
                    <w:rPr>
                      <w:bCs/>
                      <w:color w:val="auto"/>
                      <w:szCs w:val="21"/>
                    </w:rPr>
                    <w:t>μg/m</w:t>
                  </w:r>
                  <w:r>
                    <w:rPr>
                      <w:bCs/>
                      <w:color w:val="auto"/>
                      <w:szCs w:val="21"/>
                      <w:vertAlign w:val="superscript"/>
                    </w:rPr>
                    <w:t>3</w:t>
                  </w:r>
                </w:p>
              </w:tc>
              <w:tc>
                <w:tcPr>
                  <w:tcW w:w="1948" w:type="dxa"/>
                  <w:vMerge w:val="continue"/>
                  <w:vAlign w:val="center"/>
                </w:tcPr>
                <w:p w14:paraId="1D03A8E5">
                  <w:pPr>
                    <w:adjustRightInd w:val="0"/>
                    <w:snapToGrid w:val="0"/>
                    <w:jc w:val="center"/>
                    <w:rPr>
                      <w:bCs/>
                      <w:color w:val="auto"/>
                      <w:szCs w:val="21"/>
                    </w:rPr>
                  </w:pPr>
                </w:p>
              </w:tc>
            </w:tr>
            <w:tr w14:paraId="363D9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9" w:type="dxa"/>
                  <w:vMerge w:val="continue"/>
                  <w:vAlign w:val="center"/>
                </w:tcPr>
                <w:p w14:paraId="4B5D4F67">
                  <w:pPr>
                    <w:adjustRightInd w:val="0"/>
                    <w:snapToGrid w:val="0"/>
                    <w:jc w:val="center"/>
                    <w:rPr>
                      <w:b/>
                      <w:color w:val="auto"/>
                      <w:kern w:val="24"/>
                      <w:szCs w:val="21"/>
                    </w:rPr>
                  </w:pPr>
                </w:p>
              </w:tc>
              <w:tc>
                <w:tcPr>
                  <w:tcW w:w="1955" w:type="dxa"/>
                  <w:vAlign w:val="center"/>
                </w:tcPr>
                <w:p w14:paraId="55BBF271">
                  <w:pPr>
                    <w:adjustRightInd w:val="0"/>
                    <w:snapToGrid w:val="0"/>
                    <w:jc w:val="center"/>
                    <w:rPr>
                      <w:b/>
                      <w:color w:val="auto"/>
                      <w:kern w:val="24"/>
                      <w:szCs w:val="21"/>
                    </w:rPr>
                  </w:pPr>
                  <w:r>
                    <w:rPr>
                      <w:bCs/>
                      <w:color w:val="auto"/>
                      <w:szCs w:val="21"/>
                    </w:rPr>
                    <w:t>日平均</w:t>
                  </w:r>
                </w:p>
              </w:tc>
              <w:tc>
                <w:tcPr>
                  <w:tcW w:w="1496" w:type="dxa"/>
                  <w:vAlign w:val="center"/>
                </w:tcPr>
                <w:p w14:paraId="2650B298">
                  <w:pPr>
                    <w:adjustRightInd w:val="0"/>
                    <w:snapToGrid w:val="0"/>
                    <w:jc w:val="center"/>
                    <w:rPr>
                      <w:b/>
                      <w:color w:val="auto"/>
                      <w:kern w:val="24"/>
                      <w:szCs w:val="21"/>
                    </w:rPr>
                  </w:pPr>
                  <w:r>
                    <w:rPr>
                      <w:bCs/>
                      <w:color w:val="auto"/>
                      <w:szCs w:val="21"/>
                    </w:rPr>
                    <w:t>80</w:t>
                  </w:r>
                </w:p>
              </w:tc>
              <w:tc>
                <w:tcPr>
                  <w:tcW w:w="985" w:type="dxa"/>
                  <w:vMerge w:val="continue"/>
                  <w:vAlign w:val="center"/>
                </w:tcPr>
                <w:p w14:paraId="00E02705">
                  <w:pPr>
                    <w:adjustRightInd w:val="0"/>
                    <w:snapToGrid w:val="0"/>
                    <w:jc w:val="center"/>
                    <w:rPr>
                      <w:b/>
                      <w:color w:val="auto"/>
                      <w:kern w:val="24"/>
                      <w:szCs w:val="21"/>
                    </w:rPr>
                  </w:pPr>
                </w:p>
              </w:tc>
              <w:tc>
                <w:tcPr>
                  <w:tcW w:w="1948" w:type="dxa"/>
                  <w:vMerge w:val="continue"/>
                  <w:vAlign w:val="center"/>
                </w:tcPr>
                <w:p w14:paraId="3245AE54">
                  <w:pPr>
                    <w:adjustRightInd w:val="0"/>
                    <w:snapToGrid w:val="0"/>
                    <w:jc w:val="center"/>
                    <w:rPr>
                      <w:b/>
                      <w:color w:val="auto"/>
                      <w:kern w:val="24"/>
                      <w:szCs w:val="21"/>
                    </w:rPr>
                  </w:pPr>
                </w:p>
              </w:tc>
            </w:tr>
            <w:tr w14:paraId="3E9A7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9" w:type="dxa"/>
                  <w:vMerge w:val="continue"/>
                  <w:vAlign w:val="center"/>
                </w:tcPr>
                <w:p w14:paraId="742CC4DC">
                  <w:pPr>
                    <w:adjustRightInd w:val="0"/>
                    <w:snapToGrid w:val="0"/>
                    <w:jc w:val="center"/>
                    <w:rPr>
                      <w:b/>
                      <w:color w:val="auto"/>
                      <w:kern w:val="24"/>
                      <w:szCs w:val="21"/>
                    </w:rPr>
                  </w:pPr>
                </w:p>
              </w:tc>
              <w:tc>
                <w:tcPr>
                  <w:tcW w:w="1955" w:type="dxa"/>
                  <w:vAlign w:val="center"/>
                </w:tcPr>
                <w:p w14:paraId="748932A4">
                  <w:pPr>
                    <w:adjustRightInd w:val="0"/>
                    <w:snapToGrid w:val="0"/>
                    <w:jc w:val="center"/>
                    <w:rPr>
                      <w:b/>
                      <w:color w:val="auto"/>
                      <w:kern w:val="24"/>
                      <w:szCs w:val="21"/>
                    </w:rPr>
                  </w:pPr>
                  <w:r>
                    <w:rPr>
                      <w:bCs/>
                      <w:color w:val="auto"/>
                      <w:szCs w:val="21"/>
                    </w:rPr>
                    <w:t>1小时平均</w:t>
                  </w:r>
                </w:p>
              </w:tc>
              <w:tc>
                <w:tcPr>
                  <w:tcW w:w="1496" w:type="dxa"/>
                  <w:vAlign w:val="center"/>
                </w:tcPr>
                <w:p w14:paraId="4E68AE32">
                  <w:pPr>
                    <w:adjustRightInd w:val="0"/>
                    <w:snapToGrid w:val="0"/>
                    <w:jc w:val="center"/>
                    <w:rPr>
                      <w:b/>
                      <w:color w:val="auto"/>
                      <w:kern w:val="24"/>
                      <w:szCs w:val="21"/>
                    </w:rPr>
                  </w:pPr>
                  <w:r>
                    <w:rPr>
                      <w:bCs/>
                      <w:color w:val="auto"/>
                      <w:szCs w:val="21"/>
                    </w:rPr>
                    <w:t>200</w:t>
                  </w:r>
                </w:p>
              </w:tc>
              <w:tc>
                <w:tcPr>
                  <w:tcW w:w="985" w:type="dxa"/>
                  <w:vMerge w:val="continue"/>
                  <w:vAlign w:val="center"/>
                </w:tcPr>
                <w:p w14:paraId="20EF8E4E">
                  <w:pPr>
                    <w:adjustRightInd w:val="0"/>
                    <w:snapToGrid w:val="0"/>
                    <w:jc w:val="center"/>
                    <w:rPr>
                      <w:b/>
                      <w:color w:val="auto"/>
                      <w:kern w:val="24"/>
                      <w:szCs w:val="21"/>
                    </w:rPr>
                  </w:pPr>
                </w:p>
              </w:tc>
              <w:tc>
                <w:tcPr>
                  <w:tcW w:w="1948" w:type="dxa"/>
                  <w:vMerge w:val="continue"/>
                  <w:vAlign w:val="center"/>
                </w:tcPr>
                <w:p w14:paraId="21330D85">
                  <w:pPr>
                    <w:adjustRightInd w:val="0"/>
                    <w:snapToGrid w:val="0"/>
                    <w:jc w:val="center"/>
                    <w:rPr>
                      <w:b/>
                      <w:color w:val="auto"/>
                      <w:kern w:val="24"/>
                      <w:szCs w:val="21"/>
                    </w:rPr>
                  </w:pPr>
                </w:p>
              </w:tc>
            </w:tr>
            <w:tr w14:paraId="23508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9" w:type="dxa"/>
                  <w:vMerge w:val="restart"/>
                  <w:vAlign w:val="center"/>
                </w:tcPr>
                <w:p w14:paraId="45D00A6E">
                  <w:pPr>
                    <w:adjustRightInd w:val="0"/>
                    <w:snapToGrid w:val="0"/>
                    <w:jc w:val="center"/>
                    <w:rPr>
                      <w:b/>
                      <w:color w:val="auto"/>
                      <w:kern w:val="24"/>
                      <w:szCs w:val="21"/>
                    </w:rPr>
                  </w:pPr>
                  <w:r>
                    <w:rPr>
                      <w:bCs/>
                      <w:color w:val="auto"/>
                      <w:szCs w:val="21"/>
                    </w:rPr>
                    <w:t>一氧化碳（CO）</w:t>
                  </w:r>
                </w:p>
              </w:tc>
              <w:tc>
                <w:tcPr>
                  <w:tcW w:w="1955" w:type="dxa"/>
                  <w:vAlign w:val="center"/>
                </w:tcPr>
                <w:p w14:paraId="592D01FD">
                  <w:pPr>
                    <w:adjustRightInd w:val="0"/>
                    <w:snapToGrid w:val="0"/>
                    <w:jc w:val="center"/>
                    <w:rPr>
                      <w:b/>
                      <w:color w:val="auto"/>
                      <w:kern w:val="24"/>
                      <w:szCs w:val="21"/>
                    </w:rPr>
                  </w:pPr>
                  <w:r>
                    <w:rPr>
                      <w:bCs/>
                      <w:color w:val="auto"/>
                      <w:szCs w:val="21"/>
                    </w:rPr>
                    <w:t>日平均</w:t>
                  </w:r>
                </w:p>
              </w:tc>
              <w:tc>
                <w:tcPr>
                  <w:tcW w:w="1496" w:type="dxa"/>
                  <w:vAlign w:val="center"/>
                </w:tcPr>
                <w:p w14:paraId="2EB2338F">
                  <w:pPr>
                    <w:adjustRightInd w:val="0"/>
                    <w:snapToGrid w:val="0"/>
                    <w:jc w:val="center"/>
                    <w:rPr>
                      <w:b/>
                      <w:color w:val="auto"/>
                      <w:kern w:val="24"/>
                      <w:szCs w:val="21"/>
                    </w:rPr>
                  </w:pPr>
                  <w:r>
                    <w:rPr>
                      <w:bCs/>
                      <w:color w:val="auto"/>
                      <w:szCs w:val="21"/>
                    </w:rPr>
                    <w:t>4</w:t>
                  </w:r>
                </w:p>
              </w:tc>
              <w:tc>
                <w:tcPr>
                  <w:tcW w:w="985" w:type="dxa"/>
                  <w:vMerge w:val="restart"/>
                  <w:vAlign w:val="center"/>
                </w:tcPr>
                <w:p w14:paraId="0570B6F7">
                  <w:pPr>
                    <w:adjustRightInd w:val="0"/>
                    <w:snapToGrid w:val="0"/>
                    <w:jc w:val="center"/>
                    <w:rPr>
                      <w:b/>
                      <w:color w:val="auto"/>
                      <w:kern w:val="24"/>
                      <w:szCs w:val="21"/>
                    </w:rPr>
                  </w:pPr>
                  <w:r>
                    <w:rPr>
                      <w:bCs/>
                      <w:color w:val="auto"/>
                      <w:szCs w:val="21"/>
                    </w:rPr>
                    <w:t>mg/m</w:t>
                  </w:r>
                  <w:r>
                    <w:rPr>
                      <w:bCs/>
                      <w:color w:val="auto"/>
                      <w:szCs w:val="21"/>
                      <w:vertAlign w:val="superscript"/>
                    </w:rPr>
                    <w:t>3</w:t>
                  </w:r>
                </w:p>
              </w:tc>
              <w:tc>
                <w:tcPr>
                  <w:tcW w:w="1948" w:type="dxa"/>
                  <w:vMerge w:val="continue"/>
                  <w:vAlign w:val="center"/>
                </w:tcPr>
                <w:p w14:paraId="5027D62E">
                  <w:pPr>
                    <w:adjustRightInd w:val="0"/>
                    <w:snapToGrid w:val="0"/>
                    <w:jc w:val="center"/>
                    <w:rPr>
                      <w:bCs/>
                      <w:color w:val="auto"/>
                      <w:szCs w:val="21"/>
                    </w:rPr>
                  </w:pPr>
                </w:p>
              </w:tc>
            </w:tr>
            <w:tr w14:paraId="1F4BC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9" w:type="dxa"/>
                  <w:vMerge w:val="continue"/>
                  <w:vAlign w:val="center"/>
                </w:tcPr>
                <w:p w14:paraId="62A17510">
                  <w:pPr>
                    <w:adjustRightInd w:val="0"/>
                    <w:snapToGrid w:val="0"/>
                    <w:jc w:val="center"/>
                    <w:rPr>
                      <w:b/>
                      <w:color w:val="auto"/>
                      <w:kern w:val="24"/>
                      <w:szCs w:val="21"/>
                    </w:rPr>
                  </w:pPr>
                </w:p>
              </w:tc>
              <w:tc>
                <w:tcPr>
                  <w:tcW w:w="1955" w:type="dxa"/>
                  <w:vAlign w:val="center"/>
                </w:tcPr>
                <w:p w14:paraId="6714E045">
                  <w:pPr>
                    <w:adjustRightInd w:val="0"/>
                    <w:snapToGrid w:val="0"/>
                    <w:jc w:val="center"/>
                    <w:rPr>
                      <w:b/>
                      <w:color w:val="auto"/>
                      <w:kern w:val="24"/>
                      <w:szCs w:val="21"/>
                    </w:rPr>
                  </w:pPr>
                  <w:r>
                    <w:rPr>
                      <w:bCs/>
                      <w:color w:val="auto"/>
                      <w:szCs w:val="21"/>
                    </w:rPr>
                    <w:t>1小时平均</w:t>
                  </w:r>
                </w:p>
              </w:tc>
              <w:tc>
                <w:tcPr>
                  <w:tcW w:w="1496" w:type="dxa"/>
                  <w:vAlign w:val="center"/>
                </w:tcPr>
                <w:p w14:paraId="26ECA1C4">
                  <w:pPr>
                    <w:adjustRightInd w:val="0"/>
                    <w:snapToGrid w:val="0"/>
                    <w:jc w:val="center"/>
                    <w:rPr>
                      <w:b/>
                      <w:color w:val="auto"/>
                      <w:kern w:val="24"/>
                      <w:szCs w:val="21"/>
                    </w:rPr>
                  </w:pPr>
                  <w:r>
                    <w:rPr>
                      <w:bCs/>
                      <w:color w:val="auto"/>
                      <w:szCs w:val="21"/>
                    </w:rPr>
                    <w:t>10</w:t>
                  </w:r>
                </w:p>
              </w:tc>
              <w:tc>
                <w:tcPr>
                  <w:tcW w:w="985" w:type="dxa"/>
                  <w:vMerge w:val="continue"/>
                  <w:vAlign w:val="center"/>
                </w:tcPr>
                <w:p w14:paraId="5F06A8DA">
                  <w:pPr>
                    <w:adjustRightInd w:val="0"/>
                    <w:snapToGrid w:val="0"/>
                    <w:jc w:val="center"/>
                    <w:rPr>
                      <w:b/>
                      <w:color w:val="auto"/>
                      <w:kern w:val="24"/>
                      <w:szCs w:val="21"/>
                    </w:rPr>
                  </w:pPr>
                </w:p>
              </w:tc>
              <w:tc>
                <w:tcPr>
                  <w:tcW w:w="1948" w:type="dxa"/>
                  <w:vMerge w:val="continue"/>
                  <w:vAlign w:val="center"/>
                </w:tcPr>
                <w:p w14:paraId="1D88AC6F">
                  <w:pPr>
                    <w:adjustRightInd w:val="0"/>
                    <w:snapToGrid w:val="0"/>
                    <w:jc w:val="center"/>
                    <w:rPr>
                      <w:b/>
                      <w:color w:val="auto"/>
                      <w:kern w:val="24"/>
                      <w:szCs w:val="21"/>
                    </w:rPr>
                  </w:pPr>
                </w:p>
              </w:tc>
            </w:tr>
            <w:tr w14:paraId="39D18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9" w:type="dxa"/>
                  <w:vMerge w:val="restart"/>
                  <w:vAlign w:val="center"/>
                </w:tcPr>
                <w:p w14:paraId="3A213E21">
                  <w:pPr>
                    <w:adjustRightInd w:val="0"/>
                    <w:snapToGrid w:val="0"/>
                    <w:jc w:val="center"/>
                    <w:rPr>
                      <w:b/>
                      <w:color w:val="auto"/>
                      <w:kern w:val="24"/>
                      <w:szCs w:val="21"/>
                    </w:rPr>
                  </w:pPr>
                  <w:r>
                    <w:rPr>
                      <w:bCs/>
                      <w:color w:val="auto"/>
                      <w:szCs w:val="21"/>
                    </w:rPr>
                    <w:t>臭氧（O</w:t>
                  </w:r>
                  <w:r>
                    <w:rPr>
                      <w:bCs/>
                      <w:color w:val="auto"/>
                      <w:szCs w:val="21"/>
                      <w:vertAlign w:val="subscript"/>
                    </w:rPr>
                    <w:t>3</w:t>
                  </w:r>
                  <w:r>
                    <w:rPr>
                      <w:bCs/>
                      <w:color w:val="auto"/>
                      <w:szCs w:val="21"/>
                    </w:rPr>
                    <w:t>）</w:t>
                  </w:r>
                </w:p>
              </w:tc>
              <w:tc>
                <w:tcPr>
                  <w:tcW w:w="1955" w:type="dxa"/>
                  <w:vAlign w:val="center"/>
                </w:tcPr>
                <w:p w14:paraId="285949BD">
                  <w:pPr>
                    <w:adjustRightInd w:val="0"/>
                    <w:snapToGrid w:val="0"/>
                    <w:jc w:val="center"/>
                    <w:rPr>
                      <w:b/>
                      <w:color w:val="auto"/>
                      <w:kern w:val="24"/>
                      <w:szCs w:val="21"/>
                    </w:rPr>
                  </w:pPr>
                  <w:r>
                    <w:rPr>
                      <w:bCs/>
                      <w:color w:val="auto"/>
                      <w:szCs w:val="21"/>
                    </w:rPr>
                    <w:t>日最大8小时平均</w:t>
                  </w:r>
                </w:p>
              </w:tc>
              <w:tc>
                <w:tcPr>
                  <w:tcW w:w="1496" w:type="dxa"/>
                  <w:vAlign w:val="center"/>
                </w:tcPr>
                <w:p w14:paraId="046E91A9">
                  <w:pPr>
                    <w:adjustRightInd w:val="0"/>
                    <w:snapToGrid w:val="0"/>
                    <w:jc w:val="center"/>
                    <w:rPr>
                      <w:b/>
                      <w:color w:val="auto"/>
                      <w:kern w:val="24"/>
                      <w:szCs w:val="21"/>
                    </w:rPr>
                  </w:pPr>
                  <w:r>
                    <w:rPr>
                      <w:bCs/>
                      <w:color w:val="auto"/>
                      <w:szCs w:val="21"/>
                    </w:rPr>
                    <w:t>160</w:t>
                  </w:r>
                </w:p>
              </w:tc>
              <w:tc>
                <w:tcPr>
                  <w:tcW w:w="985" w:type="dxa"/>
                  <w:vMerge w:val="restart"/>
                  <w:vAlign w:val="center"/>
                </w:tcPr>
                <w:p w14:paraId="20D6A423">
                  <w:pPr>
                    <w:adjustRightInd w:val="0"/>
                    <w:snapToGrid w:val="0"/>
                    <w:jc w:val="center"/>
                    <w:rPr>
                      <w:b/>
                      <w:color w:val="auto"/>
                      <w:kern w:val="24"/>
                      <w:szCs w:val="21"/>
                    </w:rPr>
                  </w:pPr>
                  <w:r>
                    <w:rPr>
                      <w:bCs/>
                      <w:color w:val="auto"/>
                      <w:szCs w:val="21"/>
                    </w:rPr>
                    <w:t>μg/m</w:t>
                  </w:r>
                  <w:r>
                    <w:rPr>
                      <w:bCs/>
                      <w:color w:val="auto"/>
                      <w:szCs w:val="21"/>
                      <w:vertAlign w:val="superscript"/>
                    </w:rPr>
                    <w:t>3</w:t>
                  </w:r>
                </w:p>
              </w:tc>
              <w:tc>
                <w:tcPr>
                  <w:tcW w:w="1948" w:type="dxa"/>
                  <w:vMerge w:val="continue"/>
                  <w:vAlign w:val="center"/>
                </w:tcPr>
                <w:p w14:paraId="65639ED7">
                  <w:pPr>
                    <w:adjustRightInd w:val="0"/>
                    <w:snapToGrid w:val="0"/>
                    <w:jc w:val="center"/>
                    <w:rPr>
                      <w:bCs/>
                      <w:color w:val="auto"/>
                      <w:szCs w:val="21"/>
                    </w:rPr>
                  </w:pPr>
                </w:p>
              </w:tc>
            </w:tr>
            <w:tr w14:paraId="4A2B6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199" w:type="dxa"/>
                  <w:vMerge w:val="continue"/>
                  <w:vAlign w:val="center"/>
                </w:tcPr>
                <w:p w14:paraId="37182C60">
                  <w:pPr>
                    <w:adjustRightInd w:val="0"/>
                    <w:snapToGrid w:val="0"/>
                    <w:jc w:val="center"/>
                    <w:rPr>
                      <w:b/>
                      <w:color w:val="auto"/>
                      <w:kern w:val="24"/>
                      <w:szCs w:val="21"/>
                    </w:rPr>
                  </w:pPr>
                </w:p>
              </w:tc>
              <w:tc>
                <w:tcPr>
                  <w:tcW w:w="1955" w:type="dxa"/>
                  <w:vAlign w:val="center"/>
                </w:tcPr>
                <w:p w14:paraId="356B3545">
                  <w:pPr>
                    <w:adjustRightInd w:val="0"/>
                    <w:snapToGrid w:val="0"/>
                    <w:jc w:val="center"/>
                    <w:rPr>
                      <w:b/>
                      <w:color w:val="auto"/>
                      <w:kern w:val="24"/>
                      <w:szCs w:val="21"/>
                    </w:rPr>
                  </w:pPr>
                  <w:r>
                    <w:rPr>
                      <w:bCs/>
                      <w:color w:val="auto"/>
                      <w:szCs w:val="21"/>
                    </w:rPr>
                    <w:t>1小时平均</w:t>
                  </w:r>
                </w:p>
              </w:tc>
              <w:tc>
                <w:tcPr>
                  <w:tcW w:w="1496" w:type="dxa"/>
                  <w:vAlign w:val="center"/>
                </w:tcPr>
                <w:p w14:paraId="6CE75C19">
                  <w:pPr>
                    <w:adjustRightInd w:val="0"/>
                    <w:snapToGrid w:val="0"/>
                    <w:jc w:val="center"/>
                    <w:rPr>
                      <w:b/>
                      <w:color w:val="auto"/>
                      <w:kern w:val="24"/>
                      <w:szCs w:val="21"/>
                    </w:rPr>
                  </w:pPr>
                  <w:r>
                    <w:rPr>
                      <w:bCs/>
                      <w:color w:val="auto"/>
                      <w:szCs w:val="21"/>
                    </w:rPr>
                    <w:t>200</w:t>
                  </w:r>
                </w:p>
              </w:tc>
              <w:tc>
                <w:tcPr>
                  <w:tcW w:w="985" w:type="dxa"/>
                  <w:vMerge w:val="continue"/>
                  <w:vAlign w:val="center"/>
                </w:tcPr>
                <w:p w14:paraId="02C52897">
                  <w:pPr>
                    <w:adjustRightInd w:val="0"/>
                    <w:snapToGrid w:val="0"/>
                    <w:jc w:val="center"/>
                    <w:rPr>
                      <w:b/>
                      <w:color w:val="auto"/>
                      <w:kern w:val="24"/>
                      <w:szCs w:val="21"/>
                    </w:rPr>
                  </w:pPr>
                </w:p>
              </w:tc>
              <w:tc>
                <w:tcPr>
                  <w:tcW w:w="1948" w:type="dxa"/>
                  <w:vMerge w:val="continue"/>
                  <w:vAlign w:val="center"/>
                </w:tcPr>
                <w:p w14:paraId="60B2E5EC">
                  <w:pPr>
                    <w:adjustRightInd w:val="0"/>
                    <w:snapToGrid w:val="0"/>
                    <w:jc w:val="center"/>
                    <w:rPr>
                      <w:b/>
                      <w:color w:val="auto"/>
                      <w:kern w:val="24"/>
                      <w:szCs w:val="21"/>
                    </w:rPr>
                  </w:pPr>
                </w:p>
              </w:tc>
            </w:tr>
            <w:tr w14:paraId="1FDF7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199" w:type="dxa"/>
                  <w:vMerge w:val="restart"/>
                  <w:vAlign w:val="center"/>
                </w:tcPr>
                <w:p w14:paraId="7E8E559E">
                  <w:pPr>
                    <w:adjustRightInd w:val="0"/>
                    <w:snapToGrid w:val="0"/>
                    <w:jc w:val="center"/>
                    <w:rPr>
                      <w:b/>
                      <w:color w:val="auto"/>
                      <w:kern w:val="24"/>
                      <w:szCs w:val="21"/>
                    </w:rPr>
                  </w:pPr>
                  <w:r>
                    <w:rPr>
                      <w:bCs/>
                      <w:color w:val="auto"/>
                      <w:szCs w:val="21"/>
                    </w:rPr>
                    <w:t>颗粒物（粒径小于等于10 μm，PM</w:t>
                  </w:r>
                  <w:r>
                    <w:rPr>
                      <w:bCs/>
                      <w:color w:val="auto"/>
                      <w:szCs w:val="21"/>
                      <w:vertAlign w:val="subscript"/>
                    </w:rPr>
                    <w:t>10</w:t>
                  </w:r>
                  <w:r>
                    <w:rPr>
                      <w:bCs/>
                      <w:color w:val="auto"/>
                      <w:szCs w:val="21"/>
                    </w:rPr>
                    <w:t>）</w:t>
                  </w:r>
                </w:p>
              </w:tc>
              <w:tc>
                <w:tcPr>
                  <w:tcW w:w="1955" w:type="dxa"/>
                  <w:vAlign w:val="center"/>
                </w:tcPr>
                <w:p w14:paraId="35778383">
                  <w:pPr>
                    <w:adjustRightInd w:val="0"/>
                    <w:snapToGrid w:val="0"/>
                    <w:jc w:val="center"/>
                    <w:rPr>
                      <w:b/>
                      <w:color w:val="auto"/>
                      <w:kern w:val="24"/>
                      <w:szCs w:val="21"/>
                    </w:rPr>
                  </w:pPr>
                  <w:r>
                    <w:rPr>
                      <w:bCs/>
                      <w:color w:val="auto"/>
                      <w:szCs w:val="21"/>
                    </w:rPr>
                    <w:t>年平均</w:t>
                  </w:r>
                </w:p>
              </w:tc>
              <w:tc>
                <w:tcPr>
                  <w:tcW w:w="1496" w:type="dxa"/>
                  <w:vAlign w:val="center"/>
                </w:tcPr>
                <w:p w14:paraId="44FD0ED5">
                  <w:pPr>
                    <w:adjustRightInd w:val="0"/>
                    <w:snapToGrid w:val="0"/>
                    <w:jc w:val="center"/>
                    <w:rPr>
                      <w:b/>
                      <w:color w:val="auto"/>
                      <w:kern w:val="24"/>
                      <w:szCs w:val="21"/>
                    </w:rPr>
                  </w:pPr>
                  <w:r>
                    <w:rPr>
                      <w:bCs/>
                      <w:color w:val="auto"/>
                      <w:szCs w:val="21"/>
                    </w:rPr>
                    <w:t>60</w:t>
                  </w:r>
                </w:p>
              </w:tc>
              <w:tc>
                <w:tcPr>
                  <w:tcW w:w="985" w:type="dxa"/>
                  <w:vMerge w:val="restart"/>
                  <w:vAlign w:val="center"/>
                </w:tcPr>
                <w:p w14:paraId="3B2EDDD7">
                  <w:pPr>
                    <w:adjustRightInd w:val="0"/>
                    <w:snapToGrid w:val="0"/>
                    <w:jc w:val="center"/>
                    <w:rPr>
                      <w:b/>
                      <w:color w:val="auto"/>
                      <w:kern w:val="24"/>
                      <w:szCs w:val="21"/>
                    </w:rPr>
                  </w:pPr>
                  <w:r>
                    <w:rPr>
                      <w:bCs/>
                      <w:color w:val="auto"/>
                      <w:szCs w:val="21"/>
                    </w:rPr>
                    <w:t>μg/m</w:t>
                  </w:r>
                  <w:r>
                    <w:rPr>
                      <w:bCs/>
                      <w:color w:val="auto"/>
                      <w:szCs w:val="21"/>
                      <w:vertAlign w:val="superscript"/>
                    </w:rPr>
                    <w:t>3</w:t>
                  </w:r>
                </w:p>
              </w:tc>
              <w:tc>
                <w:tcPr>
                  <w:tcW w:w="1948" w:type="dxa"/>
                  <w:vMerge w:val="continue"/>
                  <w:vAlign w:val="center"/>
                </w:tcPr>
                <w:p w14:paraId="1001607E">
                  <w:pPr>
                    <w:adjustRightInd w:val="0"/>
                    <w:snapToGrid w:val="0"/>
                    <w:jc w:val="center"/>
                    <w:rPr>
                      <w:bCs/>
                      <w:color w:val="auto"/>
                      <w:szCs w:val="21"/>
                    </w:rPr>
                  </w:pPr>
                </w:p>
              </w:tc>
            </w:tr>
            <w:tr w14:paraId="70EBB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9" w:type="dxa"/>
                  <w:vMerge w:val="continue"/>
                  <w:vAlign w:val="center"/>
                </w:tcPr>
                <w:p w14:paraId="5BF23ACA">
                  <w:pPr>
                    <w:adjustRightInd w:val="0"/>
                    <w:snapToGrid w:val="0"/>
                    <w:jc w:val="center"/>
                    <w:rPr>
                      <w:b/>
                      <w:color w:val="auto"/>
                      <w:kern w:val="24"/>
                      <w:szCs w:val="21"/>
                    </w:rPr>
                  </w:pPr>
                </w:p>
              </w:tc>
              <w:tc>
                <w:tcPr>
                  <w:tcW w:w="1955" w:type="dxa"/>
                  <w:vAlign w:val="center"/>
                </w:tcPr>
                <w:p w14:paraId="76C64154">
                  <w:pPr>
                    <w:adjustRightInd w:val="0"/>
                    <w:snapToGrid w:val="0"/>
                    <w:jc w:val="center"/>
                    <w:rPr>
                      <w:b/>
                      <w:color w:val="auto"/>
                      <w:kern w:val="24"/>
                      <w:szCs w:val="21"/>
                    </w:rPr>
                  </w:pPr>
                  <w:r>
                    <w:rPr>
                      <w:bCs/>
                      <w:color w:val="auto"/>
                      <w:szCs w:val="21"/>
                    </w:rPr>
                    <w:t>日平均</w:t>
                  </w:r>
                </w:p>
              </w:tc>
              <w:tc>
                <w:tcPr>
                  <w:tcW w:w="1496" w:type="dxa"/>
                  <w:vAlign w:val="center"/>
                </w:tcPr>
                <w:p w14:paraId="2EC52D93">
                  <w:pPr>
                    <w:adjustRightInd w:val="0"/>
                    <w:snapToGrid w:val="0"/>
                    <w:jc w:val="center"/>
                    <w:rPr>
                      <w:b/>
                      <w:color w:val="auto"/>
                      <w:kern w:val="24"/>
                      <w:szCs w:val="21"/>
                    </w:rPr>
                  </w:pPr>
                  <w:r>
                    <w:rPr>
                      <w:bCs/>
                      <w:color w:val="auto"/>
                      <w:szCs w:val="21"/>
                    </w:rPr>
                    <w:t>120</w:t>
                  </w:r>
                </w:p>
              </w:tc>
              <w:tc>
                <w:tcPr>
                  <w:tcW w:w="985" w:type="dxa"/>
                  <w:vMerge w:val="continue"/>
                  <w:vAlign w:val="center"/>
                </w:tcPr>
                <w:p w14:paraId="5D723632">
                  <w:pPr>
                    <w:adjustRightInd w:val="0"/>
                    <w:snapToGrid w:val="0"/>
                    <w:jc w:val="center"/>
                    <w:rPr>
                      <w:b/>
                      <w:color w:val="auto"/>
                      <w:kern w:val="24"/>
                      <w:szCs w:val="21"/>
                    </w:rPr>
                  </w:pPr>
                </w:p>
              </w:tc>
              <w:tc>
                <w:tcPr>
                  <w:tcW w:w="1948" w:type="dxa"/>
                  <w:vMerge w:val="continue"/>
                  <w:vAlign w:val="center"/>
                </w:tcPr>
                <w:p w14:paraId="0195F52F">
                  <w:pPr>
                    <w:adjustRightInd w:val="0"/>
                    <w:snapToGrid w:val="0"/>
                    <w:jc w:val="center"/>
                    <w:rPr>
                      <w:b/>
                      <w:color w:val="auto"/>
                      <w:kern w:val="24"/>
                      <w:szCs w:val="21"/>
                    </w:rPr>
                  </w:pPr>
                </w:p>
              </w:tc>
            </w:tr>
            <w:tr w14:paraId="2EBCC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9" w:type="dxa"/>
                  <w:vMerge w:val="restart"/>
                  <w:vAlign w:val="center"/>
                </w:tcPr>
                <w:p w14:paraId="1DE9E3DE">
                  <w:pPr>
                    <w:adjustRightInd w:val="0"/>
                    <w:snapToGrid w:val="0"/>
                    <w:jc w:val="center"/>
                    <w:rPr>
                      <w:b/>
                      <w:color w:val="auto"/>
                      <w:kern w:val="24"/>
                      <w:szCs w:val="21"/>
                    </w:rPr>
                  </w:pPr>
                  <w:r>
                    <w:rPr>
                      <w:bCs/>
                      <w:color w:val="auto"/>
                      <w:szCs w:val="21"/>
                    </w:rPr>
                    <w:t>颗粒物（粒径小于等于2.5 μm，PM</w:t>
                  </w:r>
                  <w:r>
                    <w:rPr>
                      <w:bCs/>
                      <w:color w:val="auto"/>
                      <w:szCs w:val="21"/>
                      <w:vertAlign w:val="subscript"/>
                    </w:rPr>
                    <w:t>2.5</w:t>
                  </w:r>
                  <w:r>
                    <w:rPr>
                      <w:bCs/>
                      <w:color w:val="auto"/>
                      <w:szCs w:val="21"/>
                    </w:rPr>
                    <w:t>）</w:t>
                  </w:r>
                </w:p>
              </w:tc>
              <w:tc>
                <w:tcPr>
                  <w:tcW w:w="1955" w:type="dxa"/>
                  <w:vAlign w:val="center"/>
                </w:tcPr>
                <w:p w14:paraId="30D76AEE">
                  <w:pPr>
                    <w:adjustRightInd w:val="0"/>
                    <w:snapToGrid w:val="0"/>
                    <w:jc w:val="center"/>
                    <w:rPr>
                      <w:b/>
                      <w:color w:val="auto"/>
                      <w:kern w:val="24"/>
                      <w:szCs w:val="21"/>
                    </w:rPr>
                  </w:pPr>
                  <w:r>
                    <w:rPr>
                      <w:bCs/>
                      <w:color w:val="auto"/>
                      <w:szCs w:val="21"/>
                    </w:rPr>
                    <w:t>年平均</w:t>
                  </w:r>
                </w:p>
              </w:tc>
              <w:tc>
                <w:tcPr>
                  <w:tcW w:w="1496" w:type="dxa"/>
                  <w:vAlign w:val="center"/>
                </w:tcPr>
                <w:p w14:paraId="532DF78A">
                  <w:pPr>
                    <w:adjustRightInd w:val="0"/>
                    <w:snapToGrid w:val="0"/>
                    <w:jc w:val="center"/>
                    <w:rPr>
                      <w:b/>
                      <w:color w:val="auto"/>
                      <w:kern w:val="24"/>
                      <w:szCs w:val="21"/>
                    </w:rPr>
                  </w:pPr>
                  <w:r>
                    <w:rPr>
                      <w:bCs/>
                      <w:color w:val="auto"/>
                      <w:szCs w:val="21"/>
                    </w:rPr>
                    <w:t>30</w:t>
                  </w:r>
                </w:p>
              </w:tc>
              <w:tc>
                <w:tcPr>
                  <w:tcW w:w="985" w:type="dxa"/>
                  <w:vMerge w:val="restart"/>
                  <w:vAlign w:val="center"/>
                </w:tcPr>
                <w:p w14:paraId="257E4320">
                  <w:pPr>
                    <w:adjustRightInd w:val="0"/>
                    <w:snapToGrid w:val="0"/>
                    <w:jc w:val="center"/>
                    <w:rPr>
                      <w:b/>
                      <w:color w:val="auto"/>
                      <w:kern w:val="24"/>
                      <w:szCs w:val="21"/>
                    </w:rPr>
                  </w:pPr>
                  <w:r>
                    <w:rPr>
                      <w:bCs/>
                      <w:color w:val="auto"/>
                      <w:szCs w:val="21"/>
                    </w:rPr>
                    <w:t>μg/m</w:t>
                  </w:r>
                  <w:r>
                    <w:rPr>
                      <w:bCs/>
                      <w:color w:val="auto"/>
                      <w:szCs w:val="21"/>
                      <w:vertAlign w:val="superscript"/>
                    </w:rPr>
                    <w:t>3</w:t>
                  </w:r>
                </w:p>
              </w:tc>
              <w:tc>
                <w:tcPr>
                  <w:tcW w:w="1948" w:type="dxa"/>
                  <w:vMerge w:val="continue"/>
                  <w:vAlign w:val="center"/>
                </w:tcPr>
                <w:p w14:paraId="77E1DBDE">
                  <w:pPr>
                    <w:adjustRightInd w:val="0"/>
                    <w:snapToGrid w:val="0"/>
                    <w:jc w:val="center"/>
                    <w:rPr>
                      <w:bCs/>
                      <w:color w:val="auto"/>
                      <w:szCs w:val="21"/>
                    </w:rPr>
                  </w:pPr>
                </w:p>
              </w:tc>
            </w:tr>
            <w:tr w14:paraId="73A60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9" w:type="dxa"/>
                  <w:vMerge w:val="continue"/>
                  <w:vAlign w:val="center"/>
                </w:tcPr>
                <w:p w14:paraId="1BCAB2F2">
                  <w:pPr>
                    <w:adjustRightInd w:val="0"/>
                    <w:snapToGrid w:val="0"/>
                    <w:jc w:val="center"/>
                    <w:rPr>
                      <w:b/>
                      <w:color w:val="auto"/>
                      <w:kern w:val="24"/>
                      <w:szCs w:val="21"/>
                    </w:rPr>
                  </w:pPr>
                </w:p>
              </w:tc>
              <w:tc>
                <w:tcPr>
                  <w:tcW w:w="1955" w:type="dxa"/>
                  <w:vAlign w:val="center"/>
                </w:tcPr>
                <w:p w14:paraId="4A3FB997">
                  <w:pPr>
                    <w:adjustRightInd w:val="0"/>
                    <w:snapToGrid w:val="0"/>
                    <w:jc w:val="center"/>
                    <w:rPr>
                      <w:b/>
                      <w:color w:val="auto"/>
                      <w:kern w:val="24"/>
                      <w:szCs w:val="21"/>
                    </w:rPr>
                  </w:pPr>
                  <w:r>
                    <w:rPr>
                      <w:bCs/>
                      <w:color w:val="auto"/>
                      <w:szCs w:val="21"/>
                    </w:rPr>
                    <w:t>日平均</w:t>
                  </w:r>
                </w:p>
              </w:tc>
              <w:tc>
                <w:tcPr>
                  <w:tcW w:w="1496" w:type="dxa"/>
                  <w:vAlign w:val="center"/>
                </w:tcPr>
                <w:p w14:paraId="09BFC13B">
                  <w:pPr>
                    <w:adjustRightInd w:val="0"/>
                    <w:snapToGrid w:val="0"/>
                    <w:jc w:val="center"/>
                    <w:rPr>
                      <w:b/>
                      <w:color w:val="auto"/>
                      <w:kern w:val="24"/>
                      <w:szCs w:val="21"/>
                    </w:rPr>
                  </w:pPr>
                  <w:r>
                    <w:rPr>
                      <w:bCs/>
                      <w:color w:val="auto"/>
                      <w:szCs w:val="21"/>
                    </w:rPr>
                    <w:t>60</w:t>
                  </w:r>
                </w:p>
              </w:tc>
              <w:tc>
                <w:tcPr>
                  <w:tcW w:w="985" w:type="dxa"/>
                  <w:vMerge w:val="continue"/>
                  <w:vAlign w:val="center"/>
                </w:tcPr>
                <w:p w14:paraId="1C64B313">
                  <w:pPr>
                    <w:adjustRightInd w:val="0"/>
                    <w:snapToGrid w:val="0"/>
                    <w:jc w:val="center"/>
                    <w:rPr>
                      <w:b/>
                      <w:color w:val="auto"/>
                      <w:kern w:val="24"/>
                      <w:szCs w:val="21"/>
                    </w:rPr>
                  </w:pPr>
                </w:p>
              </w:tc>
              <w:tc>
                <w:tcPr>
                  <w:tcW w:w="1948" w:type="dxa"/>
                  <w:vMerge w:val="continue"/>
                  <w:vAlign w:val="center"/>
                </w:tcPr>
                <w:p w14:paraId="5E36B40C">
                  <w:pPr>
                    <w:adjustRightInd w:val="0"/>
                    <w:snapToGrid w:val="0"/>
                    <w:jc w:val="center"/>
                    <w:rPr>
                      <w:b/>
                      <w:color w:val="auto"/>
                      <w:kern w:val="24"/>
                      <w:szCs w:val="21"/>
                    </w:rPr>
                  </w:pPr>
                </w:p>
              </w:tc>
            </w:tr>
            <w:tr w14:paraId="02BB6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9" w:type="dxa"/>
                  <w:vMerge w:val="restart"/>
                  <w:vAlign w:val="center"/>
                </w:tcPr>
                <w:p w14:paraId="43C8395D">
                  <w:pPr>
                    <w:adjustRightInd w:val="0"/>
                    <w:snapToGrid w:val="0"/>
                    <w:jc w:val="center"/>
                    <w:rPr>
                      <w:bCs/>
                      <w:color w:val="auto"/>
                      <w:kern w:val="24"/>
                      <w:szCs w:val="21"/>
                    </w:rPr>
                  </w:pPr>
                  <w:r>
                    <w:rPr>
                      <w:bCs/>
                      <w:color w:val="auto"/>
                      <w:kern w:val="24"/>
                      <w:szCs w:val="21"/>
                    </w:rPr>
                    <w:t>总悬浮颗粒物（TSP）</w:t>
                  </w:r>
                </w:p>
              </w:tc>
              <w:tc>
                <w:tcPr>
                  <w:tcW w:w="1955" w:type="dxa"/>
                  <w:vAlign w:val="center"/>
                </w:tcPr>
                <w:p w14:paraId="734D7CF9">
                  <w:pPr>
                    <w:adjustRightInd w:val="0"/>
                    <w:snapToGrid w:val="0"/>
                    <w:jc w:val="center"/>
                    <w:rPr>
                      <w:bCs/>
                      <w:color w:val="auto"/>
                      <w:kern w:val="24"/>
                      <w:szCs w:val="21"/>
                    </w:rPr>
                  </w:pPr>
                  <w:r>
                    <w:rPr>
                      <w:bCs/>
                      <w:color w:val="auto"/>
                      <w:szCs w:val="21"/>
                    </w:rPr>
                    <w:t>年平均</w:t>
                  </w:r>
                </w:p>
              </w:tc>
              <w:tc>
                <w:tcPr>
                  <w:tcW w:w="1496" w:type="dxa"/>
                  <w:vAlign w:val="center"/>
                </w:tcPr>
                <w:p w14:paraId="7EC054A3">
                  <w:pPr>
                    <w:adjustRightInd w:val="0"/>
                    <w:snapToGrid w:val="0"/>
                    <w:jc w:val="center"/>
                    <w:rPr>
                      <w:bCs/>
                      <w:color w:val="auto"/>
                      <w:kern w:val="24"/>
                      <w:szCs w:val="21"/>
                    </w:rPr>
                  </w:pPr>
                  <w:r>
                    <w:rPr>
                      <w:bCs/>
                      <w:color w:val="auto"/>
                      <w:kern w:val="24"/>
                      <w:szCs w:val="21"/>
                    </w:rPr>
                    <w:t>200</w:t>
                  </w:r>
                </w:p>
              </w:tc>
              <w:tc>
                <w:tcPr>
                  <w:tcW w:w="985" w:type="dxa"/>
                  <w:vMerge w:val="restart"/>
                  <w:vAlign w:val="center"/>
                </w:tcPr>
                <w:p w14:paraId="337BFEE8">
                  <w:pPr>
                    <w:adjustRightInd w:val="0"/>
                    <w:snapToGrid w:val="0"/>
                    <w:jc w:val="center"/>
                    <w:rPr>
                      <w:b/>
                      <w:color w:val="auto"/>
                      <w:kern w:val="24"/>
                      <w:szCs w:val="21"/>
                    </w:rPr>
                  </w:pPr>
                  <w:r>
                    <w:rPr>
                      <w:bCs/>
                      <w:color w:val="auto"/>
                      <w:szCs w:val="21"/>
                    </w:rPr>
                    <w:t>μg/m</w:t>
                  </w:r>
                  <w:r>
                    <w:rPr>
                      <w:bCs/>
                      <w:color w:val="auto"/>
                      <w:szCs w:val="21"/>
                      <w:vertAlign w:val="superscript"/>
                    </w:rPr>
                    <w:t>3</w:t>
                  </w:r>
                </w:p>
              </w:tc>
              <w:tc>
                <w:tcPr>
                  <w:tcW w:w="1948" w:type="dxa"/>
                  <w:vMerge w:val="continue"/>
                  <w:vAlign w:val="center"/>
                </w:tcPr>
                <w:p w14:paraId="36EED057">
                  <w:pPr>
                    <w:adjustRightInd w:val="0"/>
                    <w:snapToGrid w:val="0"/>
                    <w:jc w:val="center"/>
                    <w:rPr>
                      <w:bCs/>
                      <w:color w:val="auto"/>
                      <w:szCs w:val="21"/>
                    </w:rPr>
                  </w:pPr>
                </w:p>
              </w:tc>
            </w:tr>
            <w:tr w14:paraId="2A149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9" w:type="dxa"/>
                  <w:vMerge w:val="continue"/>
                  <w:vAlign w:val="center"/>
                </w:tcPr>
                <w:p w14:paraId="6B545914">
                  <w:pPr>
                    <w:adjustRightInd w:val="0"/>
                    <w:snapToGrid w:val="0"/>
                    <w:jc w:val="center"/>
                    <w:rPr>
                      <w:b/>
                      <w:color w:val="auto"/>
                      <w:kern w:val="24"/>
                      <w:szCs w:val="21"/>
                    </w:rPr>
                  </w:pPr>
                </w:p>
              </w:tc>
              <w:tc>
                <w:tcPr>
                  <w:tcW w:w="1955" w:type="dxa"/>
                  <w:vAlign w:val="center"/>
                </w:tcPr>
                <w:p w14:paraId="1DEA32AE">
                  <w:pPr>
                    <w:adjustRightInd w:val="0"/>
                    <w:snapToGrid w:val="0"/>
                    <w:jc w:val="center"/>
                    <w:rPr>
                      <w:bCs/>
                      <w:color w:val="auto"/>
                      <w:kern w:val="24"/>
                      <w:szCs w:val="21"/>
                    </w:rPr>
                  </w:pPr>
                  <w:r>
                    <w:rPr>
                      <w:bCs/>
                      <w:color w:val="auto"/>
                      <w:szCs w:val="21"/>
                    </w:rPr>
                    <w:t>日平均</w:t>
                  </w:r>
                </w:p>
              </w:tc>
              <w:tc>
                <w:tcPr>
                  <w:tcW w:w="1496" w:type="dxa"/>
                  <w:vAlign w:val="center"/>
                </w:tcPr>
                <w:p w14:paraId="3CA702AC">
                  <w:pPr>
                    <w:adjustRightInd w:val="0"/>
                    <w:snapToGrid w:val="0"/>
                    <w:jc w:val="center"/>
                    <w:rPr>
                      <w:bCs/>
                      <w:color w:val="auto"/>
                      <w:kern w:val="24"/>
                      <w:szCs w:val="21"/>
                    </w:rPr>
                  </w:pPr>
                  <w:r>
                    <w:rPr>
                      <w:bCs/>
                      <w:color w:val="auto"/>
                      <w:kern w:val="24"/>
                      <w:szCs w:val="21"/>
                    </w:rPr>
                    <w:t>300</w:t>
                  </w:r>
                </w:p>
              </w:tc>
              <w:tc>
                <w:tcPr>
                  <w:tcW w:w="985" w:type="dxa"/>
                  <w:vMerge w:val="continue"/>
                  <w:vAlign w:val="center"/>
                </w:tcPr>
                <w:p w14:paraId="6E1E4292">
                  <w:pPr>
                    <w:adjustRightInd w:val="0"/>
                    <w:snapToGrid w:val="0"/>
                    <w:jc w:val="center"/>
                    <w:rPr>
                      <w:b/>
                      <w:color w:val="auto"/>
                      <w:kern w:val="24"/>
                      <w:szCs w:val="21"/>
                    </w:rPr>
                  </w:pPr>
                </w:p>
              </w:tc>
              <w:tc>
                <w:tcPr>
                  <w:tcW w:w="1948" w:type="dxa"/>
                  <w:vMerge w:val="continue"/>
                  <w:vAlign w:val="center"/>
                </w:tcPr>
                <w:p w14:paraId="19ECBCD3">
                  <w:pPr>
                    <w:adjustRightInd w:val="0"/>
                    <w:snapToGrid w:val="0"/>
                    <w:jc w:val="center"/>
                    <w:rPr>
                      <w:b/>
                      <w:color w:val="auto"/>
                      <w:kern w:val="24"/>
                      <w:szCs w:val="21"/>
                    </w:rPr>
                  </w:pPr>
                </w:p>
              </w:tc>
            </w:tr>
            <w:tr w14:paraId="326F2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3" w:type="dxa"/>
                  <w:gridSpan w:val="5"/>
                  <w:vAlign w:val="center"/>
                </w:tcPr>
                <w:p w14:paraId="744266D0">
                  <w:pPr>
                    <w:adjustRightInd w:val="0"/>
                    <w:snapToGrid w:val="0"/>
                    <w:jc w:val="center"/>
                    <w:rPr>
                      <w:b/>
                      <w:color w:val="auto"/>
                      <w:kern w:val="24"/>
                      <w:szCs w:val="21"/>
                    </w:rPr>
                  </w:pPr>
                  <w:r>
                    <w:rPr>
                      <w:bCs/>
                      <w:color w:val="auto"/>
                      <w:kern w:val="24"/>
                      <w:szCs w:val="21"/>
                    </w:rPr>
                    <w:t>注：过渡阶段指标准实施之日（2026年3月1日）起至2030年10月31日止。</w:t>
                  </w:r>
                </w:p>
              </w:tc>
            </w:tr>
          </w:tbl>
          <w:p w14:paraId="699F7C67">
            <w:pPr>
              <w:adjustRightInd w:val="0"/>
              <w:snapToGrid w:val="0"/>
              <w:spacing w:line="360" w:lineRule="auto"/>
              <w:jc w:val="left"/>
              <w:rPr>
                <w:b/>
                <w:bCs/>
                <w:color w:val="auto"/>
                <w:sz w:val="24"/>
              </w:rPr>
            </w:pPr>
          </w:p>
          <w:p w14:paraId="26747960">
            <w:pPr>
              <w:adjustRightInd w:val="0"/>
              <w:snapToGrid w:val="0"/>
              <w:spacing w:line="360" w:lineRule="auto"/>
              <w:jc w:val="left"/>
              <w:rPr>
                <w:color w:val="auto"/>
                <w:kern w:val="24"/>
                <w:sz w:val="24"/>
              </w:rPr>
            </w:pPr>
            <w:r>
              <w:rPr>
                <w:rFonts w:hint="eastAsia"/>
                <w:b/>
                <w:bCs/>
                <w:color w:val="auto"/>
                <w:sz w:val="24"/>
              </w:rPr>
              <w:t>1.2 环境质量现状</w:t>
            </w:r>
          </w:p>
          <w:p w14:paraId="5D611850">
            <w:pPr>
              <w:adjustRightInd w:val="0"/>
              <w:snapToGrid w:val="0"/>
              <w:spacing w:line="360" w:lineRule="auto"/>
              <w:ind w:firstLine="480" w:firstLineChars="200"/>
              <w:jc w:val="left"/>
              <w:rPr>
                <w:color w:val="auto"/>
                <w:sz w:val="24"/>
              </w:rPr>
            </w:pPr>
            <w:r>
              <w:rPr>
                <w:color w:val="auto"/>
                <w:sz w:val="24"/>
              </w:rPr>
              <w:t>本项目位于玉溪市</w:t>
            </w:r>
            <w:r>
              <w:rPr>
                <w:rFonts w:hint="eastAsia"/>
                <w:color w:val="auto"/>
                <w:sz w:val="24"/>
              </w:rPr>
              <w:t>通海县</w:t>
            </w:r>
            <w:r>
              <w:rPr>
                <w:color w:val="auto"/>
                <w:sz w:val="24"/>
              </w:rPr>
              <w:t>，项目所在区域大气环境执行</w:t>
            </w:r>
            <w:r>
              <w:rPr>
                <w:rFonts w:hint="eastAsia"/>
                <w:color w:val="auto"/>
                <w:sz w:val="24"/>
              </w:rPr>
              <w:t>《环境空气质量标准》（GB 3095-2026）过渡阶段浓度限值的二级标准</w:t>
            </w:r>
            <w:r>
              <w:rPr>
                <w:color w:val="auto"/>
                <w:sz w:val="24"/>
              </w:rPr>
              <w:t>。</w:t>
            </w:r>
          </w:p>
          <w:p w14:paraId="4E0459F8">
            <w:pPr>
              <w:adjustRightInd w:val="0"/>
              <w:snapToGrid w:val="0"/>
              <w:spacing w:line="360" w:lineRule="auto"/>
              <w:ind w:firstLine="480" w:firstLineChars="200"/>
              <w:jc w:val="left"/>
              <w:rPr>
                <w:color w:val="auto"/>
                <w:sz w:val="24"/>
              </w:rPr>
            </w:pPr>
            <w:r>
              <w:rPr>
                <w:rFonts w:hint="eastAsia"/>
                <w:color w:val="auto"/>
                <w:sz w:val="24"/>
              </w:rPr>
              <w:t>本次评价采用通海县环境空气质量自动监测点的2025年全年环境空气监测数据进行达标区判定及基本污染物环境空气质量现状评价。通海县环境空气质量自动监测系统位于通海县环境监测站，距离本项目约8.5km。</w:t>
            </w:r>
          </w:p>
          <w:p w14:paraId="573AC787">
            <w:pPr>
              <w:pStyle w:val="70"/>
              <w:ind w:firstLine="480"/>
              <w:rPr>
                <w:color w:val="auto"/>
              </w:rPr>
            </w:pPr>
            <w:r>
              <w:rPr>
                <w:color w:val="auto"/>
              </w:rPr>
              <w:t>环境空气质量达标情况评价指标为SO</w:t>
            </w:r>
            <w:r>
              <w:rPr>
                <w:color w:val="auto"/>
                <w:vertAlign w:val="subscript"/>
              </w:rPr>
              <w:t>2</w:t>
            </w:r>
            <w:r>
              <w:rPr>
                <w:color w:val="auto"/>
              </w:rPr>
              <w:t>、NO</w:t>
            </w:r>
            <w:r>
              <w:rPr>
                <w:color w:val="auto"/>
                <w:vertAlign w:val="subscript"/>
              </w:rPr>
              <w:t>2</w:t>
            </w:r>
            <w:r>
              <w:rPr>
                <w:color w:val="auto"/>
              </w:rPr>
              <w:t>、PM</w:t>
            </w:r>
            <w:r>
              <w:rPr>
                <w:color w:val="auto"/>
                <w:vertAlign w:val="subscript"/>
              </w:rPr>
              <w:t>10</w:t>
            </w:r>
            <w:r>
              <w:rPr>
                <w:color w:val="auto"/>
              </w:rPr>
              <w:t>、PM</w:t>
            </w:r>
            <w:r>
              <w:rPr>
                <w:color w:val="auto"/>
                <w:vertAlign w:val="subscript"/>
              </w:rPr>
              <w:t>2.5</w:t>
            </w:r>
            <w:r>
              <w:rPr>
                <w:color w:val="auto"/>
              </w:rPr>
              <w:t>、CO、O</w:t>
            </w:r>
            <w:r>
              <w:rPr>
                <w:color w:val="auto"/>
                <w:vertAlign w:val="subscript"/>
              </w:rPr>
              <w:t>3</w:t>
            </w:r>
            <w:r>
              <w:rPr>
                <w:color w:val="auto"/>
              </w:rPr>
              <w:t>，六项基本污染物</w:t>
            </w:r>
            <w:r>
              <w:rPr>
                <w:rFonts w:hint="eastAsia"/>
                <w:color w:val="auto"/>
              </w:rPr>
              <w:t>按照HJ 663中各评价项目的年评价指标进行评价，年评价指标中的年均浓度和相应百分位数24h平均或8h平均质量浓度满足GB 3095中浓度限值要求的即为达标区。</w:t>
            </w:r>
          </w:p>
          <w:p w14:paraId="0505625C">
            <w:pPr>
              <w:pStyle w:val="60"/>
              <w:snapToGrid w:val="0"/>
              <w:spacing w:line="360" w:lineRule="auto"/>
              <w:ind w:firstLine="0"/>
              <w:jc w:val="center"/>
              <w:textAlignment w:val="auto"/>
              <w:rPr>
                <w:b/>
                <w:bCs/>
                <w:color w:val="auto"/>
                <w:szCs w:val="24"/>
              </w:rPr>
            </w:pPr>
            <w:r>
              <w:rPr>
                <w:b/>
                <w:bCs/>
                <w:color w:val="auto"/>
                <w:szCs w:val="24"/>
              </w:rPr>
              <w:t>表3-</w:t>
            </w:r>
            <w:r>
              <w:rPr>
                <w:rFonts w:hint="eastAsia"/>
                <w:b/>
                <w:bCs/>
                <w:color w:val="auto"/>
                <w:szCs w:val="24"/>
              </w:rPr>
              <w:t>2</w:t>
            </w:r>
            <w:r>
              <w:rPr>
                <w:b/>
                <w:bCs/>
                <w:color w:val="auto"/>
                <w:szCs w:val="24"/>
              </w:rPr>
              <w:t xml:space="preserve">  2025</w:t>
            </w:r>
            <w:r>
              <w:rPr>
                <w:rFonts w:hint="eastAsia"/>
                <w:b/>
                <w:bCs/>
                <w:color w:val="auto"/>
                <w:szCs w:val="24"/>
              </w:rPr>
              <w:t>年区域基本污染物质量现状评价表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2141"/>
              <w:gridCol w:w="1533"/>
              <w:gridCol w:w="1707"/>
              <w:gridCol w:w="1030"/>
              <w:gridCol w:w="1254"/>
            </w:tblGrid>
            <w:tr w14:paraId="5F789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550" w:type="pct"/>
                  <w:vAlign w:val="center"/>
                </w:tcPr>
                <w:p w14:paraId="3A9B0E82">
                  <w:pPr>
                    <w:widowControl/>
                    <w:jc w:val="center"/>
                    <w:textAlignment w:val="center"/>
                    <w:rPr>
                      <w:color w:val="auto"/>
                      <w:kern w:val="0"/>
                      <w:sz w:val="18"/>
                      <w:szCs w:val="18"/>
                    </w:rPr>
                  </w:pPr>
                  <w:r>
                    <w:rPr>
                      <w:color w:val="auto"/>
                      <w:kern w:val="0"/>
                      <w:sz w:val="18"/>
                      <w:szCs w:val="18"/>
                    </w:rPr>
                    <w:t>污染物</w:t>
                  </w:r>
                </w:p>
              </w:tc>
              <w:tc>
                <w:tcPr>
                  <w:tcW w:w="1243" w:type="pct"/>
                  <w:vAlign w:val="center"/>
                </w:tcPr>
                <w:p w14:paraId="698855B5">
                  <w:pPr>
                    <w:widowControl/>
                    <w:jc w:val="center"/>
                    <w:textAlignment w:val="center"/>
                    <w:rPr>
                      <w:color w:val="auto"/>
                      <w:kern w:val="0"/>
                      <w:sz w:val="18"/>
                      <w:szCs w:val="18"/>
                    </w:rPr>
                  </w:pPr>
                  <w:r>
                    <w:rPr>
                      <w:color w:val="auto"/>
                      <w:kern w:val="0"/>
                      <w:sz w:val="18"/>
                      <w:szCs w:val="18"/>
                    </w:rPr>
                    <w:t>年评价指标</w:t>
                  </w:r>
                </w:p>
              </w:tc>
              <w:tc>
                <w:tcPr>
                  <w:tcW w:w="890" w:type="pct"/>
                  <w:vAlign w:val="center"/>
                </w:tcPr>
                <w:p w14:paraId="2E4D01B5">
                  <w:pPr>
                    <w:widowControl/>
                    <w:jc w:val="center"/>
                    <w:textAlignment w:val="center"/>
                    <w:rPr>
                      <w:color w:val="auto"/>
                      <w:kern w:val="0"/>
                      <w:sz w:val="18"/>
                      <w:szCs w:val="18"/>
                    </w:rPr>
                  </w:pPr>
                  <w:r>
                    <w:rPr>
                      <w:color w:val="auto"/>
                      <w:kern w:val="0"/>
                      <w:sz w:val="18"/>
                      <w:szCs w:val="18"/>
                    </w:rPr>
                    <w:t>现状浓度</w:t>
                  </w:r>
                </w:p>
                <w:p w14:paraId="5B474762">
                  <w:pPr>
                    <w:widowControl/>
                    <w:jc w:val="center"/>
                    <w:textAlignment w:val="center"/>
                    <w:rPr>
                      <w:color w:val="auto"/>
                      <w:kern w:val="0"/>
                      <w:sz w:val="18"/>
                      <w:szCs w:val="18"/>
                    </w:rPr>
                  </w:pPr>
                  <w:r>
                    <w:rPr>
                      <w:color w:val="auto"/>
                      <w:kern w:val="0"/>
                      <w:sz w:val="18"/>
                      <w:szCs w:val="18"/>
                    </w:rPr>
                    <w:t>（µg/m</w:t>
                  </w:r>
                  <w:r>
                    <w:rPr>
                      <w:color w:val="auto"/>
                      <w:kern w:val="0"/>
                      <w:sz w:val="18"/>
                      <w:szCs w:val="18"/>
                      <w:vertAlign w:val="superscript"/>
                    </w:rPr>
                    <w:t>3</w:t>
                  </w:r>
                  <w:r>
                    <w:rPr>
                      <w:color w:val="auto"/>
                      <w:kern w:val="0"/>
                      <w:sz w:val="18"/>
                      <w:szCs w:val="18"/>
                    </w:rPr>
                    <w:t>）</w:t>
                  </w:r>
                </w:p>
              </w:tc>
              <w:tc>
                <w:tcPr>
                  <w:tcW w:w="991" w:type="pct"/>
                  <w:vAlign w:val="center"/>
                </w:tcPr>
                <w:p w14:paraId="0FA99DD0">
                  <w:pPr>
                    <w:widowControl/>
                    <w:jc w:val="center"/>
                    <w:textAlignment w:val="center"/>
                    <w:rPr>
                      <w:color w:val="auto"/>
                      <w:kern w:val="0"/>
                      <w:sz w:val="18"/>
                      <w:szCs w:val="18"/>
                    </w:rPr>
                  </w:pPr>
                  <w:r>
                    <w:rPr>
                      <w:rFonts w:hint="eastAsia"/>
                      <w:color w:val="auto"/>
                      <w:kern w:val="0"/>
                      <w:sz w:val="18"/>
                      <w:szCs w:val="18"/>
                    </w:rPr>
                    <w:t>GB 3095-2026过渡阶段</w:t>
                  </w:r>
                  <w:r>
                    <w:rPr>
                      <w:color w:val="auto"/>
                      <w:kern w:val="0"/>
                      <w:sz w:val="18"/>
                      <w:szCs w:val="18"/>
                    </w:rPr>
                    <w:t>标准值</w:t>
                  </w:r>
                </w:p>
                <w:p w14:paraId="7917F05A">
                  <w:pPr>
                    <w:widowControl/>
                    <w:jc w:val="center"/>
                    <w:textAlignment w:val="center"/>
                    <w:rPr>
                      <w:color w:val="auto"/>
                      <w:kern w:val="0"/>
                      <w:sz w:val="18"/>
                      <w:szCs w:val="18"/>
                    </w:rPr>
                  </w:pPr>
                  <w:r>
                    <w:rPr>
                      <w:color w:val="auto"/>
                      <w:kern w:val="0"/>
                      <w:sz w:val="18"/>
                      <w:szCs w:val="18"/>
                    </w:rPr>
                    <w:t>（µg/m</w:t>
                  </w:r>
                  <w:r>
                    <w:rPr>
                      <w:color w:val="auto"/>
                      <w:kern w:val="0"/>
                      <w:sz w:val="18"/>
                      <w:szCs w:val="18"/>
                      <w:vertAlign w:val="superscript"/>
                    </w:rPr>
                    <w:t>3</w:t>
                  </w:r>
                  <w:r>
                    <w:rPr>
                      <w:color w:val="auto"/>
                      <w:kern w:val="0"/>
                      <w:sz w:val="18"/>
                      <w:szCs w:val="18"/>
                    </w:rPr>
                    <w:t>）</w:t>
                  </w:r>
                </w:p>
              </w:tc>
              <w:tc>
                <w:tcPr>
                  <w:tcW w:w="598" w:type="pct"/>
                  <w:vAlign w:val="center"/>
                </w:tcPr>
                <w:p w14:paraId="266CAAF4">
                  <w:pPr>
                    <w:widowControl/>
                    <w:jc w:val="center"/>
                    <w:textAlignment w:val="center"/>
                    <w:rPr>
                      <w:color w:val="auto"/>
                      <w:kern w:val="0"/>
                      <w:sz w:val="18"/>
                      <w:szCs w:val="18"/>
                    </w:rPr>
                  </w:pPr>
                  <w:r>
                    <w:rPr>
                      <w:color w:val="auto"/>
                      <w:kern w:val="0"/>
                      <w:sz w:val="18"/>
                      <w:szCs w:val="18"/>
                    </w:rPr>
                    <w:t>占标率/%</w:t>
                  </w:r>
                </w:p>
              </w:tc>
              <w:tc>
                <w:tcPr>
                  <w:tcW w:w="728" w:type="pct"/>
                  <w:vAlign w:val="center"/>
                </w:tcPr>
                <w:p w14:paraId="31E708AA">
                  <w:pPr>
                    <w:widowControl/>
                    <w:jc w:val="center"/>
                    <w:textAlignment w:val="center"/>
                    <w:rPr>
                      <w:color w:val="auto"/>
                      <w:kern w:val="0"/>
                      <w:sz w:val="18"/>
                      <w:szCs w:val="18"/>
                    </w:rPr>
                  </w:pPr>
                  <w:r>
                    <w:rPr>
                      <w:color w:val="auto"/>
                      <w:kern w:val="0"/>
                      <w:sz w:val="18"/>
                      <w:szCs w:val="18"/>
                    </w:rPr>
                    <w:t>达标</w:t>
                  </w:r>
                </w:p>
                <w:p w14:paraId="07443A2D">
                  <w:pPr>
                    <w:widowControl/>
                    <w:jc w:val="center"/>
                    <w:textAlignment w:val="center"/>
                    <w:rPr>
                      <w:color w:val="auto"/>
                      <w:kern w:val="0"/>
                      <w:sz w:val="18"/>
                      <w:szCs w:val="18"/>
                    </w:rPr>
                  </w:pPr>
                  <w:r>
                    <w:rPr>
                      <w:color w:val="auto"/>
                      <w:kern w:val="0"/>
                      <w:sz w:val="18"/>
                      <w:szCs w:val="18"/>
                    </w:rPr>
                    <w:t>情况</w:t>
                  </w:r>
                </w:p>
              </w:tc>
            </w:tr>
            <w:tr w14:paraId="5AFA8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550" w:type="pct"/>
                  <w:vMerge w:val="restart"/>
                  <w:vAlign w:val="center"/>
                </w:tcPr>
                <w:p w14:paraId="2F547115">
                  <w:pPr>
                    <w:widowControl/>
                    <w:jc w:val="center"/>
                    <w:textAlignment w:val="center"/>
                    <w:rPr>
                      <w:color w:val="auto"/>
                      <w:kern w:val="0"/>
                      <w:sz w:val="18"/>
                      <w:szCs w:val="18"/>
                    </w:rPr>
                  </w:pPr>
                  <w:r>
                    <w:rPr>
                      <w:color w:val="auto"/>
                      <w:kern w:val="0"/>
                      <w:sz w:val="18"/>
                      <w:szCs w:val="18"/>
                    </w:rPr>
                    <w:t>SO</w:t>
                  </w:r>
                  <w:r>
                    <w:rPr>
                      <w:color w:val="auto"/>
                      <w:kern w:val="0"/>
                      <w:sz w:val="18"/>
                      <w:szCs w:val="18"/>
                      <w:vertAlign w:val="subscript"/>
                    </w:rPr>
                    <w:t>2</w:t>
                  </w:r>
                </w:p>
              </w:tc>
              <w:tc>
                <w:tcPr>
                  <w:tcW w:w="1243" w:type="pct"/>
                  <w:vAlign w:val="center"/>
                </w:tcPr>
                <w:p w14:paraId="5582F9BC">
                  <w:pPr>
                    <w:widowControl/>
                    <w:jc w:val="center"/>
                    <w:textAlignment w:val="center"/>
                    <w:rPr>
                      <w:color w:val="auto"/>
                      <w:kern w:val="0"/>
                      <w:sz w:val="18"/>
                      <w:szCs w:val="18"/>
                    </w:rPr>
                  </w:pPr>
                  <w:r>
                    <w:rPr>
                      <w:color w:val="auto"/>
                      <w:kern w:val="0"/>
                      <w:sz w:val="18"/>
                      <w:szCs w:val="18"/>
                    </w:rPr>
                    <w:t>年平均质量浓度</w:t>
                  </w:r>
                </w:p>
              </w:tc>
              <w:tc>
                <w:tcPr>
                  <w:tcW w:w="890" w:type="pct"/>
                  <w:vAlign w:val="center"/>
                </w:tcPr>
                <w:p w14:paraId="1CB38999">
                  <w:pPr>
                    <w:pStyle w:val="47"/>
                    <w:spacing w:before="24" w:after="24"/>
                    <w:rPr>
                      <w:rFonts w:ascii="Times New Roman"/>
                      <w:color w:val="auto"/>
                      <w:sz w:val="18"/>
                      <w:szCs w:val="18"/>
                    </w:rPr>
                  </w:pPr>
                  <w:r>
                    <w:rPr>
                      <w:rFonts w:ascii="Times New Roman"/>
                      <w:color w:val="auto"/>
                      <w:sz w:val="18"/>
                      <w:szCs w:val="18"/>
                    </w:rPr>
                    <w:t>11.3</w:t>
                  </w:r>
                </w:p>
              </w:tc>
              <w:tc>
                <w:tcPr>
                  <w:tcW w:w="991" w:type="pct"/>
                  <w:vAlign w:val="center"/>
                </w:tcPr>
                <w:p w14:paraId="0289497E">
                  <w:pPr>
                    <w:pStyle w:val="47"/>
                    <w:spacing w:before="24" w:after="24"/>
                    <w:rPr>
                      <w:rFonts w:ascii="Times New Roman"/>
                      <w:color w:val="auto"/>
                      <w:sz w:val="18"/>
                      <w:szCs w:val="18"/>
                    </w:rPr>
                  </w:pPr>
                  <w:r>
                    <w:rPr>
                      <w:color w:val="auto"/>
                      <w:sz w:val="18"/>
                      <w:szCs w:val="18"/>
                    </w:rPr>
                    <w:t>60</w:t>
                  </w:r>
                </w:p>
              </w:tc>
              <w:tc>
                <w:tcPr>
                  <w:tcW w:w="598" w:type="pct"/>
                  <w:vAlign w:val="center"/>
                </w:tcPr>
                <w:p w14:paraId="67D51959">
                  <w:pPr>
                    <w:pStyle w:val="47"/>
                    <w:spacing w:before="24" w:after="24"/>
                    <w:rPr>
                      <w:rFonts w:ascii="Times New Roman"/>
                      <w:color w:val="auto"/>
                      <w:sz w:val="18"/>
                      <w:szCs w:val="18"/>
                    </w:rPr>
                  </w:pPr>
                  <w:r>
                    <w:rPr>
                      <w:rFonts w:ascii="Times New Roman"/>
                      <w:color w:val="auto"/>
                      <w:sz w:val="18"/>
                      <w:szCs w:val="18"/>
                    </w:rPr>
                    <w:t>18.8</w:t>
                  </w:r>
                </w:p>
              </w:tc>
              <w:tc>
                <w:tcPr>
                  <w:tcW w:w="728" w:type="pct"/>
                  <w:vAlign w:val="center"/>
                </w:tcPr>
                <w:p w14:paraId="753A5C79">
                  <w:pPr>
                    <w:widowControl/>
                    <w:jc w:val="center"/>
                    <w:textAlignment w:val="center"/>
                    <w:rPr>
                      <w:color w:val="auto"/>
                      <w:kern w:val="0"/>
                      <w:sz w:val="18"/>
                      <w:szCs w:val="18"/>
                    </w:rPr>
                  </w:pPr>
                  <w:r>
                    <w:rPr>
                      <w:color w:val="auto"/>
                      <w:kern w:val="0"/>
                      <w:sz w:val="18"/>
                      <w:szCs w:val="18"/>
                    </w:rPr>
                    <w:t>达标</w:t>
                  </w:r>
                </w:p>
              </w:tc>
            </w:tr>
            <w:tr w14:paraId="0F225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550" w:type="pct"/>
                  <w:vMerge w:val="continue"/>
                  <w:vAlign w:val="center"/>
                </w:tcPr>
                <w:p w14:paraId="587774B6">
                  <w:pPr>
                    <w:widowControl/>
                    <w:jc w:val="center"/>
                    <w:textAlignment w:val="center"/>
                    <w:rPr>
                      <w:color w:val="auto"/>
                      <w:kern w:val="0"/>
                      <w:sz w:val="18"/>
                      <w:szCs w:val="18"/>
                    </w:rPr>
                  </w:pPr>
                </w:p>
              </w:tc>
              <w:tc>
                <w:tcPr>
                  <w:tcW w:w="1243" w:type="pct"/>
                  <w:vAlign w:val="center"/>
                </w:tcPr>
                <w:p w14:paraId="79C560F3">
                  <w:pPr>
                    <w:widowControl/>
                    <w:jc w:val="center"/>
                    <w:textAlignment w:val="center"/>
                    <w:rPr>
                      <w:color w:val="auto"/>
                      <w:kern w:val="0"/>
                      <w:sz w:val="18"/>
                      <w:szCs w:val="18"/>
                    </w:rPr>
                  </w:pPr>
                  <w:r>
                    <w:rPr>
                      <w:color w:val="auto"/>
                      <w:kern w:val="0"/>
                      <w:sz w:val="18"/>
                      <w:szCs w:val="18"/>
                    </w:rPr>
                    <w:t>98%日平均质量浓度</w:t>
                  </w:r>
                </w:p>
              </w:tc>
              <w:tc>
                <w:tcPr>
                  <w:tcW w:w="890" w:type="pct"/>
                  <w:vAlign w:val="center"/>
                </w:tcPr>
                <w:p w14:paraId="24254DA1">
                  <w:pPr>
                    <w:pStyle w:val="47"/>
                    <w:spacing w:before="24" w:after="24"/>
                    <w:rPr>
                      <w:rFonts w:ascii="Times New Roman"/>
                      <w:color w:val="auto"/>
                      <w:sz w:val="18"/>
                      <w:szCs w:val="18"/>
                    </w:rPr>
                  </w:pPr>
                  <w:r>
                    <w:rPr>
                      <w:rFonts w:ascii="Times New Roman"/>
                      <w:color w:val="auto"/>
                      <w:sz w:val="18"/>
                      <w:szCs w:val="18"/>
                    </w:rPr>
                    <w:t>16.7</w:t>
                  </w:r>
                </w:p>
              </w:tc>
              <w:tc>
                <w:tcPr>
                  <w:tcW w:w="991" w:type="pct"/>
                  <w:vAlign w:val="center"/>
                </w:tcPr>
                <w:p w14:paraId="524D3FD1">
                  <w:pPr>
                    <w:pStyle w:val="47"/>
                    <w:spacing w:before="24" w:after="24"/>
                    <w:rPr>
                      <w:rFonts w:ascii="Times New Roman"/>
                      <w:color w:val="auto"/>
                      <w:sz w:val="18"/>
                      <w:szCs w:val="18"/>
                    </w:rPr>
                  </w:pPr>
                  <w:r>
                    <w:rPr>
                      <w:color w:val="auto"/>
                      <w:sz w:val="18"/>
                      <w:szCs w:val="18"/>
                    </w:rPr>
                    <w:t>150</w:t>
                  </w:r>
                </w:p>
              </w:tc>
              <w:tc>
                <w:tcPr>
                  <w:tcW w:w="598" w:type="pct"/>
                  <w:vAlign w:val="center"/>
                </w:tcPr>
                <w:p w14:paraId="78960E50">
                  <w:pPr>
                    <w:pStyle w:val="47"/>
                    <w:spacing w:before="24" w:after="24"/>
                    <w:rPr>
                      <w:rFonts w:ascii="Times New Roman"/>
                      <w:color w:val="auto"/>
                      <w:sz w:val="18"/>
                      <w:szCs w:val="18"/>
                    </w:rPr>
                  </w:pPr>
                  <w:r>
                    <w:rPr>
                      <w:rFonts w:ascii="Times New Roman"/>
                      <w:color w:val="auto"/>
                      <w:sz w:val="18"/>
                      <w:szCs w:val="18"/>
                    </w:rPr>
                    <w:t>11.1</w:t>
                  </w:r>
                </w:p>
              </w:tc>
              <w:tc>
                <w:tcPr>
                  <w:tcW w:w="728" w:type="pct"/>
                  <w:vAlign w:val="center"/>
                </w:tcPr>
                <w:p w14:paraId="2FB007A7">
                  <w:pPr>
                    <w:widowControl/>
                    <w:jc w:val="center"/>
                    <w:textAlignment w:val="center"/>
                    <w:rPr>
                      <w:color w:val="auto"/>
                      <w:kern w:val="0"/>
                      <w:sz w:val="18"/>
                      <w:szCs w:val="18"/>
                    </w:rPr>
                  </w:pPr>
                  <w:r>
                    <w:rPr>
                      <w:color w:val="auto"/>
                      <w:kern w:val="0"/>
                      <w:sz w:val="18"/>
                      <w:szCs w:val="18"/>
                    </w:rPr>
                    <w:t>达标</w:t>
                  </w:r>
                </w:p>
              </w:tc>
            </w:tr>
            <w:tr w14:paraId="37486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550" w:type="pct"/>
                  <w:vMerge w:val="restart"/>
                  <w:vAlign w:val="center"/>
                </w:tcPr>
                <w:p w14:paraId="3466C436">
                  <w:pPr>
                    <w:widowControl/>
                    <w:jc w:val="center"/>
                    <w:textAlignment w:val="center"/>
                    <w:rPr>
                      <w:color w:val="auto"/>
                      <w:kern w:val="0"/>
                      <w:sz w:val="18"/>
                      <w:szCs w:val="18"/>
                    </w:rPr>
                  </w:pPr>
                  <w:r>
                    <w:rPr>
                      <w:color w:val="auto"/>
                      <w:kern w:val="0"/>
                      <w:sz w:val="18"/>
                      <w:szCs w:val="18"/>
                    </w:rPr>
                    <w:t>NO</w:t>
                  </w:r>
                  <w:r>
                    <w:rPr>
                      <w:color w:val="auto"/>
                      <w:kern w:val="0"/>
                      <w:sz w:val="18"/>
                      <w:szCs w:val="18"/>
                      <w:vertAlign w:val="subscript"/>
                    </w:rPr>
                    <w:t>2</w:t>
                  </w:r>
                </w:p>
              </w:tc>
              <w:tc>
                <w:tcPr>
                  <w:tcW w:w="1243" w:type="pct"/>
                  <w:vAlign w:val="center"/>
                </w:tcPr>
                <w:p w14:paraId="65822C7F">
                  <w:pPr>
                    <w:jc w:val="center"/>
                    <w:textAlignment w:val="center"/>
                    <w:rPr>
                      <w:color w:val="auto"/>
                      <w:sz w:val="18"/>
                      <w:szCs w:val="18"/>
                    </w:rPr>
                  </w:pPr>
                  <w:r>
                    <w:rPr>
                      <w:color w:val="auto"/>
                      <w:sz w:val="18"/>
                      <w:szCs w:val="18"/>
                    </w:rPr>
                    <w:t>年平均质量浓度</w:t>
                  </w:r>
                </w:p>
              </w:tc>
              <w:tc>
                <w:tcPr>
                  <w:tcW w:w="890" w:type="pct"/>
                  <w:vAlign w:val="center"/>
                </w:tcPr>
                <w:p w14:paraId="4DF1FF05">
                  <w:pPr>
                    <w:pStyle w:val="47"/>
                    <w:spacing w:before="24" w:after="24"/>
                    <w:rPr>
                      <w:rFonts w:ascii="Times New Roman"/>
                      <w:color w:val="auto"/>
                      <w:sz w:val="18"/>
                      <w:szCs w:val="18"/>
                    </w:rPr>
                  </w:pPr>
                  <w:r>
                    <w:rPr>
                      <w:rFonts w:ascii="Times New Roman"/>
                      <w:color w:val="auto"/>
                      <w:sz w:val="18"/>
                      <w:szCs w:val="18"/>
                    </w:rPr>
                    <w:t>9.8</w:t>
                  </w:r>
                </w:p>
              </w:tc>
              <w:tc>
                <w:tcPr>
                  <w:tcW w:w="991" w:type="pct"/>
                  <w:vAlign w:val="center"/>
                </w:tcPr>
                <w:p w14:paraId="2A6D1F87">
                  <w:pPr>
                    <w:pStyle w:val="47"/>
                    <w:spacing w:before="24" w:after="24"/>
                    <w:rPr>
                      <w:rFonts w:ascii="Times New Roman"/>
                      <w:color w:val="auto"/>
                      <w:sz w:val="18"/>
                      <w:szCs w:val="18"/>
                    </w:rPr>
                  </w:pPr>
                  <w:r>
                    <w:rPr>
                      <w:color w:val="auto"/>
                      <w:sz w:val="18"/>
                      <w:szCs w:val="18"/>
                    </w:rPr>
                    <w:t>40</w:t>
                  </w:r>
                </w:p>
              </w:tc>
              <w:tc>
                <w:tcPr>
                  <w:tcW w:w="598" w:type="pct"/>
                  <w:vAlign w:val="center"/>
                </w:tcPr>
                <w:p w14:paraId="375F4F31">
                  <w:pPr>
                    <w:pStyle w:val="47"/>
                    <w:spacing w:before="24" w:after="24"/>
                    <w:rPr>
                      <w:rFonts w:ascii="Times New Roman"/>
                      <w:color w:val="auto"/>
                      <w:sz w:val="18"/>
                      <w:szCs w:val="18"/>
                    </w:rPr>
                  </w:pPr>
                  <w:r>
                    <w:rPr>
                      <w:rFonts w:ascii="Times New Roman"/>
                      <w:color w:val="auto"/>
                      <w:sz w:val="18"/>
                      <w:szCs w:val="18"/>
                    </w:rPr>
                    <w:t>24.5</w:t>
                  </w:r>
                </w:p>
              </w:tc>
              <w:tc>
                <w:tcPr>
                  <w:tcW w:w="728" w:type="pct"/>
                  <w:vAlign w:val="center"/>
                </w:tcPr>
                <w:p w14:paraId="5E6DD9C6">
                  <w:pPr>
                    <w:widowControl/>
                    <w:jc w:val="center"/>
                    <w:textAlignment w:val="center"/>
                    <w:rPr>
                      <w:color w:val="auto"/>
                      <w:kern w:val="0"/>
                      <w:sz w:val="18"/>
                      <w:szCs w:val="18"/>
                    </w:rPr>
                  </w:pPr>
                  <w:r>
                    <w:rPr>
                      <w:color w:val="auto"/>
                      <w:kern w:val="0"/>
                      <w:sz w:val="18"/>
                      <w:szCs w:val="18"/>
                    </w:rPr>
                    <w:t>达标</w:t>
                  </w:r>
                </w:p>
              </w:tc>
            </w:tr>
            <w:tr w14:paraId="036FA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550" w:type="pct"/>
                  <w:vMerge w:val="continue"/>
                  <w:vAlign w:val="center"/>
                </w:tcPr>
                <w:p w14:paraId="70642B7E">
                  <w:pPr>
                    <w:widowControl/>
                    <w:jc w:val="center"/>
                    <w:textAlignment w:val="center"/>
                    <w:rPr>
                      <w:color w:val="auto"/>
                      <w:kern w:val="0"/>
                      <w:sz w:val="18"/>
                      <w:szCs w:val="18"/>
                    </w:rPr>
                  </w:pPr>
                </w:p>
              </w:tc>
              <w:tc>
                <w:tcPr>
                  <w:tcW w:w="1243" w:type="pct"/>
                  <w:vAlign w:val="center"/>
                </w:tcPr>
                <w:p w14:paraId="4DE56567">
                  <w:pPr>
                    <w:jc w:val="center"/>
                    <w:textAlignment w:val="center"/>
                    <w:rPr>
                      <w:color w:val="auto"/>
                      <w:sz w:val="18"/>
                      <w:szCs w:val="18"/>
                    </w:rPr>
                  </w:pPr>
                  <w:r>
                    <w:rPr>
                      <w:color w:val="auto"/>
                      <w:sz w:val="18"/>
                      <w:szCs w:val="18"/>
                    </w:rPr>
                    <w:t>98%日平均质</w:t>
                  </w:r>
                  <w:r>
                    <w:rPr>
                      <w:rFonts w:hint="eastAsia"/>
                      <w:color w:val="auto"/>
                      <w:sz w:val="18"/>
                      <w:szCs w:val="18"/>
                    </w:rPr>
                    <w:t>量</w:t>
                  </w:r>
                  <w:r>
                    <w:rPr>
                      <w:color w:val="auto"/>
                      <w:sz w:val="18"/>
                      <w:szCs w:val="18"/>
                    </w:rPr>
                    <w:t>浓度</w:t>
                  </w:r>
                </w:p>
              </w:tc>
              <w:tc>
                <w:tcPr>
                  <w:tcW w:w="890" w:type="pct"/>
                  <w:vAlign w:val="center"/>
                </w:tcPr>
                <w:p w14:paraId="746FF828">
                  <w:pPr>
                    <w:pStyle w:val="47"/>
                    <w:spacing w:before="24" w:after="24"/>
                    <w:rPr>
                      <w:rFonts w:ascii="Times New Roman"/>
                      <w:color w:val="auto"/>
                      <w:sz w:val="18"/>
                      <w:szCs w:val="18"/>
                    </w:rPr>
                  </w:pPr>
                  <w:r>
                    <w:rPr>
                      <w:rFonts w:ascii="Times New Roman"/>
                      <w:color w:val="auto"/>
                      <w:sz w:val="18"/>
                      <w:szCs w:val="18"/>
                    </w:rPr>
                    <w:t>21.7</w:t>
                  </w:r>
                </w:p>
              </w:tc>
              <w:tc>
                <w:tcPr>
                  <w:tcW w:w="991" w:type="pct"/>
                  <w:vAlign w:val="center"/>
                </w:tcPr>
                <w:p w14:paraId="79A57207">
                  <w:pPr>
                    <w:pStyle w:val="47"/>
                    <w:spacing w:before="24" w:after="24"/>
                    <w:rPr>
                      <w:rFonts w:ascii="Times New Roman"/>
                      <w:color w:val="auto"/>
                      <w:sz w:val="18"/>
                      <w:szCs w:val="18"/>
                    </w:rPr>
                  </w:pPr>
                  <w:r>
                    <w:rPr>
                      <w:color w:val="auto"/>
                      <w:sz w:val="18"/>
                      <w:szCs w:val="18"/>
                    </w:rPr>
                    <w:t>80</w:t>
                  </w:r>
                </w:p>
              </w:tc>
              <w:tc>
                <w:tcPr>
                  <w:tcW w:w="598" w:type="pct"/>
                  <w:vAlign w:val="center"/>
                </w:tcPr>
                <w:p w14:paraId="5B146B21">
                  <w:pPr>
                    <w:pStyle w:val="47"/>
                    <w:spacing w:before="24" w:after="24"/>
                    <w:rPr>
                      <w:rFonts w:ascii="Times New Roman"/>
                      <w:color w:val="auto"/>
                      <w:sz w:val="18"/>
                      <w:szCs w:val="18"/>
                    </w:rPr>
                  </w:pPr>
                  <w:r>
                    <w:rPr>
                      <w:rFonts w:ascii="Times New Roman"/>
                      <w:color w:val="auto"/>
                      <w:sz w:val="18"/>
                      <w:szCs w:val="18"/>
                    </w:rPr>
                    <w:t>27.2</w:t>
                  </w:r>
                </w:p>
              </w:tc>
              <w:tc>
                <w:tcPr>
                  <w:tcW w:w="728" w:type="pct"/>
                  <w:vAlign w:val="center"/>
                </w:tcPr>
                <w:p w14:paraId="395EC31B">
                  <w:pPr>
                    <w:widowControl/>
                    <w:jc w:val="center"/>
                    <w:textAlignment w:val="center"/>
                    <w:rPr>
                      <w:color w:val="auto"/>
                      <w:kern w:val="0"/>
                      <w:sz w:val="18"/>
                      <w:szCs w:val="18"/>
                    </w:rPr>
                  </w:pPr>
                  <w:r>
                    <w:rPr>
                      <w:color w:val="auto"/>
                      <w:kern w:val="0"/>
                      <w:sz w:val="18"/>
                      <w:szCs w:val="18"/>
                    </w:rPr>
                    <w:t>达标</w:t>
                  </w:r>
                </w:p>
              </w:tc>
            </w:tr>
            <w:tr w14:paraId="2DFDE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550" w:type="pct"/>
                  <w:vMerge w:val="restart"/>
                  <w:vAlign w:val="center"/>
                </w:tcPr>
                <w:p w14:paraId="6E9135E6">
                  <w:pPr>
                    <w:widowControl/>
                    <w:jc w:val="center"/>
                    <w:textAlignment w:val="center"/>
                    <w:rPr>
                      <w:color w:val="auto"/>
                      <w:kern w:val="0"/>
                      <w:sz w:val="18"/>
                      <w:szCs w:val="18"/>
                    </w:rPr>
                  </w:pPr>
                  <w:r>
                    <w:rPr>
                      <w:color w:val="auto"/>
                      <w:kern w:val="0"/>
                      <w:sz w:val="18"/>
                      <w:szCs w:val="18"/>
                    </w:rPr>
                    <w:t>PM</w:t>
                  </w:r>
                  <w:r>
                    <w:rPr>
                      <w:color w:val="auto"/>
                      <w:kern w:val="0"/>
                      <w:sz w:val="18"/>
                      <w:szCs w:val="18"/>
                      <w:vertAlign w:val="subscript"/>
                    </w:rPr>
                    <w:t>10</w:t>
                  </w:r>
                </w:p>
              </w:tc>
              <w:tc>
                <w:tcPr>
                  <w:tcW w:w="1243" w:type="pct"/>
                  <w:vAlign w:val="center"/>
                </w:tcPr>
                <w:p w14:paraId="53CDB370">
                  <w:pPr>
                    <w:jc w:val="center"/>
                    <w:textAlignment w:val="center"/>
                    <w:rPr>
                      <w:color w:val="auto"/>
                      <w:sz w:val="18"/>
                      <w:szCs w:val="18"/>
                    </w:rPr>
                  </w:pPr>
                  <w:r>
                    <w:rPr>
                      <w:color w:val="auto"/>
                      <w:sz w:val="18"/>
                      <w:szCs w:val="18"/>
                    </w:rPr>
                    <w:t>年平均质量浓度</w:t>
                  </w:r>
                </w:p>
              </w:tc>
              <w:tc>
                <w:tcPr>
                  <w:tcW w:w="890" w:type="pct"/>
                  <w:vAlign w:val="center"/>
                </w:tcPr>
                <w:p w14:paraId="1569A555">
                  <w:pPr>
                    <w:pStyle w:val="47"/>
                    <w:spacing w:before="24" w:after="24"/>
                    <w:rPr>
                      <w:rFonts w:ascii="Times New Roman"/>
                      <w:color w:val="auto"/>
                      <w:sz w:val="18"/>
                      <w:szCs w:val="18"/>
                    </w:rPr>
                  </w:pPr>
                  <w:r>
                    <w:rPr>
                      <w:rFonts w:ascii="Times New Roman"/>
                      <w:color w:val="auto"/>
                      <w:sz w:val="18"/>
                      <w:szCs w:val="18"/>
                    </w:rPr>
                    <w:t>26.1</w:t>
                  </w:r>
                </w:p>
              </w:tc>
              <w:tc>
                <w:tcPr>
                  <w:tcW w:w="991" w:type="pct"/>
                  <w:vAlign w:val="center"/>
                </w:tcPr>
                <w:p w14:paraId="47FDEA40">
                  <w:pPr>
                    <w:pStyle w:val="47"/>
                    <w:spacing w:before="24" w:after="24"/>
                    <w:rPr>
                      <w:rFonts w:ascii="Times New Roman"/>
                      <w:color w:val="auto"/>
                      <w:sz w:val="18"/>
                      <w:szCs w:val="18"/>
                    </w:rPr>
                  </w:pPr>
                  <w:r>
                    <w:rPr>
                      <w:color w:val="auto"/>
                      <w:sz w:val="18"/>
                      <w:szCs w:val="18"/>
                    </w:rPr>
                    <w:t>60</w:t>
                  </w:r>
                </w:p>
              </w:tc>
              <w:tc>
                <w:tcPr>
                  <w:tcW w:w="598" w:type="pct"/>
                  <w:vAlign w:val="center"/>
                </w:tcPr>
                <w:p w14:paraId="73106839">
                  <w:pPr>
                    <w:pStyle w:val="47"/>
                    <w:spacing w:before="24" w:after="24"/>
                    <w:rPr>
                      <w:rFonts w:ascii="Times New Roman"/>
                      <w:color w:val="auto"/>
                      <w:sz w:val="18"/>
                      <w:szCs w:val="18"/>
                    </w:rPr>
                  </w:pPr>
                  <w:r>
                    <w:rPr>
                      <w:rFonts w:ascii="Times New Roman"/>
                      <w:color w:val="auto"/>
                      <w:sz w:val="18"/>
                      <w:szCs w:val="18"/>
                    </w:rPr>
                    <w:t>43.4</w:t>
                  </w:r>
                </w:p>
              </w:tc>
              <w:tc>
                <w:tcPr>
                  <w:tcW w:w="728" w:type="pct"/>
                  <w:vAlign w:val="center"/>
                </w:tcPr>
                <w:p w14:paraId="577B3DC7">
                  <w:pPr>
                    <w:widowControl/>
                    <w:jc w:val="center"/>
                    <w:textAlignment w:val="center"/>
                    <w:rPr>
                      <w:color w:val="auto"/>
                      <w:kern w:val="0"/>
                      <w:sz w:val="18"/>
                      <w:szCs w:val="18"/>
                    </w:rPr>
                  </w:pPr>
                  <w:r>
                    <w:rPr>
                      <w:color w:val="auto"/>
                      <w:kern w:val="0"/>
                      <w:sz w:val="18"/>
                      <w:szCs w:val="18"/>
                    </w:rPr>
                    <w:t>达标</w:t>
                  </w:r>
                </w:p>
              </w:tc>
            </w:tr>
            <w:tr w14:paraId="77E84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550" w:type="pct"/>
                  <w:vMerge w:val="continue"/>
                  <w:vAlign w:val="center"/>
                </w:tcPr>
                <w:p w14:paraId="0127E586">
                  <w:pPr>
                    <w:widowControl/>
                    <w:jc w:val="center"/>
                    <w:textAlignment w:val="center"/>
                    <w:rPr>
                      <w:color w:val="auto"/>
                      <w:kern w:val="0"/>
                      <w:sz w:val="18"/>
                      <w:szCs w:val="18"/>
                    </w:rPr>
                  </w:pPr>
                </w:p>
              </w:tc>
              <w:tc>
                <w:tcPr>
                  <w:tcW w:w="1243" w:type="pct"/>
                  <w:vAlign w:val="center"/>
                </w:tcPr>
                <w:p w14:paraId="729CF2DC">
                  <w:pPr>
                    <w:jc w:val="center"/>
                    <w:textAlignment w:val="center"/>
                    <w:rPr>
                      <w:color w:val="auto"/>
                      <w:sz w:val="18"/>
                      <w:szCs w:val="18"/>
                    </w:rPr>
                  </w:pPr>
                  <w:r>
                    <w:rPr>
                      <w:color w:val="auto"/>
                      <w:sz w:val="18"/>
                      <w:szCs w:val="18"/>
                    </w:rPr>
                    <w:t>95%日平均质量浓度</w:t>
                  </w:r>
                </w:p>
              </w:tc>
              <w:tc>
                <w:tcPr>
                  <w:tcW w:w="890" w:type="pct"/>
                  <w:vAlign w:val="center"/>
                </w:tcPr>
                <w:p w14:paraId="0A1DD012">
                  <w:pPr>
                    <w:pStyle w:val="47"/>
                    <w:spacing w:before="24" w:after="24"/>
                    <w:rPr>
                      <w:rFonts w:ascii="Times New Roman"/>
                      <w:color w:val="auto"/>
                      <w:sz w:val="18"/>
                      <w:szCs w:val="18"/>
                    </w:rPr>
                  </w:pPr>
                  <w:r>
                    <w:rPr>
                      <w:rFonts w:ascii="Times New Roman"/>
                      <w:color w:val="auto"/>
                      <w:sz w:val="18"/>
                      <w:szCs w:val="18"/>
                    </w:rPr>
                    <w:t>56.0</w:t>
                  </w:r>
                </w:p>
              </w:tc>
              <w:tc>
                <w:tcPr>
                  <w:tcW w:w="991" w:type="pct"/>
                  <w:vAlign w:val="center"/>
                </w:tcPr>
                <w:p w14:paraId="7B324A1E">
                  <w:pPr>
                    <w:pStyle w:val="47"/>
                    <w:spacing w:before="24" w:after="24"/>
                    <w:rPr>
                      <w:rFonts w:ascii="Times New Roman"/>
                      <w:color w:val="auto"/>
                      <w:sz w:val="18"/>
                      <w:szCs w:val="18"/>
                    </w:rPr>
                  </w:pPr>
                  <w:r>
                    <w:rPr>
                      <w:color w:val="auto"/>
                      <w:sz w:val="18"/>
                      <w:szCs w:val="18"/>
                    </w:rPr>
                    <w:t>120</w:t>
                  </w:r>
                </w:p>
              </w:tc>
              <w:tc>
                <w:tcPr>
                  <w:tcW w:w="598" w:type="pct"/>
                  <w:vAlign w:val="center"/>
                </w:tcPr>
                <w:p w14:paraId="53525F00">
                  <w:pPr>
                    <w:pStyle w:val="47"/>
                    <w:spacing w:before="24" w:after="24"/>
                    <w:rPr>
                      <w:rFonts w:ascii="Times New Roman"/>
                      <w:color w:val="auto"/>
                      <w:sz w:val="18"/>
                      <w:szCs w:val="18"/>
                    </w:rPr>
                  </w:pPr>
                  <w:r>
                    <w:rPr>
                      <w:rFonts w:ascii="Times New Roman"/>
                      <w:color w:val="auto"/>
                      <w:sz w:val="18"/>
                      <w:szCs w:val="18"/>
                    </w:rPr>
                    <w:t>46.7</w:t>
                  </w:r>
                </w:p>
              </w:tc>
              <w:tc>
                <w:tcPr>
                  <w:tcW w:w="728" w:type="pct"/>
                  <w:vAlign w:val="center"/>
                </w:tcPr>
                <w:p w14:paraId="1A1377D1">
                  <w:pPr>
                    <w:widowControl/>
                    <w:jc w:val="center"/>
                    <w:textAlignment w:val="center"/>
                    <w:rPr>
                      <w:color w:val="auto"/>
                      <w:kern w:val="0"/>
                      <w:sz w:val="18"/>
                      <w:szCs w:val="18"/>
                    </w:rPr>
                  </w:pPr>
                  <w:r>
                    <w:rPr>
                      <w:color w:val="auto"/>
                      <w:kern w:val="0"/>
                      <w:sz w:val="18"/>
                      <w:szCs w:val="18"/>
                    </w:rPr>
                    <w:t>达标</w:t>
                  </w:r>
                </w:p>
              </w:tc>
            </w:tr>
            <w:tr w14:paraId="65CD0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550" w:type="pct"/>
                  <w:vMerge w:val="restart"/>
                  <w:vAlign w:val="center"/>
                </w:tcPr>
                <w:p w14:paraId="25011553">
                  <w:pPr>
                    <w:jc w:val="center"/>
                    <w:textAlignment w:val="center"/>
                    <w:rPr>
                      <w:color w:val="auto"/>
                      <w:kern w:val="0"/>
                      <w:sz w:val="18"/>
                      <w:szCs w:val="18"/>
                    </w:rPr>
                  </w:pPr>
                  <w:r>
                    <w:rPr>
                      <w:color w:val="auto"/>
                      <w:kern w:val="0"/>
                      <w:sz w:val="18"/>
                      <w:szCs w:val="18"/>
                    </w:rPr>
                    <w:t>PM</w:t>
                  </w:r>
                  <w:r>
                    <w:rPr>
                      <w:color w:val="auto"/>
                      <w:kern w:val="0"/>
                      <w:sz w:val="18"/>
                      <w:szCs w:val="18"/>
                      <w:vertAlign w:val="subscript"/>
                    </w:rPr>
                    <w:t>2.5</w:t>
                  </w:r>
                </w:p>
              </w:tc>
              <w:tc>
                <w:tcPr>
                  <w:tcW w:w="1243" w:type="pct"/>
                  <w:vAlign w:val="center"/>
                </w:tcPr>
                <w:p w14:paraId="359BCCDF">
                  <w:pPr>
                    <w:jc w:val="center"/>
                    <w:textAlignment w:val="center"/>
                    <w:rPr>
                      <w:color w:val="auto"/>
                      <w:sz w:val="18"/>
                      <w:szCs w:val="18"/>
                    </w:rPr>
                  </w:pPr>
                  <w:r>
                    <w:rPr>
                      <w:color w:val="auto"/>
                      <w:sz w:val="18"/>
                      <w:szCs w:val="18"/>
                    </w:rPr>
                    <w:t>年平均质量浓度</w:t>
                  </w:r>
                </w:p>
              </w:tc>
              <w:tc>
                <w:tcPr>
                  <w:tcW w:w="890" w:type="pct"/>
                  <w:vAlign w:val="center"/>
                </w:tcPr>
                <w:p w14:paraId="350F57EF">
                  <w:pPr>
                    <w:pStyle w:val="47"/>
                    <w:spacing w:before="24" w:after="24"/>
                    <w:rPr>
                      <w:rFonts w:ascii="Times New Roman"/>
                      <w:color w:val="auto"/>
                      <w:sz w:val="18"/>
                      <w:szCs w:val="18"/>
                    </w:rPr>
                  </w:pPr>
                  <w:r>
                    <w:rPr>
                      <w:rFonts w:ascii="Times New Roman"/>
                      <w:color w:val="auto"/>
                      <w:sz w:val="18"/>
                      <w:szCs w:val="18"/>
                    </w:rPr>
                    <w:t>17.2</w:t>
                  </w:r>
                </w:p>
              </w:tc>
              <w:tc>
                <w:tcPr>
                  <w:tcW w:w="991" w:type="pct"/>
                  <w:vAlign w:val="center"/>
                </w:tcPr>
                <w:p w14:paraId="0555F9C5">
                  <w:pPr>
                    <w:pStyle w:val="47"/>
                    <w:spacing w:before="24" w:after="24"/>
                    <w:rPr>
                      <w:rFonts w:ascii="Times New Roman"/>
                      <w:color w:val="auto"/>
                      <w:sz w:val="18"/>
                      <w:szCs w:val="18"/>
                    </w:rPr>
                  </w:pPr>
                  <w:r>
                    <w:rPr>
                      <w:color w:val="auto"/>
                      <w:sz w:val="18"/>
                      <w:szCs w:val="18"/>
                    </w:rPr>
                    <w:t>30</w:t>
                  </w:r>
                </w:p>
              </w:tc>
              <w:tc>
                <w:tcPr>
                  <w:tcW w:w="598" w:type="pct"/>
                  <w:vAlign w:val="center"/>
                </w:tcPr>
                <w:p w14:paraId="4E5B9CF5">
                  <w:pPr>
                    <w:pStyle w:val="47"/>
                    <w:spacing w:before="24" w:after="24"/>
                    <w:rPr>
                      <w:rFonts w:ascii="Times New Roman"/>
                      <w:color w:val="auto"/>
                      <w:sz w:val="18"/>
                      <w:szCs w:val="18"/>
                    </w:rPr>
                  </w:pPr>
                  <w:r>
                    <w:rPr>
                      <w:rFonts w:ascii="Times New Roman"/>
                      <w:color w:val="auto"/>
                      <w:sz w:val="18"/>
                      <w:szCs w:val="18"/>
                    </w:rPr>
                    <w:t>57.3</w:t>
                  </w:r>
                </w:p>
              </w:tc>
              <w:tc>
                <w:tcPr>
                  <w:tcW w:w="728" w:type="pct"/>
                  <w:vAlign w:val="center"/>
                </w:tcPr>
                <w:p w14:paraId="2BA14B28">
                  <w:pPr>
                    <w:jc w:val="center"/>
                    <w:textAlignment w:val="center"/>
                    <w:rPr>
                      <w:color w:val="auto"/>
                      <w:kern w:val="0"/>
                      <w:sz w:val="18"/>
                      <w:szCs w:val="18"/>
                    </w:rPr>
                  </w:pPr>
                  <w:r>
                    <w:rPr>
                      <w:color w:val="auto"/>
                      <w:kern w:val="0"/>
                      <w:sz w:val="18"/>
                      <w:szCs w:val="18"/>
                    </w:rPr>
                    <w:t>达标</w:t>
                  </w:r>
                </w:p>
              </w:tc>
            </w:tr>
            <w:tr w14:paraId="78388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550" w:type="pct"/>
                  <w:vMerge w:val="continue"/>
                  <w:vAlign w:val="center"/>
                </w:tcPr>
                <w:p w14:paraId="0509CB97">
                  <w:pPr>
                    <w:jc w:val="center"/>
                    <w:textAlignment w:val="center"/>
                    <w:rPr>
                      <w:color w:val="auto"/>
                      <w:kern w:val="0"/>
                      <w:sz w:val="18"/>
                      <w:szCs w:val="18"/>
                    </w:rPr>
                  </w:pPr>
                </w:p>
              </w:tc>
              <w:tc>
                <w:tcPr>
                  <w:tcW w:w="1243" w:type="pct"/>
                  <w:vAlign w:val="center"/>
                </w:tcPr>
                <w:p w14:paraId="63D4028C">
                  <w:pPr>
                    <w:jc w:val="center"/>
                    <w:textAlignment w:val="center"/>
                    <w:rPr>
                      <w:color w:val="auto"/>
                      <w:sz w:val="18"/>
                      <w:szCs w:val="18"/>
                    </w:rPr>
                  </w:pPr>
                  <w:r>
                    <w:rPr>
                      <w:color w:val="auto"/>
                      <w:sz w:val="18"/>
                      <w:szCs w:val="18"/>
                    </w:rPr>
                    <w:t>95%日平均质量浓度</w:t>
                  </w:r>
                </w:p>
              </w:tc>
              <w:tc>
                <w:tcPr>
                  <w:tcW w:w="890" w:type="pct"/>
                  <w:vAlign w:val="center"/>
                </w:tcPr>
                <w:p w14:paraId="57729285">
                  <w:pPr>
                    <w:pStyle w:val="47"/>
                    <w:spacing w:before="24" w:after="24"/>
                    <w:rPr>
                      <w:rFonts w:ascii="Times New Roman"/>
                      <w:color w:val="auto"/>
                      <w:sz w:val="18"/>
                      <w:szCs w:val="18"/>
                    </w:rPr>
                  </w:pPr>
                  <w:r>
                    <w:rPr>
                      <w:rFonts w:ascii="Times New Roman"/>
                      <w:color w:val="auto"/>
                      <w:sz w:val="18"/>
                      <w:szCs w:val="18"/>
                    </w:rPr>
                    <w:t>40.0</w:t>
                  </w:r>
                </w:p>
              </w:tc>
              <w:tc>
                <w:tcPr>
                  <w:tcW w:w="991" w:type="pct"/>
                  <w:vAlign w:val="center"/>
                </w:tcPr>
                <w:p w14:paraId="662FBBA7">
                  <w:pPr>
                    <w:pStyle w:val="47"/>
                    <w:spacing w:before="24" w:after="24"/>
                    <w:rPr>
                      <w:rFonts w:ascii="Times New Roman"/>
                      <w:color w:val="auto"/>
                      <w:sz w:val="18"/>
                      <w:szCs w:val="18"/>
                    </w:rPr>
                  </w:pPr>
                  <w:r>
                    <w:rPr>
                      <w:color w:val="auto"/>
                      <w:sz w:val="18"/>
                      <w:szCs w:val="18"/>
                    </w:rPr>
                    <w:t>60</w:t>
                  </w:r>
                </w:p>
              </w:tc>
              <w:tc>
                <w:tcPr>
                  <w:tcW w:w="598" w:type="pct"/>
                  <w:vAlign w:val="center"/>
                </w:tcPr>
                <w:p w14:paraId="503EE473">
                  <w:pPr>
                    <w:pStyle w:val="47"/>
                    <w:spacing w:before="24" w:after="24"/>
                    <w:rPr>
                      <w:rFonts w:ascii="Times New Roman"/>
                      <w:color w:val="auto"/>
                      <w:sz w:val="18"/>
                      <w:szCs w:val="18"/>
                    </w:rPr>
                  </w:pPr>
                  <w:r>
                    <w:rPr>
                      <w:rFonts w:ascii="Times New Roman"/>
                      <w:color w:val="auto"/>
                      <w:sz w:val="18"/>
                      <w:szCs w:val="18"/>
                    </w:rPr>
                    <w:t>66.7</w:t>
                  </w:r>
                </w:p>
              </w:tc>
              <w:tc>
                <w:tcPr>
                  <w:tcW w:w="728" w:type="pct"/>
                  <w:vAlign w:val="center"/>
                </w:tcPr>
                <w:p w14:paraId="17CEEBCB">
                  <w:pPr>
                    <w:jc w:val="center"/>
                    <w:textAlignment w:val="center"/>
                    <w:rPr>
                      <w:color w:val="auto"/>
                      <w:kern w:val="0"/>
                      <w:sz w:val="18"/>
                      <w:szCs w:val="18"/>
                    </w:rPr>
                  </w:pPr>
                  <w:r>
                    <w:rPr>
                      <w:color w:val="auto"/>
                      <w:kern w:val="0"/>
                      <w:sz w:val="18"/>
                      <w:szCs w:val="18"/>
                    </w:rPr>
                    <w:t>达标</w:t>
                  </w:r>
                </w:p>
              </w:tc>
            </w:tr>
            <w:tr w14:paraId="76CEB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550" w:type="pct"/>
                  <w:vAlign w:val="center"/>
                </w:tcPr>
                <w:p w14:paraId="2A9F9EC2">
                  <w:pPr>
                    <w:widowControl/>
                    <w:jc w:val="center"/>
                    <w:textAlignment w:val="center"/>
                    <w:rPr>
                      <w:color w:val="auto"/>
                      <w:kern w:val="0"/>
                      <w:sz w:val="18"/>
                      <w:szCs w:val="18"/>
                    </w:rPr>
                  </w:pPr>
                  <w:r>
                    <w:rPr>
                      <w:color w:val="auto"/>
                      <w:kern w:val="0"/>
                      <w:sz w:val="18"/>
                      <w:szCs w:val="18"/>
                    </w:rPr>
                    <w:t>CO</w:t>
                  </w:r>
                </w:p>
              </w:tc>
              <w:tc>
                <w:tcPr>
                  <w:tcW w:w="1243" w:type="pct"/>
                  <w:vAlign w:val="center"/>
                </w:tcPr>
                <w:p w14:paraId="489A51B7">
                  <w:pPr>
                    <w:widowControl/>
                    <w:jc w:val="center"/>
                    <w:textAlignment w:val="center"/>
                    <w:rPr>
                      <w:color w:val="auto"/>
                      <w:sz w:val="18"/>
                      <w:szCs w:val="18"/>
                    </w:rPr>
                  </w:pPr>
                  <w:r>
                    <w:rPr>
                      <w:color w:val="auto"/>
                      <w:sz w:val="18"/>
                      <w:szCs w:val="18"/>
                    </w:rPr>
                    <w:t>95%日平均质量浓度</w:t>
                  </w:r>
                </w:p>
              </w:tc>
              <w:tc>
                <w:tcPr>
                  <w:tcW w:w="890" w:type="pct"/>
                  <w:vAlign w:val="center"/>
                </w:tcPr>
                <w:p w14:paraId="633DC021">
                  <w:pPr>
                    <w:pStyle w:val="47"/>
                    <w:spacing w:before="24" w:after="24"/>
                    <w:rPr>
                      <w:rFonts w:ascii="Times New Roman"/>
                      <w:color w:val="auto"/>
                      <w:sz w:val="18"/>
                      <w:szCs w:val="18"/>
                    </w:rPr>
                  </w:pPr>
                  <w:r>
                    <w:rPr>
                      <w:rFonts w:ascii="Times New Roman"/>
                      <w:color w:val="auto"/>
                      <w:sz w:val="18"/>
                      <w:szCs w:val="18"/>
                    </w:rPr>
                    <w:t>1200.0</w:t>
                  </w:r>
                </w:p>
              </w:tc>
              <w:tc>
                <w:tcPr>
                  <w:tcW w:w="991" w:type="pct"/>
                  <w:vAlign w:val="center"/>
                </w:tcPr>
                <w:p w14:paraId="29898EBE">
                  <w:pPr>
                    <w:pStyle w:val="47"/>
                    <w:spacing w:before="24" w:after="24"/>
                    <w:rPr>
                      <w:rFonts w:ascii="Times New Roman"/>
                      <w:color w:val="auto"/>
                      <w:sz w:val="18"/>
                      <w:szCs w:val="18"/>
                    </w:rPr>
                  </w:pPr>
                  <w:r>
                    <w:rPr>
                      <w:color w:val="auto"/>
                      <w:sz w:val="18"/>
                      <w:szCs w:val="18"/>
                    </w:rPr>
                    <w:t>4000</w:t>
                  </w:r>
                </w:p>
              </w:tc>
              <w:tc>
                <w:tcPr>
                  <w:tcW w:w="598" w:type="pct"/>
                  <w:vAlign w:val="center"/>
                </w:tcPr>
                <w:p w14:paraId="1D35E0EC">
                  <w:pPr>
                    <w:pStyle w:val="47"/>
                    <w:spacing w:before="24" w:after="24"/>
                    <w:rPr>
                      <w:rFonts w:ascii="Times New Roman"/>
                      <w:color w:val="auto"/>
                      <w:sz w:val="18"/>
                      <w:szCs w:val="18"/>
                    </w:rPr>
                  </w:pPr>
                  <w:r>
                    <w:rPr>
                      <w:rFonts w:ascii="Times New Roman"/>
                      <w:color w:val="auto"/>
                      <w:sz w:val="18"/>
                      <w:szCs w:val="18"/>
                    </w:rPr>
                    <w:t>30.0</w:t>
                  </w:r>
                </w:p>
              </w:tc>
              <w:tc>
                <w:tcPr>
                  <w:tcW w:w="728" w:type="pct"/>
                  <w:vAlign w:val="center"/>
                </w:tcPr>
                <w:p w14:paraId="370285AB">
                  <w:pPr>
                    <w:jc w:val="center"/>
                    <w:textAlignment w:val="center"/>
                    <w:rPr>
                      <w:color w:val="auto"/>
                      <w:kern w:val="0"/>
                      <w:sz w:val="18"/>
                      <w:szCs w:val="18"/>
                    </w:rPr>
                  </w:pPr>
                  <w:r>
                    <w:rPr>
                      <w:color w:val="auto"/>
                      <w:kern w:val="0"/>
                      <w:sz w:val="18"/>
                      <w:szCs w:val="18"/>
                    </w:rPr>
                    <w:t>达标</w:t>
                  </w:r>
                </w:p>
              </w:tc>
            </w:tr>
            <w:tr w14:paraId="280CA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Align w:val="center"/>
                </w:tcPr>
                <w:p w14:paraId="72B53A6C">
                  <w:pPr>
                    <w:widowControl/>
                    <w:jc w:val="center"/>
                    <w:textAlignment w:val="center"/>
                    <w:rPr>
                      <w:color w:val="auto"/>
                      <w:kern w:val="0"/>
                      <w:sz w:val="18"/>
                      <w:szCs w:val="18"/>
                    </w:rPr>
                  </w:pPr>
                  <w:r>
                    <w:rPr>
                      <w:color w:val="auto"/>
                      <w:sz w:val="18"/>
                      <w:szCs w:val="18"/>
                    </w:rPr>
                    <w:t>O</w:t>
                  </w:r>
                  <w:r>
                    <w:rPr>
                      <w:color w:val="auto"/>
                      <w:sz w:val="18"/>
                      <w:szCs w:val="18"/>
                      <w:vertAlign w:val="subscript"/>
                    </w:rPr>
                    <w:t>3</w:t>
                  </w:r>
                </w:p>
              </w:tc>
              <w:tc>
                <w:tcPr>
                  <w:tcW w:w="1243" w:type="pct"/>
                  <w:vAlign w:val="center"/>
                </w:tcPr>
                <w:p w14:paraId="2D8F2929">
                  <w:pPr>
                    <w:widowControl/>
                    <w:jc w:val="center"/>
                    <w:textAlignment w:val="center"/>
                    <w:rPr>
                      <w:color w:val="auto"/>
                      <w:kern w:val="0"/>
                      <w:sz w:val="18"/>
                      <w:szCs w:val="18"/>
                    </w:rPr>
                  </w:pPr>
                  <w:r>
                    <w:rPr>
                      <w:color w:val="auto"/>
                      <w:kern w:val="0"/>
                      <w:sz w:val="18"/>
                      <w:szCs w:val="18"/>
                    </w:rPr>
                    <w:t>90%日最大8小时</w:t>
                  </w:r>
                  <w:r>
                    <w:rPr>
                      <w:rFonts w:hint="eastAsia"/>
                      <w:color w:val="auto"/>
                      <w:kern w:val="0"/>
                      <w:sz w:val="18"/>
                      <w:szCs w:val="18"/>
                    </w:rPr>
                    <w:t>滑动</w:t>
                  </w:r>
                  <w:r>
                    <w:rPr>
                      <w:color w:val="auto"/>
                      <w:kern w:val="0"/>
                      <w:sz w:val="18"/>
                      <w:szCs w:val="18"/>
                    </w:rPr>
                    <w:t>平均质量浓度</w:t>
                  </w:r>
                </w:p>
              </w:tc>
              <w:tc>
                <w:tcPr>
                  <w:tcW w:w="890" w:type="pct"/>
                  <w:vAlign w:val="center"/>
                </w:tcPr>
                <w:p w14:paraId="682AE155">
                  <w:pPr>
                    <w:pStyle w:val="47"/>
                    <w:spacing w:before="24" w:after="24"/>
                    <w:rPr>
                      <w:rFonts w:ascii="Times New Roman"/>
                      <w:color w:val="auto"/>
                      <w:sz w:val="18"/>
                      <w:szCs w:val="18"/>
                    </w:rPr>
                  </w:pPr>
                  <w:r>
                    <w:rPr>
                      <w:rFonts w:ascii="Times New Roman"/>
                      <w:color w:val="auto"/>
                      <w:sz w:val="18"/>
                      <w:szCs w:val="18"/>
                    </w:rPr>
                    <w:t>118.0</w:t>
                  </w:r>
                </w:p>
              </w:tc>
              <w:tc>
                <w:tcPr>
                  <w:tcW w:w="991" w:type="pct"/>
                  <w:vAlign w:val="center"/>
                </w:tcPr>
                <w:p w14:paraId="0E5DF361">
                  <w:pPr>
                    <w:pStyle w:val="47"/>
                    <w:spacing w:before="24" w:after="24"/>
                    <w:rPr>
                      <w:rFonts w:ascii="Times New Roman"/>
                      <w:color w:val="auto"/>
                      <w:sz w:val="18"/>
                      <w:szCs w:val="18"/>
                    </w:rPr>
                  </w:pPr>
                  <w:r>
                    <w:rPr>
                      <w:color w:val="auto"/>
                      <w:sz w:val="18"/>
                      <w:szCs w:val="18"/>
                    </w:rPr>
                    <w:t>160</w:t>
                  </w:r>
                </w:p>
              </w:tc>
              <w:tc>
                <w:tcPr>
                  <w:tcW w:w="598" w:type="pct"/>
                  <w:vAlign w:val="center"/>
                </w:tcPr>
                <w:p w14:paraId="454E7D1F">
                  <w:pPr>
                    <w:pStyle w:val="47"/>
                    <w:spacing w:before="24" w:after="24"/>
                    <w:rPr>
                      <w:rFonts w:ascii="Times New Roman"/>
                      <w:color w:val="auto"/>
                      <w:sz w:val="18"/>
                      <w:szCs w:val="18"/>
                    </w:rPr>
                  </w:pPr>
                  <w:r>
                    <w:rPr>
                      <w:rFonts w:ascii="Times New Roman"/>
                      <w:color w:val="auto"/>
                      <w:sz w:val="18"/>
                      <w:szCs w:val="18"/>
                    </w:rPr>
                    <w:t>73.8</w:t>
                  </w:r>
                </w:p>
              </w:tc>
              <w:tc>
                <w:tcPr>
                  <w:tcW w:w="728" w:type="pct"/>
                  <w:vAlign w:val="center"/>
                </w:tcPr>
                <w:p w14:paraId="6F22E088">
                  <w:pPr>
                    <w:jc w:val="center"/>
                    <w:textAlignment w:val="center"/>
                    <w:rPr>
                      <w:color w:val="auto"/>
                      <w:kern w:val="0"/>
                      <w:sz w:val="18"/>
                      <w:szCs w:val="18"/>
                    </w:rPr>
                  </w:pPr>
                  <w:r>
                    <w:rPr>
                      <w:color w:val="auto"/>
                      <w:kern w:val="0"/>
                      <w:sz w:val="18"/>
                      <w:szCs w:val="18"/>
                    </w:rPr>
                    <w:t>达标</w:t>
                  </w:r>
                </w:p>
              </w:tc>
            </w:tr>
          </w:tbl>
          <w:p w14:paraId="09363469">
            <w:pPr>
              <w:pStyle w:val="70"/>
              <w:ind w:firstLine="480"/>
              <w:rPr>
                <w:color w:val="auto"/>
              </w:rPr>
            </w:pPr>
            <w:r>
              <w:rPr>
                <w:color w:val="auto"/>
              </w:rPr>
              <w:t>根据2025年监测数据可知，</w:t>
            </w:r>
            <w:r>
              <w:rPr>
                <w:color w:val="auto"/>
                <w:kern w:val="24"/>
                <w:lang w:val="zh-CN" w:bidi="zh-CN"/>
              </w:rPr>
              <w:t>2025年</w:t>
            </w:r>
            <w:r>
              <w:rPr>
                <w:rFonts w:hint="eastAsia"/>
                <w:color w:val="auto"/>
                <w:kern w:val="24"/>
                <w:lang w:val="zh-CN" w:bidi="zh-CN"/>
              </w:rPr>
              <w:t>通海县</w:t>
            </w:r>
            <w:r>
              <w:rPr>
                <w:color w:val="auto"/>
                <w:kern w:val="24"/>
                <w:lang w:val="zh-CN" w:bidi="zh-CN"/>
              </w:rPr>
              <w:t>环境空气</w:t>
            </w:r>
            <w:r>
              <w:rPr>
                <w:color w:val="auto"/>
              </w:rPr>
              <w:t>SO</w:t>
            </w:r>
            <w:r>
              <w:rPr>
                <w:color w:val="auto"/>
                <w:vertAlign w:val="subscript"/>
              </w:rPr>
              <w:t>2</w:t>
            </w:r>
            <w:r>
              <w:rPr>
                <w:color w:val="auto"/>
              </w:rPr>
              <w:t>、NO</w:t>
            </w:r>
            <w:r>
              <w:rPr>
                <w:color w:val="auto"/>
                <w:vertAlign w:val="subscript"/>
              </w:rPr>
              <w:t>2</w:t>
            </w:r>
            <w:r>
              <w:rPr>
                <w:color w:val="auto"/>
              </w:rPr>
              <w:t>、PM</w:t>
            </w:r>
            <w:r>
              <w:rPr>
                <w:color w:val="auto"/>
                <w:vertAlign w:val="subscript"/>
              </w:rPr>
              <w:t>10</w:t>
            </w:r>
            <w:r>
              <w:rPr>
                <w:color w:val="auto"/>
              </w:rPr>
              <w:t>、PM</w:t>
            </w:r>
            <w:r>
              <w:rPr>
                <w:color w:val="auto"/>
                <w:vertAlign w:val="subscript"/>
              </w:rPr>
              <w:t>2.5</w:t>
            </w:r>
            <w:r>
              <w:rPr>
                <w:color w:val="auto"/>
              </w:rPr>
              <w:t>、CO、O</w:t>
            </w:r>
            <w:r>
              <w:rPr>
                <w:color w:val="auto"/>
                <w:vertAlign w:val="subscript"/>
              </w:rPr>
              <w:t>3</w:t>
            </w:r>
            <w:r>
              <w:rPr>
                <w:color w:val="auto"/>
              </w:rPr>
              <w:t>六项</w:t>
            </w:r>
            <w:r>
              <w:rPr>
                <w:rFonts w:hint="eastAsia"/>
                <w:color w:val="auto"/>
              </w:rPr>
              <w:t>基本</w:t>
            </w:r>
            <w:r>
              <w:rPr>
                <w:color w:val="auto"/>
              </w:rPr>
              <w:t>污染物</w:t>
            </w:r>
            <w:r>
              <w:rPr>
                <w:rFonts w:hint="eastAsia"/>
                <w:color w:val="auto"/>
              </w:rPr>
              <w:t>满足</w:t>
            </w:r>
            <w:bookmarkStart w:id="69" w:name="OLE_LINK13"/>
            <w:r>
              <w:rPr>
                <w:rFonts w:hint="eastAsia"/>
                <w:color w:val="auto"/>
              </w:rPr>
              <w:t>《环境空气质量标准》（GB 3095-2026）过渡阶段浓度限值的二级标准浓度限值要求</w:t>
            </w:r>
            <w:bookmarkEnd w:id="69"/>
            <w:r>
              <w:rPr>
                <w:rFonts w:hint="eastAsia"/>
                <w:color w:val="auto"/>
              </w:rPr>
              <w:t>。</w:t>
            </w:r>
            <w:r>
              <w:rPr>
                <w:color w:val="auto"/>
                <w:kern w:val="24"/>
                <w:lang w:val="zh-CN" w:bidi="zh-CN"/>
              </w:rPr>
              <w:t>因此</w:t>
            </w:r>
            <w:r>
              <w:rPr>
                <w:rFonts w:hint="eastAsia"/>
                <w:color w:val="auto"/>
                <w:kern w:val="24"/>
                <w:lang w:val="zh-CN" w:bidi="zh-CN"/>
              </w:rPr>
              <w:t>，</w:t>
            </w:r>
            <w:r>
              <w:rPr>
                <w:rFonts w:hint="eastAsia"/>
                <w:color w:val="auto"/>
              </w:rPr>
              <w:t>项目所在区域属于环境空气质量达标区</w:t>
            </w:r>
            <w:r>
              <w:rPr>
                <w:color w:val="auto"/>
              </w:rPr>
              <w:t>。</w:t>
            </w:r>
          </w:p>
          <w:p w14:paraId="141832DB">
            <w:pPr>
              <w:adjustRightInd w:val="0"/>
              <w:snapToGrid w:val="0"/>
              <w:spacing w:line="360" w:lineRule="auto"/>
              <w:ind w:firstLine="480" w:firstLineChars="200"/>
              <w:jc w:val="left"/>
              <w:rPr>
                <w:color w:val="auto"/>
                <w:sz w:val="24"/>
              </w:rPr>
            </w:pPr>
            <w:r>
              <w:rPr>
                <w:rFonts w:hint="eastAsia"/>
                <w:color w:val="auto"/>
                <w:sz w:val="24"/>
              </w:rPr>
              <w:t>项目特征评价因子为TSP。根据《建设项目环境影响报告表编制技术指南（污染影响类）（试行）》，排放国家、地方环境空气质量标准中有标准限值要求的特征污染物时，引用建设项目周边5千米范围内近3年的现有监测数据。</w:t>
            </w:r>
          </w:p>
          <w:p w14:paraId="3F5D2183">
            <w:pPr>
              <w:adjustRightInd w:val="0"/>
              <w:snapToGrid w:val="0"/>
              <w:spacing w:line="360" w:lineRule="auto"/>
              <w:ind w:firstLine="480" w:firstLineChars="200"/>
              <w:jc w:val="left"/>
              <w:rPr>
                <w:color w:val="auto"/>
                <w:sz w:val="24"/>
              </w:rPr>
            </w:pPr>
            <w:r>
              <w:rPr>
                <w:color w:val="auto"/>
                <w:sz w:val="24"/>
              </w:rPr>
              <w:t>为进一步了解特征污染物环境空气质量现状，本项目</w:t>
            </w:r>
            <w:r>
              <w:rPr>
                <w:rFonts w:hint="eastAsia"/>
                <w:bCs/>
                <w:color w:val="auto"/>
                <w:sz w:val="24"/>
              </w:rPr>
              <w:t>T</w:t>
            </w:r>
            <w:r>
              <w:rPr>
                <w:bCs/>
                <w:color w:val="auto"/>
                <w:sz w:val="24"/>
              </w:rPr>
              <w:t>SP</w:t>
            </w:r>
            <w:r>
              <w:rPr>
                <w:rFonts w:hint="eastAsia"/>
                <w:bCs/>
                <w:color w:val="auto"/>
                <w:sz w:val="24"/>
              </w:rPr>
              <w:t>引用建设项目周边5千米范围内近3年的现有监测数据。</w:t>
            </w:r>
            <w:r>
              <w:rPr>
                <w:color w:val="auto"/>
                <w:sz w:val="24"/>
              </w:rPr>
              <w:t>本项目</w:t>
            </w:r>
            <w:r>
              <w:rPr>
                <w:rFonts w:hint="eastAsia"/>
                <w:bCs/>
                <w:color w:val="auto"/>
                <w:sz w:val="24"/>
              </w:rPr>
              <w:t>T</w:t>
            </w:r>
            <w:r>
              <w:rPr>
                <w:bCs/>
                <w:color w:val="auto"/>
                <w:sz w:val="24"/>
              </w:rPr>
              <w:t>SP</w:t>
            </w:r>
            <w:r>
              <w:rPr>
                <w:rFonts w:hint="eastAsia"/>
                <w:bCs/>
                <w:color w:val="auto"/>
                <w:sz w:val="24"/>
              </w:rPr>
              <w:t>引用《通海齐拓金属制品有限公司</w:t>
            </w:r>
            <w:r>
              <w:rPr>
                <w:rFonts w:hint="eastAsia" w:hAnsi="宋体"/>
                <w:color w:val="auto"/>
                <w:sz w:val="24"/>
              </w:rPr>
              <w:t>新建年产20万吨高频直缝焊管建设项目环境影响报告表</w:t>
            </w:r>
            <w:r>
              <w:rPr>
                <w:rFonts w:hint="eastAsia"/>
                <w:bCs/>
                <w:color w:val="auto"/>
                <w:sz w:val="24"/>
              </w:rPr>
              <w:t>》中</w:t>
            </w:r>
            <w:r>
              <w:rPr>
                <w:rFonts w:hint="eastAsia"/>
                <w:color w:val="auto"/>
                <w:sz w:val="24"/>
                <w:lang w:bidi="ar"/>
              </w:rPr>
              <w:t>贵州鼎拔检测有限公司</w:t>
            </w:r>
            <w:r>
              <w:rPr>
                <w:rFonts w:hint="eastAsia"/>
                <w:bCs/>
                <w:color w:val="auto"/>
                <w:sz w:val="24"/>
              </w:rPr>
              <w:t>对</w:t>
            </w:r>
            <w:r>
              <w:rPr>
                <w:rFonts w:hint="eastAsia"/>
                <w:color w:val="auto"/>
                <w:sz w:val="24"/>
                <w:lang w:bidi="ar"/>
              </w:rPr>
              <w:t>T</w:t>
            </w:r>
            <w:r>
              <w:rPr>
                <w:color w:val="auto"/>
                <w:sz w:val="24"/>
                <w:lang w:bidi="ar"/>
              </w:rPr>
              <w:t>SP</w:t>
            </w:r>
            <w:r>
              <w:rPr>
                <w:rFonts w:hint="eastAsia"/>
                <w:color w:val="auto"/>
                <w:sz w:val="24"/>
                <w:lang w:bidi="ar"/>
              </w:rPr>
              <w:t>的</w:t>
            </w:r>
            <w:r>
              <w:rPr>
                <w:rFonts w:hint="eastAsia"/>
                <w:bCs/>
                <w:color w:val="auto"/>
                <w:sz w:val="24"/>
              </w:rPr>
              <w:t>补充监测数据，位于本项目西南侧，距离约2</w:t>
            </w:r>
            <w:r>
              <w:rPr>
                <w:bCs/>
                <w:color w:val="auto"/>
                <w:sz w:val="24"/>
              </w:rPr>
              <w:t>600m</w:t>
            </w:r>
            <w:r>
              <w:rPr>
                <w:rFonts w:hint="eastAsia"/>
                <w:bCs/>
                <w:color w:val="auto"/>
                <w:sz w:val="24"/>
              </w:rPr>
              <w:t>，监测时间为</w:t>
            </w:r>
            <w:r>
              <w:rPr>
                <w:rFonts w:hint="eastAsia"/>
                <w:color w:val="auto"/>
                <w:sz w:val="24"/>
                <w:lang w:bidi="ar"/>
              </w:rPr>
              <w:t>2</w:t>
            </w:r>
            <w:r>
              <w:rPr>
                <w:color w:val="auto"/>
                <w:sz w:val="24"/>
                <w:lang w:bidi="ar"/>
              </w:rPr>
              <w:t>023</w:t>
            </w:r>
            <w:r>
              <w:rPr>
                <w:rFonts w:hint="eastAsia"/>
                <w:color w:val="auto"/>
                <w:sz w:val="24"/>
                <w:lang w:bidi="ar"/>
              </w:rPr>
              <w:t>年1</w:t>
            </w:r>
            <w:r>
              <w:rPr>
                <w:color w:val="auto"/>
                <w:sz w:val="24"/>
                <w:lang w:bidi="ar"/>
              </w:rPr>
              <w:t>2</w:t>
            </w:r>
            <w:r>
              <w:rPr>
                <w:rFonts w:hint="eastAsia"/>
                <w:color w:val="auto"/>
                <w:sz w:val="24"/>
                <w:lang w:bidi="ar"/>
              </w:rPr>
              <w:t>月2</w:t>
            </w:r>
            <w:r>
              <w:rPr>
                <w:color w:val="auto"/>
                <w:sz w:val="24"/>
                <w:lang w:bidi="ar"/>
              </w:rPr>
              <w:t>1</w:t>
            </w:r>
            <w:r>
              <w:rPr>
                <w:rFonts w:hint="eastAsia"/>
                <w:color w:val="auto"/>
                <w:sz w:val="24"/>
                <w:lang w:bidi="ar"/>
              </w:rPr>
              <w:t>日~1</w:t>
            </w:r>
            <w:r>
              <w:rPr>
                <w:color w:val="auto"/>
                <w:sz w:val="24"/>
                <w:lang w:bidi="ar"/>
              </w:rPr>
              <w:t>2</w:t>
            </w:r>
            <w:r>
              <w:rPr>
                <w:rFonts w:hint="eastAsia"/>
                <w:color w:val="auto"/>
                <w:sz w:val="24"/>
                <w:lang w:bidi="ar"/>
              </w:rPr>
              <w:t>月2</w:t>
            </w:r>
            <w:r>
              <w:rPr>
                <w:color w:val="auto"/>
                <w:sz w:val="24"/>
                <w:lang w:bidi="ar"/>
              </w:rPr>
              <w:t>3</w:t>
            </w:r>
            <w:r>
              <w:rPr>
                <w:rFonts w:hint="eastAsia"/>
                <w:color w:val="auto"/>
                <w:sz w:val="24"/>
                <w:lang w:bidi="ar"/>
              </w:rPr>
              <w:t>日</w:t>
            </w:r>
            <w:r>
              <w:rPr>
                <w:rFonts w:hint="eastAsia"/>
                <w:color w:val="auto"/>
                <w:sz w:val="24"/>
              </w:rPr>
              <w:t>，满足引用要求。</w:t>
            </w:r>
          </w:p>
          <w:p w14:paraId="065B0206">
            <w:pPr>
              <w:pStyle w:val="72"/>
              <w:ind w:firstLine="0"/>
              <w:jc w:val="both"/>
              <w:rPr>
                <w:color w:val="auto"/>
                <w:sz w:val="24"/>
                <w:lang w:val="en-US" w:bidi="ar"/>
              </w:rPr>
            </w:pPr>
            <w:r>
              <w:rPr>
                <w:color w:val="auto"/>
              </w:rPr>
              <mc:AlternateContent>
                <mc:Choice Requires="wpg">
                  <w:drawing>
                    <wp:anchor distT="0" distB="0" distL="114300" distR="114300" simplePos="0" relativeHeight="251659264" behindDoc="0" locked="0" layoutInCell="1" allowOverlap="1">
                      <wp:simplePos x="0" y="0"/>
                      <wp:positionH relativeFrom="column">
                        <wp:posOffset>1132205</wp:posOffset>
                      </wp:positionH>
                      <wp:positionV relativeFrom="paragraph">
                        <wp:posOffset>616585</wp:posOffset>
                      </wp:positionV>
                      <wp:extent cx="3819525" cy="2305050"/>
                      <wp:effectExtent l="38100" t="38100" r="28575" b="19050"/>
                      <wp:wrapNone/>
                      <wp:docPr id="1508268060" name="组合 6"/>
                      <wp:cNvGraphicFramePr/>
                      <a:graphic xmlns:a="http://schemas.openxmlformats.org/drawingml/2006/main">
                        <a:graphicData uri="http://schemas.microsoft.com/office/word/2010/wordprocessingGroup">
                          <wpg:wgp>
                            <wpg:cNvGrpSpPr/>
                            <wpg:grpSpPr>
                              <a:xfrm>
                                <a:off x="0" y="0"/>
                                <a:ext cx="3819525" cy="2305050"/>
                                <a:chOff x="0" y="0"/>
                                <a:chExt cx="3819525" cy="2305050"/>
                              </a:xfrm>
                            </wpg:grpSpPr>
                            <wps:wsp>
                              <wps:cNvPr id="181197063" name="直接箭头连接符 2"/>
                              <wps:cNvCnPr/>
                              <wps:spPr>
                                <a:xfrm flipV="1">
                                  <a:off x="0" y="66675"/>
                                  <a:ext cx="2381250" cy="1962150"/>
                                </a:xfrm>
                                <a:prstGeom prst="straightConnector1">
                                  <a:avLst/>
                                </a:prstGeom>
                                <a:ln w="28575">
                                  <a:solidFill>
                                    <a:srgbClr val="EE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244884053" name="对话气泡: 矩形 4"/>
                              <wps:cNvSpPr/>
                              <wps:spPr>
                                <a:xfrm>
                                  <a:off x="3048000" y="0"/>
                                  <a:ext cx="771525" cy="266700"/>
                                </a:xfrm>
                                <a:prstGeom prst="wedgeRectCallout">
                                  <a:avLst>
                                    <a:gd name="adj1" fmla="val -122068"/>
                                    <a:gd name="adj2" fmla="val -51786"/>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41ABAE6">
                                    <w:pPr>
                                      <w:jc w:val="center"/>
                                    </w:pPr>
                                    <w:r>
                                      <w:rPr>
                                        <w:rFonts w:hint="eastAsia"/>
                                      </w:rPr>
                                      <w:t>项目地</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076465960" name="对话气泡: 矩形 4"/>
                              <wps:cNvSpPr/>
                              <wps:spPr>
                                <a:xfrm>
                                  <a:off x="571500" y="2038350"/>
                                  <a:ext cx="771525" cy="266700"/>
                                </a:xfrm>
                                <a:prstGeom prst="wedgeRectCallout">
                                  <a:avLst>
                                    <a:gd name="adj1" fmla="val -122068"/>
                                    <a:gd name="adj2" fmla="val -51786"/>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BCAB80A">
                                    <w:pPr>
                                      <w:jc w:val="center"/>
                                    </w:pPr>
                                    <w:r>
                                      <w:rPr>
                                        <w:rFonts w:hint="eastAsia"/>
                                      </w:rPr>
                                      <w:t>齐拓金属</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017553970" name="文本框 5"/>
                              <wps:cNvSpPr txBox="1"/>
                              <wps:spPr>
                                <a:xfrm>
                                  <a:off x="895350" y="695325"/>
                                  <a:ext cx="628650" cy="276225"/>
                                </a:xfrm>
                                <a:prstGeom prst="rect">
                                  <a:avLst/>
                                </a:prstGeom>
                                <a:noFill/>
                                <a:ln w="6350">
                                  <a:noFill/>
                                </a:ln>
                              </wps:spPr>
                              <wps:txbx>
                                <w:txbxContent>
                                  <w:p w14:paraId="43B2A118">
                                    <w:pPr>
                                      <w:rPr>
                                        <w:b/>
                                        <w:bCs/>
                                        <w:color w:val="EE0000"/>
                                      </w:rPr>
                                    </w:pPr>
                                    <w:r>
                                      <w:rPr>
                                        <w:rFonts w:hint="eastAsia"/>
                                        <w:b/>
                                        <w:bCs/>
                                        <w:color w:val="EE0000"/>
                                      </w:rPr>
                                      <w:t>2600m</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组合 6" o:spid="_x0000_s1026" o:spt="203" style="position:absolute;left:0pt;margin-left:89.15pt;margin-top:48.55pt;height:181.5pt;width:300.75pt;z-index:251659264;mso-width-relative:page;mso-height-relative:page;" coordsize="3819525,2305050" o:gfxdata="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">
                      <o:lock v:ext="edit" aspectratio="f"/>
                      <v:shape id="直接箭头连接符 2" o:spid="_x0000_s1026" o:spt="32" type="#_x0000_t32" style="position:absolute;left:0;top:66675;flip:y;height:1962150;width:2381250;" filled="f" stroked="t" coordsize="21600,21600" o:gfxdata="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U+Wjo&#10;wAAAAOIAAAAPAAAAAAAAAAEAIAAAACIAAABkcnMvZG93bnJldi54bWxQSwECFAAUAAAACACHTuJA&#10;My8FnjsAAAA5AAAAEAAAAAAAAAABACAAAAAPAQAAZHJzL3NoYXBleG1sLnhtbFBLBQYAAAAABgAG&#10;AFsBAAC5AwAAAAA=&#10;">
                        <v:fill on="f" focussize="0,0"/>
                        <v:stroke weight="2.25pt" color="#EE0000 [3204]" joinstyle="round" startarrow="block" endarrow="block"/>
                        <v:imagedata o:title=""/>
                        <o:lock v:ext="edit" aspectratio="f"/>
                      </v:shape>
                      <v:shape id="对话气泡: 矩形 4" o:spid="_x0000_s1026" o:spt="61" type="#_x0000_t61" style="position:absolute;left:3048000;top:0;height:266700;width:771525;v-text-anchor:middle;" fillcolor="#4F81BD [3204]" filled="t" stroked="t" coordsize="21600,21600" o:gfxdata="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Rx&#10;aJjCAAAA4wAAAA8AAAAAAAAAAQAgAAAAIgAAAGRycy9kb3ducmV2LnhtbFBLAQIUABQAAAAIAIdO&#10;4kAzLwWeOwAAADkAAAAQAAAAAAAAAAEAIAAAABEBAABkcnMvc2hhcGV4bWwueG1sUEsFBgAAAAAG&#10;AAYAWwEAALsDAAAAAA==&#10;" adj="-15567,-386">
                        <v:fill on="t" focussize="0,0"/>
                        <v:stroke weight="2pt" color="#1C334E [3204]" joinstyle="round"/>
                        <v:imagedata o:title=""/>
                        <o:lock v:ext="edit" aspectratio="f"/>
                        <v:textbox>
                          <w:txbxContent>
                            <w:p w14:paraId="241ABAE6">
                              <w:pPr>
                                <w:jc w:val="center"/>
                              </w:pPr>
                              <w:r>
                                <w:rPr>
                                  <w:rFonts w:hint="eastAsia"/>
                                </w:rPr>
                                <w:t>项目地</w:t>
                              </w:r>
                            </w:p>
                          </w:txbxContent>
                        </v:textbox>
                      </v:shape>
                      <v:shape id="对话气泡: 矩形 4" o:spid="_x0000_s1026" o:spt="61" type="#_x0000_t61" style="position:absolute;left:571500;top:2038350;height:266700;width:771525;v-text-anchor:middle;" fillcolor="#4F81BD [3204]" filled="t" stroked="t" coordsize="21600,21600" o:gfxdata="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nWxZ58QAAADjAAAADwAAAAAAAAABACAAAAAiAAAAZHJzL2Rvd25yZXYueG1sUEsBAhQAFAAAAAgA&#10;h07iQDMvBZ47AAAAOQAAABAAAAAAAAAAAQAgAAAAEwEAAGRycy9zaGFwZXhtbC54bWxQSwUGAAAA&#10;AAYABgBbAQAAvQMAAAAA&#10;" adj="-15567,-386">
                        <v:fill on="t" focussize="0,0"/>
                        <v:stroke weight="2pt" color="#1C334E [3204]" joinstyle="round"/>
                        <v:imagedata o:title=""/>
                        <o:lock v:ext="edit" aspectratio="f"/>
                        <v:textbox>
                          <w:txbxContent>
                            <w:p w14:paraId="1BCAB80A">
                              <w:pPr>
                                <w:jc w:val="center"/>
                              </w:pPr>
                              <w:r>
                                <w:rPr>
                                  <w:rFonts w:hint="eastAsia"/>
                                </w:rPr>
                                <w:t>齐拓金属</w:t>
                              </w:r>
                            </w:p>
                          </w:txbxContent>
                        </v:textbox>
                      </v:shape>
                      <v:shape id="文本框 5" o:spid="_x0000_s1026" o:spt="202" type="#_x0000_t202" style="position:absolute;left:895350;top:695325;height:276225;width:628650;" filled="f" stroked="f" coordsize="21600,21600" o:gfxdata="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GVO9a7FAAAA4wAAAA8AAAAAAAAAAQAgAAAAIgAAAGRycy9kb3ducmV2LnhtbFBLAQIUABQAAAAI&#10;AIdO4kAzLwWeOwAAADkAAAAQAAAAAAAAAAEAIAAAABQBAABkcnMvc2hhcGV4bWwueG1sUEsFBgAA&#10;AAAGAAYAWwEAAL4DAAAAAA==&#10;">
                        <v:fill on="f" focussize="0,0"/>
                        <v:stroke on="f" weight="0.5pt"/>
                        <v:imagedata o:title=""/>
                        <o:lock v:ext="edit" aspectratio="f"/>
                        <v:textbox>
                          <w:txbxContent>
                            <w:p w14:paraId="43B2A118">
                              <w:pPr>
                                <w:rPr>
                                  <w:b/>
                                  <w:bCs/>
                                  <w:color w:val="EE0000"/>
                                </w:rPr>
                              </w:pPr>
                              <w:r>
                                <w:rPr>
                                  <w:rFonts w:hint="eastAsia"/>
                                  <w:b/>
                                  <w:bCs/>
                                  <w:color w:val="EE0000"/>
                                </w:rPr>
                                <w:t>2600m</w:t>
                              </w:r>
                            </w:p>
                          </w:txbxContent>
                        </v:textbox>
                      </v:shape>
                    </v:group>
                  </w:pict>
                </mc:Fallback>
              </mc:AlternateContent>
            </w:r>
            <w:r>
              <w:rPr>
                <w:color w:val="auto"/>
              </w:rPr>
              <w:drawing>
                <wp:inline distT="0" distB="0" distL="0" distR="0">
                  <wp:extent cx="5456555" cy="3076575"/>
                  <wp:effectExtent l="0" t="0" r="0" b="9525"/>
                  <wp:docPr id="11104256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425645" name="图片 1"/>
                          <pic:cNvPicPr>
                            <a:picLocks noChangeAspect="1"/>
                          </pic:cNvPicPr>
                        </pic:nvPicPr>
                        <pic:blipFill>
                          <a:blip r:embed="rId16"/>
                          <a:stretch>
                            <a:fillRect/>
                          </a:stretch>
                        </pic:blipFill>
                        <pic:spPr>
                          <a:xfrm>
                            <a:off x="0" y="0"/>
                            <a:ext cx="5456555" cy="3076575"/>
                          </a:xfrm>
                          <a:prstGeom prst="rect">
                            <a:avLst/>
                          </a:prstGeom>
                        </pic:spPr>
                      </pic:pic>
                    </a:graphicData>
                  </a:graphic>
                </wp:inline>
              </w:drawing>
            </w:r>
          </w:p>
          <w:p w14:paraId="72DB811E">
            <w:pPr>
              <w:pStyle w:val="72"/>
              <w:jc w:val="both"/>
              <w:rPr>
                <w:color w:val="auto"/>
                <w:sz w:val="24"/>
                <w:lang w:bidi="ar"/>
              </w:rPr>
            </w:pPr>
            <w:r>
              <w:rPr>
                <w:rFonts w:hint="eastAsia"/>
                <w:color w:val="auto"/>
                <w:sz w:val="24"/>
                <w:lang w:val="en-US" w:bidi="ar"/>
              </w:rPr>
              <w:t>引用</w:t>
            </w:r>
            <w:r>
              <w:rPr>
                <w:rFonts w:hint="eastAsia"/>
                <w:color w:val="auto"/>
                <w:sz w:val="24"/>
                <w:lang w:bidi="ar"/>
              </w:rPr>
              <w:t>特征污染物监测结果如下表所示：</w:t>
            </w:r>
          </w:p>
          <w:p w14:paraId="25244D17">
            <w:pPr>
              <w:pStyle w:val="60"/>
              <w:snapToGrid w:val="0"/>
              <w:spacing w:line="360" w:lineRule="auto"/>
              <w:ind w:firstLine="0"/>
              <w:jc w:val="center"/>
              <w:textAlignment w:val="auto"/>
              <w:rPr>
                <w:b/>
                <w:bCs/>
                <w:color w:val="auto"/>
                <w:szCs w:val="24"/>
              </w:rPr>
            </w:pPr>
            <w:r>
              <w:rPr>
                <w:rFonts w:hint="eastAsia"/>
                <w:b/>
                <w:bCs/>
                <w:color w:val="auto"/>
                <w:szCs w:val="24"/>
              </w:rPr>
              <w:t>表</w:t>
            </w:r>
            <w:r>
              <w:rPr>
                <w:b/>
                <w:bCs/>
                <w:color w:val="auto"/>
                <w:szCs w:val="24"/>
              </w:rPr>
              <w:t>3-</w:t>
            </w:r>
            <w:r>
              <w:rPr>
                <w:rFonts w:hint="eastAsia"/>
                <w:b/>
                <w:bCs/>
                <w:color w:val="auto"/>
                <w:szCs w:val="24"/>
                <w:lang w:val="en-US" w:eastAsia="zh-CN"/>
              </w:rPr>
              <w:t>3</w:t>
            </w:r>
            <w:r>
              <w:rPr>
                <w:b/>
                <w:bCs/>
                <w:color w:val="auto"/>
                <w:szCs w:val="24"/>
              </w:rPr>
              <w:t xml:space="preserve">   </w:t>
            </w:r>
            <w:r>
              <w:rPr>
                <w:rFonts w:hint="eastAsia"/>
                <w:b/>
                <w:bCs/>
                <w:color w:val="auto"/>
                <w:szCs w:val="24"/>
              </w:rPr>
              <w:t>引用特征污染物监测结果表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3"/>
              <w:gridCol w:w="899"/>
              <w:gridCol w:w="846"/>
              <w:gridCol w:w="872"/>
              <w:gridCol w:w="614"/>
              <w:gridCol w:w="998"/>
              <w:gridCol w:w="1142"/>
              <w:gridCol w:w="978"/>
              <w:gridCol w:w="655"/>
              <w:gridCol w:w="654"/>
            </w:tblGrid>
            <w:tr w14:paraId="4F9C3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9" w:type="dxa"/>
                  <w:vMerge w:val="restart"/>
                  <w:vAlign w:val="center"/>
                </w:tcPr>
                <w:p w14:paraId="7CAE2C77">
                  <w:pPr>
                    <w:pStyle w:val="16"/>
                    <w:adjustRightInd w:val="0"/>
                    <w:snapToGrid/>
                    <w:spacing w:before="0" w:beforeAutospacing="0" w:after="0" w:afterAutospacing="0"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监测点位</w:t>
                  </w:r>
                </w:p>
              </w:tc>
              <w:tc>
                <w:tcPr>
                  <w:tcW w:w="1612" w:type="dxa"/>
                  <w:gridSpan w:val="2"/>
                  <w:vAlign w:val="center"/>
                </w:tcPr>
                <w:p w14:paraId="40ECCB84">
                  <w:pPr>
                    <w:pStyle w:val="16"/>
                    <w:adjustRightInd w:val="0"/>
                    <w:snapToGrid/>
                    <w:spacing w:before="0" w:beforeAutospacing="0" w:after="0" w:afterAutospacing="0"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监测点坐标</w:t>
                  </w:r>
                </w:p>
              </w:tc>
              <w:tc>
                <w:tcPr>
                  <w:tcW w:w="888" w:type="dxa"/>
                  <w:vMerge w:val="restart"/>
                  <w:vAlign w:val="center"/>
                </w:tcPr>
                <w:p w14:paraId="57484B36">
                  <w:pPr>
                    <w:pStyle w:val="16"/>
                    <w:adjustRightInd w:val="0"/>
                    <w:snapToGrid/>
                    <w:spacing w:before="0" w:beforeAutospacing="0" w:after="0" w:afterAutospacing="0"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污染物</w:t>
                  </w:r>
                </w:p>
              </w:tc>
              <w:tc>
                <w:tcPr>
                  <w:tcW w:w="619" w:type="dxa"/>
                  <w:vMerge w:val="restart"/>
                  <w:vAlign w:val="center"/>
                </w:tcPr>
                <w:p w14:paraId="0B7A42AB">
                  <w:pPr>
                    <w:pStyle w:val="16"/>
                    <w:adjustRightInd w:val="0"/>
                    <w:snapToGrid/>
                    <w:spacing w:before="0" w:beforeAutospacing="0" w:after="0" w:afterAutospacing="0"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平均时间</w:t>
                  </w:r>
                </w:p>
              </w:tc>
              <w:tc>
                <w:tcPr>
                  <w:tcW w:w="1002" w:type="dxa"/>
                  <w:vMerge w:val="restart"/>
                  <w:vAlign w:val="center"/>
                </w:tcPr>
                <w:p w14:paraId="6C5C4ABF">
                  <w:pPr>
                    <w:pStyle w:val="16"/>
                    <w:adjustRightInd w:val="0"/>
                    <w:snapToGrid/>
                    <w:spacing w:before="0" w:beforeAutospacing="0" w:after="0" w:afterAutospacing="0"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评价标准/(μg/m</w:t>
                  </w:r>
                  <w:r>
                    <w:rPr>
                      <w:rFonts w:ascii="Times New Roman" w:hAnsi="Times New Roman"/>
                      <w:color w:val="auto"/>
                      <w:sz w:val="21"/>
                      <w:szCs w:val="21"/>
                      <w:vertAlign w:val="superscript"/>
                    </w:rPr>
                    <w:t>3</w:t>
                  </w:r>
                  <w:r>
                    <w:rPr>
                      <w:rFonts w:ascii="Times New Roman" w:hAnsi="Times New Roman"/>
                      <w:color w:val="auto"/>
                      <w:sz w:val="21"/>
                      <w:szCs w:val="21"/>
                    </w:rPr>
                    <w:t>)</w:t>
                  </w:r>
                </w:p>
              </w:tc>
              <w:tc>
                <w:tcPr>
                  <w:tcW w:w="1152" w:type="dxa"/>
                  <w:vMerge w:val="restart"/>
                  <w:vAlign w:val="center"/>
                </w:tcPr>
                <w:p w14:paraId="2BAC7D2B">
                  <w:pPr>
                    <w:pStyle w:val="16"/>
                    <w:adjustRightInd w:val="0"/>
                    <w:snapToGrid/>
                    <w:spacing w:before="0" w:beforeAutospacing="0" w:after="0" w:afterAutospacing="0"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监测浓度范围/(μg/m</w:t>
                  </w:r>
                  <w:r>
                    <w:rPr>
                      <w:rFonts w:ascii="Times New Roman" w:hAnsi="Times New Roman"/>
                      <w:color w:val="auto"/>
                      <w:sz w:val="21"/>
                      <w:szCs w:val="21"/>
                      <w:vertAlign w:val="superscript"/>
                    </w:rPr>
                    <w:t>3</w:t>
                  </w:r>
                  <w:r>
                    <w:rPr>
                      <w:rFonts w:ascii="Times New Roman" w:hAnsi="Times New Roman"/>
                      <w:color w:val="auto"/>
                      <w:sz w:val="21"/>
                      <w:szCs w:val="21"/>
                    </w:rPr>
                    <w:t>)</w:t>
                  </w:r>
                </w:p>
              </w:tc>
              <w:tc>
                <w:tcPr>
                  <w:tcW w:w="999" w:type="dxa"/>
                  <w:vMerge w:val="restart"/>
                  <w:vAlign w:val="center"/>
                </w:tcPr>
                <w:p w14:paraId="134AB729">
                  <w:pPr>
                    <w:pStyle w:val="16"/>
                    <w:adjustRightInd w:val="0"/>
                    <w:snapToGrid/>
                    <w:spacing w:before="0" w:beforeAutospacing="0" w:after="0" w:afterAutospacing="0"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最大浓度占标率/%</w:t>
                  </w:r>
                </w:p>
              </w:tc>
              <w:tc>
                <w:tcPr>
                  <w:tcW w:w="666" w:type="dxa"/>
                  <w:vMerge w:val="restart"/>
                  <w:vAlign w:val="center"/>
                </w:tcPr>
                <w:p w14:paraId="34615FE2">
                  <w:pPr>
                    <w:pStyle w:val="16"/>
                    <w:adjustRightInd w:val="0"/>
                    <w:snapToGrid/>
                    <w:spacing w:before="0" w:beforeAutospacing="0" w:after="0" w:afterAutospacing="0"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超标率/%</w:t>
                  </w:r>
                </w:p>
              </w:tc>
              <w:tc>
                <w:tcPr>
                  <w:tcW w:w="666" w:type="dxa"/>
                  <w:vMerge w:val="restart"/>
                  <w:vAlign w:val="center"/>
                </w:tcPr>
                <w:p w14:paraId="16A83F97">
                  <w:pPr>
                    <w:pStyle w:val="16"/>
                    <w:adjustRightInd w:val="0"/>
                    <w:snapToGrid/>
                    <w:spacing w:before="0" w:beforeAutospacing="0" w:after="0" w:afterAutospacing="0"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达标情况</w:t>
                  </w:r>
                </w:p>
              </w:tc>
            </w:tr>
            <w:tr w14:paraId="3E720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9" w:type="dxa"/>
                  <w:vMerge w:val="continue"/>
                  <w:vAlign w:val="center"/>
                </w:tcPr>
                <w:p w14:paraId="374B6652">
                  <w:pPr>
                    <w:pStyle w:val="16"/>
                    <w:adjustRightInd w:val="0"/>
                    <w:snapToGrid/>
                    <w:spacing w:before="0" w:beforeAutospacing="0" w:after="0" w:afterAutospacing="0" w:line="240" w:lineRule="auto"/>
                    <w:ind w:firstLine="0" w:firstLineChars="0"/>
                    <w:jc w:val="center"/>
                    <w:rPr>
                      <w:rFonts w:ascii="Times New Roman" w:hAnsi="Times New Roman"/>
                      <w:color w:val="auto"/>
                      <w:sz w:val="21"/>
                      <w:szCs w:val="21"/>
                    </w:rPr>
                  </w:pPr>
                </w:p>
              </w:tc>
              <w:tc>
                <w:tcPr>
                  <w:tcW w:w="806" w:type="dxa"/>
                  <w:vAlign w:val="center"/>
                </w:tcPr>
                <w:p w14:paraId="62A116E0">
                  <w:pPr>
                    <w:pStyle w:val="65"/>
                    <w:rPr>
                      <w:b/>
                      <w:bCs/>
                      <w:iCs/>
                      <w:color w:val="auto"/>
                      <w:kern w:val="2"/>
                      <w:szCs w:val="21"/>
                    </w:rPr>
                  </w:pPr>
                  <w:r>
                    <w:rPr>
                      <w:bCs/>
                      <w:iCs/>
                      <w:color w:val="auto"/>
                      <w:kern w:val="2"/>
                      <w:szCs w:val="21"/>
                    </w:rPr>
                    <w:t>经度</w:t>
                  </w:r>
                </w:p>
              </w:tc>
              <w:tc>
                <w:tcPr>
                  <w:tcW w:w="806" w:type="dxa"/>
                  <w:vAlign w:val="center"/>
                </w:tcPr>
                <w:p w14:paraId="58F78D54">
                  <w:pPr>
                    <w:pStyle w:val="65"/>
                    <w:rPr>
                      <w:b/>
                      <w:bCs/>
                      <w:iCs/>
                      <w:color w:val="auto"/>
                      <w:kern w:val="2"/>
                      <w:szCs w:val="21"/>
                    </w:rPr>
                  </w:pPr>
                  <w:r>
                    <w:rPr>
                      <w:bCs/>
                      <w:iCs/>
                      <w:color w:val="auto"/>
                      <w:kern w:val="2"/>
                      <w:szCs w:val="21"/>
                    </w:rPr>
                    <w:t>纬度</w:t>
                  </w:r>
                </w:p>
              </w:tc>
              <w:tc>
                <w:tcPr>
                  <w:tcW w:w="888" w:type="dxa"/>
                  <w:vMerge w:val="continue"/>
                  <w:vAlign w:val="center"/>
                </w:tcPr>
                <w:p w14:paraId="2BF5B652">
                  <w:pPr>
                    <w:pStyle w:val="65"/>
                    <w:rPr>
                      <w:b/>
                      <w:bCs/>
                      <w:iCs/>
                      <w:color w:val="auto"/>
                      <w:kern w:val="2"/>
                      <w:szCs w:val="21"/>
                    </w:rPr>
                  </w:pPr>
                </w:p>
              </w:tc>
              <w:tc>
                <w:tcPr>
                  <w:tcW w:w="619" w:type="dxa"/>
                  <w:vMerge w:val="continue"/>
                  <w:vAlign w:val="center"/>
                </w:tcPr>
                <w:p w14:paraId="0C60235C">
                  <w:pPr>
                    <w:pStyle w:val="16"/>
                    <w:adjustRightInd w:val="0"/>
                    <w:snapToGrid/>
                    <w:spacing w:before="0" w:beforeAutospacing="0" w:after="0" w:afterAutospacing="0" w:line="240" w:lineRule="auto"/>
                    <w:ind w:firstLine="0" w:firstLineChars="0"/>
                    <w:jc w:val="center"/>
                    <w:rPr>
                      <w:rFonts w:ascii="Times New Roman" w:hAnsi="Times New Roman"/>
                      <w:color w:val="auto"/>
                      <w:sz w:val="21"/>
                      <w:szCs w:val="21"/>
                    </w:rPr>
                  </w:pPr>
                </w:p>
              </w:tc>
              <w:tc>
                <w:tcPr>
                  <w:tcW w:w="1002" w:type="dxa"/>
                  <w:vMerge w:val="continue"/>
                  <w:vAlign w:val="center"/>
                </w:tcPr>
                <w:p w14:paraId="5F394368">
                  <w:pPr>
                    <w:pStyle w:val="16"/>
                    <w:adjustRightInd w:val="0"/>
                    <w:snapToGrid/>
                    <w:spacing w:before="0" w:beforeAutospacing="0" w:after="0" w:afterAutospacing="0" w:line="240" w:lineRule="auto"/>
                    <w:ind w:firstLine="0" w:firstLineChars="0"/>
                    <w:jc w:val="center"/>
                    <w:rPr>
                      <w:rFonts w:ascii="Times New Roman" w:hAnsi="Times New Roman"/>
                      <w:color w:val="auto"/>
                      <w:sz w:val="21"/>
                      <w:szCs w:val="21"/>
                    </w:rPr>
                  </w:pPr>
                </w:p>
              </w:tc>
              <w:tc>
                <w:tcPr>
                  <w:tcW w:w="1152" w:type="dxa"/>
                  <w:vMerge w:val="continue"/>
                  <w:vAlign w:val="center"/>
                </w:tcPr>
                <w:p w14:paraId="32DBD575">
                  <w:pPr>
                    <w:pStyle w:val="16"/>
                    <w:adjustRightInd w:val="0"/>
                    <w:snapToGrid/>
                    <w:spacing w:before="0" w:beforeAutospacing="0" w:after="0" w:afterAutospacing="0" w:line="240" w:lineRule="auto"/>
                    <w:ind w:firstLine="0" w:firstLineChars="0"/>
                    <w:jc w:val="center"/>
                    <w:rPr>
                      <w:rFonts w:ascii="Times New Roman" w:hAnsi="Times New Roman"/>
                      <w:color w:val="auto"/>
                      <w:sz w:val="21"/>
                      <w:szCs w:val="21"/>
                    </w:rPr>
                  </w:pPr>
                </w:p>
              </w:tc>
              <w:tc>
                <w:tcPr>
                  <w:tcW w:w="999" w:type="dxa"/>
                  <w:vMerge w:val="continue"/>
                  <w:vAlign w:val="center"/>
                </w:tcPr>
                <w:p w14:paraId="3698B9D4">
                  <w:pPr>
                    <w:pStyle w:val="16"/>
                    <w:adjustRightInd w:val="0"/>
                    <w:snapToGrid/>
                    <w:spacing w:before="0" w:beforeAutospacing="0" w:after="0" w:afterAutospacing="0" w:line="240" w:lineRule="auto"/>
                    <w:ind w:firstLine="0" w:firstLineChars="0"/>
                    <w:jc w:val="center"/>
                    <w:rPr>
                      <w:rFonts w:ascii="Times New Roman" w:hAnsi="Times New Roman"/>
                      <w:color w:val="auto"/>
                      <w:sz w:val="21"/>
                      <w:szCs w:val="21"/>
                    </w:rPr>
                  </w:pPr>
                </w:p>
              </w:tc>
              <w:tc>
                <w:tcPr>
                  <w:tcW w:w="666" w:type="dxa"/>
                  <w:vMerge w:val="continue"/>
                  <w:vAlign w:val="center"/>
                </w:tcPr>
                <w:p w14:paraId="1C1DC911">
                  <w:pPr>
                    <w:pStyle w:val="16"/>
                    <w:adjustRightInd w:val="0"/>
                    <w:snapToGrid/>
                    <w:spacing w:before="0" w:beforeAutospacing="0" w:after="0" w:afterAutospacing="0" w:line="240" w:lineRule="auto"/>
                    <w:ind w:firstLine="0" w:firstLineChars="0"/>
                    <w:jc w:val="center"/>
                    <w:rPr>
                      <w:rFonts w:ascii="Times New Roman" w:hAnsi="Times New Roman"/>
                      <w:color w:val="auto"/>
                      <w:sz w:val="21"/>
                      <w:szCs w:val="21"/>
                    </w:rPr>
                  </w:pPr>
                </w:p>
              </w:tc>
              <w:tc>
                <w:tcPr>
                  <w:tcW w:w="666" w:type="dxa"/>
                  <w:vMerge w:val="continue"/>
                  <w:vAlign w:val="center"/>
                </w:tcPr>
                <w:p w14:paraId="3DB75CDB">
                  <w:pPr>
                    <w:pStyle w:val="16"/>
                    <w:adjustRightInd w:val="0"/>
                    <w:snapToGrid/>
                    <w:spacing w:before="0" w:beforeAutospacing="0" w:after="0" w:afterAutospacing="0" w:line="240" w:lineRule="auto"/>
                    <w:ind w:firstLine="0" w:firstLineChars="0"/>
                    <w:jc w:val="center"/>
                    <w:rPr>
                      <w:rFonts w:ascii="Times New Roman" w:hAnsi="Times New Roman"/>
                      <w:color w:val="auto"/>
                      <w:sz w:val="21"/>
                      <w:szCs w:val="21"/>
                    </w:rPr>
                  </w:pPr>
                </w:p>
              </w:tc>
            </w:tr>
            <w:tr w14:paraId="6C8E9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9" w:type="dxa"/>
                  <w:vAlign w:val="center"/>
                </w:tcPr>
                <w:p w14:paraId="36D959AE">
                  <w:pPr>
                    <w:pStyle w:val="16"/>
                    <w:adjustRightInd w:val="0"/>
                    <w:snapToGrid/>
                    <w:spacing w:before="0" w:beforeAutospacing="0" w:after="0" w:afterAutospacing="0"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项目所在地主导风下风向G</w:t>
                  </w:r>
                  <w:r>
                    <w:rPr>
                      <w:rFonts w:ascii="Times New Roman" w:hAnsi="Times New Roman"/>
                      <w:color w:val="auto"/>
                      <w:sz w:val="21"/>
                      <w:szCs w:val="21"/>
                    </w:rPr>
                    <w:t>1</w:t>
                  </w:r>
                </w:p>
              </w:tc>
              <w:tc>
                <w:tcPr>
                  <w:tcW w:w="806" w:type="dxa"/>
                  <w:vAlign w:val="center"/>
                </w:tcPr>
                <w:p w14:paraId="63BD7A7E">
                  <w:pPr>
                    <w:pStyle w:val="65"/>
                    <w:rPr>
                      <w:bCs/>
                      <w:iCs/>
                      <w:color w:val="auto"/>
                      <w:kern w:val="2"/>
                      <w:szCs w:val="21"/>
                    </w:rPr>
                  </w:pPr>
                  <w:r>
                    <w:rPr>
                      <w:bCs/>
                      <w:iCs/>
                      <w:color w:val="auto"/>
                      <w:kern w:val="2"/>
                      <w:szCs w:val="21"/>
                    </w:rPr>
                    <w:t>102.742</w:t>
                  </w:r>
                </w:p>
                <w:p w14:paraId="4B523C5B">
                  <w:pPr>
                    <w:pStyle w:val="65"/>
                    <w:rPr>
                      <w:b/>
                      <w:bCs/>
                      <w:iCs/>
                      <w:color w:val="auto"/>
                      <w:kern w:val="2"/>
                      <w:szCs w:val="21"/>
                    </w:rPr>
                  </w:pPr>
                  <w:r>
                    <w:rPr>
                      <w:bCs/>
                      <w:iCs/>
                      <w:color w:val="auto"/>
                      <w:kern w:val="2"/>
                      <w:szCs w:val="21"/>
                    </w:rPr>
                    <w:t>38212</w:t>
                  </w:r>
                </w:p>
              </w:tc>
              <w:tc>
                <w:tcPr>
                  <w:tcW w:w="806" w:type="dxa"/>
                  <w:vAlign w:val="center"/>
                </w:tcPr>
                <w:p w14:paraId="6463B048">
                  <w:pPr>
                    <w:pStyle w:val="65"/>
                    <w:rPr>
                      <w:bCs/>
                      <w:iCs/>
                      <w:color w:val="auto"/>
                      <w:kern w:val="2"/>
                      <w:szCs w:val="21"/>
                    </w:rPr>
                  </w:pPr>
                  <w:r>
                    <w:rPr>
                      <w:bCs/>
                      <w:iCs/>
                      <w:color w:val="auto"/>
                      <w:kern w:val="2"/>
                      <w:szCs w:val="21"/>
                    </w:rPr>
                    <w:t>24.19</w:t>
                  </w:r>
                </w:p>
                <w:p w14:paraId="2CE2483A">
                  <w:pPr>
                    <w:pStyle w:val="65"/>
                    <w:rPr>
                      <w:b/>
                      <w:bCs/>
                      <w:iCs/>
                      <w:color w:val="auto"/>
                      <w:kern w:val="2"/>
                      <w:szCs w:val="21"/>
                    </w:rPr>
                  </w:pPr>
                  <w:r>
                    <w:rPr>
                      <w:bCs/>
                      <w:iCs/>
                      <w:color w:val="auto"/>
                      <w:kern w:val="2"/>
                      <w:szCs w:val="21"/>
                    </w:rPr>
                    <w:t>735325</w:t>
                  </w:r>
                </w:p>
              </w:tc>
              <w:tc>
                <w:tcPr>
                  <w:tcW w:w="888" w:type="dxa"/>
                  <w:vAlign w:val="center"/>
                </w:tcPr>
                <w:p w14:paraId="7FF99263">
                  <w:pPr>
                    <w:pStyle w:val="65"/>
                    <w:rPr>
                      <w:b/>
                      <w:bCs/>
                      <w:iCs/>
                      <w:color w:val="auto"/>
                      <w:kern w:val="2"/>
                      <w:szCs w:val="21"/>
                    </w:rPr>
                  </w:pPr>
                  <w:r>
                    <w:rPr>
                      <w:bCs/>
                      <w:iCs/>
                      <w:color w:val="auto"/>
                      <w:kern w:val="2"/>
                      <w:szCs w:val="21"/>
                    </w:rPr>
                    <w:t>TSP</w:t>
                  </w:r>
                </w:p>
              </w:tc>
              <w:tc>
                <w:tcPr>
                  <w:tcW w:w="619" w:type="dxa"/>
                  <w:vAlign w:val="center"/>
                </w:tcPr>
                <w:p w14:paraId="2471DE72">
                  <w:pPr>
                    <w:pStyle w:val="16"/>
                    <w:adjustRightInd w:val="0"/>
                    <w:snapToGrid/>
                    <w:spacing w:before="0" w:beforeAutospacing="0" w:after="0" w:afterAutospacing="0"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24h</w:t>
                  </w:r>
                </w:p>
              </w:tc>
              <w:tc>
                <w:tcPr>
                  <w:tcW w:w="1002" w:type="dxa"/>
                  <w:vAlign w:val="center"/>
                </w:tcPr>
                <w:p w14:paraId="3F6F8645">
                  <w:pPr>
                    <w:pStyle w:val="16"/>
                    <w:adjustRightInd w:val="0"/>
                    <w:snapToGrid/>
                    <w:spacing w:before="0" w:beforeAutospacing="0" w:after="0" w:afterAutospacing="0" w:line="240" w:lineRule="auto"/>
                    <w:ind w:firstLine="0" w:firstLineChars="0"/>
                    <w:jc w:val="center"/>
                    <w:rPr>
                      <w:rFonts w:ascii="Times New Roman" w:hAnsi="Times New Roman"/>
                      <w:color w:val="auto"/>
                      <w:sz w:val="21"/>
                      <w:szCs w:val="21"/>
                    </w:rPr>
                  </w:pPr>
                  <w:bookmarkStart w:id="70" w:name="OLE_LINK26"/>
                  <w:r>
                    <w:rPr>
                      <w:rFonts w:ascii="Times New Roman" w:hAnsi="Times New Roman"/>
                      <w:color w:val="auto"/>
                      <w:sz w:val="21"/>
                      <w:szCs w:val="21"/>
                    </w:rPr>
                    <w:t>300</w:t>
                  </w:r>
                  <w:bookmarkEnd w:id="70"/>
                </w:p>
              </w:tc>
              <w:tc>
                <w:tcPr>
                  <w:tcW w:w="1152" w:type="dxa"/>
                  <w:vAlign w:val="center"/>
                </w:tcPr>
                <w:p w14:paraId="347ECA27">
                  <w:pPr>
                    <w:pStyle w:val="16"/>
                    <w:adjustRightInd w:val="0"/>
                    <w:snapToGrid/>
                    <w:spacing w:before="0" w:beforeAutospacing="0" w:after="0" w:afterAutospacing="0"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136</w:t>
                  </w:r>
                  <w:r>
                    <w:rPr>
                      <w:rFonts w:hint="eastAsia" w:ascii="Times New Roman" w:hAnsi="Times New Roman"/>
                      <w:color w:val="auto"/>
                      <w:sz w:val="21"/>
                      <w:szCs w:val="21"/>
                    </w:rPr>
                    <w:t>~</w:t>
                  </w:r>
                  <w:r>
                    <w:rPr>
                      <w:rFonts w:ascii="Times New Roman" w:hAnsi="Times New Roman"/>
                      <w:color w:val="auto"/>
                      <w:sz w:val="21"/>
                      <w:szCs w:val="21"/>
                    </w:rPr>
                    <w:t>149</w:t>
                  </w:r>
                </w:p>
              </w:tc>
              <w:tc>
                <w:tcPr>
                  <w:tcW w:w="999" w:type="dxa"/>
                  <w:vAlign w:val="center"/>
                </w:tcPr>
                <w:p w14:paraId="7F1DFFC6">
                  <w:pPr>
                    <w:pStyle w:val="16"/>
                    <w:adjustRightInd w:val="0"/>
                    <w:snapToGrid/>
                    <w:spacing w:before="0" w:beforeAutospacing="0" w:after="0" w:afterAutospacing="0"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49.7</w:t>
                  </w:r>
                </w:p>
              </w:tc>
              <w:tc>
                <w:tcPr>
                  <w:tcW w:w="666" w:type="dxa"/>
                  <w:vAlign w:val="center"/>
                </w:tcPr>
                <w:p w14:paraId="3CEA4551">
                  <w:pPr>
                    <w:pStyle w:val="16"/>
                    <w:adjustRightInd w:val="0"/>
                    <w:snapToGrid/>
                    <w:spacing w:before="0" w:beforeAutospacing="0" w:after="0" w:afterAutospacing="0"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0</w:t>
                  </w:r>
                </w:p>
              </w:tc>
              <w:tc>
                <w:tcPr>
                  <w:tcW w:w="666" w:type="dxa"/>
                  <w:vAlign w:val="center"/>
                </w:tcPr>
                <w:p w14:paraId="02720DF8">
                  <w:pPr>
                    <w:pStyle w:val="16"/>
                    <w:adjustRightInd w:val="0"/>
                    <w:snapToGrid/>
                    <w:spacing w:before="0" w:beforeAutospacing="0" w:after="0" w:afterAutospacing="0" w:line="240" w:lineRule="auto"/>
                    <w:ind w:firstLine="0" w:firstLineChars="0"/>
                    <w:jc w:val="center"/>
                    <w:rPr>
                      <w:rFonts w:ascii="Times New Roman" w:hAnsi="Times New Roman"/>
                      <w:color w:val="auto"/>
                      <w:sz w:val="21"/>
                      <w:szCs w:val="21"/>
                    </w:rPr>
                  </w:pPr>
                  <w:r>
                    <w:rPr>
                      <w:color w:val="auto"/>
                      <w:sz w:val="21"/>
                    </w:rPr>
                    <w:t>达标</w:t>
                  </w:r>
                </w:p>
              </w:tc>
            </w:tr>
          </w:tbl>
          <w:p w14:paraId="358C4CB5">
            <w:pPr>
              <w:spacing w:line="360" w:lineRule="auto"/>
              <w:ind w:firstLine="480"/>
              <w:rPr>
                <w:rFonts w:hint="eastAsia" w:hAnsi="宋体"/>
                <w:color w:val="auto"/>
                <w:kern w:val="24"/>
                <w:sz w:val="24"/>
                <w:lang w:val="zh-CN" w:bidi="zh-CN"/>
              </w:rPr>
            </w:pPr>
          </w:p>
          <w:p w14:paraId="3FACD3DE">
            <w:pPr>
              <w:adjustRightInd w:val="0"/>
              <w:snapToGrid w:val="0"/>
              <w:spacing w:line="360" w:lineRule="auto"/>
              <w:ind w:firstLine="480" w:firstLineChars="200"/>
              <w:jc w:val="left"/>
              <w:rPr>
                <w:color w:val="auto"/>
                <w:kern w:val="24"/>
                <w:sz w:val="24"/>
              </w:rPr>
            </w:pPr>
            <w:r>
              <w:rPr>
                <w:rFonts w:hint="eastAsia"/>
                <w:color w:val="auto"/>
                <w:kern w:val="24"/>
                <w:sz w:val="24"/>
              </w:rPr>
              <w:t>根据监测结果，</w:t>
            </w:r>
            <w:bookmarkStart w:id="71" w:name="OLE_LINK28"/>
            <w:r>
              <w:rPr>
                <w:rFonts w:hint="eastAsia"/>
                <w:color w:val="auto"/>
                <w:kern w:val="24"/>
                <w:sz w:val="24"/>
              </w:rPr>
              <w:t>项目区TSP满足</w:t>
            </w:r>
            <w:r>
              <w:rPr>
                <w:color w:val="auto"/>
                <w:kern w:val="24"/>
                <w:sz w:val="24"/>
              </w:rPr>
              <w:t>《环境空气质量标准》（GB 3095-2026）过渡阶段浓度限值的二级标准浓度限值要求</w:t>
            </w:r>
            <w:r>
              <w:rPr>
                <w:rFonts w:hint="eastAsia"/>
                <w:color w:val="auto"/>
                <w:kern w:val="24"/>
                <w:sz w:val="24"/>
              </w:rPr>
              <w:t>。</w:t>
            </w:r>
            <w:bookmarkEnd w:id="71"/>
          </w:p>
          <w:p w14:paraId="292E52D5">
            <w:pPr>
              <w:pStyle w:val="58"/>
              <w:spacing w:line="360" w:lineRule="auto"/>
              <w:rPr>
                <w:rFonts w:ascii="Times New Roman" w:hAnsi="Times New Roman" w:cs="Times New Roman"/>
                <w:b/>
                <w:color w:val="auto"/>
                <w:kern w:val="0"/>
                <w:sz w:val="24"/>
              </w:rPr>
            </w:pPr>
            <w:r>
              <w:rPr>
                <w:rFonts w:hint="eastAsia" w:ascii="Times New Roman" w:hAnsi="Times New Roman" w:cs="Times New Roman"/>
                <w:b/>
                <w:color w:val="auto"/>
                <w:kern w:val="0"/>
                <w:sz w:val="24"/>
              </w:rPr>
              <w:t>2、地表水环境</w:t>
            </w:r>
          </w:p>
          <w:p w14:paraId="47B028F3">
            <w:pPr>
              <w:adjustRightInd w:val="0"/>
              <w:snapToGrid w:val="0"/>
              <w:spacing w:line="360" w:lineRule="auto"/>
              <w:rPr>
                <w:b/>
                <w:bCs/>
                <w:color w:val="auto"/>
                <w:sz w:val="24"/>
              </w:rPr>
            </w:pPr>
            <w:r>
              <w:rPr>
                <w:rFonts w:hint="eastAsia"/>
                <w:b/>
                <w:bCs/>
                <w:color w:val="auto"/>
                <w:sz w:val="24"/>
              </w:rPr>
              <w:t>2.1环境</w:t>
            </w:r>
            <w:r>
              <w:rPr>
                <w:b/>
                <w:bCs/>
                <w:color w:val="auto"/>
                <w:sz w:val="24"/>
              </w:rPr>
              <w:t>质量标准</w:t>
            </w:r>
          </w:p>
          <w:p w14:paraId="4C1FC213">
            <w:pPr>
              <w:pStyle w:val="70"/>
              <w:ind w:firstLine="480"/>
              <w:rPr>
                <w:color w:val="auto"/>
              </w:rPr>
            </w:pPr>
            <w:r>
              <w:rPr>
                <w:rFonts w:hint="eastAsia"/>
                <w:color w:val="auto"/>
              </w:rPr>
              <w:t>根据现场调查，本项目区最近的地表水体为东北侧282m的米冲水库，米冲水库主要水功能为农灌用水。而项目区径流则向南经六街大沟最终汇入杞麓湖，项目区域</w:t>
            </w:r>
            <w:r>
              <w:rPr>
                <w:color w:val="auto"/>
              </w:rPr>
              <w:t>属于杞麓湖</w:t>
            </w:r>
            <w:r>
              <w:rPr>
                <w:rFonts w:hint="eastAsia"/>
                <w:color w:val="auto"/>
              </w:rPr>
              <w:t>汇水范围</w:t>
            </w:r>
            <w:r>
              <w:rPr>
                <w:color w:val="auto"/>
              </w:rPr>
              <w:t>。根据云南省水利厅制定的《云南省水功能区划（2014年修订）》（云政复〔2014〕27号），杞麓湖主要为通海农业、景观、渔业用水区，2020年水质目标为Ⅳ类，2030年水质目标为Ⅲ类。杞麓湖执行《地表水环境质量标准》（GB3838-2002）中的Ⅲ类水质标准</w:t>
            </w:r>
            <w:r>
              <w:rPr>
                <w:rFonts w:hint="eastAsia"/>
                <w:color w:val="auto"/>
              </w:rPr>
              <w:t>，《云南省水功能区划（2014年修订）》中未对米冲水库及六街大沟进行区划，参照杞麓湖执行《地表水环境质量标准》（GB3838-2002）Ⅲ类水质标准。</w:t>
            </w:r>
            <w:r>
              <w:rPr>
                <w:color w:val="auto"/>
              </w:rPr>
              <w:t>其标准值见表3-</w:t>
            </w:r>
            <w:r>
              <w:rPr>
                <w:rFonts w:hint="eastAsia"/>
                <w:color w:val="auto"/>
                <w:lang w:val="en-US" w:eastAsia="zh-CN"/>
              </w:rPr>
              <w:t>4</w:t>
            </w:r>
            <w:r>
              <w:rPr>
                <w:color w:val="auto"/>
              </w:rPr>
              <w:t>。</w:t>
            </w:r>
          </w:p>
          <w:p w14:paraId="79653DE6">
            <w:pPr>
              <w:pStyle w:val="60"/>
              <w:snapToGrid w:val="0"/>
              <w:spacing w:line="360" w:lineRule="auto"/>
              <w:ind w:firstLine="0"/>
              <w:jc w:val="center"/>
              <w:textAlignment w:val="auto"/>
              <w:rPr>
                <w:b/>
                <w:bCs/>
                <w:color w:val="auto"/>
                <w:szCs w:val="24"/>
              </w:rPr>
            </w:pPr>
            <w:r>
              <w:rPr>
                <w:b/>
                <w:bCs/>
                <w:color w:val="auto"/>
                <w:szCs w:val="24"/>
              </w:rPr>
              <w:t>表3-</w:t>
            </w:r>
            <w:r>
              <w:rPr>
                <w:rFonts w:hint="eastAsia"/>
                <w:b/>
                <w:bCs/>
                <w:color w:val="auto"/>
                <w:szCs w:val="24"/>
                <w:lang w:val="en-US" w:eastAsia="zh-CN"/>
              </w:rPr>
              <w:t>4</w:t>
            </w:r>
            <w:r>
              <w:rPr>
                <w:b/>
                <w:bCs/>
                <w:color w:val="auto"/>
                <w:szCs w:val="24"/>
              </w:rPr>
              <w:t xml:space="preserve">  地表水环境质量标准    单位：mg/L</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3"/>
              <w:gridCol w:w="1717"/>
              <w:gridCol w:w="2721"/>
              <w:gridCol w:w="1340"/>
            </w:tblGrid>
            <w:tr w14:paraId="7ACC1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645" w:type="pct"/>
                  <w:vAlign w:val="center"/>
                </w:tcPr>
                <w:p w14:paraId="3C048915">
                  <w:pPr>
                    <w:pStyle w:val="47"/>
                    <w:adjustRightInd/>
                    <w:snapToGrid/>
                    <w:spacing w:before="24" w:after="24"/>
                    <w:rPr>
                      <w:rFonts w:ascii="Times New Roman"/>
                      <w:color w:val="auto"/>
                    </w:rPr>
                  </w:pPr>
                  <w:r>
                    <w:rPr>
                      <w:rFonts w:ascii="Times New Roman"/>
                      <w:color w:val="auto"/>
                    </w:rPr>
                    <w:t>项   目</w:t>
                  </w:r>
                </w:p>
              </w:tc>
              <w:tc>
                <w:tcPr>
                  <w:tcW w:w="997" w:type="pct"/>
                  <w:vAlign w:val="center"/>
                </w:tcPr>
                <w:p w14:paraId="150BAD18">
                  <w:pPr>
                    <w:pStyle w:val="47"/>
                    <w:adjustRightInd/>
                    <w:snapToGrid/>
                    <w:spacing w:before="24" w:after="24"/>
                    <w:rPr>
                      <w:rFonts w:ascii="Times New Roman"/>
                      <w:color w:val="auto"/>
                    </w:rPr>
                  </w:pPr>
                  <w:r>
                    <w:rPr>
                      <w:rFonts w:ascii="Times New Roman"/>
                      <w:color w:val="auto"/>
                    </w:rPr>
                    <w:fldChar w:fldCharType="begin"/>
                  </w:r>
                  <w:r>
                    <w:rPr>
                      <w:rFonts w:ascii="Times New Roman"/>
                      <w:color w:val="auto"/>
                    </w:rPr>
                    <w:instrText xml:space="preserve"> = 3 \* ROMAN </w:instrText>
                  </w:r>
                  <w:r>
                    <w:rPr>
                      <w:rFonts w:ascii="Times New Roman"/>
                      <w:color w:val="auto"/>
                    </w:rPr>
                    <w:fldChar w:fldCharType="separate"/>
                  </w:r>
                  <w:r>
                    <w:rPr>
                      <w:rFonts w:ascii="Times New Roman"/>
                      <w:color w:val="auto"/>
                    </w:rPr>
                    <w:t>III</w:t>
                  </w:r>
                  <w:r>
                    <w:rPr>
                      <w:rFonts w:ascii="Times New Roman"/>
                      <w:color w:val="auto"/>
                    </w:rPr>
                    <w:fldChar w:fldCharType="end"/>
                  </w:r>
                  <w:r>
                    <w:rPr>
                      <w:rFonts w:ascii="Times New Roman"/>
                      <w:color w:val="auto"/>
                    </w:rPr>
                    <w:t>类标准值</w:t>
                  </w:r>
                </w:p>
              </w:tc>
              <w:tc>
                <w:tcPr>
                  <w:tcW w:w="1580" w:type="pct"/>
                  <w:vAlign w:val="center"/>
                </w:tcPr>
                <w:p w14:paraId="7BFC299D">
                  <w:pPr>
                    <w:pStyle w:val="47"/>
                    <w:adjustRightInd/>
                    <w:snapToGrid/>
                    <w:spacing w:before="24" w:after="24"/>
                    <w:rPr>
                      <w:rFonts w:ascii="Times New Roman"/>
                      <w:color w:val="auto"/>
                    </w:rPr>
                  </w:pPr>
                  <w:r>
                    <w:rPr>
                      <w:rFonts w:ascii="Times New Roman"/>
                      <w:color w:val="auto"/>
                    </w:rPr>
                    <w:t>项   目</w:t>
                  </w:r>
                </w:p>
              </w:tc>
              <w:tc>
                <w:tcPr>
                  <w:tcW w:w="778" w:type="pct"/>
                  <w:vAlign w:val="center"/>
                </w:tcPr>
                <w:p w14:paraId="13D55935">
                  <w:pPr>
                    <w:pStyle w:val="47"/>
                    <w:adjustRightInd/>
                    <w:snapToGrid/>
                    <w:spacing w:before="24" w:after="24"/>
                    <w:rPr>
                      <w:rFonts w:ascii="Times New Roman"/>
                      <w:color w:val="auto"/>
                    </w:rPr>
                  </w:pPr>
                  <w:r>
                    <w:rPr>
                      <w:rFonts w:ascii="Times New Roman"/>
                      <w:color w:val="auto"/>
                    </w:rPr>
                    <w:fldChar w:fldCharType="begin"/>
                  </w:r>
                  <w:r>
                    <w:rPr>
                      <w:rFonts w:ascii="Times New Roman"/>
                      <w:color w:val="auto"/>
                    </w:rPr>
                    <w:instrText xml:space="preserve"> = 3 \* ROMAN </w:instrText>
                  </w:r>
                  <w:r>
                    <w:rPr>
                      <w:rFonts w:ascii="Times New Roman"/>
                      <w:color w:val="auto"/>
                    </w:rPr>
                    <w:fldChar w:fldCharType="separate"/>
                  </w:r>
                  <w:r>
                    <w:rPr>
                      <w:rFonts w:ascii="Times New Roman"/>
                      <w:color w:val="auto"/>
                    </w:rPr>
                    <w:t>III</w:t>
                  </w:r>
                  <w:r>
                    <w:rPr>
                      <w:rFonts w:ascii="Times New Roman"/>
                      <w:color w:val="auto"/>
                    </w:rPr>
                    <w:fldChar w:fldCharType="end"/>
                  </w:r>
                  <w:r>
                    <w:rPr>
                      <w:rFonts w:ascii="Times New Roman"/>
                      <w:color w:val="auto"/>
                    </w:rPr>
                    <w:t>类标准值</w:t>
                  </w:r>
                </w:p>
              </w:tc>
            </w:tr>
            <w:tr w14:paraId="088F3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5" w:type="pct"/>
                  <w:vAlign w:val="center"/>
                </w:tcPr>
                <w:p w14:paraId="01F8616A">
                  <w:pPr>
                    <w:pStyle w:val="47"/>
                    <w:adjustRightInd/>
                    <w:snapToGrid/>
                    <w:spacing w:before="24" w:after="24"/>
                    <w:rPr>
                      <w:rFonts w:ascii="Times New Roman"/>
                      <w:color w:val="auto"/>
                    </w:rPr>
                  </w:pPr>
                  <w:r>
                    <w:rPr>
                      <w:rFonts w:ascii="Times New Roman"/>
                      <w:color w:val="auto"/>
                    </w:rPr>
                    <w:t>pH值(无量纲)</w:t>
                  </w:r>
                </w:p>
              </w:tc>
              <w:tc>
                <w:tcPr>
                  <w:tcW w:w="997" w:type="pct"/>
                  <w:vAlign w:val="center"/>
                </w:tcPr>
                <w:p w14:paraId="30BDD72E">
                  <w:pPr>
                    <w:pStyle w:val="47"/>
                    <w:adjustRightInd/>
                    <w:snapToGrid/>
                    <w:spacing w:before="24" w:after="24"/>
                    <w:rPr>
                      <w:rFonts w:ascii="Times New Roman"/>
                      <w:color w:val="auto"/>
                    </w:rPr>
                  </w:pPr>
                  <w:r>
                    <w:rPr>
                      <w:rFonts w:ascii="Times New Roman"/>
                      <w:color w:val="auto"/>
                    </w:rPr>
                    <w:t>6-9</w:t>
                  </w:r>
                </w:p>
              </w:tc>
              <w:tc>
                <w:tcPr>
                  <w:tcW w:w="1580" w:type="pct"/>
                  <w:vAlign w:val="center"/>
                </w:tcPr>
                <w:p w14:paraId="7DF4D7FA">
                  <w:pPr>
                    <w:pStyle w:val="47"/>
                    <w:adjustRightInd/>
                    <w:snapToGrid/>
                    <w:spacing w:before="24" w:after="24"/>
                    <w:rPr>
                      <w:rFonts w:ascii="Times New Roman"/>
                      <w:color w:val="auto"/>
                    </w:rPr>
                  </w:pPr>
                  <w:r>
                    <w:rPr>
                      <w:rFonts w:ascii="Times New Roman"/>
                      <w:color w:val="auto"/>
                    </w:rPr>
                    <w:t>氰化物  ≤</w:t>
                  </w:r>
                </w:p>
              </w:tc>
              <w:tc>
                <w:tcPr>
                  <w:tcW w:w="778" w:type="pct"/>
                  <w:vAlign w:val="center"/>
                </w:tcPr>
                <w:p w14:paraId="350E819D">
                  <w:pPr>
                    <w:pStyle w:val="47"/>
                    <w:adjustRightInd/>
                    <w:snapToGrid/>
                    <w:spacing w:before="24" w:after="24"/>
                    <w:rPr>
                      <w:rFonts w:ascii="Times New Roman"/>
                      <w:color w:val="auto"/>
                    </w:rPr>
                  </w:pPr>
                  <w:r>
                    <w:rPr>
                      <w:rFonts w:ascii="Times New Roman"/>
                      <w:color w:val="auto"/>
                    </w:rPr>
                    <w:t>0.2</w:t>
                  </w:r>
                </w:p>
              </w:tc>
            </w:tr>
            <w:tr w14:paraId="79883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5" w:type="pct"/>
                  <w:vAlign w:val="center"/>
                </w:tcPr>
                <w:p w14:paraId="7A510B87">
                  <w:pPr>
                    <w:pStyle w:val="47"/>
                    <w:adjustRightInd/>
                    <w:snapToGrid/>
                    <w:spacing w:before="24" w:after="24"/>
                    <w:rPr>
                      <w:rFonts w:ascii="Times New Roman"/>
                      <w:color w:val="auto"/>
                    </w:rPr>
                  </w:pPr>
                  <w:r>
                    <w:rPr>
                      <w:rFonts w:ascii="Times New Roman"/>
                      <w:color w:val="auto"/>
                    </w:rPr>
                    <w:t>溶解氧  ≥</w:t>
                  </w:r>
                </w:p>
              </w:tc>
              <w:tc>
                <w:tcPr>
                  <w:tcW w:w="997" w:type="pct"/>
                  <w:vAlign w:val="center"/>
                </w:tcPr>
                <w:p w14:paraId="12342951">
                  <w:pPr>
                    <w:pStyle w:val="47"/>
                    <w:adjustRightInd/>
                    <w:snapToGrid/>
                    <w:spacing w:before="24" w:after="24"/>
                    <w:rPr>
                      <w:rFonts w:ascii="Times New Roman"/>
                      <w:color w:val="auto"/>
                    </w:rPr>
                  </w:pPr>
                  <w:r>
                    <w:rPr>
                      <w:rFonts w:ascii="Times New Roman"/>
                      <w:color w:val="auto"/>
                    </w:rPr>
                    <w:t>5</w:t>
                  </w:r>
                </w:p>
              </w:tc>
              <w:tc>
                <w:tcPr>
                  <w:tcW w:w="1580" w:type="pct"/>
                  <w:vAlign w:val="center"/>
                </w:tcPr>
                <w:p w14:paraId="7621B1DC">
                  <w:pPr>
                    <w:pStyle w:val="47"/>
                    <w:adjustRightInd/>
                    <w:snapToGrid/>
                    <w:spacing w:before="24" w:after="24"/>
                    <w:rPr>
                      <w:rFonts w:ascii="Times New Roman"/>
                      <w:color w:val="auto"/>
                    </w:rPr>
                  </w:pPr>
                  <w:r>
                    <w:rPr>
                      <w:rFonts w:ascii="Times New Roman"/>
                      <w:color w:val="auto"/>
                    </w:rPr>
                    <w:t>挥发酚  ≤</w:t>
                  </w:r>
                </w:p>
              </w:tc>
              <w:tc>
                <w:tcPr>
                  <w:tcW w:w="778" w:type="pct"/>
                  <w:vAlign w:val="center"/>
                </w:tcPr>
                <w:p w14:paraId="05B12FEC">
                  <w:pPr>
                    <w:pStyle w:val="47"/>
                    <w:adjustRightInd/>
                    <w:snapToGrid/>
                    <w:spacing w:before="24" w:after="24"/>
                    <w:rPr>
                      <w:rFonts w:ascii="Times New Roman"/>
                      <w:color w:val="auto"/>
                    </w:rPr>
                  </w:pPr>
                  <w:r>
                    <w:rPr>
                      <w:rFonts w:ascii="Times New Roman"/>
                      <w:color w:val="auto"/>
                    </w:rPr>
                    <w:t>0.005</w:t>
                  </w:r>
                </w:p>
              </w:tc>
            </w:tr>
            <w:tr w14:paraId="10DB6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5" w:type="pct"/>
                  <w:vAlign w:val="center"/>
                </w:tcPr>
                <w:p w14:paraId="791563F0">
                  <w:pPr>
                    <w:pStyle w:val="47"/>
                    <w:adjustRightInd/>
                    <w:snapToGrid/>
                    <w:spacing w:before="24" w:after="24"/>
                    <w:rPr>
                      <w:rFonts w:ascii="Times New Roman"/>
                      <w:color w:val="auto"/>
                    </w:rPr>
                  </w:pPr>
                  <w:r>
                    <w:rPr>
                      <w:rFonts w:ascii="Times New Roman"/>
                      <w:color w:val="auto"/>
                    </w:rPr>
                    <w:t>高锰酸盐指数  ≤</w:t>
                  </w:r>
                </w:p>
              </w:tc>
              <w:tc>
                <w:tcPr>
                  <w:tcW w:w="997" w:type="pct"/>
                  <w:vAlign w:val="center"/>
                </w:tcPr>
                <w:p w14:paraId="44A7EBFE">
                  <w:pPr>
                    <w:pStyle w:val="47"/>
                    <w:adjustRightInd/>
                    <w:snapToGrid/>
                    <w:spacing w:before="24" w:after="24"/>
                    <w:rPr>
                      <w:rFonts w:ascii="Times New Roman"/>
                      <w:color w:val="auto"/>
                    </w:rPr>
                  </w:pPr>
                  <w:r>
                    <w:rPr>
                      <w:rFonts w:ascii="Times New Roman"/>
                      <w:color w:val="auto"/>
                    </w:rPr>
                    <w:t>6</w:t>
                  </w:r>
                </w:p>
              </w:tc>
              <w:tc>
                <w:tcPr>
                  <w:tcW w:w="1580" w:type="pct"/>
                  <w:vAlign w:val="center"/>
                </w:tcPr>
                <w:p w14:paraId="79154836">
                  <w:pPr>
                    <w:pStyle w:val="47"/>
                    <w:adjustRightInd/>
                    <w:snapToGrid/>
                    <w:spacing w:before="24" w:after="24"/>
                    <w:rPr>
                      <w:rFonts w:ascii="Times New Roman"/>
                      <w:color w:val="auto"/>
                    </w:rPr>
                  </w:pPr>
                  <w:r>
                    <w:rPr>
                      <w:rFonts w:ascii="Times New Roman"/>
                      <w:color w:val="auto"/>
                    </w:rPr>
                    <w:t>石油类   ≤</w:t>
                  </w:r>
                </w:p>
              </w:tc>
              <w:tc>
                <w:tcPr>
                  <w:tcW w:w="778" w:type="pct"/>
                  <w:vAlign w:val="center"/>
                </w:tcPr>
                <w:p w14:paraId="408030C2">
                  <w:pPr>
                    <w:pStyle w:val="47"/>
                    <w:adjustRightInd/>
                    <w:snapToGrid/>
                    <w:spacing w:before="24" w:after="24"/>
                    <w:rPr>
                      <w:rFonts w:ascii="Times New Roman"/>
                      <w:color w:val="auto"/>
                    </w:rPr>
                  </w:pPr>
                  <w:r>
                    <w:rPr>
                      <w:rFonts w:ascii="Times New Roman"/>
                      <w:color w:val="auto"/>
                    </w:rPr>
                    <w:t>0.05</w:t>
                  </w:r>
                </w:p>
              </w:tc>
            </w:tr>
            <w:tr w14:paraId="19CFA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5" w:type="pct"/>
                  <w:vAlign w:val="center"/>
                </w:tcPr>
                <w:p w14:paraId="4C0F4E79">
                  <w:pPr>
                    <w:pStyle w:val="47"/>
                    <w:adjustRightInd/>
                    <w:snapToGrid/>
                    <w:spacing w:before="24" w:after="24"/>
                    <w:rPr>
                      <w:rFonts w:ascii="Times New Roman"/>
                      <w:color w:val="auto"/>
                    </w:rPr>
                  </w:pPr>
                  <w:r>
                    <w:rPr>
                      <w:rFonts w:ascii="Times New Roman"/>
                      <w:color w:val="auto"/>
                    </w:rPr>
                    <w:t xml:space="preserve"> 化学需氧量（COD） ≤</w:t>
                  </w:r>
                </w:p>
              </w:tc>
              <w:tc>
                <w:tcPr>
                  <w:tcW w:w="997" w:type="pct"/>
                  <w:vAlign w:val="center"/>
                </w:tcPr>
                <w:p w14:paraId="024265BB">
                  <w:pPr>
                    <w:pStyle w:val="47"/>
                    <w:adjustRightInd/>
                    <w:snapToGrid/>
                    <w:spacing w:before="24" w:after="24"/>
                    <w:rPr>
                      <w:rFonts w:ascii="Times New Roman"/>
                      <w:color w:val="auto"/>
                    </w:rPr>
                  </w:pPr>
                  <w:r>
                    <w:rPr>
                      <w:rFonts w:ascii="Times New Roman"/>
                      <w:color w:val="auto"/>
                    </w:rPr>
                    <w:t>20</w:t>
                  </w:r>
                </w:p>
              </w:tc>
              <w:tc>
                <w:tcPr>
                  <w:tcW w:w="1580" w:type="pct"/>
                  <w:vAlign w:val="center"/>
                </w:tcPr>
                <w:p w14:paraId="48456E61">
                  <w:pPr>
                    <w:pStyle w:val="47"/>
                    <w:adjustRightInd/>
                    <w:snapToGrid/>
                    <w:spacing w:before="24" w:after="24"/>
                    <w:rPr>
                      <w:rFonts w:ascii="Times New Roman"/>
                      <w:color w:val="auto"/>
                    </w:rPr>
                  </w:pPr>
                  <w:r>
                    <w:rPr>
                      <w:rFonts w:ascii="Times New Roman"/>
                      <w:color w:val="auto"/>
                    </w:rPr>
                    <w:t>阴离子表面活性剂   ≤</w:t>
                  </w:r>
                </w:p>
              </w:tc>
              <w:tc>
                <w:tcPr>
                  <w:tcW w:w="778" w:type="pct"/>
                  <w:vAlign w:val="center"/>
                </w:tcPr>
                <w:p w14:paraId="2AA868F7">
                  <w:pPr>
                    <w:pStyle w:val="47"/>
                    <w:adjustRightInd/>
                    <w:snapToGrid/>
                    <w:spacing w:before="24" w:after="24"/>
                    <w:rPr>
                      <w:rFonts w:ascii="Times New Roman"/>
                      <w:color w:val="auto"/>
                    </w:rPr>
                  </w:pPr>
                  <w:r>
                    <w:rPr>
                      <w:rFonts w:ascii="Times New Roman"/>
                      <w:color w:val="auto"/>
                    </w:rPr>
                    <w:t>0.2</w:t>
                  </w:r>
                </w:p>
              </w:tc>
            </w:tr>
            <w:tr w14:paraId="15D95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5" w:type="pct"/>
                  <w:vAlign w:val="center"/>
                </w:tcPr>
                <w:p w14:paraId="4D746AB2">
                  <w:pPr>
                    <w:pStyle w:val="47"/>
                    <w:adjustRightInd/>
                    <w:snapToGrid/>
                    <w:spacing w:before="24" w:after="24"/>
                    <w:rPr>
                      <w:rFonts w:ascii="Times New Roman"/>
                      <w:color w:val="auto"/>
                    </w:rPr>
                  </w:pPr>
                  <w:r>
                    <w:rPr>
                      <w:rFonts w:ascii="Times New Roman"/>
                      <w:color w:val="auto"/>
                    </w:rPr>
                    <w:t>五日生化需氧量（BOD</w:t>
                  </w:r>
                  <w:r>
                    <w:rPr>
                      <w:rFonts w:ascii="Times New Roman"/>
                      <w:color w:val="auto"/>
                      <w:vertAlign w:val="subscript"/>
                    </w:rPr>
                    <w:t>5</w:t>
                  </w:r>
                  <w:r>
                    <w:rPr>
                      <w:rFonts w:ascii="Times New Roman"/>
                      <w:color w:val="auto"/>
                    </w:rPr>
                    <w:t>）≤</w:t>
                  </w:r>
                </w:p>
              </w:tc>
              <w:tc>
                <w:tcPr>
                  <w:tcW w:w="997" w:type="pct"/>
                  <w:vAlign w:val="center"/>
                </w:tcPr>
                <w:p w14:paraId="062E006A">
                  <w:pPr>
                    <w:pStyle w:val="47"/>
                    <w:adjustRightInd/>
                    <w:snapToGrid/>
                    <w:spacing w:before="24" w:after="24"/>
                    <w:rPr>
                      <w:rFonts w:ascii="Times New Roman"/>
                      <w:color w:val="auto"/>
                    </w:rPr>
                  </w:pPr>
                  <w:r>
                    <w:rPr>
                      <w:rFonts w:ascii="Times New Roman"/>
                      <w:color w:val="auto"/>
                    </w:rPr>
                    <w:t>4</w:t>
                  </w:r>
                </w:p>
              </w:tc>
              <w:tc>
                <w:tcPr>
                  <w:tcW w:w="1580" w:type="pct"/>
                  <w:vAlign w:val="center"/>
                </w:tcPr>
                <w:p w14:paraId="2DD29C81">
                  <w:pPr>
                    <w:pStyle w:val="47"/>
                    <w:adjustRightInd/>
                    <w:snapToGrid/>
                    <w:spacing w:before="24" w:after="24"/>
                    <w:rPr>
                      <w:rFonts w:ascii="Times New Roman"/>
                      <w:color w:val="auto"/>
                    </w:rPr>
                  </w:pPr>
                  <w:r>
                    <w:rPr>
                      <w:rFonts w:ascii="Times New Roman"/>
                      <w:color w:val="auto"/>
                    </w:rPr>
                    <w:t>硫化物  ≤</w:t>
                  </w:r>
                </w:p>
              </w:tc>
              <w:tc>
                <w:tcPr>
                  <w:tcW w:w="778" w:type="pct"/>
                  <w:vAlign w:val="center"/>
                </w:tcPr>
                <w:p w14:paraId="03CACAF9">
                  <w:pPr>
                    <w:pStyle w:val="47"/>
                    <w:adjustRightInd/>
                    <w:snapToGrid/>
                    <w:spacing w:before="24" w:after="24"/>
                    <w:rPr>
                      <w:rFonts w:ascii="Times New Roman"/>
                      <w:color w:val="auto"/>
                    </w:rPr>
                  </w:pPr>
                  <w:r>
                    <w:rPr>
                      <w:rFonts w:ascii="Times New Roman"/>
                      <w:color w:val="auto"/>
                    </w:rPr>
                    <w:t>0.2</w:t>
                  </w:r>
                </w:p>
              </w:tc>
            </w:tr>
            <w:tr w14:paraId="74D30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5" w:type="pct"/>
                  <w:vAlign w:val="center"/>
                </w:tcPr>
                <w:p w14:paraId="4E1A4B2A">
                  <w:pPr>
                    <w:pStyle w:val="47"/>
                    <w:adjustRightInd/>
                    <w:snapToGrid/>
                    <w:spacing w:before="24" w:after="24"/>
                    <w:rPr>
                      <w:rFonts w:ascii="Times New Roman"/>
                      <w:color w:val="auto"/>
                    </w:rPr>
                  </w:pPr>
                  <w:r>
                    <w:rPr>
                      <w:rFonts w:ascii="Times New Roman"/>
                      <w:color w:val="auto"/>
                    </w:rPr>
                    <w:t xml:space="preserve"> 氨氮(NH</w:t>
                  </w:r>
                  <w:r>
                    <w:rPr>
                      <w:rFonts w:ascii="Times New Roman"/>
                      <w:color w:val="auto"/>
                      <w:vertAlign w:val="subscript"/>
                    </w:rPr>
                    <w:t>3</w:t>
                  </w:r>
                  <w:r>
                    <w:rPr>
                      <w:rFonts w:ascii="Times New Roman"/>
                      <w:color w:val="auto"/>
                    </w:rPr>
                    <w:t>-N)  ≤</w:t>
                  </w:r>
                </w:p>
              </w:tc>
              <w:tc>
                <w:tcPr>
                  <w:tcW w:w="997" w:type="pct"/>
                  <w:vAlign w:val="center"/>
                </w:tcPr>
                <w:p w14:paraId="61C25688">
                  <w:pPr>
                    <w:pStyle w:val="47"/>
                    <w:adjustRightInd/>
                    <w:snapToGrid/>
                    <w:spacing w:before="24" w:after="24"/>
                    <w:rPr>
                      <w:rFonts w:ascii="Times New Roman"/>
                      <w:color w:val="auto"/>
                    </w:rPr>
                  </w:pPr>
                  <w:r>
                    <w:rPr>
                      <w:rFonts w:ascii="Times New Roman"/>
                      <w:color w:val="auto"/>
                    </w:rPr>
                    <w:t>1.0</w:t>
                  </w:r>
                </w:p>
              </w:tc>
              <w:tc>
                <w:tcPr>
                  <w:tcW w:w="1580" w:type="pct"/>
                  <w:vAlign w:val="center"/>
                </w:tcPr>
                <w:p w14:paraId="777E9C29">
                  <w:pPr>
                    <w:pStyle w:val="47"/>
                    <w:adjustRightInd/>
                    <w:snapToGrid/>
                    <w:spacing w:before="24" w:after="24"/>
                    <w:rPr>
                      <w:rFonts w:ascii="Times New Roman"/>
                      <w:color w:val="auto"/>
                    </w:rPr>
                  </w:pPr>
                  <w:r>
                    <w:rPr>
                      <w:rFonts w:ascii="Times New Roman"/>
                      <w:color w:val="auto"/>
                    </w:rPr>
                    <w:t xml:space="preserve">  粪大肠菌群（个／L）  ≤</w:t>
                  </w:r>
                </w:p>
              </w:tc>
              <w:tc>
                <w:tcPr>
                  <w:tcW w:w="778" w:type="pct"/>
                  <w:vAlign w:val="center"/>
                </w:tcPr>
                <w:p w14:paraId="4F39BB4B">
                  <w:pPr>
                    <w:pStyle w:val="47"/>
                    <w:adjustRightInd/>
                    <w:snapToGrid/>
                    <w:spacing w:before="24" w:after="24"/>
                    <w:rPr>
                      <w:rFonts w:ascii="Times New Roman"/>
                      <w:color w:val="auto"/>
                    </w:rPr>
                  </w:pPr>
                  <w:r>
                    <w:rPr>
                      <w:rFonts w:ascii="Times New Roman"/>
                      <w:color w:val="auto"/>
                    </w:rPr>
                    <w:t>10000</w:t>
                  </w:r>
                </w:p>
              </w:tc>
            </w:tr>
            <w:tr w14:paraId="0E5BF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5" w:type="pct"/>
                  <w:vAlign w:val="center"/>
                </w:tcPr>
                <w:p w14:paraId="5E35D051">
                  <w:pPr>
                    <w:pStyle w:val="47"/>
                    <w:adjustRightInd/>
                    <w:snapToGrid/>
                    <w:spacing w:before="24" w:after="24"/>
                    <w:rPr>
                      <w:rFonts w:ascii="Times New Roman"/>
                      <w:color w:val="auto"/>
                    </w:rPr>
                  </w:pPr>
                  <w:r>
                    <w:rPr>
                      <w:rFonts w:ascii="Times New Roman"/>
                      <w:color w:val="auto"/>
                    </w:rPr>
                    <w:t>总磷（以 P 计）≤</w:t>
                  </w:r>
                </w:p>
              </w:tc>
              <w:tc>
                <w:tcPr>
                  <w:tcW w:w="997" w:type="pct"/>
                  <w:vAlign w:val="center"/>
                </w:tcPr>
                <w:p w14:paraId="5185AE3C">
                  <w:pPr>
                    <w:pStyle w:val="47"/>
                    <w:adjustRightInd/>
                    <w:snapToGrid/>
                    <w:spacing w:before="24" w:after="24"/>
                    <w:rPr>
                      <w:rFonts w:ascii="Times New Roman"/>
                      <w:color w:val="auto"/>
                    </w:rPr>
                  </w:pPr>
                  <w:r>
                    <w:rPr>
                      <w:rFonts w:ascii="Times New Roman"/>
                      <w:color w:val="auto"/>
                    </w:rPr>
                    <w:t>0.2</w:t>
                  </w:r>
                </w:p>
              </w:tc>
              <w:tc>
                <w:tcPr>
                  <w:tcW w:w="1580" w:type="pct"/>
                  <w:vAlign w:val="center"/>
                </w:tcPr>
                <w:p w14:paraId="107A027A">
                  <w:pPr>
                    <w:pStyle w:val="47"/>
                    <w:adjustRightInd/>
                    <w:snapToGrid/>
                    <w:spacing w:before="24" w:after="24"/>
                    <w:rPr>
                      <w:rFonts w:ascii="Times New Roman"/>
                      <w:color w:val="auto"/>
                    </w:rPr>
                  </w:pPr>
                  <w:r>
                    <w:rPr>
                      <w:rFonts w:ascii="Times New Roman"/>
                      <w:color w:val="auto"/>
                    </w:rPr>
                    <w:t>砷   ≤</w:t>
                  </w:r>
                </w:p>
              </w:tc>
              <w:tc>
                <w:tcPr>
                  <w:tcW w:w="778" w:type="pct"/>
                  <w:vAlign w:val="center"/>
                </w:tcPr>
                <w:p w14:paraId="33BDAB28">
                  <w:pPr>
                    <w:pStyle w:val="47"/>
                    <w:adjustRightInd/>
                    <w:snapToGrid/>
                    <w:spacing w:before="24" w:after="24"/>
                    <w:rPr>
                      <w:rFonts w:ascii="Times New Roman"/>
                      <w:color w:val="auto"/>
                    </w:rPr>
                  </w:pPr>
                  <w:r>
                    <w:rPr>
                      <w:rFonts w:ascii="Times New Roman"/>
                      <w:color w:val="auto"/>
                    </w:rPr>
                    <w:t>0.05</w:t>
                  </w:r>
                </w:p>
              </w:tc>
            </w:tr>
            <w:tr w14:paraId="7715C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5" w:type="pct"/>
                  <w:vAlign w:val="center"/>
                </w:tcPr>
                <w:p w14:paraId="79252992">
                  <w:pPr>
                    <w:pStyle w:val="47"/>
                    <w:adjustRightInd/>
                    <w:snapToGrid/>
                    <w:spacing w:before="24" w:after="24"/>
                    <w:rPr>
                      <w:rFonts w:ascii="Times New Roman"/>
                      <w:color w:val="auto"/>
                    </w:rPr>
                  </w:pPr>
                  <w:r>
                    <w:rPr>
                      <w:rFonts w:ascii="Times New Roman"/>
                      <w:color w:val="auto"/>
                    </w:rPr>
                    <w:t xml:space="preserve">          铜   ≤</w:t>
                  </w:r>
                </w:p>
              </w:tc>
              <w:tc>
                <w:tcPr>
                  <w:tcW w:w="997" w:type="pct"/>
                  <w:vAlign w:val="center"/>
                </w:tcPr>
                <w:p w14:paraId="21B8ABCB">
                  <w:pPr>
                    <w:pStyle w:val="47"/>
                    <w:adjustRightInd/>
                    <w:snapToGrid/>
                    <w:spacing w:before="24" w:after="24"/>
                    <w:rPr>
                      <w:rFonts w:ascii="Times New Roman"/>
                      <w:color w:val="auto"/>
                    </w:rPr>
                  </w:pPr>
                  <w:r>
                    <w:rPr>
                      <w:rFonts w:ascii="Times New Roman"/>
                      <w:color w:val="auto"/>
                    </w:rPr>
                    <w:t>1.0</w:t>
                  </w:r>
                </w:p>
              </w:tc>
              <w:tc>
                <w:tcPr>
                  <w:tcW w:w="1580" w:type="pct"/>
                  <w:vAlign w:val="center"/>
                </w:tcPr>
                <w:p w14:paraId="44A357FF">
                  <w:pPr>
                    <w:pStyle w:val="47"/>
                    <w:adjustRightInd/>
                    <w:snapToGrid/>
                    <w:spacing w:before="24" w:after="24"/>
                    <w:rPr>
                      <w:rFonts w:ascii="Times New Roman"/>
                      <w:color w:val="auto"/>
                    </w:rPr>
                  </w:pPr>
                  <w:r>
                    <w:rPr>
                      <w:rFonts w:ascii="Times New Roman"/>
                      <w:color w:val="auto"/>
                    </w:rPr>
                    <w:t>汞  ≤</w:t>
                  </w:r>
                </w:p>
              </w:tc>
              <w:tc>
                <w:tcPr>
                  <w:tcW w:w="778" w:type="pct"/>
                  <w:vAlign w:val="center"/>
                </w:tcPr>
                <w:p w14:paraId="4973B5E4">
                  <w:pPr>
                    <w:pStyle w:val="47"/>
                    <w:adjustRightInd/>
                    <w:snapToGrid/>
                    <w:spacing w:before="24" w:after="24"/>
                    <w:rPr>
                      <w:rFonts w:ascii="Times New Roman"/>
                      <w:color w:val="auto"/>
                    </w:rPr>
                  </w:pPr>
                  <w:r>
                    <w:rPr>
                      <w:rFonts w:ascii="Times New Roman"/>
                      <w:color w:val="auto"/>
                    </w:rPr>
                    <w:t>0.0001</w:t>
                  </w:r>
                </w:p>
              </w:tc>
            </w:tr>
            <w:tr w14:paraId="761DF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5" w:type="pct"/>
                  <w:vAlign w:val="center"/>
                </w:tcPr>
                <w:p w14:paraId="1980C078">
                  <w:pPr>
                    <w:pStyle w:val="47"/>
                    <w:adjustRightInd/>
                    <w:snapToGrid/>
                    <w:spacing w:before="24" w:after="24"/>
                    <w:rPr>
                      <w:rFonts w:ascii="Times New Roman"/>
                      <w:color w:val="auto"/>
                    </w:rPr>
                  </w:pPr>
                  <w:r>
                    <w:rPr>
                      <w:rFonts w:ascii="Times New Roman"/>
                      <w:color w:val="auto"/>
                    </w:rPr>
                    <w:t xml:space="preserve">          锌  ≤</w:t>
                  </w:r>
                </w:p>
              </w:tc>
              <w:tc>
                <w:tcPr>
                  <w:tcW w:w="997" w:type="pct"/>
                  <w:vAlign w:val="center"/>
                </w:tcPr>
                <w:p w14:paraId="7B64712A">
                  <w:pPr>
                    <w:pStyle w:val="47"/>
                    <w:adjustRightInd/>
                    <w:snapToGrid/>
                    <w:spacing w:before="24" w:after="24"/>
                    <w:rPr>
                      <w:rFonts w:ascii="Times New Roman"/>
                      <w:color w:val="auto"/>
                    </w:rPr>
                  </w:pPr>
                  <w:r>
                    <w:rPr>
                      <w:rFonts w:ascii="Times New Roman"/>
                      <w:color w:val="auto"/>
                    </w:rPr>
                    <w:t>1.0</w:t>
                  </w:r>
                </w:p>
              </w:tc>
              <w:tc>
                <w:tcPr>
                  <w:tcW w:w="1580" w:type="pct"/>
                  <w:vAlign w:val="center"/>
                </w:tcPr>
                <w:p w14:paraId="57565397">
                  <w:pPr>
                    <w:pStyle w:val="47"/>
                    <w:adjustRightInd/>
                    <w:snapToGrid/>
                    <w:spacing w:before="24" w:after="24"/>
                    <w:rPr>
                      <w:rFonts w:ascii="Times New Roman"/>
                      <w:color w:val="auto"/>
                    </w:rPr>
                  </w:pPr>
                  <w:r>
                    <w:rPr>
                      <w:rFonts w:ascii="Times New Roman"/>
                      <w:color w:val="auto"/>
                    </w:rPr>
                    <w:t>镉  ≤</w:t>
                  </w:r>
                </w:p>
              </w:tc>
              <w:tc>
                <w:tcPr>
                  <w:tcW w:w="778" w:type="pct"/>
                  <w:vAlign w:val="center"/>
                </w:tcPr>
                <w:p w14:paraId="25D1A119">
                  <w:pPr>
                    <w:pStyle w:val="47"/>
                    <w:adjustRightInd/>
                    <w:snapToGrid/>
                    <w:spacing w:before="24" w:after="24"/>
                    <w:rPr>
                      <w:rFonts w:ascii="Times New Roman"/>
                      <w:color w:val="auto"/>
                    </w:rPr>
                  </w:pPr>
                  <w:r>
                    <w:rPr>
                      <w:rFonts w:ascii="Times New Roman"/>
                      <w:color w:val="auto"/>
                    </w:rPr>
                    <w:t>0.005</w:t>
                  </w:r>
                </w:p>
              </w:tc>
            </w:tr>
            <w:tr w14:paraId="23132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5" w:type="pct"/>
                  <w:vAlign w:val="center"/>
                </w:tcPr>
                <w:p w14:paraId="77679C81">
                  <w:pPr>
                    <w:pStyle w:val="47"/>
                    <w:adjustRightInd/>
                    <w:snapToGrid/>
                    <w:spacing w:before="24" w:after="24"/>
                    <w:rPr>
                      <w:rFonts w:ascii="Times New Roman"/>
                      <w:color w:val="auto"/>
                    </w:rPr>
                  </w:pPr>
                  <w:r>
                    <w:rPr>
                      <w:rFonts w:ascii="Times New Roman"/>
                      <w:color w:val="auto"/>
                    </w:rPr>
                    <w:t xml:space="preserve">  氟化物（以 F- 计）≤</w:t>
                  </w:r>
                </w:p>
              </w:tc>
              <w:tc>
                <w:tcPr>
                  <w:tcW w:w="997" w:type="pct"/>
                  <w:vAlign w:val="center"/>
                </w:tcPr>
                <w:p w14:paraId="5CEBF287">
                  <w:pPr>
                    <w:pStyle w:val="47"/>
                    <w:adjustRightInd/>
                    <w:snapToGrid/>
                    <w:spacing w:before="24" w:after="24"/>
                    <w:rPr>
                      <w:rFonts w:ascii="Times New Roman"/>
                      <w:color w:val="auto"/>
                    </w:rPr>
                  </w:pPr>
                  <w:r>
                    <w:rPr>
                      <w:rFonts w:ascii="Times New Roman"/>
                      <w:color w:val="auto"/>
                    </w:rPr>
                    <w:t>1.0</w:t>
                  </w:r>
                </w:p>
              </w:tc>
              <w:tc>
                <w:tcPr>
                  <w:tcW w:w="1580" w:type="pct"/>
                  <w:vAlign w:val="center"/>
                </w:tcPr>
                <w:p w14:paraId="62C41403">
                  <w:pPr>
                    <w:pStyle w:val="47"/>
                    <w:adjustRightInd/>
                    <w:snapToGrid/>
                    <w:spacing w:before="24" w:after="24"/>
                    <w:rPr>
                      <w:rFonts w:ascii="Times New Roman"/>
                      <w:color w:val="auto"/>
                    </w:rPr>
                  </w:pPr>
                  <w:r>
                    <w:rPr>
                      <w:rFonts w:ascii="Times New Roman"/>
                      <w:color w:val="auto"/>
                    </w:rPr>
                    <w:t>铬（六价）≤</w:t>
                  </w:r>
                </w:p>
              </w:tc>
              <w:tc>
                <w:tcPr>
                  <w:tcW w:w="778" w:type="pct"/>
                  <w:vAlign w:val="center"/>
                </w:tcPr>
                <w:p w14:paraId="1740914E">
                  <w:pPr>
                    <w:pStyle w:val="47"/>
                    <w:adjustRightInd/>
                    <w:snapToGrid/>
                    <w:spacing w:before="24" w:after="24"/>
                    <w:rPr>
                      <w:rFonts w:ascii="Times New Roman"/>
                      <w:color w:val="auto"/>
                    </w:rPr>
                  </w:pPr>
                  <w:r>
                    <w:rPr>
                      <w:rFonts w:ascii="Times New Roman"/>
                      <w:color w:val="auto"/>
                    </w:rPr>
                    <w:t>0.05</w:t>
                  </w:r>
                </w:p>
              </w:tc>
            </w:tr>
            <w:tr w14:paraId="41F05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5" w:type="pct"/>
                  <w:vAlign w:val="center"/>
                </w:tcPr>
                <w:p w14:paraId="31781F32">
                  <w:pPr>
                    <w:pStyle w:val="47"/>
                    <w:adjustRightInd/>
                    <w:snapToGrid/>
                    <w:spacing w:before="24" w:after="24"/>
                    <w:rPr>
                      <w:rFonts w:ascii="Times New Roman"/>
                      <w:color w:val="auto"/>
                    </w:rPr>
                  </w:pPr>
                  <w:r>
                    <w:rPr>
                      <w:rFonts w:ascii="Times New Roman"/>
                      <w:color w:val="auto"/>
                    </w:rPr>
                    <w:t xml:space="preserve">        硒  ≤</w:t>
                  </w:r>
                </w:p>
              </w:tc>
              <w:tc>
                <w:tcPr>
                  <w:tcW w:w="997" w:type="pct"/>
                  <w:vAlign w:val="center"/>
                </w:tcPr>
                <w:p w14:paraId="68519143">
                  <w:pPr>
                    <w:pStyle w:val="47"/>
                    <w:adjustRightInd/>
                    <w:snapToGrid/>
                    <w:spacing w:before="24" w:after="24"/>
                    <w:rPr>
                      <w:rFonts w:ascii="Times New Roman"/>
                      <w:color w:val="auto"/>
                    </w:rPr>
                  </w:pPr>
                  <w:r>
                    <w:rPr>
                      <w:rFonts w:ascii="Times New Roman"/>
                      <w:color w:val="auto"/>
                    </w:rPr>
                    <w:t>0.01</w:t>
                  </w:r>
                </w:p>
              </w:tc>
              <w:tc>
                <w:tcPr>
                  <w:tcW w:w="1580" w:type="pct"/>
                  <w:vAlign w:val="center"/>
                </w:tcPr>
                <w:p w14:paraId="1C3E97DA">
                  <w:pPr>
                    <w:pStyle w:val="47"/>
                    <w:adjustRightInd/>
                    <w:snapToGrid/>
                    <w:spacing w:before="24" w:after="24"/>
                    <w:rPr>
                      <w:rFonts w:ascii="Times New Roman"/>
                      <w:color w:val="auto"/>
                    </w:rPr>
                  </w:pPr>
                  <w:r>
                    <w:rPr>
                      <w:rFonts w:ascii="Times New Roman"/>
                      <w:color w:val="auto"/>
                    </w:rPr>
                    <w:t>铅  ≤</w:t>
                  </w:r>
                </w:p>
              </w:tc>
              <w:tc>
                <w:tcPr>
                  <w:tcW w:w="778" w:type="pct"/>
                  <w:vAlign w:val="center"/>
                </w:tcPr>
                <w:p w14:paraId="285437E0">
                  <w:pPr>
                    <w:pStyle w:val="47"/>
                    <w:adjustRightInd/>
                    <w:snapToGrid/>
                    <w:spacing w:before="24" w:after="24"/>
                    <w:rPr>
                      <w:rFonts w:ascii="Times New Roman"/>
                      <w:color w:val="auto"/>
                    </w:rPr>
                  </w:pPr>
                  <w:r>
                    <w:rPr>
                      <w:rFonts w:ascii="Times New Roman"/>
                      <w:color w:val="auto"/>
                    </w:rPr>
                    <w:t>0.05</w:t>
                  </w:r>
                </w:p>
              </w:tc>
            </w:tr>
          </w:tbl>
          <w:p w14:paraId="3B43E38C">
            <w:pPr>
              <w:pStyle w:val="58"/>
              <w:spacing w:line="360" w:lineRule="auto"/>
              <w:ind w:firstLine="480" w:firstLineChars="200"/>
              <w:rPr>
                <w:rFonts w:ascii="Times New Roman" w:hAnsi="Times New Roman" w:cs="Times New Roman"/>
                <w:color w:val="auto"/>
                <w:kern w:val="24"/>
                <w:sz w:val="24"/>
              </w:rPr>
            </w:pPr>
          </w:p>
          <w:p w14:paraId="367D3718">
            <w:pPr>
              <w:adjustRightInd w:val="0"/>
              <w:snapToGrid w:val="0"/>
              <w:spacing w:line="360" w:lineRule="auto"/>
              <w:jc w:val="left"/>
              <w:rPr>
                <w:color w:val="auto"/>
                <w:kern w:val="24"/>
                <w:sz w:val="24"/>
              </w:rPr>
            </w:pPr>
            <w:r>
              <w:rPr>
                <w:rFonts w:hint="eastAsia"/>
                <w:b/>
                <w:bCs/>
                <w:color w:val="auto"/>
                <w:sz w:val="24"/>
              </w:rPr>
              <w:t>2.2 环境质量现状</w:t>
            </w:r>
          </w:p>
          <w:p w14:paraId="7CB76743">
            <w:pPr>
              <w:pStyle w:val="70"/>
              <w:ind w:firstLine="480"/>
              <w:rPr>
                <w:color w:val="auto"/>
              </w:rPr>
            </w:pPr>
            <w:r>
              <w:rPr>
                <w:color w:val="auto"/>
              </w:rPr>
              <w:t>根据《建设项目环境影响报告表编制技术指南（污染影响类）（试行）》，地表水环境引用与建设项目距离近的有效数据，包括近3年的规划环境影响评价的监测数据，所在流域控制单元内国家、地方控制断面监测数据，生态环境主管部门发布的水环境质量数据或地表水达标情况的结论。</w:t>
            </w:r>
          </w:p>
          <w:p w14:paraId="5E9B3FFD">
            <w:pPr>
              <w:pStyle w:val="70"/>
              <w:ind w:firstLine="480"/>
              <w:rPr>
                <w:color w:val="auto"/>
                <w:kern w:val="0"/>
                <w:szCs w:val="21"/>
              </w:rPr>
            </w:pPr>
            <w:r>
              <w:rPr>
                <w:rFonts w:hint="eastAsia"/>
                <w:color w:val="auto"/>
              </w:rPr>
              <w:t>杞麓湖水环境质量现状引用</w:t>
            </w:r>
            <w:r>
              <w:rPr>
                <w:rFonts w:hint="eastAsia"/>
                <w:color w:val="auto"/>
                <w:kern w:val="0"/>
                <w:szCs w:val="21"/>
              </w:rPr>
              <w:t>云南省生态环境厅发布的《2</w:t>
            </w:r>
            <w:r>
              <w:rPr>
                <w:color w:val="auto"/>
                <w:kern w:val="0"/>
                <w:szCs w:val="21"/>
              </w:rPr>
              <w:t>025</w:t>
            </w:r>
            <w:r>
              <w:rPr>
                <w:rFonts w:hint="eastAsia"/>
                <w:color w:val="auto"/>
                <w:kern w:val="0"/>
                <w:szCs w:val="21"/>
              </w:rPr>
              <w:t>年1月-</w:t>
            </w:r>
            <w:r>
              <w:rPr>
                <w:color w:val="auto"/>
                <w:kern w:val="0"/>
                <w:szCs w:val="21"/>
              </w:rPr>
              <w:t>12</w:t>
            </w:r>
            <w:r>
              <w:rPr>
                <w:rFonts w:hint="eastAsia"/>
                <w:color w:val="auto"/>
                <w:kern w:val="0"/>
                <w:szCs w:val="21"/>
              </w:rPr>
              <w:t>月重点高原湖泊水质监测状况月报》，根据2</w:t>
            </w:r>
            <w:r>
              <w:rPr>
                <w:color w:val="auto"/>
                <w:kern w:val="0"/>
                <w:szCs w:val="21"/>
              </w:rPr>
              <w:t>025</w:t>
            </w:r>
            <w:r>
              <w:rPr>
                <w:rFonts w:hint="eastAsia"/>
                <w:color w:val="auto"/>
                <w:kern w:val="0"/>
                <w:szCs w:val="21"/>
              </w:rPr>
              <w:t>年1月-</w:t>
            </w:r>
            <w:r>
              <w:rPr>
                <w:color w:val="auto"/>
                <w:kern w:val="0"/>
                <w:szCs w:val="21"/>
              </w:rPr>
              <w:t>12</w:t>
            </w:r>
            <w:r>
              <w:rPr>
                <w:rFonts w:hint="eastAsia"/>
                <w:color w:val="auto"/>
                <w:kern w:val="0"/>
                <w:szCs w:val="21"/>
              </w:rPr>
              <w:t>月月报中杞麓湖监测状况结论统计，202</w:t>
            </w:r>
            <w:r>
              <w:rPr>
                <w:color w:val="auto"/>
                <w:kern w:val="0"/>
                <w:szCs w:val="21"/>
              </w:rPr>
              <w:t>5</w:t>
            </w:r>
            <w:r>
              <w:rPr>
                <w:rFonts w:hint="eastAsia"/>
                <w:color w:val="auto"/>
                <w:kern w:val="0"/>
                <w:szCs w:val="21"/>
              </w:rPr>
              <w:t>年杞麓湖全湖平均水质综合类别为Ⅴ类，水质状况为轻度污染，湖泊营养状态为中度富营养。</w:t>
            </w:r>
          </w:p>
          <w:p w14:paraId="5C7F104E">
            <w:pPr>
              <w:pStyle w:val="70"/>
              <w:ind w:firstLine="480"/>
              <w:rPr>
                <w:color w:val="auto"/>
                <w:kern w:val="0"/>
              </w:rPr>
            </w:pPr>
            <w:r>
              <w:rPr>
                <w:rFonts w:hint="eastAsia"/>
                <w:color w:val="auto"/>
              </w:rPr>
              <w:t>因此，</w:t>
            </w:r>
            <w:r>
              <w:rPr>
                <w:rFonts w:hint="eastAsia"/>
                <w:color w:val="auto"/>
                <w:kern w:val="24"/>
              </w:rPr>
              <w:t>项目所在区域地表水体杞麓湖水质不能满足《地表水环境质量标准》（</w:t>
            </w:r>
            <w:r>
              <w:rPr>
                <w:color w:val="auto"/>
                <w:kern w:val="24"/>
              </w:rPr>
              <w:t>GB3838-2002</w:t>
            </w:r>
            <w:r>
              <w:rPr>
                <w:rFonts w:hint="eastAsia"/>
                <w:color w:val="auto"/>
                <w:kern w:val="24"/>
              </w:rPr>
              <w:t>）</w:t>
            </w:r>
            <w:r>
              <w:rPr>
                <w:color w:val="auto"/>
                <w:kern w:val="24"/>
              </w:rPr>
              <w:t>Ⅲ</w:t>
            </w:r>
            <w:r>
              <w:rPr>
                <w:rFonts w:hint="eastAsia"/>
                <w:color w:val="auto"/>
                <w:kern w:val="24"/>
              </w:rPr>
              <w:t>类水质标准，不满足环境功能要求，</w:t>
            </w:r>
            <w:r>
              <w:rPr>
                <w:color w:val="auto"/>
                <w:kern w:val="0"/>
              </w:rPr>
              <w:t>该区域没有水环境容量。</w:t>
            </w:r>
          </w:p>
          <w:p w14:paraId="253A4F1C">
            <w:pPr>
              <w:pStyle w:val="70"/>
              <w:ind w:firstLine="480"/>
              <w:rPr>
                <w:color w:val="auto"/>
                <w:kern w:val="0"/>
              </w:rPr>
            </w:pPr>
            <w:r>
              <w:rPr>
                <w:rFonts w:hint="eastAsia"/>
                <w:color w:val="auto"/>
                <w:kern w:val="0"/>
              </w:rPr>
              <w:t>针对杞麓湖水质标超问题，通海县人民政府制定了</w:t>
            </w:r>
            <w:r>
              <w:rPr>
                <w:rFonts w:hint="eastAsia"/>
                <w:color w:val="auto"/>
              </w:rPr>
              <w:t>《杞麓湖水环境保护治理“十四五”规划》，完善了</w:t>
            </w:r>
            <w:r>
              <w:rPr>
                <w:rFonts w:hint="eastAsia"/>
                <w:color w:val="auto"/>
                <w:kern w:val="0"/>
              </w:rPr>
              <w:t>杞麓湖周边污水管网建设，提高生活污水收集率，并建设了通海县第一污水处理厂、通海县第二污水处理厂、纳古镇污水处理站对杞麓湖周边生活污水进行处理。2</w:t>
            </w:r>
            <w:r>
              <w:rPr>
                <w:color w:val="auto"/>
                <w:kern w:val="0"/>
              </w:rPr>
              <w:t>025</w:t>
            </w:r>
            <w:r>
              <w:rPr>
                <w:rFonts w:hint="eastAsia"/>
                <w:color w:val="auto"/>
                <w:kern w:val="0"/>
              </w:rPr>
              <w:t>年</w:t>
            </w:r>
            <w:r>
              <w:rPr>
                <w:rFonts w:hint="eastAsia"/>
                <w:color w:val="auto"/>
                <w:kern w:val="0"/>
                <w:szCs w:val="21"/>
              </w:rPr>
              <w:t>杞麓湖全湖平均水质综合类别从往年劣V类改善为V类，实现</w:t>
            </w:r>
            <w:r>
              <w:rPr>
                <w:rFonts w:hint="eastAsia"/>
                <w:color w:val="auto"/>
              </w:rPr>
              <w:t>杞麓湖水质脱劣（V 类）企稳，污染负荷得到有效控制，水环境质量持续改善</w:t>
            </w:r>
            <w:r>
              <w:rPr>
                <w:rFonts w:hint="eastAsia"/>
                <w:color w:val="auto"/>
                <w:kern w:val="0"/>
              </w:rPr>
              <w:t>。</w:t>
            </w:r>
          </w:p>
          <w:p w14:paraId="4F09541E">
            <w:pPr>
              <w:pStyle w:val="58"/>
              <w:spacing w:line="360" w:lineRule="auto"/>
              <w:rPr>
                <w:rFonts w:ascii="Times New Roman" w:hAnsi="Times New Roman" w:cs="Times New Roman"/>
                <w:b/>
                <w:color w:val="auto"/>
                <w:kern w:val="0"/>
                <w:sz w:val="24"/>
              </w:rPr>
            </w:pPr>
            <w:r>
              <w:rPr>
                <w:rFonts w:hint="eastAsia" w:ascii="Times New Roman" w:hAnsi="Times New Roman" w:cs="Times New Roman"/>
                <w:b/>
                <w:color w:val="auto"/>
                <w:kern w:val="0"/>
                <w:sz w:val="24"/>
              </w:rPr>
              <w:t>3、声环境</w:t>
            </w:r>
          </w:p>
          <w:p w14:paraId="6BB93DEF">
            <w:pPr>
              <w:adjustRightInd w:val="0"/>
              <w:snapToGrid w:val="0"/>
              <w:spacing w:line="360" w:lineRule="auto"/>
              <w:rPr>
                <w:b/>
                <w:bCs/>
                <w:color w:val="auto"/>
                <w:sz w:val="24"/>
              </w:rPr>
            </w:pPr>
            <w:r>
              <w:rPr>
                <w:rFonts w:hint="eastAsia"/>
                <w:b/>
                <w:bCs/>
                <w:color w:val="auto"/>
                <w:sz w:val="24"/>
              </w:rPr>
              <w:t>3.1环境</w:t>
            </w:r>
            <w:r>
              <w:rPr>
                <w:b/>
                <w:bCs/>
                <w:color w:val="auto"/>
                <w:sz w:val="24"/>
              </w:rPr>
              <w:t>质量标准</w:t>
            </w:r>
          </w:p>
          <w:p w14:paraId="33ECE009">
            <w:pPr>
              <w:adjustRightInd w:val="0"/>
              <w:snapToGrid w:val="0"/>
              <w:spacing w:line="360" w:lineRule="auto"/>
              <w:ind w:firstLine="480" w:firstLineChars="200"/>
              <w:rPr>
                <w:color w:val="auto"/>
                <w:kern w:val="24"/>
                <w:sz w:val="24"/>
              </w:rPr>
            </w:pPr>
            <w:r>
              <w:rPr>
                <w:rFonts w:hint="eastAsia"/>
                <w:color w:val="auto"/>
                <w:kern w:val="24"/>
                <w:sz w:val="24"/>
              </w:rPr>
              <w:t>项目位于通海县四街镇二街村老江通公路大平地，环境功能属于</w:t>
            </w:r>
            <w:r>
              <w:rPr>
                <w:rFonts w:hint="eastAsia" w:cs="宋体"/>
                <w:color w:val="auto"/>
                <w:sz w:val="24"/>
              </w:rPr>
              <w:t>声环境功能2类区，</w:t>
            </w:r>
            <w:r>
              <w:rPr>
                <w:rFonts w:hint="eastAsia"/>
                <w:color w:val="auto"/>
                <w:kern w:val="24"/>
                <w:sz w:val="24"/>
              </w:rPr>
              <w:t>执行</w:t>
            </w:r>
            <w:bookmarkStart w:id="72" w:name="OLE_LINK48"/>
            <w:r>
              <w:rPr>
                <w:rFonts w:hint="eastAsia"/>
                <w:color w:val="auto"/>
                <w:kern w:val="24"/>
                <w:sz w:val="24"/>
              </w:rPr>
              <w:t>《声环境质量标准》（GB3096-2008）</w:t>
            </w:r>
            <w:r>
              <w:rPr>
                <w:color w:val="auto"/>
                <w:kern w:val="24"/>
                <w:sz w:val="24"/>
              </w:rPr>
              <w:t>2</w:t>
            </w:r>
            <w:r>
              <w:rPr>
                <w:rFonts w:hint="eastAsia"/>
                <w:color w:val="auto"/>
                <w:kern w:val="24"/>
                <w:sz w:val="24"/>
              </w:rPr>
              <w:t>类区标准</w:t>
            </w:r>
            <w:bookmarkEnd w:id="72"/>
            <w:r>
              <w:rPr>
                <w:rFonts w:hint="eastAsia"/>
                <w:color w:val="auto"/>
                <w:kern w:val="24"/>
                <w:sz w:val="24"/>
              </w:rPr>
              <w:t>。</w:t>
            </w:r>
          </w:p>
          <w:p w14:paraId="60D53426">
            <w:pPr>
              <w:pStyle w:val="60"/>
              <w:snapToGrid w:val="0"/>
              <w:spacing w:line="360" w:lineRule="auto"/>
              <w:ind w:firstLine="0"/>
              <w:jc w:val="center"/>
              <w:textAlignment w:val="auto"/>
              <w:rPr>
                <w:b/>
                <w:bCs/>
                <w:color w:val="auto"/>
                <w:szCs w:val="24"/>
              </w:rPr>
            </w:pPr>
            <w:r>
              <w:rPr>
                <w:b/>
                <w:bCs/>
                <w:color w:val="auto"/>
                <w:szCs w:val="24"/>
              </w:rPr>
              <w:t>表3-</w:t>
            </w:r>
            <w:r>
              <w:rPr>
                <w:rFonts w:hint="eastAsia"/>
                <w:b/>
                <w:bCs/>
                <w:color w:val="auto"/>
                <w:szCs w:val="24"/>
                <w:lang w:val="en-US" w:eastAsia="zh-CN"/>
              </w:rPr>
              <w:t>5</w:t>
            </w:r>
            <w:r>
              <w:rPr>
                <w:b/>
                <w:bCs/>
                <w:color w:val="auto"/>
                <w:szCs w:val="24"/>
              </w:rPr>
              <w:t xml:space="preserve">    声环境质量标准</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779"/>
              <w:gridCol w:w="1347"/>
              <w:gridCol w:w="1676"/>
            </w:tblGrid>
            <w:tr w14:paraId="469FC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51" w:type="pct"/>
                  <w:vMerge w:val="restart"/>
                  <w:vAlign w:val="center"/>
                </w:tcPr>
                <w:p w14:paraId="6E3E8B4A">
                  <w:pPr>
                    <w:pStyle w:val="47"/>
                    <w:adjustRightInd/>
                    <w:snapToGrid/>
                    <w:spacing w:before="24" w:after="24"/>
                    <w:rPr>
                      <w:rFonts w:ascii="Times New Roman"/>
                      <w:color w:val="auto"/>
                    </w:rPr>
                  </w:pPr>
                  <w:r>
                    <w:rPr>
                      <w:rFonts w:ascii="Times New Roman"/>
                      <w:color w:val="auto"/>
                    </w:rPr>
                    <w:t>声环境功能区类别</w:t>
                  </w:r>
                </w:p>
              </w:tc>
              <w:tc>
                <w:tcPr>
                  <w:tcW w:w="2194" w:type="pct"/>
                  <w:vMerge w:val="restart"/>
                  <w:vAlign w:val="center"/>
                </w:tcPr>
                <w:p w14:paraId="70728EE4">
                  <w:pPr>
                    <w:pStyle w:val="47"/>
                    <w:adjustRightInd/>
                    <w:snapToGrid/>
                    <w:spacing w:before="24" w:after="24"/>
                    <w:rPr>
                      <w:rFonts w:ascii="Times New Roman"/>
                      <w:color w:val="auto"/>
                    </w:rPr>
                  </w:pPr>
                  <w:r>
                    <w:rPr>
                      <w:rFonts w:ascii="Times New Roman"/>
                      <w:color w:val="auto"/>
                    </w:rPr>
                    <w:t>适用区域</w:t>
                  </w:r>
                </w:p>
              </w:tc>
              <w:tc>
                <w:tcPr>
                  <w:tcW w:w="1755" w:type="pct"/>
                  <w:gridSpan w:val="2"/>
                  <w:vAlign w:val="center"/>
                </w:tcPr>
                <w:p w14:paraId="75E0A827">
                  <w:pPr>
                    <w:pStyle w:val="47"/>
                    <w:adjustRightInd/>
                    <w:snapToGrid/>
                    <w:spacing w:before="24" w:after="24"/>
                    <w:rPr>
                      <w:rFonts w:ascii="Times New Roman"/>
                      <w:color w:val="auto"/>
                    </w:rPr>
                  </w:pPr>
                  <w:r>
                    <w:rPr>
                      <w:rFonts w:ascii="Times New Roman"/>
                      <w:color w:val="auto"/>
                    </w:rPr>
                    <w:t>等效声级/dB(A)</w:t>
                  </w:r>
                </w:p>
              </w:tc>
            </w:tr>
            <w:tr w14:paraId="016F1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1" w:type="pct"/>
                  <w:vMerge w:val="continue"/>
                  <w:vAlign w:val="center"/>
                </w:tcPr>
                <w:p w14:paraId="7B789066">
                  <w:pPr>
                    <w:pStyle w:val="47"/>
                    <w:adjustRightInd/>
                    <w:snapToGrid/>
                    <w:spacing w:before="24" w:after="24"/>
                    <w:rPr>
                      <w:rFonts w:ascii="Times New Roman"/>
                      <w:color w:val="auto"/>
                    </w:rPr>
                  </w:pPr>
                </w:p>
              </w:tc>
              <w:tc>
                <w:tcPr>
                  <w:tcW w:w="2194" w:type="pct"/>
                  <w:vMerge w:val="continue"/>
                  <w:vAlign w:val="center"/>
                </w:tcPr>
                <w:p w14:paraId="5B488733">
                  <w:pPr>
                    <w:pStyle w:val="47"/>
                    <w:adjustRightInd/>
                    <w:snapToGrid/>
                    <w:spacing w:before="24" w:after="24"/>
                    <w:rPr>
                      <w:rFonts w:ascii="Times New Roman"/>
                      <w:color w:val="auto"/>
                    </w:rPr>
                  </w:pPr>
                </w:p>
              </w:tc>
              <w:tc>
                <w:tcPr>
                  <w:tcW w:w="782" w:type="pct"/>
                  <w:vAlign w:val="center"/>
                </w:tcPr>
                <w:p w14:paraId="087789F8">
                  <w:pPr>
                    <w:pStyle w:val="47"/>
                    <w:adjustRightInd/>
                    <w:snapToGrid/>
                    <w:spacing w:before="24" w:after="24"/>
                    <w:rPr>
                      <w:rFonts w:ascii="Times New Roman"/>
                      <w:color w:val="auto"/>
                    </w:rPr>
                  </w:pPr>
                  <w:r>
                    <w:rPr>
                      <w:rFonts w:ascii="Times New Roman"/>
                      <w:color w:val="auto"/>
                    </w:rPr>
                    <w:t>昼间</w:t>
                  </w:r>
                </w:p>
              </w:tc>
              <w:tc>
                <w:tcPr>
                  <w:tcW w:w="973" w:type="pct"/>
                  <w:vAlign w:val="center"/>
                </w:tcPr>
                <w:p w14:paraId="6CF4ABC9">
                  <w:pPr>
                    <w:pStyle w:val="47"/>
                    <w:adjustRightInd/>
                    <w:snapToGrid/>
                    <w:spacing w:before="24" w:after="24"/>
                    <w:rPr>
                      <w:rFonts w:ascii="Times New Roman"/>
                      <w:color w:val="auto"/>
                    </w:rPr>
                  </w:pPr>
                  <w:r>
                    <w:rPr>
                      <w:rFonts w:ascii="Times New Roman"/>
                      <w:color w:val="auto"/>
                    </w:rPr>
                    <w:t>夜间</w:t>
                  </w:r>
                </w:p>
              </w:tc>
            </w:tr>
            <w:tr w14:paraId="2A794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1" w:type="pct"/>
                  <w:vAlign w:val="center"/>
                </w:tcPr>
                <w:p w14:paraId="1EB0DC23">
                  <w:pPr>
                    <w:pStyle w:val="47"/>
                    <w:adjustRightInd/>
                    <w:snapToGrid/>
                    <w:spacing w:before="24" w:after="24"/>
                    <w:rPr>
                      <w:rFonts w:ascii="Times New Roman"/>
                      <w:color w:val="auto"/>
                    </w:rPr>
                  </w:pPr>
                  <w:r>
                    <w:rPr>
                      <w:rFonts w:ascii="Times New Roman"/>
                      <w:color w:val="auto"/>
                    </w:rPr>
                    <w:t>2类</w:t>
                  </w:r>
                </w:p>
              </w:tc>
              <w:tc>
                <w:tcPr>
                  <w:tcW w:w="2194" w:type="pct"/>
                  <w:vAlign w:val="center"/>
                </w:tcPr>
                <w:p w14:paraId="01F9E145">
                  <w:pPr>
                    <w:pStyle w:val="47"/>
                    <w:adjustRightInd/>
                    <w:snapToGrid/>
                    <w:spacing w:before="24" w:after="24"/>
                    <w:rPr>
                      <w:rFonts w:ascii="Times New Roman"/>
                      <w:color w:val="auto"/>
                    </w:rPr>
                  </w:pPr>
                  <w:r>
                    <w:rPr>
                      <w:rFonts w:ascii="Times New Roman"/>
                      <w:color w:val="auto"/>
                    </w:rPr>
                    <w:t>项目用地范围内</w:t>
                  </w:r>
                  <w:r>
                    <w:rPr>
                      <w:rFonts w:hint="eastAsia" w:ascii="Times New Roman"/>
                      <w:color w:val="auto"/>
                    </w:rPr>
                    <w:t>及周边50m范围区域</w:t>
                  </w:r>
                </w:p>
              </w:tc>
              <w:tc>
                <w:tcPr>
                  <w:tcW w:w="782" w:type="pct"/>
                  <w:vAlign w:val="center"/>
                </w:tcPr>
                <w:p w14:paraId="6A43B5AB">
                  <w:pPr>
                    <w:pStyle w:val="47"/>
                    <w:adjustRightInd/>
                    <w:snapToGrid/>
                    <w:spacing w:before="24" w:after="24"/>
                    <w:rPr>
                      <w:rFonts w:ascii="Times New Roman"/>
                      <w:color w:val="auto"/>
                    </w:rPr>
                  </w:pPr>
                  <w:r>
                    <w:rPr>
                      <w:rFonts w:ascii="Times New Roman"/>
                      <w:color w:val="auto"/>
                    </w:rPr>
                    <w:t>60</w:t>
                  </w:r>
                </w:p>
              </w:tc>
              <w:tc>
                <w:tcPr>
                  <w:tcW w:w="973" w:type="pct"/>
                  <w:vAlign w:val="center"/>
                </w:tcPr>
                <w:p w14:paraId="429D6004">
                  <w:pPr>
                    <w:pStyle w:val="47"/>
                    <w:adjustRightInd/>
                    <w:snapToGrid/>
                    <w:spacing w:before="24" w:after="24"/>
                    <w:rPr>
                      <w:rFonts w:ascii="Times New Roman"/>
                      <w:color w:val="auto"/>
                    </w:rPr>
                  </w:pPr>
                  <w:r>
                    <w:rPr>
                      <w:rFonts w:ascii="Times New Roman"/>
                      <w:color w:val="auto"/>
                    </w:rPr>
                    <w:t>50</w:t>
                  </w:r>
                </w:p>
              </w:tc>
            </w:tr>
          </w:tbl>
          <w:p w14:paraId="67257740">
            <w:pPr>
              <w:adjustRightInd w:val="0"/>
              <w:snapToGrid w:val="0"/>
              <w:spacing w:line="360" w:lineRule="auto"/>
              <w:ind w:firstLine="480" w:firstLineChars="200"/>
              <w:rPr>
                <w:color w:val="auto"/>
                <w:kern w:val="24"/>
                <w:sz w:val="24"/>
              </w:rPr>
            </w:pPr>
          </w:p>
          <w:p w14:paraId="280CF1F8">
            <w:pPr>
              <w:adjustRightInd w:val="0"/>
              <w:snapToGrid w:val="0"/>
              <w:spacing w:line="360" w:lineRule="auto"/>
              <w:jc w:val="left"/>
              <w:rPr>
                <w:color w:val="auto"/>
                <w:kern w:val="24"/>
                <w:sz w:val="24"/>
              </w:rPr>
            </w:pPr>
            <w:r>
              <w:rPr>
                <w:rFonts w:hint="eastAsia"/>
                <w:b/>
                <w:bCs/>
                <w:color w:val="auto"/>
                <w:sz w:val="24"/>
              </w:rPr>
              <w:t>3.2 环境质量现状</w:t>
            </w:r>
          </w:p>
          <w:p w14:paraId="396AA3B1">
            <w:pPr>
              <w:adjustRightInd w:val="0"/>
              <w:snapToGrid w:val="0"/>
              <w:spacing w:line="360" w:lineRule="auto"/>
              <w:ind w:firstLine="480" w:firstLineChars="200"/>
              <w:rPr>
                <w:color w:val="auto"/>
                <w:kern w:val="24"/>
                <w:sz w:val="24"/>
              </w:rPr>
            </w:pPr>
            <w:r>
              <w:rPr>
                <w:rFonts w:hint="eastAsia"/>
                <w:color w:val="auto"/>
                <w:kern w:val="24"/>
                <w:sz w:val="24"/>
              </w:rPr>
              <w:t>根据《建设项目环境影响报告表编制技术指南（污染影响类）（试行）》： “厂界外周边50m范围内存在声环境保护目标的建设项目，应监测保护目标声环境质量现状并评价达标情况”。根据现场踏勘，项目厂界外50m范围内无声环境敏感目标，本身无需进行声环境现状监测。</w:t>
            </w:r>
            <w:bookmarkStart w:id="73" w:name="OLE_LINK51"/>
            <w:r>
              <w:rPr>
                <w:rFonts w:hint="eastAsia"/>
                <w:color w:val="auto"/>
                <w:kern w:val="24"/>
                <w:sz w:val="24"/>
              </w:rPr>
              <w:t>但是项目区域周边存在工业企业生产活动，且项目涉及未批先建，为了解项目区域声环境现状，建设单位于2026年7月17日委托玉溪华恒环境科技有限公司在项目临时启动运行的情况下，对项目地四周厂界噪声现状进行了监测。监测结果见表3-</w:t>
            </w:r>
            <w:r>
              <w:rPr>
                <w:rFonts w:hint="eastAsia"/>
                <w:color w:val="auto"/>
                <w:kern w:val="24"/>
                <w:sz w:val="24"/>
                <w:lang w:val="en-US" w:eastAsia="zh-CN"/>
              </w:rPr>
              <w:t>6</w:t>
            </w:r>
            <w:r>
              <w:rPr>
                <w:rFonts w:hint="eastAsia"/>
                <w:color w:val="auto"/>
                <w:kern w:val="24"/>
                <w:sz w:val="24"/>
              </w:rPr>
              <w:t>。</w:t>
            </w:r>
          </w:p>
          <w:p w14:paraId="3A66AC22">
            <w:pPr>
              <w:pStyle w:val="60"/>
              <w:snapToGrid w:val="0"/>
              <w:spacing w:line="360" w:lineRule="auto"/>
              <w:ind w:firstLine="0"/>
              <w:jc w:val="center"/>
              <w:textAlignment w:val="auto"/>
              <w:rPr>
                <w:b/>
                <w:bCs/>
                <w:color w:val="auto"/>
                <w:szCs w:val="24"/>
              </w:rPr>
            </w:pPr>
            <w:r>
              <w:rPr>
                <w:rFonts w:hint="eastAsia"/>
                <w:b/>
                <w:bCs/>
                <w:color w:val="auto"/>
                <w:szCs w:val="24"/>
              </w:rPr>
              <w:t>表3-</w:t>
            </w:r>
            <w:r>
              <w:rPr>
                <w:rFonts w:hint="eastAsia"/>
                <w:b/>
                <w:bCs/>
                <w:color w:val="auto"/>
                <w:szCs w:val="24"/>
                <w:lang w:val="en-US" w:eastAsia="zh-CN"/>
              </w:rPr>
              <w:t>6</w:t>
            </w:r>
            <w:r>
              <w:rPr>
                <w:rFonts w:hint="eastAsia"/>
                <w:b/>
                <w:bCs/>
                <w:color w:val="auto"/>
                <w:szCs w:val="24"/>
              </w:rPr>
              <w:t xml:space="preserve">   项目噪声监测结果</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3"/>
              <w:gridCol w:w="1354"/>
              <w:gridCol w:w="815"/>
              <w:gridCol w:w="1844"/>
              <w:gridCol w:w="1893"/>
              <w:gridCol w:w="1352"/>
            </w:tblGrid>
            <w:tr w14:paraId="36074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pct"/>
                  <w:vAlign w:val="center"/>
                </w:tcPr>
                <w:p w14:paraId="13A9C6EA">
                  <w:pPr>
                    <w:pStyle w:val="47"/>
                    <w:adjustRightInd/>
                    <w:snapToGrid/>
                    <w:spacing w:before="24" w:after="24"/>
                    <w:rPr>
                      <w:rFonts w:ascii="Times New Roman"/>
                      <w:color w:val="auto"/>
                    </w:rPr>
                  </w:pPr>
                  <w:r>
                    <w:rPr>
                      <w:rFonts w:hint="eastAsia" w:ascii="Times New Roman"/>
                      <w:color w:val="auto"/>
                    </w:rPr>
                    <w:t>名称</w:t>
                  </w:r>
                </w:p>
              </w:tc>
              <w:tc>
                <w:tcPr>
                  <w:tcW w:w="786" w:type="pct"/>
                  <w:vAlign w:val="center"/>
                </w:tcPr>
                <w:p w14:paraId="7340B09C">
                  <w:pPr>
                    <w:pStyle w:val="47"/>
                    <w:adjustRightInd/>
                    <w:snapToGrid/>
                    <w:spacing w:before="24" w:after="24"/>
                    <w:rPr>
                      <w:rFonts w:ascii="Times New Roman"/>
                      <w:color w:val="auto"/>
                    </w:rPr>
                  </w:pPr>
                  <w:r>
                    <w:rPr>
                      <w:rFonts w:hint="eastAsia" w:ascii="Times New Roman"/>
                      <w:color w:val="auto"/>
                    </w:rPr>
                    <w:t>主要声源</w:t>
                  </w:r>
                </w:p>
              </w:tc>
              <w:tc>
                <w:tcPr>
                  <w:tcW w:w="1544" w:type="pct"/>
                  <w:gridSpan w:val="2"/>
                  <w:vAlign w:val="center"/>
                </w:tcPr>
                <w:p w14:paraId="13BD8BBF">
                  <w:pPr>
                    <w:pStyle w:val="47"/>
                    <w:adjustRightInd/>
                    <w:snapToGrid/>
                    <w:spacing w:before="24" w:after="24"/>
                    <w:rPr>
                      <w:rFonts w:ascii="Times New Roman"/>
                      <w:color w:val="auto"/>
                    </w:rPr>
                  </w:pPr>
                  <w:r>
                    <w:rPr>
                      <w:rFonts w:hint="eastAsia" w:ascii="Times New Roman"/>
                      <w:color w:val="auto"/>
                    </w:rPr>
                    <w:t>测量时间</w:t>
                  </w:r>
                </w:p>
                <w:p w14:paraId="13C433F4">
                  <w:pPr>
                    <w:pStyle w:val="47"/>
                    <w:adjustRightInd/>
                    <w:snapToGrid/>
                    <w:spacing w:before="24" w:after="24"/>
                    <w:rPr>
                      <w:rFonts w:ascii="Times New Roman"/>
                      <w:color w:val="auto"/>
                    </w:rPr>
                  </w:pPr>
                  <w:r>
                    <w:rPr>
                      <w:rFonts w:hint="eastAsia" w:ascii="Times New Roman"/>
                      <w:color w:val="auto"/>
                    </w:rPr>
                    <w:t>（时、分）</w:t>
                  </w:r>
                </w:p>
              </w:tc>
              <w:tc>
                <w:tcPr>
                  <w:tcW w:w="1099" w:type="pct"/>
                  <w:vAlign w:val="center"/>
                </w:tcPr>
                <w:p w14:paraId="51F220A7">
                  <w:pPr>
                    <w:pStyle w:val="47"/>
                    <w:adjustRightInd/>
                    <w:snapToGrid/>
                    <w:spacing w:before="24" w:after="24"/>
                    <w:rPr>
                      <w:rFonts w:ascii="Times New Roman"/>
                      <w:color w:val="auto"/>
                    </w:rPr>
                  </w:pPr>
                  <w:r>
                    <w:rPr>
                      <w:rFonts w:hint="eastAsia" w:ascii="Times New Roman"/>
                      <w:color w:val="auto"/>
                    </w:rPr>
                    <w:t>环境噪声测值</w:t>
                  </w:r>
                </w:p>
                <w:p w14:paraId="6909E50A">
                  <w:pPr>
                    <w:pStyle w:val="47"/>
                    <w:adjustRightInd/>
                    <w:snapToGrid/>
                    <w:spacing w:before="24" w:after="24"/>
                    <w:rPr>
                      <w:rFonts w:ascii="Times New Roman"/>
                      <w:color w:val="auto"/>
                    </w:rPr>
                  </w:pPr>
                  <w:r>
                    <w:rPr>
                      <w:rFonts w:hint="eastAsia" w:ascii="Times New Roman"/>
                      <w:color w:val="auto"/>
                    </w:rPr>
                    <w:t>（dB（A））</w:t>
                  </w:r>
                </w:p>
              </w:tc>
              <w:tc>
                <w:tcPr>
                  <w:tcW w:w="786" w:type="pct"/>
                  <w:vAlign w:val="center"/>
                </w:tcPr>
                <w:p w14:paraId="3BA4A2D3">
                  <w:pPr>
                    <w:pStyle w:val="47"/>
                    <w:adjustRightInd/>
                    <w:snapToGrid/>
                    <w:spacing w:before="24" w:after="24"/>
                    <w:rPr>
                      <w:rFonts w:ascii="Times New Roman"/>
                      <w:color w:val="auto"/>
                    </w:rPr>
                  </w:pPr>
                  <w:r>
                    <w:rPr>
                      <w:rFonts w:hint="eastAsia" w:ascii="Times New Roman"/>
                      <w:color w:val="auto"/>
                    </w:rPr>
                    <w:t>是否达标</w:t>
                  </w:r>
                </w:p>
              </w:tc>
            </w:tr>
            <w:tr w14:paraId="6D916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pct"/>
                  <w:vAlign w:val="center"/>
                </w:tcPr>
                <w:p w14:paraId="50EC0958">
                  <w:pPr>
                    <w:pStyle w:val="47"/>
                    <w:adjustRightInd/>
                    <w:snapToGrid/>
                    <w:spacing w:before="24" w:after="24"/>
                    <w:rPr>
                      <w:rFonts w:ascii="Times New Roman"/>
                      <w:color w:val="auto"/>
                    </w:rPr>
                  </w:pPr>
                  <w:r>
                    <w:rPr>
                      <w:rFonts w:hint="eastAsia" w:ascii="Times New Roman"/>
                      <w:color w:val="auto"/>
                    </w:rPr>
                    <w:t>厂界北侧</w:t>
                  </w:r>
                </w:p>
              </w:tc>
              <w:tc>
                <w:tcPr>
                  <w:tcW w:w="786" w:type="pct"/>
                  <w:vAlign w:val="center"/>
                </w:tcPr>
                <w:p w14:paraId="0A2F49DE">
                  <w:pPr>
                    <w:pStyle w:val="47"/>
                    <w:adjustRightInd/>
                    <w:snapToGrid/>
                    <w:spacing w:before="24" w:after="24"/>
                    <w:rPr>
                      <w:rFonts w:ascii="Times New Roman"/>
                      <w:color w:val="auto"/>
                    </w:rPr>
                  </w:pPr>
                  <w:r>
                    <w:rPr>
                      <w:rFonts w:hint="eastAsia" w:ascii="Times New Roman"/>
                      <w:color w:val="auto"/>
                    </w:rPr>
                    <w:t>工业</w:t>
                  </w:r>
                </w:p>
              </w:tc>
              <w:tc>
                <w:tcPr>
                  <w:tcW w:w="473" w:type="pct"/>
                  <w:vAlign w:val="center"/>
                </w:tcPr>
                <w:p w14:paraId="53317568">
                  <w:pPr>
                    <w:pStyle w:val="47"/>
                    <w:adjustRightInd/>
                    <w:snapToGrid/>
                    <w:spacing w:before="24" w:after="24"/>
                    <w:rPr>
                      <w:rFonts w:ascii="Times New Roman"/>
                      <w:color w:val="auto"/>
                    </w:rPr>
                  </w:pPr>
                  <w:r>
                    <w:rPr>
                      <w:rFonts w:hint="eastAsia" w:ascii="Times New Roman"/>
                      <w:color w:val="auto"/>
                    </w:rPr>
                    <w:t>昼间</w:t>
                  </w:r>
                </w:p>
              </w:tc>
              <w:tc>
                <w:tcPr>
                  <w:tcW w:w="1070" w:type="pct"/>
                  <w:vAlign w:val="center"/>
                </w:tcPr>
                <w:p w14:paraId="3662EB14">
                  <w:pPr>
                    <w:pStyle w:val="47"/>
                    <w:adjustRightInd/>
                    <w:snapToGrid/>
                    <w:spacing w:before="24" w:after="24"/>
                    <w:rPr>
                      <w:rFonts w:ascii="Times New Roman"/>
                      <w:color w:val="auto"/>
                    </w:rPr>
                  </w:pPr>
                  <w:r>
                    <w:rPr>
                      <w:rFonts w:hint="eastAsia" w:ascii="Times New Roman"/>
                      <w:color w:val="auto"/>
                    </w:rPr>
                    <w:t>13:34~13：35</w:t>
                  </w:r>
                </w:p>
              </w:tc>
              <w:tc>
                <w:tcPr>
                  <w:tcW w:w="1099" w:type="pct"/>
                  <w:vAlign w:val="center"/>
                </w:tcPr>
                <w:p w14:paraId="2B71F39E">
                  <w:pPr>
                    <w:pStyle w:val="47"/>
                    <w:adjustRightInd/>
                    <w:snapToGrid/>
                    <w:spacing w:before="24" w:after="24"/>
                    <w:rPr>
                      <w:rFonts w:ascii="Times New Roman"/>
                      <w:color w:val="auto"/>
                    </w:rPr>
                  </w:pPr>
                  <w:r>
                    <w:rPr>
                      <w:rFonts w:hint="eastAsia" w:ascii="Times New Roman"/>
                      <w:color w:val="auto"/>
                    </w:rPr>
                    <w:t>55</w:t>
                  </w:r>
                </w:p>
              </w:tc>
              <w:tc>
                <w:tcPr>
                  <w:tcW w:w="786" w:type="pct"/>
                  <w:vAlign w:val="center"/>
                </w:tcPr>
                <w:p w14:paraId="4D9BD043">
                  <w:pPr>
                    <w:pStyle w:val="47"/>
                    <w:adjustRightInd/>
                    <w:snapToGrid/>
                    <w:spacing w:before="24" w:after="24"/>
                    <w:rPr>
                      <w:rFonts w:ascii="Times New Roman"/>
                      <w:color w:val="auto"/>
                    </w:rPr>
                  </w:pPr>
                  <w:r>
                    <w:rPr>
                      <w:rFonts w:hint="eastAsia" w:ascii="Times New Roman"/>
                      <w:color w:val="auto"/>
                    </w:rPr>
                    <w:t>是</w:t>
                  </w:r>
                </w:p>
              </w:tc>
            </w:tr>
            <w:tr w14:paraId="1DD63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pct"/>
                  <w:vAlign w:val="center"/>
                </w:tcPr>
                <w:p w14:paraId="7E5CAED0">
                  <w:pPr>
                    <w:pStyle w:val="47"/>
                    <w:adjustRightInd/>
                    <w:snapToGrid/>
                    <w:spacing w:before="24" w:after="24"/>
                    <w:rPr>
                      <w:rFonts w:ascii="Times New Roman"/>
                      <w:color w:val="auto"/>
                    </w:rPr>
                  </w:pPr>
                  <w:r>
                    <w:rPr>
                      <w:rFonts w:hint="eastAsia" w:ascii="Times New Roman"/>
                      <w:color w:val="auto"/>
                    </w:rPr>
                    <w:t>厂界东侧</w:t>
                  </w:r>
                </w:p>
              </w:tc>
              <w:tc>
                <w:tcPr>
                  <w:tcW w:w="786" w:type="pct"/>
                  <w:vAlign w:val="center"/>
                </w:tcPr>
                <w:p w14:paraId="44AB6044">
                  <w:pPr>
                    <w:pStyle w:val="47"/>
                    <w:adjustRightInd/>
                    <w:snapToGrid/>
                    <w:spacing w:before="24" w:after="24"/>
                    <w:rPr>
                      <w:rFonts w:ascii="Times New Roman"/>
                      <w:color w:val="auto"/>
                    </w:rPr>
                  </w:pPr>
                  <w:r>
                    <w:rPr>
                      <w:rFonts w:hint="eastAsia" w:ascii="Times New Roman"/>
                      <w:color w:val="auto"/>
                    </w:rPr>
                    <w:t>工业</w:t>
                  </w:r>
                </w:p>
              </w:tc>
              <w:tc>
                <w:tcPr>
                  <w:tcW w:w="473" w:type="pct"/>
                  <w:vAlign w:val="center"/>
                </w:tcPr>
                <w:p w14:paraId="7D98F088">
                  <w:pPr>
                    <w:pStyle w:val="47"/>
                    <w:adjustRightInd/>
                    <w:snapToGrid/>
                    <w:spacing w:before="24" w:after="24"/>
                    <w:rPr>
                      <w:rFonts w:ascii="Times New Roman"/>
                      <w:color w:val="auto"/>
                    </w:rPr>
                  </w:pPr>
                  <w:r>
                    <w:rPr>
                      <w:rFonts w:hint="eastAsia" w:ascii="Times New Roman"/>
                      <w:color w:val="auto"/>
                    </w:rPr>
                    <w:t>昼间</w:t>
                  </w:r>
                </w:p>
              </w:tc>
              <w:tc>
                <w:tcPr>
                  <w:tcW w:w="1070" w:type="pct"/>
                  <w:vAlign w:val="center"/>
                </w:tcPr>
                <w:p w14:paraId="022A2CF7">
                  <w:pPr>
                    <w:pStyle w:val="47"/>
                    <w:adjustRightInd/>
                    <w:snapToGrid/>
                    <w:spacing w:before="24" w:after="24"/>
                    <w:rPr>
                      <w:rFonts w:ascii="Times New Roman"/>
                      <w:color w:val="auto"/>
                    </w:rPr>
                  </w:pPr>
                  <w:r>
                    <w:rPr>
                      <w:rFonts w:hint="eastAsia" w:ascii="Times New Roman"/>
                      <w:color w:val="auto"/>
                    </w:rPr>
                    <w:t>13:41~13：42</w:t>
                  </w:r>
                </w:p>
              </w:tc>
              <w:tc>
                <w:tcPr>
                  <w:tcW w:w="1099" w:type="pct"/>
                  <w:vAlign w:val="center"/>
                </w:tcPr>
                <w:p w14:paraId="6F509DD2">
                  <w:pPr>
                    <w:pStyle w:val="47"/>
                    <w:adjustRightInd/>
                    <w:snapToGrid/>
                    <w:spacing w:before="24" w:after="24"/>
                    <w:rPr>
                      <w:rFonts w:ascii="Times New Roman"/>
                      <w:color w:val="auto"/>
                    </w:rPr>
                  </w:pPr>
                  <w:r>
                    <w:rPr>
                      <w:rFonts w:hint="eastAsia" w:ascii="Times New Roman"/>
                      <w:color w:val="auto"/>
                    </w:rPr>
                    <w:t>58</w:t>
                  </w:r>
                </w:p>
              </w:tc>
              <w:tc>
                <w:tcPr>
                  <w:tcW w:w="786" w:type="pct"/>
                  <w:vAlign w:val="center"/>
                </w:tcPr>
                <w:p w14:paraId="02C36A6B">
                  <w:pPr>
                    <w:pStyle w:val="47"/>
                    <w:adjustRightInd/>
                    <w:snapToGrid/>
                    <w:spacing w:before="24" w:after="24"/>
                    <w:rPr>
                      <w:rFonts w:ascii="Times New Roman"/>
                      <w:color w:val="auto"/>
                    </w:rPr>
                  </w:pPr>
                  <w:r>
                    <w:rPr>
                      <w:rFonts w:hint="eastAsia" w:ascii="Times New Roman"/>
                      <w:color w:val="auto"/>
                    </w:rPr>
                    <w:t>是</w:t>
                  </w:r>
                </w:p>
              </w:tc>
            </w:tr>
            <w:tr w14:paraId="750AA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pct"/>
                  <w:vAlign w:val="center"/>
                </w:tcPr>
                <w:p w14:paraId="3E3CB85A">
                  <w:pPr>
                    <w:pStyle w:val="47"/>
                    <w:adjustRightInd/>
                    <w:snapToGrid/>
                    <w:spacing w:before="24" w:after="24"/>
                    <w:rPr>
                      <w:rFonts w:ascii="Times New Roman"/>
                      <w:color w:val="auto"/>
                    </w:rPr>
                  </w:pPr>
                  <w:r>
                    <w:rPr>
                      <w:rFonts w:hint="eastAsia" w:ascii="Times New Roman"/>
                      <w:color w:val="auto"/>
                    </w:rPr>
                    <w:t>厂界南侧</w:t>
                  </w:r>
                </w:p>
              </w:tc>
              <w:tc>
                <w:tcPr>
                  <w:tcW w:w="786" w:type="pct"/>
                  <w:vAlign w:val="center"/>
                </w:tcPr>
                <w:p w14:paraId="3A793581">
                  <w:pPr>
                    <w:pStyle w:val="47"/>
                    <w:adjustRightInd/>
                    <w:snapToGrid/>
                    <w:spacing w:before="24" w:after="24"/>
                    <w:rPr>
                      <w:rFonts w:ascii="Times New Roman"/>
                      <w:color w:val="auto"/>
                    </w:rPr>
                  </w:pPr>
                  <w:r>
                    <w:rPr>
                      <w:rFonts w:hint="eastAsia" w:ascii="Times New Roman"/>
                      <w:color w:val="auto"/>
                    </w:rPr>
                    <w:t>工业</w:t>
                  </w:r>
                </w:p>
              </w:tc>
              <w:tc>
                <w:tcPr>
                  <w:tcW w:w="473" w:type="pct"/>
                  <w:vAlign w:val="center"/>
                </w:tcPr>
                <w:p w14:paraId="5706636A">
                  <w:pPr>
                    <w:pStyle w:val="47"/>
                    <w:adjustRightInd/>
                    <w:snapToGrid/>
                    <w:spacing w:before="24" w:after="24"/>
                    <w:rPr>
                      <w:rFonts w:ascii="Times New Roman"/>
                      <w:color w:val="auto"/>
                    </w:rPr>
                  </w:pPr>
                  <w:r>
                    <w:rPr>
                      <w:rFonts w:hint="eastAsia" w:ascii="Times New Roman"/>
                      <w:color w:val="auto"/>
                    </w:rPr>
                    <w:t>昼间</w:t>
                  </w:r>
                </w:p>
              </w:tc>
              <w:tc>
                <w:tcPr>
                  <w:tcW w:w="1070" w:type="pct"/>
                  <w:vAlign w:val="center"/>
                </w:tcPr>
                <w:p w14:paraId="063DBE94">
                  <w:pPr>
                    <w:pStyle w:val="47"/>
                    <w:adjustRightInd/>
                    <w:snapToGrid/>
                    <w:spacing w:before="24" w:after="24"/>
                    <w:rPr>
                      <w:rFonts w:ascii="Times New Roman"/>
                      <w:color w:val="auto"/>
                    </w:rPr>
                  </w:pPr>
                  <w:r>
                    <w:rPr>
                      <w:rFonts w:hint="eastAsia" w:ascii="Times New Roman"/>
                      <w:color w:val="auto"/>
                    </w:rPr>
                    <w:t>13:52~13：53</w:t>
                  </w:r>
                </w:p>
              </w:tc>
              <w:tc>
                <w:tcPr>
                  <w:tcW w:w="1099" w:type="pct"/>
                  <w:vAlign w:val="center"/>
                </w:tcPr>
                <w:p w14:paraId="2B20B346">
                  <w:pPr>
                    <w:pStyle w:val="47"/>
                    <w:adjustRightInd/>
                    <w:snapToGrid/>
                    <w:spacing w:before="24" w:after="24"/>
                    <w:rPr>
                      <w:rFonts w:ascii="Times New Roman"/>
                      <w:color w:val="auto"/>
                    </w:rPr>
                  </w:pPr>
                  <w:r>
                    <w:rPr>
                      <w:rFonts w:hint="eastAsia" w:ascii="Times New Roman"/>
                      <w:color w:val="auto"/>
                    </w:rPr>
                    <w:t>58</w:t>
                  </w:r>
                </w:p>
              </w:tc>
              <w:tc>
                <w:tcPr>
                  <w:tcW w:w="786" w:type="pct"/>
                  <w:vAlign w:val="center"/>
                </w:tcPr>
                <w:p w14:paraId="208A4F23">
                  <w:pPr>
                    <w:pStyle w:val="47"/>
                    <w:adjustRightInd/>
                    <w:snapToGrid/>
                    <w:spacing w:before="24" w:after="24"/>
                    <w:rPr>
                      <w:rFonts w:ascii="Times New Roman"/>
                      <w:color w:val="auto"/>
                    </w:rPr>
                  </w:pPr>
                  <w:r>
                    <w:rPr>
                      <w:rFonts w:hint="eastAsia" w:ascii="Times New Roman"/>
                      <w:color w:val="auto"/>
                    </w:rPr>
                    <w:t>是</w:t>
                  </w:r>
                </w:p>
              </w:tc>
            </w:tr>
            <w:tr w14:paraId="34239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pct"/>
                  <w:vAlign w:val="center"/>
                </w:tcPr>
                <w:p w14:paraId="34FCF423">
                  <w:pPr>
                    <w:pStyle w:val="47"/>
                    <w:adjustRightInd/>
                    <w:snapToGrid/>
                    <w:spacing w:before="24" w:after="24"/>
                    <w:rPr>
                      <w:rFonts w:ascii="Times New Roman"/>
                      <w:color w:val="auto"/>
                    </w:rPr>
                  </w:pPr>
                  <w:r>
                    <w:rPr>
                      <w:rFonts w:hint="eastAsia" w:ascii="Times New Roman"/>
                      <w:color w:val="auto"/>
                    </w:rPr>
                    <w:t>厂界西侧</w:t>
                  </w:r>
                </w:p>
              </w:tc>
              <w:tc>
                <w:tcPr>
                  <w:tcW w:w="786" w:type="pct"/>
                  <w:vAlign w:val="center"/>
                </w:tcPr>
                <w:p w14:paraId="672EB210">
                  <w:pPr>
                    <w:pStyle w:val="47"/>
                    <w:adjustRightInd/>
                    <w:snapToGrid/>
                    <w:spacing w:before="24" w:after="24"/>
                    <w:rPr>
                      <w:rFonts w:ascii="Times New Roman"/>
                      <w:color w:val="auto"/>
                    </w:rPr>
                  </w:pPr>
                  <w:r>
                    <w:rPr>
                      <w:rFonts w:hint="eastAsia" w:ascii="Times New Roman"/>
                      <w:color w:val="auto"/>
                    </w:rPr>
                    <w:t>工业</w:t>
                  </w:r>
                </w:p>
              </w:tc>
              <w:tc>
                <w:tcPr>
                  <w:tcW w:w="473" w:type="pct"/>
                  <w:vAlign w:val="center"/>
                </w:tcPr>
                <w:p w14:paraId="0571F75E">
                  <w:pPr>
                    <w:pStyle w:val="47"/>
                    <w:adjustRightInd/>
                    <w:snapToGrid/>
                    <w:spacing w:before="24" w:after="24"/>
                    <w:rPr>
                      <w:rFonts w:ascii="Times New Roman"/>
                      <w:color w:val="auto"/>
                    </w:rPr>
                  </w:pPr>
                  <w:r>
                    <w:rPr>
                      <w:rFonts w:hint="eastAsia" w:ascii="Times New Roman"/>
                      <w:color w:val="auto"/>
                    </w:rPr>
                    <w:t>昼间</w:t>
                  </w:r>
                </w:p>
              </w:tc>
              <w:tc>
                <w:tcPr>
                  <w:tcW w:w="1070" w:type="pct"/>
                  <w:vAlign w:val="center"/>
                </w:tcPr>
                <w:p w14:paraId="0CDB88CC">
                  <w:pPr>
                    <w:pStyle w:val="47"/>
                    <w:adjustRightInd/>
                    <w:snapToGrid/>
                    <w:spacing w:before="24" w:after="24"/>
                    <w:rPr>
                      <w:rFonts w:ascii="Times New Roman"/>
                      <w:color w:val="auto"/>
                    </w:rPr>
                  </w:pPr>
                  <w:r>
                    <w:rPr>
                      <w:rFonts w:hint="eastAsia" w:ascii="Times New Roman"/>
                      <w:color w:val="auto"/>
                    </w:rPr>
                    <w:t>14:00~14：01</w:t>
                  </w:r>
                </w:p>
              </w:tc>
              <w:tc>
                <w:tcPr>
                  <w:tcW w:w="1099" w:type="pct"/>
                  <w:vAlign w:val="center"/>
                </w:tcPr>
                <w:p w14:paraId="002B85AD">
                  <w:pPr>
                    <w:pStyle w:val="47"/>
                    <w:adjustRightInd/>
                    <w:snapToGrid/>
                    <w:spacing w:before="24" w:after="24"/>
                    <w:rPr>
                      <w:rFonts w:ascii="Times New Roman"/>
                      <w:color w:val="auto"/>
                    </w:rPr>
                  </w:pPr>
                  <w:r>
                    <w:rPr>
                      <w:rFonts w:hint="eastAsia" w:ascii="Times New Roman"/>
                      <w:color w:val="auto"/>
                    </w:rPr>
                    <w:t>58</w:t>
                  </w:r>
                </w:p>
              </w:tc>
              <w:tc>
                <w:tcPr>
                  <w:tcW w:w="786" w:type="pct"/>
                  <w:vAlign w:val="center"/>
                </w:tcPr>
                <w:p w14:paraId="20B3FDFD">
                  <w:pPr>
                    <w:pStyle w:val="47"/>
                    <w:adjustRightInd/>
                    <w:snapToGrid/>
                    <w:spacing w:before="24" w:after="24"/>
                    <w:rPr>
                      <w:rFonts w:ascii="Times New Roman"/>
                      <w:color w:val="auto"/>
                    </w:rPr>
                  </w:pPr>
                  <w:r>
                    <w:rPr>
                      <w:rFonts w:hint="eastAsia" w:ascii="Times New Roman"/>
                      <w:color w:val="auto"/>
                    </w:rPr>
                    <w:t>是</w:t>
                  </w:r>
                </w:p>
              </w:tc>
            </w:tr>
          </w:tbl>
          <w:p w14:paraId="3690ED3E">
            <w:pPr>
              <w:adjustRightInd w:val="0"/>
              <w:snapToGrid w:val="0"/>
              <w:spacing w:line="360" w:lineRule="auto"/>
              <w:ind w:firstLine="480" w:firstLineChars="200"/>
              <w:rPr>
                <w:color w:val="auto"/>
                <w:kern w:val="24"/>
                <w:sz w:val="24"/>
              </w:rPr>
            </w:pPr>
            <w:r>
              <w:rPr>
                <w:rFonts w:hint="eastAsia"/>
                <w:color w:val="auto"/>
                <w:kern w:val="24"/>
                <w:sz w:val="24"/>
              </w:rPr>
              <w:t>从上表可以看出，项目区厂界四周昼间环境噪声可以满足</w:t>
            </w:r>
            <w:r>
              <w:rPr>
                <w:color w:val="auto"/>
                <w:kern w:val="24"/>
                <w:sz w:val="24"/>
              </w:rPr>
              <w:t>《声环境质量标准》（GB3096-2008）2类区标准</w:t>
            </w:r>
            <w:r>
              <w:rPr>
                <w:rFonts w:hint="eastAsia"/>
                <w:color w:val="auto"/>
                <w:kern w:val="24"/>
                <w:sz w:val="24"/>
              </w:rPr>
              <w:t>。</w:t>
            </w:r>
          </w:p>
          <w:bookmarkEnd w:id="73"/>
          <w:p w14:paraId="4FE29975">
            <w:pPr>
              <w:pStyle w:val="58"/>
              <w:spacing w:line="360" w:lineRule="auto"/>
              <w:rPr>
                <w:rFonts w:ascii="Times New Roman" w:hAnsi="Times New Roman" w:cs="Times New Roman"/>
                <w:b/>
                <w:color w:val="auto"/>
                <w:kern w:val="0"/>
                <w:sz w:val="24"/>
              </w:rPr>
            </w:pPr>
            <w:r>
              <w:rPr>
                <w:rFonts w:hint="eastAsia" w:ascii="Times New Roman" w:hAnsi="Times New Roman" w:cs="Times New Roman"/>
                <w:b/>
                <w:color w:val="auto"/>
                <w:kern w:val="0"/>
                <w:sz w:val="24"/>
              </w:rPr>
              <w:t>4、生态环境</w:t>
            </w:r>
          </w:p>
          <w:p w14:paraId="38CAEFB5">
            <w:pPr>
              <w:adjustRightInd w:val="0"/>
              <w:snapToGrid w:val="0"/>
              <w:spacing w:line="360" w:lineRule="auto"/>
              <w:ind w:firstLine="480" w:firstLineChars="200"/>
              <w:rPr>
                <w:color w:val="auto"/>
                <w:kern w:val="24"/>
                <w:sz w:val="24"/>
              </w:rPr>
            </w:pPr>
            <w:r>
              <w:rPr>
                <w:rFonts w:hint="eastAsia"/>
                <w:color w:val="auto"/>
                <w:kern w:val="24"/>
                <w:sz w:val="24"/>
              </w:rPr>
              <w:t>根据《建设项目环境影响报告表编制技术指南（污染影响类）（试行）》：“产业园区外建设项目新增用地且用地范围内含有生态环境保护目标时，应进行生态现状调查。”根据现场踏勘，本项目利用已建工业场地，无新增用地，用地范围内无生态环境保护目标。本次评价不需开展生态环境现状调查。</w:t>
            </w:r>
          </w:p>
          <w:p w14:paraId="5C5AB9B6">
            <w:pPr>
              <w:adjustRightInd w:val="0"/>
              <w:snapToGrid w:val="0"/>
              <w:spacing w:line="360" w:lineRule="auto"/>
              <w:jc w:val="left"/>
              <w:rPr>
                <w:b/>
                <w:color w:val="auto"/>
                <w:sz w:val="24"/>
              </w:rPr>
            </w:pPr>
            <w:r>
              <w:rPr>
                <w:rFonts w:hint="eastAsia"/>
                <w:b/>
                <w:color w:val="auto"/>
                <w:sz w:val="24"/>
              </w:rPr>
              <w:t>5、地下水、土壤环境</w:t>
            </w:r>
          </w:p>
          <w:p w14:paraId="0AA58F3A">
            <w:pPr>
              <w:adjustRightInd w:val="0"/>
              <w:snapToGrid w:val="0"/>
              <w:spacing w:line="360" w:lineRule="auto"/>
              <w:ind w:firstLine="480" w:firstLineChars="200"/>
              <w:rPr>
                <w:color w:val="auto"/>
                <w:kern w:val="24"/>
                <w:sz w:val="24"/>
              </w:rPr>
            </w:pPr>
            <w:r>
              <w:rPr>
                <w:rFonts w:hint="eastAsia"/>
                <w:color w:val="auto"/>
                <w:kern w:val="24"/>
                <w:sz w:val="24"/>
              </w:rPr>
              <w:t>根据《建设项目环境影响报告表编制技术指南》（污染影响类）（试行）”地下水、土壤环境原则上不开展环境质量现状调查。建设项目存在土壤、地下水环境污染途径的，应结合污染源、保护目标分布情况开展现状调查以留作背景值。”本项目正常情况下，无地下水、土壤污染途径，因此不开展环境质量现状调查。</w:t>
            </w:r>
          </w:p>
        </w:tc>
      </w:tr>
      <w:tr w14:paraId="13EA4C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58" w:hRule="atLeast"/>
          <w:jc w:val="center"/>
        </w:trPr>
        <w:tc>
          <w:tcPr>
            <w:tcW w:w="800" w:type="dxa"/>
            <w:vAlign w:val="center"/>
          </w:tcPr>
          <w:p w14:paraId="68F2E923">
            <w:pPr>
              <w:adjustRightInd w:val="0"/>
              <w:snapToGrid w:val="0"/>
              <w:jc w:val="center"/>
              <w:rPr>
                <w:color w:val="auto"/>
                <w:kern w:val="0"/>
                <w:sz w:val="24"/>
              </w:rPr>
            </w:pPr>
            <w:r>
              <w:rPr>
                <w:rFonts w:hAnsi="宋体"/>
                <w:color w:val="auto"/>
                <w:kern w:val="0"/>
                <w:sz w:val="24"/>
              </w:rPr>
              <w:t>环境</w:t>
            </w:r>
          </w:p>
          <w:p w14:paraId="49E6DA1A">
            <w:pPr>
              <w:adjustRightInd w:val="0"/>
              <w:snapToGrid w:val="0"/>
              <w:jc w:val="center"/>
              <w:rPr>
                <w:color w:val="auto"/>
                <w:kern w:val="0"/>
                <w:sz w:val="24"/>
              </w:rPr>
            </w:pPr>
            <w:r>
              <w:rPr>
                <w:rFonts w:hAnsi="宋体"/>
                <w:color w:val="auto"/>
                <w:kern w:val="0"/>
                <w:sz w:val="24"/>
              </w:rPr>
              <w:t>保护</w:t>
            </w:r>
          </w:p>
          <w:p w14:paraId="3849F0FC">
            <w:pPr>
              <w:adjustRightInd w:val="0"/>
              <w:snapToGrid w:val="0"/>
              <w:jc w:val="center"/>
              <w:rPr>
                <w:color w:val="auto"/>
                <w:kern w:val="0"/>
                <w:sz w:val="24"/>
              </w:rPr>
            </w:pPr>
            <w:r>
              <w:rPr>
                <w:rFonts w:hAnsi="宋体"/>
                <w:color w:val="auto"/>
                <w:kern w:val="0"/>
                <w:sz w:val="24"/>
              </w:rPr>
              <w:t>目标</w:t>
            </w:r>
          </w:p>
        </w:tc>
        <w:tc>
          <w:tcPr>
            <w:tcW w:w="8487" w:type="dxa"/>
          </w:tcPr>
          <w:p w14:paraId="58633CA0">
            <w:pPr>
              <w:adjustRightInd w:val="0"/>
              <w:snapToGrid w:val="0"/>
              <w:spacing w:line="360" w:lineRule="auto"/>
              <w:ind w:firstLine="480" w:firstLineChars="200"/>
              <w:rPr>
                <w:color w:val="auto"/>
                <w:kern w:val="24"/>
                <w:sz w:val="24"/>
              </w:rPr>
            </w:pPr>
            <w:r>
              <w:rPr>
                <w:color w:val="auto"/>
                <w:kern w:val="24"/>
                <w:sz w:val="24"/>
              </w:rPr>
              <w:t>根据现场踏勘</w:t>
            </w:r>
            <w:r>
              <w:rPr>
                <w:rFonts w:hint="eastAsia"/>
                <w:color w:val="auto"/>
                <w:kern w:val="24"/>
                <w:sz w:val="24"/>
              </w:rPr>
              <w:t>、</w:t>
            </w:r>
            <w:r>
              <w:rPr>
                <w:color w:val="auto"/>
                <w:kern w:val="24"/>
                <w:sz w:val="24"/>
              </w:rPr>
              <w:t>环境现状调查</w:t>
            </w:r>
            <w:r>
              <w:rPr>
                <w:rFonts w:hint="eastAsia"/>
                <w:color w:val="auto"/>
                <w:kern w:val="24"/>
                <w:sz w:val="24"/>
              </w:rPr>
              <w:t>及玉溪市生态环境局通海分局对项目是否涉及饮用水水源地保护区查询结果，本项目厂界外500米范围内无大气环境保护目标和地下水环境保护目标，50米范围内无声环境保护目标。</w:t>
            </w:r>
            <w:r>
              <w:rPr>
                <w:color w:val="auto"/>
                <w:kern w:val="24"/>
                <w:sz w:val="24"/>
              </w:rPr>
              <w:t>主要环境保护目标见表3-</w:t>
            </w:r>
            <w:r>
              <w:rPr>
                <w:rFonts w:hint="eastAsia"/>
                <w:color w:val="auto"/>
                <w:kern w:val="24"/>
                <w:sz w:val="24"/>
                <w:lang w:val="en-US" w:eastAsia="zh-CN"/>
              </w:rPr>
              <w:t>7</w:t>
            </w:r>
            <w:r>
              <w:rPr>
                <w:color w:val="auto"/>
                <w:kern w:val="24"/>
                <w:sz w:val="24"/>
              </w:rPr>
              <w:t>。</w:t>
            </w:r>
          </w:p>
          <w:p w14:paraId="7219B936">
            <w:pPr>
              <w:pStyle w:val="62"/>
              <w:rPr>
                <w:color w:val="auto"/>
                <w:sz w:val="24"/>
              </w:rPr>
            </w:pPr>
            <w:r>
              <w:rPr>
                <w:color w:val="auto"/>
                <w:sz w:val="24"/>
              </w:rPr>
              <w:t>表3-</w:t>
            </w:r>
            <w:r>
              <w:rPr>
                <w:rFonts w:hint="eastAsia"/>
                <w:color w:val="auto"/>
                <w:sz w:val="24"/>
                <w:lang w:val="en-US" w:eastAsia="zh-CN"/>
              </w:rPr>
              <w:t>7</w:t>
            </w:r>
            <w:r>
              <w:rPr>
                <w:color w:val="auto"/>
                <w:sz w:val="24"/>
              </w:rPr>
              <w:t xml:space="preserve">   </w:t>
            </w:r>
            <w:r>
              <w:rPr>
                <w:rFonts w:hint="eastAsia"/>
                <w:color w:val="auto"/>
                <w:sz w:val="24"/>
              </w:rPr>
              <w:t>项目</w:t>
            </w:r>
            <w:r>
              <w:rPr>
                <w:rFonts w:hAnsi="宋体"/>
                <w:color w:val="auto"/>
                <w:sz w:val="24"/>
              </w:rPr>
              <w:t>环境保护目标一览表</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817"/>
              <w:gridCol w:w="1047"/>
              <w:gridCol w:w="926"/>
              <w:gridCol w:w="930"/>
              <w:gridCol w:w="698"/>
              <w:gridCol w:w="802"/>
              <w:gridCol w:w="1838"/>
              <w:gridCol w:w="684"/>
              <w:gridCol w:w="869"/>
            </w:tblGrid>
            <w:tr w14:paraId="7B321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64" w:hRule="atLeast"/>
                <w:jc w:val="center"/>
              </w:trPr>
              <w:tc>
                <w:tcPr>
                  <w:tcW w:w="868" w:type="dxa"/>
                  <w:vMerge w:val="restart"/>
                  <w:vAlign w:val="center"/>
                </w:tcPr>
                <w:p w14:paraId="0F1C8C57">
                  <w:pPr>
                    <w:adjustRightInd w:val="0"/>
                    <w:snapToGrid w:val="0"/>
                    <w:jc w:val="center"/>
                    <w:rPr>
                      <w:color w:val="auto"/>
                      <w:szCs w:val="21"/>
                    </w:rPr>
                  </w:pPr>
                  <w:r>
                    <w:rPr>
                      <w:color w:val="auto"/>
                      <w:szCs w:val="21"/>
                    </w:rPr>
                    <w:t>类别</w:t>
                  </w:r>
                </w:p>
              </w:tc>
              <w:tc>
                <w:tcPr>
                  <w:tcW w:w="1129" w:type="dxa"/>
                  <w:vMerge w:val="restart"/>
                  <w:vAlign w:val="center"/>
                </w:tcPr>
                <w:p w14:paraId="5540A764">
                  <w:pPr>
                    <w:adjustRightInd w:val="0"/>
                    <w:snapToGrid w:val="0"/>
                    <w:jc w:val="center"/>
                    <w:rPr>
                      <w:color w:val="auto"/>
                      <w:szCs w:val="21"/>
                    </w:rPr>
                  </w:pPr>
                  <w:r>
                    <w:rPr>
                      <w:color w:val="auto"/>
                      <w:szCs w:val="21"/>
                    </w:rPr>
                    <w:t>保护</w:t>
                  </w:r>
                </w:p>
                <w:p w14:paraId="2C62939A">
                  <w:pPr>
                    <w:adjustRightInd w:val="0"/>
                    <w:snapToGrid w:val="0"/>
                    <w:jc w:val="center"/>
                    <w:rPr>
                      <w:color w:val="auto"/>
                      <w:szCs w:val="21"/>
                    </w:rPr>
                  </w:pPr>
                  <w:r>
                    <w:rPr>
                      <w:color w:val="auto"/>
                      <w:szCs w:val="21"/>
                    </w:rPr>
                    <w:t>目标</w:t>
                  </w:r>
                </w:p>
              </w:tc>
              <w:tc>
                <w:tcPr>
                  <w:tcW w:w="1988" w:type="dxa"/>
                  <w:gridSpan w:val="2"/>
                  <w:vAlign w:val="center"/>
                </w:tcPr>
                <w:p w14:paraId="5CC5407A">
                  <w:pPr>
                    <w:adjustRightInd w:val="0"/>
                    <w:snapToGrid w:val="0"/>
                    <w:jc w:val="center"/>
                    <w:rPr>
                      <w:color w:val="auto"/>
                      <w:szCs w:val="21"/>
                    </w:rPr>
                  </w:pPr>
                  <w:r>
                    <w:rPr>
                      <w:color w:val="auto"/>
                      <w:szCs w:val="21"/>
                    </w:rPr>
                    <w:t>坐标</w:t>
                  </w:r>
                </w:p>
              </w:tc>
              <w:tc>
                <w:tcPr>
                  <w:tcW w:w="734" w:type="dxa"/>
                  <w:vMerge w:val="restart"/>
                  <w:vAlign w:val="center"/>
                </w:tcPr>
                <w:p w14:paraId="164777BE">
                  <w:pPr>
                    <w:adjustRightInd w:val="0"/>
                    <w:snapToGrid w:val="0"/>
                    <w:jc w:val="center"/>
                    <w:rPr>
                      <w:color w:val="auto"/>
                      <w:szCs w:val="21"/>
                    </w:rPr>
                  </w:pPr>
                  <w:r>
                    <w:rPr>
                      <w:color w:val="auto"/>
                      <w:szCs w:val="21"/>
                    </w:rPr>
                    <w:t>保护对象</w:t>
                  </w:r>
                </w:p>
              </w:tc>
              <w:tc>
                <w:tcPr>
                  <w:tcW w:w="852" w:type="dxa"/>
                  <w:vMerge w:val="restart"/>
                  <w:vAlign w:val="center"/>
                </w:tcPr>
                <w:p w14:paraId="4EC96B52">
                  <w:pPr>
                    <w:adjustRightInd w:val="0"/>
                    <w:snapToGrid w:val="0"/>
                    <w:jc w:val="center"/>
                    <w:rPr>
                      <w:color w:val="auto"/>
                      <w:szCs w:val="21"/>
                    </w:rPr>
                  </w:pPr>
                  <w:r>
                    <w:rPr>
                      <w:color w:val="auto"/>
                      <w:szCs w:val="21"/>
                    </w:rPr>
                    <w:t>保护</w:t>
                  </w:r>
                </w:p>
                <w:p w14:paraId="20270494">
                  <w:pPr>
                    <w:adjustRightInd w:val="0"/>
                    <w:snapToGrid w:val="0"/>
                    <w:jc w:val="center"/>
                    <w:rPr>
                      <w:color w:val="auto"/>
                      <w:szCs w:val="21"/>
                    </w:rPr>
                  </w:pPr>
                  <w:r>
                    <w:rPr>
                      <w:color w:val="auto"/>
                      <w:szCs w:val="21"/>
                    </w:rPr>
                    <w:t>内容</w:t>
                  </w:r>
                </w:p>
              </w:tc>
              <w:tc>
                <w:tcPr>
                  <w:tcW w:w="1394" w:type="dxa"/>
                  <w:vMerge w:val="restart"/>
                  <w:vAlign w:val="center"/>
                </w:tcPr>
                <w:p w14:paraId="13E768CD">
                  <w:pPr>
                    <w:adjustRightInd w:val="0"/>
                    <w:snapToGrid w:val="0"/>
                    <w:jc w:val="center"/>
                    <w:rPr>
                      <w:color w:val="auto"/>
                      <w:szCs w:val="21"/>
                    </w:rPr>
                  </w:pPr>
                  <w:r>
                    <w:rPr>
                      <w:color w:val="auto"/>
                      <w:szCs w:val="21"/>
                    </w:rPr>
                    <w:t>环境功能区</w:t>
                  </w:r>
                </w:p>
              </w:tc>
              <w:tc>
                <w:tcPr>
                  <w:tcW w:w="718" w:type="dxa"/>
                  <w:vMerge w:val="restart"/>
                  <w:vAlign w:val="center"/>
                </w:tcPr>
                <w:p w14:paraId="2FAC3B71">
                  <w:pPr>
                    <w:adjustRightInd w:val="0"/>
                    <w:snapToGrid w:val="0"/>
                    <w:jc w:val="center"/>
                    <w:rPr>
                      <w:color w:val="auto"/>
                      <w:szCs w:val="21"/>
                    </w:rPr>
                  </w:pPr>
                  <w:r>
                    <w:rPr>
                      <w:color w:val="auto"/>
                      <w:szCs w:val="21"/>
                    </w:rPr>
                    <w:t>相对厂址方位</w:t>
                  </w:r>
                </w:p>
              </w:tc>
              <w:tc>
                <w:tcPr>
                  <w:tcW w:w="900" w:type="dxa"/>
                  <w:vMerge w:val="restart"/>
                  <w:vAlign w:val="center"/>
                </w:tcPr>
                <w:p w14:paraId="7D713603">
                  <w:pPr>
                    <w:adjustRightInd w:val="0"/>
                    <w:snapToGrid w:val="0"/>
                    <w:jc w:val="center"/>
                    <w:rPr>
                      <w:color w:val="auto"/>
                      <w:szCs w:val="21"/>
                    </w:rPr>
                  </w:pPr>
                  <w:r>
                    <w:rPr>
                      <w:color w:val="auto"/>
                      <w:szCs w:val="21"/>
                    </w:rPr>
                    <w:t>相对厂界距离/m</w:t>
                  </w:r>
                </w:p>
              </w:tc>
            </w:tr>
            <w:tr w14:paraId="539D1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56" w:hRule="atLeast"/>
                <w:jc w:val="center"/>
              </w:trPr>
              <w:tc>
                <w:tcPr>
                  <w:tcW w:w="868" w:type="dxa"/>
                  <w:vMerge w:val="continue"/>
                  <w:vAlign w:val="center"/>
                </w:tcPr>
                <w:p w14:paraId="4C386BB3">
                  <w:pPr>
                    <w:adjustRightInd w:val="0"/>
                    <w:snapToGrid w:val="0"/>
                    <w:jc w:val="center"/>
                    <w:rPr>
                      <w:color w:val="auto"/>
                      <w:szCs w:val="21"/>
                    </w:rPr>
                  </w:pPr>
                </w:p>
              </w:tc>
              <w:tc>
                <w:tcPr>
                  <w:tcW w:w="1129" w:type="dxa"/>
                  <w:vMerge w:val="continue"/>
                  <w:vAlign w:val="center"/>
                </w:tcPr>
                <w:p w14:paraId="2B887DEE">
                  <w:pPr>
                    <w:adjustRightInd w:val="0"/>
                    <w:snapToGrid w:val="0"/>
                    <w:jc w:val="center"/>
                    <w:rPr>
                      <w:color w:val="auto"/>
                      <w:szCs w:val="21"/>
                    </w:rPr>
                  </w:pPr>
                </w:p>
              </w:tc>
              <w:tc>
                <w:tcPr>
                  <w:tcW w:w="992" w:type="dxa"/>
                  <w:vAlign w:val="center"/>
                </w:tcPr>
                <w:p w14:paraId="2E53ED60">
                  <w:pPr>
                    <w:adjustRightInd w:val="0"/>
                    <w:snapToGrid w:val="0"/>
                    <w:jc w:val="center"/>
                    <w:rPr>
                      <w:color w:val="auto"/>
                      <w:szCs w:val="21"/>
                    </w:rPr>
                  </w:pPr>
                  <w:r>
                    <w:rPr>
                      <w:color w:val="auto"/>
                      <w:szCs w:val="21"/>
                    </w:rPr>
                    <w:t>经度</w:t>
                  </w:r>
                </w:p>
              </w:tc>
              <w:tc>
                <w:tcPr>
                  <w:tcW w:w="996" w:type="dxa"/>
                  <w:vAlign w:val="center"/>
                </w:tcPr>
                <w:p w14:paraId="64C65483">
                  <w:pPr>
                    <w:adjustRightInd w:val="0"/>
                    <w:snapToGrid w:val="0"/>
                    <w:jc w:val="center"/>
                    <w:rPr>
                      <w:color w:val="auto"/>
                      <w:szCs w:val="21"/>
                    </w:rPr>
                  </w:pPr>
                  <w:r>
                    <w:rPr>
                      <w:color w:val="auto"/>
                      <w:szCs w:val="21"/>
                    </w:rPr>
                    <w:t>纬度</w:t>
                  </w:r>
                </w:p>
              </w:tc>
              <w:tc>
                <w:tcPr>
                  <w:tcW w:w="734" w:type="dxa"/>
                  <w:vMerge w:val="continue"/>
                  <w:vAlign w:val="center"/>
                </w:tcPr>
                <w:p w14:paraId="27A52139">
                  <w:pPr>
                    <w:adjustRightInd w:val="0"/>
                    <w:snapToGrid w:val="0"/>
                    <w:jc w:val="center"/>
                    <w:rPr>
                      <w:color w:val="auto"/>
                      <w:szCs w:val="21"/>
                    </w:rPr>
                  </w:pPr>
                </w:p>
              </w:tc>
              <w:tc>
                <w:tcPr>
                  <w:tcW w:w="852" w:type="dxa"/>
                  <w:vMerge w:val="continue"/>
                  <w:vAlign w:val="center"/>
                </w:tcPr>
                <w:p w14:paraId="04F85650">
                  <w:pPr>
                    <w:adjustRightInd w:val="0"/>
                    <w:snapToGrid w:val="0"/>
                    <w:jc w:val="center"/>
                    <w:rPr>
                      <w:color w:val="auto"/>
                      <w:szCs w:val="21"/>
                    </w:rPr>
                  </w:pPr>
                </w:p>
              </w:tc>
              <w:tc>
                <w:tcPr>
                  <w:tcW w:w="1394" w:type="dxa"/>
                  <w:vMerge w:val="continue"/>
                  <w:vAlign w:val="center"/>
                </w:tcPr>
                <w:p w14:paraId="4613DCEE">
                  <w:pPr>
                    <w:adjustRightInd w:val="0"/>
                    <w:snapToGrid w:val="0"/>
                    <w:jc w:val="center"/>
                    <w:rPr>
                      <w:color w:val="auto"/>
                      <w:szCs w:val="21"/>
                    </w:rPr>
                  </w:pPr>
                </w:p>
              </w:tc>
              <w:tc>
                <w:tcPr>
                  <w:tcW w:w="718" w:type="dxa"/>
                  <w:vMerge w:val="continue"/>
                  <w:vAlign w:val="center"/>
                </w:tcPr>
                <w:p w14:paraId="030F7433">
                  <w:pPr>
                    <w:adjustRightInd w:val="0"/>
                    <w:snapToGrid w:val="0"/>
                    <w:jc w:val="center"/>
                    <w:rPr>
                      <w:color w:val="auto"/>
                      <w:szCs w:val="21"/>
                    </w:rPr>
                  </w:pPr>
                </w:p>
              </w:tc>
              <w:tc>
                <w:tcPr>
                  <w:tcW w:w="900" w:type="dxa"/>
                  <w:vMerge w:val="continue"/>
                  <w:vAlign w:val="center"/>
                </w:tcPr>
                <w:p w14:paraId="02E984EC">
                  <w:pPr>
                    <w:adjustRightInd w:val="0"/>
                    <w:snapToGrid w:val="0"/>
                    <w:jc w:val="center"/>
                    <w:rPr>
                      <w:color w:val="auto"/>
                      <w:szCs w:val="21"/>
                    </w:rPr>
                  </w:pPr>
                </w:p>
              </w:tc>
            </w:tr>
            <w:tr w14:paraId="46A86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24" w:hRule="atLeast"/>
                <w:jc w:val="center"/>
              </w:trPr>
              <w:tc>
                <w:tcPr>
                  <w:tcW w:w="868" w:type="dxa"/>
                  <w:vAlign w:val="center"/>
                </w:tcPr>
                <w:p w14:paraId="4C2DF6A5">
                  <w:pPr>
                    <w:spacing w:line="360" w:lineRule="exact"/>
                    <w:jc w:val="center"/>
                    <w:rPr>
                      <w:color w:val="auto"/>
                      <w:kern w:val="24"/>
                      <w:szCs w:val="21"/>
                    </w:rPr>
                  </w:pPr>
                  <w:r>
                    <w:rPr>
                      <w:rFonts w:hint="eastAsia"/>
                      <w:color w:val="auto"/>
                      <w:kern w:val="24"/>
                      <w:szCs w:val="21"/>
                    </w:rPr>
                    <w:t>大气</w:t>
                  </w:r>
                </w:p>
                <w:p w14:paraId="1A5C020B">
                  <w:pPr>
                    <w:spacing w:line="360" w:lineRule="exact"/>
                    <w:jc w:val="center"/>
                    <w:rPr>
                      <w:color w:val="auto"/>
                      <w:kern w:val="24"/>
                      <w:szCs w:val="21"/>
                    </w:rPr>
                  </w:pPr>
                  <w:r>
                    <w:rPr>
                      <w:rFonts w:hint="eastAsia"/>
                      <w:color w:val="auto"/>
                      <w:kern w:val="24"/>
                      <w:szCs w:val="21"/>
                    </w:rPr>
                    <w:t>环境</w:t>
                  </w:r>
                </w:p>
              </w:tc>
              <w:tc>
                <w:tcPr>
                  <w:tcW w:w="4703" w:type="dxa"/>
                  <w:gridSpan w:val="5"/>
                  <w:vAlign w:val="center"/>
                </w:tcPr>
                <w:p w14:paraId="56C71B43">
                  <w:pPr>
                    <w:spacing w:line="360" w:lineRule="exact"/>
                    <w:jc w:val="center"/>
                    <w:rPr>
                      <w:color w:val="auto"/>
                      <w:szCs w:val="21"/>
                    </w:rPr>
                  </w:pPr>
                  <w:r>
                    <w:rPr>
                      <w:rFonts w:hint="eastAsia"/>
                      <w:color w:val="auto"/>
                      <w:szCs w:val="21"/>
                    </w:rPr>
                    <w:t>本项目厂界外500米范围内无大气环境保护目标</w:t>
                  </w:r>
                </w:p>
              </w:tc>
              <w:tc>
                <w:tcPr>
                  <w:tcW w:w="1394" w:type="dxa"/>
                  <w:vAlign w:val="center"/>
                </w:tcPr>
                <w:p w14:paraId="2F6DCD2E">
                  <w:pPr>
                    <w:adjustRightInd w:val="0"/>
                    <w:snapToGrid w:val="0"/>
                    <w:jc w:val="center"/>
                    <w:rPr>
                      <w:color w:val="auto"/>
                      <w:szCs w:val="21"/>
                    </w:rPr>
                  </w:pPr>
                  <w:r>
                    <w:rPr>
                      <w:color w:val="auto"/>
                      <w:szCs w:val="21"/>
                    </w:rPr>
                    <w:t>《环境空气质量标准》(GB3095-2026)</w:t>
                  </w:r>
                  <w:r>
                    <w:rPr>
                      <w:rFonts w:hint="eastAsia"/>
                      <w:color w:val="auto"/>
                      <w:szCs w:val="21"/>
                    </w:rPr>
                    <w:t>二类区</w:t>
                  </w:r>
                </w:p>
              </w:tc>
              <w:tc>
                <w:tcPr>
                  <w:tcW w:w="718" w:type="dxa"/>
                  <w:vAlign w:val="center"/>
                </w:tcPr>
                <w:p w14:paraId="22653082">
                  <w:pPr>
                    <w:spacing w:line="360" w:lineRule="exact"/>
                    <w:jc w:val="center"/>
                    <w:rPr>
                      <w:color w:val="auto"/>
                      <w:szCs w:val="21"/>
                    </w:rPr>
                  </w:pPr>
                  <w:r>
                    <w:rPr>
                      <w:rFonts w:hint="eastAsia"/>
                      <w:color w:val="auto"/>
                      <w:szCs w:val="21"/>
                    </w:rPr>
                    <w:t>/</w:t>
                  </w:r>
                </w:p>
              </w:tc>
              <w:tc>
                <w:tcPr>
                  <w:tcW w:w="900" w:type="dxa"/>
                  <w:vAlign w:val="center"/>
                </w:tcPr>
                <w:p w14:paraId="1F02BA0E">
                  <w:pPr>
                    <w:spacing w:line="360" w:lineRule="exact"/>
                    <w:jc w:val="center"/>
                    <w:rPr>
                      <w:color w:val="auto"/>
                      <w:szCs w:val="21"/>
                    </w:rPr>
                  </w:pPr>
                  <w:r>
                    <w:rPr>
                      <w:rFonts w:hint="eastAsia"/>
                      <w:color w:val="auto"/>
                      <w:szCs w:val="21"/>
                    </w:rPr>
                    <w:t>/</w:t>
                  </w:r>
                </w:p>
              </w:tc>
            </w:tr>
            <w:tr w14:paraId="677A6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1" w:hRule="atLeast"/>
                <w:jc w:val="center"/>
              </w:trPr>
              <w:tc>
                <w:tcPr>
                  <w:tcW w:w="868" w:type="dxa"/>
                  <w:vAlign w:val="center"/>
                </w:tcPr>
                <w:p w14:paraId="44BF064B">
                  <w:pPr>
                    <w:spacing w:line="360" w:lineRule="exact"/>
                    <w:jc w:val="center"/>
                    <w:rPr>
                      <w:color w:val="auto"/>
                      <w:kern w:val="24"/>
                      <w:szCs w:val="21"/>
                    </w:rPr>
                  </w:pPr>
                  <w:r>
                    <w:rPr>
                      <w:rFonts w:hint="eastAsia"/>
                      <w:color w:val="auto"/>
                      <w:kern w:val="24"/>
                      <w:szCs w:val="21"/>
                    </w:rPr>
                    <w:t>声环境</w:t>
                  </w:r>
                </w:p>
              </w:tc>
              <w:tc>
                <w:tcPr>
                  <w:tcW w:w="4703" w:type="dxa"/>
                  <w:gridSpan w:val="5"/>
                  <w:vAlign w:val="center"/>
                </w:tcPr>
                <w:p w14:paraId="6F614F1F">
                  <w:pPr>
                    <w:spacing w:line="360" w:lineRule="exact"/>
                    <w:jc w:val="center"/>
                    <w:rPr>
                      <w:color w:val="auto"/>
                      <w:szCs w:val="21"/>
                    </w:rPr>
                  </w:pPr>
                  <w:r>
                    <w:rPr>
                      <w:rFonts w:hint="eastAsia"/>
                      <w:color w:val="auto"/>
                      <w:szCs w:val="21"/>
                    </w:rPr>
                    <w:t>本项目厂界外50米范围内无声环境保护目标</w:t>
                  </w:r>
                </w:p>
              </w:tc>
              <w:tc>
                <w:tcPr>
                  <w:tcW w:w="1394" w:type="dxa"/>
                  <w:vAlign w:val="center"/>
                </w:tcPr>
                <w:p w14:paraId="03255D57">
                  <w:pPr>
                    <w:adjustRightInd w:val="0"/>
                    <w:snapToGrid w:val="0"/>
                    <w:jc w:val="center"/>
                    <w:rPr>
                      <w:color w:val="auto"/>
                      <w:szCs w:val="21"/>
                    </w:rPr>
                  </w:pPr>
                  <w:r>
                    <w:rPr>
                      <w:rFonts w:hint="eastAsia"/>
                      <w:color w:val="auto"/>
                      <w:szCs w:val="21"/>
                    </w:rPr>
                    <w:t>《声环境质量标准》</w:t>
                  </w:r>
                  <w:r>
                    <w:rPr>
                      <w:color w:val="auto"/>
                      <w:szCs w:val="21"/>
                    </w:rPr>
                    <w:t>(GB</w:t>
                  </w:r>
                  <w:r>
                    <w:rPr>
                      <w:rFonts w:hint="eastAsia"/>
                      <w:color w:val="auto"/>
                      <w:szCs w:val="21"/>
                    </w:rPr>
                    <w:t>3096</w:t>
                  </w:r>
                  <w:r>
                    <w:rPr>
                      <w:color w:val="auto"/>
                      <w:szCs w:val="21"/>
                    </w:rPr>
                    <w:t>-</w:t>
                  </w:r>
                  <w:r>
                    <w:rPr>
                      <w:rFonts w:hint="eastAsia"/>
                      <w:color w:val="auto"/>
                      <w:szCs w:val="21"/>
                    </w:rPr>
                    <w:t>2008</w:t>
                  </w:r>
                  <w:r>
                    <w:rPr>
                      <w:color w:val="auto"/>
                      <w:szCs w:val="21"/>
                    </w:rPr>
                    <w:t>)2类</w:t>
                  </w:r>
                  <w:r>
                    <w:rPr>
                      <w:rFonts w:hint="eastAsia"/>
                      <w:color w:val="auto"/>
                      <w:szCs w:val="21"/>
                    </w:rPr>
                    <w:t>区</w:t>
                  </w:r>
                </w:p>
              </w:tc>
              <w:tc>
                <w:tcPr>
                  <w:tcW w:w="718" w:type="dxa"/>
                  <w:vAlign w:val="center"/>
                </w:tcPr>
                <w:p w14:paraId="4B7A767F">
                  <w:pPr>
                    <w:spacing w:line="360" w:lineRule="exact"/>
                    <w:jc w:val="center"/>
                    <w:rPr>
                      <w:color w:val="auto"/>
                      <w:szCs w:val="21"/>
                    </w:rPr>
                  </w:pPr>
                  <w:r>
                    <w:rPr>
                      <w:rFonts w:hint="eastAsia"/>
                      <w:color w:val="auto"/>
                      <w:szCs w:val="21"/>
                    </w:rPr>
                    <w:t>/</w:t>
                  </w:r>
                </w:p>
              </w:tc>
              <w:tc>
                <w:tcPr>
                  <w:tcW w:w="900" w:type="dxa"/>
                  <w:vAlign w:val="center"/>
                </w:tcPr>
                <w:p w14:paraId="3420C034">
                  <w:pPr>
                    <w:spacing w:line="360" w:lineRule="exact"/>
                    <w:jc w:val="center"/>
                    <w:rPr>
                      <w:color w:val="auto"/>
                      <w:szCs w:val="21"/>
                    </w:rPr>
                  </w:pPr>
                  <w:r>
                    <w:rPr>
                      <w:rFonts w:hint="eastAsia"/>
                      <w:color w:val="auto"/>
                      <w:szCs w:val="21"/>
                    </w:rPr>
                    <w:t>/</w:t>
                  </w:r>
                </w:p>
              </w:tc>
            </w:tr>
            <w:tr w14:paraId="3DEF8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1" w:hRule="atLeast"/>
                <w:jc w:val="center"/>
              </w:trPr>
              <w:tc>
                <w:tcPr>
                  <w:tcW w:w="868" w:type="dxa"/>
                  <w:vMerge w:val="restart"/>
                  <w:vAlign w:val="center"/>
                </w:tcPr>
                <w:p w14:paraId="5D129021">
                  <w:pPr>
                    <w:spacing w:line="360" w:lineRule="exact"/>
                    <w:jc w:val="center"/>
                    <w:rPr>
                      <w:color w:val="auto"/>
                      <w:kern w:val="24"/>
                      <w:szCs w:val="21"/>
                    </w:rPr>
                  </w:pPr>
                  <w:r>
                    <w:rPr>
                      <w:rFonts w:hint="eastAsia"/>
                      <w:color w:val="auto"/>
                      <w:kern w:val="24"/>
                      <w:szCs w:val="21"/>
                    </w:rPr>
                    <w:t>地表水</w:t>
                  </w:r>
                </w:p>
              </w:tc>
              <w:tc>
                <w:tcPr>
                  <w:tcW w:w="4703" w:type="dxa"/>
                  <w:gridSpan w:val="5"/>
                  <w:vAlign w:val="center"/>
                </w:tcPr>
                <w:p w14:paraId="2C303887">
                  <w:pPr>
                    <w:spacing w:line="360" w:lineRule="exact"/>
                    <w:jc w:val="center"/>
                    <w:rPr>
                      <w:color w:val="auto"/>
                      <w:szCs w:val="21"/>
                    </w:rPr>
                  </w:pPr>
                  <w:r>
                    <w:rPr>
                      <w:rFonts w:hint="eastAsia"/>
                      <w:color w:val="auto"/>
                      <w:szCs w:val="21"/>
                    </w:rPr>
                    <w:t>杞麓湖</w:t>
                  </w:r>
                </w:p>
              </w:tc>
              <w:tc>
                <w:tcPr>
                  <w:tcW w:w="1394" w:type="dxa"/>
                  <w:vMerge w:val="restart"/>
                  <w:vAlign w:val="center"/>
                </w:tcPr>
                <w:p w14:paraId="50F55428">
                  <w:pPr>
                    <w:adjustRightInd w:val="0"/>
                    <w:snapToGrid w:val="0"/>
                    <w:jc w:val="center"/>
                    <w:rPr>
                      <w:color w:val="auto"/>
                      <w:szCs w:val="21"/>
                    </w:rPr>
                  </w:pPr>
                  <w:r>
                    <w:rPr>
                      <w:rFonts w:hint="eastAsia"/>
                      <w:color w:val="auto"/>
                      <w:szCs w:val="21"/>
                    </w:rPr>
                    <w:t>《地表水环境质量标准》（GB3838-2002）</w:t>
                  </w:r>
                  <w:r>
                    <w:rPr>
                      <w:rFonts w:hint="eastAsia" w:ascii="宋体" w:hAnsi="宋体" w:cs="宋体"/>
                      <w:bCs/>
                      <w:color w:val="auto"/>
                      <w:szCs w:val="21"/>
                    </w:rPr>
                    <w:t>Ⅲ</w:t>
                  </w:r>
                  <w:r>
                    <w:rPr>
                      <w:rFonts w:hint="eastAsia"/>
                      <w:color w:val="auto"/>
                      <w:szCs w:val="21"/>
                    </w:rPr>
                    <w:t>类</w:t>
                  </w:r>
                </w:p>
              </w:tc>
              <w:tc>
                <w:tcPr>
                  <w:tcW w:w="718" w:type="dxa"/>
                  <w:vAlign w:val="center"/>
                </w:tcPr>
                <w:p w14:paraId="6EAA5673">
                  <w:pPr>
                    <w:spacing w:line="360" w:lineRule="exact"/>
                    <w:jc w:val="center"/>
                    <w:rPr>
                      <w:color w:val="auto"/>
                      <w:szCs w:val="21"/>
                    </w:rPr>
                  </w:pPr>
                  <w:r>
                    <w:rPr>
                      <w:rFonts w:hint="eastAsia"/>
                      <w:color w:val="auto"/>
                      <w:szCs w:val="21"/>
                    </w:rPr>
                    <w:t>南</w:t>
                  </w:r>
                </w:p>
              </w:tc>
              <w:tc>
                <w:tcPr>
                  <w:tcW w:w="900" w:type="dxa"/>
                  <w:vAlign w:val="center"/>
                </w:tcPr>
                <w:p w14:paraId="17C36467">
                  <w:pPr>
                    <w:spacing w:line="360" w:lineRule="exact"/>
                    <w:jc w:val="center"/>
                    <w:rPr>
                      <w:color w:val="auto"/>
                      <w:szCs w:val="21"/>
                    </w:rPr>
                  </w:pPr>
                  <w:r>
                    <w:rPr>
                      <w:rFonts w:hint="eastAsia"/>
                      <w:color w:val="auto"/>
                      <w:szCs w:val="21"/>
                    </w:rPr>
                    <w:t>2654</w:t>
                  </w:r>
                </w:p>
              </w:tc>
            </w:tr>
            <w:tr w14:paraId="0A22E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1" w:hRule="atLeast"/>
                <w:jc w:val="center"/>
              </w:trPr>
              <w:tc>
                <w:tcPr>
                  <w:tcW w:w="868" w:type="dxa"/>
                  <w:vMerge w:val="continue"/>
                  <w:vAlign w:val="center"/>
                </w:tcPr>
                <w:p w14:paraId="1022FCDC">
                  <w:pPr>
                    <w:spacing w:line="360" w:lineRule="exact"/>
                    <w:jc w:val="center"/>
                    <w:rPr>
                      <w:color w:val="auto"/>
                      <w:kern w:val="24"/>
                      <w:szCs w:val="21"/>
                    </w:rPr>
                  </w:pPr>
                </w:p>
              </w:tc>
              <w:tc>
                <w:tcPr>
                  <w:tcW w:w="4703" w:type="dxa"/>
                  <w:gridSpan w:val="5"/>
                  <w:vAlign w:val="center"/>
                </w:tcPr>
                <w:p w14:paraId="294B50BA">
                  <w:pPr>
                    <w:spacing w:line="360" w:lineRule="exact"/>
                    <w:jc w:val="center"/>
                    <w:rPr>
                      <w:color w:val="auto"/>
                      <w:szCs w:val="21"/>
                    </w:rPr>
                  </w:pPr>
                  <w:r>
                    <w:rPr>
                      <w:rFonts w:hint="eastAsia"/>
                      <w:color w:val="auto"/>
                      <w:szCs w:val="21"/>
                    </w:rPr>
                    <w:t>米冲水库</w:t>
                  </w:r>
                </w:p>
              </w:tc>
              <w:tc>
                <w:tcPr>
                  <w:tcW w:w="1394" w:type="dxa"/>
                  <w:vMerge w:val="continue"/>
                  <w:vAlign w:val="center"/>
                </w:tcPr>
                <w:p w14:paraId="4964AA04">
                  <w:pPr>
                    <w:adjustRightInd w:val="0"/>
                    <w:snapToGrid w:val="0"/>
                    <w:jc w:val="center"/>
                    <w:rPr>
                      <w:color w:val="auto"/>
                      <w:szCs w:val="21"/>
                    </w:rPr>
                  </w:pPr>
                </w:p>
              </w:tc>
              <w:tc>
                <w:tcPr>
                  <w:tcW w:w="718" w:type="dxa"/>
                  <w:vAlign w:val="center"/>
                </w:tcPr>
                <w:p w14:paraId="35DB2901">
                  <w:pPr>
                    <w:spacing w:line="360" w:lineRule="exact"/>
                    <w:jc w:val="center"/>
                    <w:rPr>
                      <w:color w:val="auto"/>
                      <w:szCs w:val="21"/>
                    </w:rPr>
                  </w:pPr>
                  <w:r>
                    <w:rPr>
                      <w:rFonts w:hint="eastAsia"/>
                      <w:color w:val="auto"/>
                      <w:szCs w:val="21"/>
                    </w:rPr>
                    <w:t>东北</w:t>
                  </w:r>
                </w:p>
              </w:tc>
              <w:tc>
                <w:tcPr>
                  <w:tcW w:w="900" w:type="dxa"/>
                  <w:vAlign w:val="center"/>
                </w:tcPr>
                <w:p w14:paraId="33C0E521">
                  <w:pPr>
                    <w:spacing w:line="360" w:lineRule="exact"/>
                    <w:jc w:val="center"/>
                    <w:rPr>
                      <w:color w:val="auto"/>
                      <w:szCs w:val="21"/>
                    </w:rPr>
                  </w:pPr>
                  <w:r>
                    <w:rPr>
                      <w:rFonts w:hint="eastAsia"/>
                      <w:color w:val="auto"/>
                      <w:szCs w:val="21"/>
                    </w:rPr>
                    <w:t>282</w:t>
                  </w:r>
                </w:p>
              </w:tc>
            </w:tr>
            <w:tr w14:paraId="4F080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1" w:hRule="atLeast"/>
                <w:jc w:val="center"/>
              </w:trPr>
              <w:tc>
                <w:tcPr>
                  <w:tcW w:w="868" w:type="dxa"/>
                  <w:vMerge w:val="continue"/>
                  <w:vAlign w:val="center"/>
                </w:tcPr>
                <w:p w14:paraId="556F01DD">
                  <w:pPr>
                    <w:spacing w:line="360" w:lineRule="exact"/>
                    <w:jc w:val="center"/>
                    <w:rPr>
                      <w:color w:val="auto"/>
                      <w:kern w:val="24"/>
                      <w:szCs w:val="21"/>
                    </w:rPr>
                  </w:pPr>
                </w:p>
              </w:tc>
              <w:tc>
                <w:tcPr>
                  <w:tcW w:w="4703" w:type="dxa"/>
                  <w:gridSpan w:val="5"/>
                  <w:vAlign w:val="center"/>
                </w:tcPr>
                <w:p w14:paraId="1EA7684F">
                  <w:pPr>
                    <w:spacing w:line="360" w:lineRule="exact"/>
                    <w:jc w:val="center"/>
                    <w:rPr>
                      <w:color w:val="auto"/>
                      <w:szCs w:val="21"/>
                    </w:rPr>
                  </w:pPr>
                  <w:r>
                    <w:rPr>
                      <w:rFonts w:hint="eastAsia"/>
                      <w:color w:val="auto"/>
                      <w:szCs w:val="21"/>
                    </w:rPr>
                    <w:t>六街大沟</w:t>
                  </w:r>
                </w:p>
              </w:tc>
              <w:tc>
                <w:tcPr>
                  <w:tcW w:w="1394" w:type="dxa"/>
                  <w:vMerge w:val="continue"/>
                  <w:vAlign w:val="center"/>
                </w:tcPr>
                <w:p w14:paraId="17595D31">
                  <w:pPr>
                    <w:adjustRightInd w:val="0"/>
                    <w:snapToGrid w:val="0"/>
                    <w:jc w:val="center"/>
                    <w:rPr>
                      <w:color w:val="auto"/>
                      <w:szCs w:val="21"/>
                    </w:rPr>
                  </w:pPr>
                </w:p>
              </w:tc>
              <w:tc>
                <w:tcPr>
                  <w:tcW w:w="718" w:type="dxa"/>
                  <w:vAlign w:val="center"/>
                </w:tcPr>
                <w:p w14:paraId="5A58E702">
                  <w:pPr>
                    <w:spacing w:line="360" w:lineRule="exact"/>
                    <w:jc w:val="center"/>
                    <w:rPr>
                      <w:color w:val="auto"/>
                      <w:szCs w:val="21"/>
                    </w:rPr>
                  </w:pPr>
                  <w:r>
                    <w:rPr>
                      <w:rFonts w:hint="eastAsia"/>
                      <w:color w:val="auto"/>
                      <w:szCs w:val="21"/>
                    </w:rPr>
                    <w:t>南</w:t>
                  </w:r>
                </w:p>
              </w:tc>
              <w:tc>
                <w:tcPr>
                  <w:tcW w:w="900" w:type="dxa"/>
                  <w:vAlign w:val="center"/>
                </w:tcPr>
                <w:p w14:paraId="1FA31923">
                  <w:pPr>
                    <w:spacing w:line="360" w:lineRule="exact"/>
                    <w:jc w:val="center"/>
                    <w:rPr>
                      <w:color w:val="auto"/>
                      <w:szCs w:val="21"/>
                    </w:rPr>
                  </w:pPr>
                  <w:r>
                    <w:rPr>
                      <w:rFonts w:hint="eastAsia"/>
                      <w:color w:val="auto"/>
                      <w:szCs w:val="21"/>
                    </w:rPr>
                    <w:t>926</w:t>
                  </w:r>
                </w:p>
              </w:tc>
            </w:tr>
            <w:tr w14:paraId="606B0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1" w:hRule="atLeast"/>
                <w:jc w:val="center"/>
              </w:trPr>
              <w:tc>
                <w:tcPr>
                  <w:tcW w:w="868" w:type="dxa"/>
                  <w:vAlign w:val="center"/>
                </w:tcPr>
                <w:p w14:paraId="372742CE">
                  <w:pPr>
                    <w:spacing w:line="360" w:lineRule="exact"/>
                    <w:jc w:val="center"/>
                    <w:rPr>
                      <w:color w:val="auto"/>
                      <w:kern w:val="24"/>
                      <w:szCs w:val="21"/>
                    </w:rPr>
                  </w:pPr>
                  <w:r>
                    <w:rPr>
                      <w:rFonts w:hint="eastAsia"/>
                      <w:color w:val="auto"/>
                      <w:kern w:val="24"/>
                      <w:szCs w:val="21"/>
                    </w:rPr>
                    <w:t>地下水</w:t>
                  </w:r>
                </w:p>
              </w:tc>
              <w:tc>
                <w:tcPr>
                  <w:tcW w:w="7715" w:type="dxa"/>
                  <w:gridSpan w:val="8"/>
                  <w:vAlign w:val="center"/>
                </w:tcPr>
                <w:p w14:paraId="47DF6679">
                  <w:pPr>
                    <w:spacing w:line="360" w:lineRule="exact"/>
                    <w:jc w:val="center"/>
                    <w:rPr>
                      <w:color w:val="auto"/>
                      <w:szCs w:val="21"/>
                    </w:rPr>
                  </w:pPr>
                  <w:r>
                    <w:rPr>
                      <w:color w:val="auto"/>
                      <w:szCs w:val="21"/>
                    </w:rPr>
                    <w:t>500m范围内无地下水集中式饮用水水源和热水、矿泉水、温泉等特殊地下水资源</w:t>
                  </w:r>
                </w:p>
              </w:tc>
            </w:tr>
          </w:tbl>
          <w:p w14:paraId="6D5C95C3">
            <w:pPr>
              <w:pStyle w:val="58"/>
              <w:spacing w:line="360" w:lineRule="auto"/>
              <w:rPr>
                <w:rFonts w:ascii="Times New Roman" w:hAnsi="Times New Roman" w:cs="Times New Roman"/>
                <w:color w:val="auto"/>
                <w:sz w:val="24"/>
                <w:lang w:val="en-US"/>
              </w:rPr>
            </w:pPr>
          </w:p>
        </w:tc>
      </w:tr>
      <w:tr w14:paraId="60B164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800" w:type="dxa"/>
            <w:tcMar>
              <w:left w:w="28" w:type="dxa"/>
              <w:right w:w="28" w:type="dxa"/>
            </w:tcMar>
            <w:vAlign w:val="center"/>
          </w:tcPr>
          <w:p w14:paraId="1E87C106">
            <w:pPr>
              <w:adjustRightInd w:val="0"/>
              <w:snapToGrid w:val="0"/>
              <w:jc w:val="center"/>
              <w:rPr>
                <w:color w:val="auto"/>
                <w:kern w:val="0"/>
                <w:sz w:val="24"/>
              </w:rPr>
            </w:pPr>
            <w:r>
              <w:rPr>
                <w:rFonts w:hAnsi="宋体"/>
                <w:color w:val="auto"/>
                <w:kern w:val="0"/>
                <w:sz w:val="24"/>
              </w:rPr>
              <w:t>污染</w:t>
            </w:r>
          </w:p>
          <w:p w14:paraId="5904CA10">
            <w:pPr>
              <w:adjustRightInd w:val="0"/>
              <w:snapToGrid w:val="0"/>
              <w:jc w:val="center"/>
              <w:rPr>
                <w:color w:val="auto"/>
                <w:kern w:val="0"/>
                <w:sz w:val="24"/>
              </w:rPr>
            </w:pPr>
            <w:r>
              <w:rPr>
                <w:rFonts w:hAnsi="宋体"/>
                <w:color w:val="auto"/>
                <w:kern w:val="0"/>
                <w:sz w:val="24"/>
              </w:rPr>
              <w:t>物排</w:t>
            </w:r>
          </w:p>
          <w:p w14:paraId="27C89B36">
            <w:pPr>
              <w:adjustRightInd w:val="0"/>
              <w:snapToGrid w:val="0"/>
              <w:jc w:val="center"/>
              <w:rPr>
                <w:color w:val="auto"/>
                <w:kern w:val="0"/>
                <w:sz w:val="24"/>
              </w:rPr>
            </w:pPr>
            <w:r>
              <w:rPr>
                <w:rFonts w:hAnsi="宋体"/>
                <w:color w:val="auto"/>
                <w:kern w:val="0"/>
                <w:sz w:val="24"/>
              </w:rPr>
              <w:t>放控</w:t>
            </w:r>
          </w:p>
          <w:p w14:paraId="55F72076">
            <w:pPr>
              <w:adjustRightInd w:val="0"/>
              <w:snapToGrid w:val="0"/>
              <w:jc w:val="center"/>
              <w:rPr>
                <w:color w:val="auto"/>
                <w:kern w:val="0"/>
                <w:sz w:val="24"/>
              </w:rPr>
            </w:pPr>
            <w:r>
              <w:rPr>
                <w:rFonts w:hAnsi="宋体"/>
                <w:color w:val="auto"/>
                <w:kern w:val="0"/>
                <w:sz w:val="24"/>
              </w:rPr>
              <w:t>制标</w:t>
            </w:r>
          </w:p>
          <w:p w14:paraId="04A53167">
            <w:pPr>
              <w:adjustRightInd w:val="0"/>
              <w:snapToGrid w:val="0"/>
              <w:jc w:val="center"/>
              <w:rPr>
                <w:color w:val="auto"/>
                <w:kern w:val="0"/>
                <w:sz w:val="24"/>
              </w:rPr>
            </w:pPr>
            <w:r>
              <w:rPr>
                <w:rFonts w:hAnsi="宋体"/>
                <w:color w:val="auto"/>
                <w:kern w:val="0"/>
                <w:sz w:val="24"/>
              </w:rPr>
              <w:t>准</w:t>
            </w:r>
          </w:p>
        </w:tc>
        <w:tc>
          <w:tcPr>
            <w:tcW w:w="8487" w:type="dxa"/>
          </w:tcPr>
          <w:p w14:paraId="5064EA6C">
            <w:pPr>
              <w:adjustRightInd w:val="0"/>
              <w:snapToGrid w:val="0"/>
              <w:spacing w:line="360" w:lineRule="auto"/>
              <w:rPr>
                <w:b/>
                <w:bCs/>
                <w:color w:val="auto"/>
                <w:sz w:val="24"/>
              </w:rPr>
            </w:pPr>
            <w:r>
              <w:rPr>
                <w:b/>
                <w:bCs/>
                <w:color w:val="auto"/>
                <w:sz w:val="24"/>
              </w:rPr>
              <w:t>1、大气污染物排放标准</w:t>
            </w:r>
          </w:p>
          <w:p w14:paraId="3A26E61D">
            <w:pPr>
              <w:pStyle w:val="70"/>
              <w:ind w:firstLine="480"/>
              <w:rPr>
                <w:color w:val="auto"/>
              </w:rPr>
            </w:pPr>
            <w:r>
              <w:rPr>
                <w:rFonts w:hint="eastAsia"/>
                <w:color w:val="auto"/>
              </w:rPr>
              <w:t>（</w:t>
            </w:r>
            <w:r>
              <w:rPr>
                <w:color w:val="auto"/>
              </w:rPr>
              <w:t>1</w:t>
            </w:r>
            <w:r>
              <w:rPr>
                <w:rFonts w:hint="eastAsia"/>
                <w:color w:val="auto"/>
              </w:rPr>
              <w:t>）施工期：颗粒物排放执行《大气污染物综合排放标准》（</w:t>
            </w:r>
            <w:r>
              <w:rPr>
                <w:color w:val="auto"/>
              </w:rPr>
              <w:t>GB 16297-1996</w:t>
            </w:r>
            <w:r>
              <w:rPr>
                <w:rFonts w:hint="eastAsia"/>
                <w:color w:val="auto"/>
              </w:rPr>
              <w:t>）表</w:t>
            </w:r>
            <w:r>
              <w:rPr>
                <w:color w:val="auto"/>
              </w:rPr>
              <w:t>2</w:t>
            </w:r>
            <w:r>
              <w:rPr>
                <w:rFonts w:hint="eastAsia"/>
                <w:color w:val="auto"/>
              </w:rPr>
              <w:t>新污染源大气污染物无组织排放浓度限值，即周界外浓度最高点</w:t>
            </w:r>
            <w:r>
              <w:rPr>
                <w:color w:val="auto"/>
              </w:rPr>
              <w:t>1.0mg/m</w:t>
            </w:r>
            <w:r>
              <w:rPr>
                <w:color w:val="auto"/>
                <w:vertAlign w:val="superscript"/>
              </w:rPr>
              <w:t>3</w:t>
            </w:r>
            <w:r>
              <w:rPr>
                <w:rFonts w:hint="eastAsia"/>
                <w:color w:val="auto"/>
              </w:rPr>
              <w:t>。</w:t>
            </w:r>
          </w:p>
          <w:p w14:paraId="75CF24CF">
            <w:pPr>
              <w:pStyle w:val="70"/>
              <w:ind w:firstLine="480"/>
              <w:rPr>
                <w:color w:val="auto"/>
              </w:rPr>
            </w:pPr>
            <w:r>
              <w:rPr>
                <w:rFonts w:hint="eastAsia"/>
                <w:color w:val="auto"/>
              </w:rPr>
              <w:t>（</w:t>
            </w:r>
            <w:r>
              <w:rPr>
                <w:color w:val="auto"/>
              </w:rPr>
              <w:t>2</w:t>
            </w:r>
            <w:r>
              <w:rPr>
                <w:rFonts w:hint="eastAsia"/>
                <w:color w:val="auto"/>
              </w:rPr>
              <w:t>）运营期：</w:t>
            </w:r>
          </w:p>
          <w:p w14:paraId="5DC50446">
            <w:pPr>
              <w:pStyle w:val="70"/>
              <w:ind w:firstLine="480"/>
              <w:rPr>
                <w:color w:val="auto"/>
              </w:rPr>
            </w:pPr>
            <w:r>
              <w:rPr>
                <w:color w:val="auto"/>
              </w:rPr>
              <w:t>本项目</w:t>
            </w:r>
            <w:r>
              <w:rPr>
                <w:rFonts w:hint="eastAsia"/>
                <w:color w:val="auto"/>
              </w:rPr>
              <w:t>焊接烟尘执行《大气污染物综合排放标准》（GB 16297-1996）中表2新污染源大气污染物排放限值中二级排放限值。</w:t>
            </w:r>
          </w:p>
          <w:p w14:paraId="6A41EB30">
            <w:pPr>
              <w:pStyle w:val="70"/>
              <w:ind w:firstLine="480"/>
              <w:rPr>
                <w:color w:val="auto"/>
              </w:rPr>
            </w:pPr>
            <w:r>
              <w:rPr>
                <w:rFonts w:hint="eastAsia"/>
                <w:color w:val="auto"/>
              </w:rPr>
              <w:t>项目无组织废气执行《大气污染物综合排放标准》（GB16297-1996）表2中新污染源大气污染物</w:t>
            </w:r>
            <w:r>
              <w:rPr>
                <w:color w:val="auto"/>
              </w:rPr>
              <w:t>无组织排放监控浓度限值</w:t>
            </w:r>
            <w:r>
              <w:rPr>
                <w:rFonts w:hint="eastAsia"/>
                <w:color w:val="auto"/>
              </w:rPr>
              <w:t>。</w:t>
            </w:r>
          </w:p>
          <w:p w14:paraId="7DE870A4">
            <w:pPr>
              <w:tabs>
                <w:tab w:val="center" w:pos="3934"/>
                <w:tab w:val="left" w:pos="6495"/>
              </w:tabs>
              <w:snapToGrid w:val="0"/>
              <w:spacing w:line="360" w:lineRule="auto"/>
              <w:jc w:val="center"/>
              <w:rPr>
                <w:b/>
                <w:color w:val="auto"/>
                <w:sz w:val="24"/>
              </w:rPr>
            </w:pPr>
            <w:r>
              <w:rPr>
                <w:rFonts w:hint="eastAsia"/>
                <w:b/>
                <w:color w:val="auto"/>
                <w:sz w:val="24"/>
              </w:rPr>
              <w:t>表</w:t>
            </w:r>
            <w:r>
              <w:rPr>
                <w:b/>
                <w:color w:val="auto"/>
                <w:sz w:val="24"/>
              </w:rPr>
              <w:t>3-</w:t>
            </w:r>
            <w:r>
              <w:rPr>
                <w:rFonts w:hint="eastAsia"/>
                <w:b/>
                <w:color w:val="auto"/>
                <w:sz w:val="24"/>
                <w:lang w:val="en-US" w:eastAsia="zh-CN"/>
              </w:rPr>
              <w:t>8</w:t>
            </w:r>
            <w:r>
              <w:rPr>
                <w:b/>
                <w:color w:val="auto"/>
                <w:sz w:val="24"/>
              </w:rPr>
              <w:t xml:space="preserve">  本项目运营期大气污染物排放浓度限值</w:t>
            </w:r>
          </w:p>
          <w:tbl>
            <w:tblPr>
              <w:tblStyle w:val="32"/>
              <w:tblW w:w="8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7"/>
              <w:gridCol w:w="666"/>
              <w:gridCol w:w="597"/>
              <w:gridCol w:w="1224"/>
              <w:gridCol w:w="1241"/>
              <w:gridCol w:w="543"/>
              <w:gridCol w:w="3056"/>
            </w:tblGrid>
            <w:tr w14:paraId="7D46B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732" w:type="pct"/>
                  <w:vAlign w:val="center"/>
                </w:tcPr>
                <w:p w14:paraId="59364C79">
                  <w:pPr>
                    <w:pStyle w:val="47"/>
                    <w:spacing w:beforeLines="0" w:afterLines="0" w:line="240" w:lineRule="auto"/>
                    <w:rPr>
                      <w:rFonts w:ascii="Times New Roman" w:eastAsiaTheme="minorEastAsia"/>
                      <w:color w:val="auto"/>
                    </w:rPr>
                  </w:pPr>
                  <w:r>
                    <w:rPr>
                      <w:rFonts w:hint="eastAsia" w:ascii="Times New Roman" w:eastAsiaTheme="minorEastAsia"/>
                      <w:color w:val="auto"/>
                    </w:rPr>
                    <w:t>污染源</w:t>
                  </w:r>
                </w:p>
              </w:tc>
              <w:tc>
                <w:tcPr>
                  <w:tcW w:w="736" w:type="pct"/>
                  <w:gridSpan w:val="2"/>
                  <w:vAlign w:val="center"/>
                </w:tcPr>
                <w:p w14:paraId="13209267">
                  <w:pPr>
                    <w:pStyle w:val="47"/>
                    <w:spacing w:beforeLines="0" w:afterLines="0" w:line="240" w:lineRule="auto"/>
                    <w:rPr>
                      <w:rFonts w:ascii="Times New Roman"/>
                      <w:color w:val="auto"/>
                    </w:rPr>
                  </w:pPr>
                  <w:r>
                    <w:rPr>
                      <w:rFonts w:ascii="Times New Roman" w:eastAsiaTheme="minorEastAsia"/>
                      <w:color w:val="auto"/>
                    </w:rPr>
                    <w:t>污染物项目</w:t>
                  </w:r>
                </w:p>
              </w:tc>
              <w:tc>
                <w:tcPr>
                  <w:tcW w:w="713" w:type="pct"/>
                  <w:vAlign w:val="center"/>
                </w:tcPr>
                <w:p w14:paraId="639D4817">
                  <w:pPr>
                    <w:pStyle w:val="47"/>
                    <w:spacing w:beforeLines="0" w:afterLines="0" w:line="240" w:lineRule="auto"/>
                    <w:rPr>
                      <w:rFonts w:ascii="Times New Roman" w:eastAsiaTheme="minorEastAsia"/>
                      <w:color w:val="auto"/>
                    </w:rPr>
                  </w:pPr>
                  <w:r>
                    <w:rPr>
                      <w:rFonts w:ascii="Times New Roman"/>
                      <w:color w:val="auto"/>
                    </w:rPr>
                    <w:t>最高允许排放浓度（mg/m</w:t>
                  </w:r>
                  <w:r>
                    <w:rPr>
                      <w:rFonts w:ascii="Times New Roman"/>
                      <w:color w:val="auto"/>
                      <w:vertAlign w:val="superscript"/>
                    </w:rPr>
                    <w:t>3</w:t>
                  </w:r>
                  <w:r>
                    <w:rPr>
                      <w:rFonts w:ascii="Times New Roman"/>
                      <w:color w:val="auto"/>
                    </w:rPr>
                    <w:t>）</w:t>
                  </w:r>
                </w:p>
              </w:tc>
              <w:tc>
                <w:tcPr>
                  <w:tcW w:w="723" w:type="pct"/>
                  <w:vAlign w:val="center"/>
                </w:tcPr>
                <w:p w14:paraId="23E38FEC">
                  <w:pPr>
                    <w:pStyle w:val="47"/>
                    <w:spacing w:beforeLines="0" w:afterLines="0" w:line="240" w:lineRule="auto"/>
                    <w:rPr>
                      <w:rFonts w:ascii="Times New Roman" w:eastAsiaTheme="minorEastAsia"/>
                      <w:color w:val="auto"/>
                    </w:rPr>
                  </w:pPr>
                  <w:r>
                    <w:rPr>
                      <w:rFonts w:ascii="Times New Roman"/>
                      <w:color w:val="auto"/>
                    </w:rPr>
                    <w:t>最高允许排放速率（kg/h）</w:t>
                  </w:r>
                </w:p>
              </w:tc>
              <w:tc>
                <w:tcPr>
                  <w:tcW w:w="2096" w:type="pct"/>
                  <w:gridSpan w:val="2"/>
                  <w:vAlign w:val="center"/>
                </w:tcPr>
                <w:p w14:paraId="6C1503FC">
                  <w:pPr>
                    <w:pStyle w:val="47"/>
                    <w:spacing w:beforeLines="0" w:afterLines="0" w:line="240" w:lineRule="auto"/>
                    <w:rPr>
                      <w:rFonts w:ascii="Times New Roman" w:eastAsiaTheme="minorEastAsia"/>
                      <w:color w:val="auto"/>
                    </w:rPr>
                  </w:pPr>
                  <w:r>
                    <w:rPr>
                      <w:rFonts w:ascii="Times New Roman" w:eastAsiaTheme="minorEastAsia"/>
                      <w:color w:val="auto"/>
                    </w:rPr>
                    <w:t>标准来源</w:t>
                  </w:r>
                </w:p>
              </w:tc>
            </w:tr>
            <w:tr w14:paraId="62CE4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732" w:type="pct"/>
                  <w:vAlign w:val="center"/>
                </w:tcPr>
                <w:p w14:paraId="1DE77BAD">
                  <w:pPr>
                    <w:pStyle w:val="47"/>
                    <w:spacing w:beforeLines="0" w:afterLines="0" w:line="240" w:lineRule="auto"/>
                    <w:rPr>
                      <w:rFonts w:ascii="Times New Roman" w:eastAsiaTheme="minorEastAsia"/>
                      <w:color w:val="auto"/>
                    </w:rPr>
                  </w:pPr>
                  <w:r>
                    <w:rPr>
                      <w:rFonts w:hint="eastAsia"/>
                      <w:color w:val="auto"/>
                    </w:rPr>
                    <w:t>高频焊接</w:t>
                  </w:r>
                  <w:r>
                    <w:rPr>
                      <w:rFonts w:hint="eastAsia" w:ascii="Times New Roman" w:eastAsiaTheme="minorEastAsia"/>
                      <w:color w:val="auto"/>
                    </w:rPr>
                    <w:t>（DA00</w:t>
                  </w:r>
                  <w:r>
                    <w:rPr>
                      <w:rFonts w:ascii="Times New Roman" w:eastAsiaTheme="minorEastAsia"/>
                      <w:color w:val="auto"/>
                    </w:rPr>
                    <w:t>1</w:t>
                  </w:r>
                  <w:r>
                    <w:rPr>
                      <w:rFonts w:hint="eastAsia" w:ascii="Times New Roman" w:eastAsiaTheme="minorEastAsia"/>
                      <w:color w:val="auto"/>
                    </w:rPr>
                    <w:t>）</w:t>
                  </w:r>
                </w:p>
              </w:tc>
              <w:tc>
                <w:tcPr>
                  <w:tcW w:w="736" w:type="pct"/>
                  <w:gridSpan w:val="2"/>
                  <w:vAlign w:val="center"/>
                </w:tcPr>
                <w:p w14:paraId="54806FFE">
                  <w:pPr>
                    <w:pStyle w:val="47"/>
                    <w:spacing w:beforeLines="0" w:afterLines="0" w:line="240" w:lineRule="auto"/>
                    <w:rPr>
                      <w:rFonts w:ascii="Times New Roman"/>
                      <w:color w:val="auto"/>
                    </w:rPr>
                  </w:pPr>
                  <w:r>
                    <w:rPr>
                      <w:rFonts w:hint="eastAsia" w:ascii="Times New Roman"/>
                      <w:color w:val="auto"/>
                    </w:rPr>
                    <w:t>颗粒物</w:t>
                  </w:r>
                </w:p>
              </w:tc>
              <w:tc>
                <w:tcPr>
                  <w:tcW w:w="713" w:type="pct"/>
                  <w:vAlign w:val="center"/>
                </w:tcPr>
                <w:p w14:paraId="5E553C70">
                  <w:pPr>
                    <w:pStyle w:val="47"/>
                    <w:spacing w:beforeLines="0" w:afterLines="0" w:line="240" w:lineRule="auto"/>
                    <w:rPr>
                      <w:rFonts w:ascii="Times New Roman"/>
                      <w:color w:val="auto"/>
                    </w:rPr>
                  </w:pPr>
                  <w:r>
                    <w:rPr>
                      <w:rFonts w:ascii="Times New Roman"/>
                      <w:color w:val="auto"/>
                    </w:rPr>
                    <w:t>120</w:t>
                  </w:r>
                </w:p>
              </w:tc>
              <w:tc>
                <w:tcPr>
                  <w:tcW w:w="723" w:type="pct"/>
                  <w:vAlign w:val="center"/>
                </w:tcPr>
                <w:p w14:paraId="06FC7460">
                  <w:pPr>
                    <w:pStyle w:val="47"/>
                    <w:spacing w:beforeLines="0" w:afterLines="0" w:line="240" w:lineRule="auto"/>
                    <w:rPr>
                      <w:rFonts w:ascii="Times New Roman" w:eastAsiaTheme="minorEastAsia"/>
                      <w:color w:val="auto"/>
                    </w:rPr>
                  </w:pPr>
                  <w:r>
                    <w:rPr>
                      <w:rFonts w:ascii="Times New Roman" w:eastAsiaTheme="minorEastAsia"/>
                      <w:color w:val="auto"/>
                    </w:rPr>
                    <w:t>3.5</w:t>
                  </w:r>
                  <w:r>
                    <w:rPr>
                      <w:rFonts w:hint="eastAsia" w:ascii="Times New Roman" w:eastAsiaTheme="minorEastAsia"/>
                      <w:color w:val="auto"/>
                    </w:rPr>
                    <w:t>（</w:t>
                  </w:r>
                  <w:r>
                    <w:rPr>
                      <w:rFonts w:ascii="Times New Roman" w:eastAsiaTheme="minorEastAsia"/>
                      <w:color w:val="auto"/>
                    </w:rPr>
                    <w:t>15</w:t>
                  </w:r>
                  <w:r>
                    <w:rPr>
                      <w:rFonts w:hint="eastAsia" w:ascii="Times New Roman" w:eastAsiaTheme="minorEastAsia"/>
                      <w:color w:val="auto"/>
                    </w:rPr>
                    <w:t>m）</w:t>
                  </w:r>
                </w:p>
              </w:tc>
              <w:tc>
                <w:tcPr>
                  <w:tcW w:w="2096" w:type="pct"/>
                  <w:gridSpan w:val="2"/>
                  <w:vAlign w:val="center"/>
                </w:tcPr>
                <w:p w14:paraId="1E0938A1">
                  <w:pPr>
                    <w:pStyle w:val="47"/>
                    <w:spacing w:beforeLines="0" w:afterLines="0" w:line="240" w:lineRule="auto"/>
                    <w:rPr>
                      <w:rFonts w:ascii="Times New Roman" w:eastAsiaTheme="minorEastAsia"/>
                      <w:color w:val="auto"/>
                    </w:rPr>
                  </w:pPr>
                  <w:r>
                    <w:rPr>
                      <w:rFonts w:hint="eastAsia" w:ascii="Times New Roman" w:eastAsiaTheme="minorEastAsia"/>
                      <w:color w:val="auto"/>
                    </w:rPr>
                    <w:t>《大气污染物综合排放标准》（GB16297-1996）表2 中二级标准限值</w:t>
                  </w:r>
                </w:p>
              </w:tc>
            </w:tr>
            <w:tr w14:paraId="2C23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120" w:type="pct"/>
                  <w:gridSpan w:val="2"/>
                  <w:vMerge w:val="restart"/>
                  <w:vAlign w:val="center"/>
                </w:tcPr>
                <w:p w14:paraId="1DFA4C0E">
                  <w:pPr>
                    <w:pStyle w:val="74"/>
                    <w:adjustRightInd w:val="0"/>
                    <w:snapToGrid w:val="0"/>
                    <w:jc w:val="center"/>
                    <w:rPr>
                      <w:rFonts w:ascii="Times New Roman" w:hAnsi="Times New Roman" w:cs="Times New Roman"/>
                      <w:color w:val="auto"/>
                    </w:rPr>
                  </w:pPr>
                  <w:r>
                    <w:rPr>
                      <w:rFonts w:ascii="Times New Roman" w:hAnsi="Times New Roman" w:cs="Times New Roman"/>
                      <w:color w:val="auto"/>
                    </w:rPr>
                    <w:t>污染</w:t>
                  </w:r>
                  <w:r>
                    <w:rPr>
                      <w:rFonts w:hint="eastAsia" w:ascii="Times New Roman" w:hAnsi="Times New Roman" w:cs="Times New Roman"/>
                      <w:color w:val="auto"/>
                    </w:rPr>
                    <w:t>物</w:t>
                  </w:r>
                </w:p>
              </w:tc>
              <w:tc>
                <w:tcPr>
                  <w:tcW w:w="3880" w:type="pct"/>
                  <w:gridSpan w:val="5"/>
                  <w:vAlign w:val="center"/>
                </w:tcPr>
                <w:p w14:paraId="26447AB2">
                  <w:pPr>
                    <w:pStyle w:val="74"/>
                    <w:adjustRightInd w:val="0"/>
                    <w:snapToGrid w:val="0"/>
                    <w:jc w:val="center"/>
                    <w:rPr>
                      <w:rFonts w:ascii="Times New Roman" w:hAnsi="Times New Roman" w:cs="Times New Roman"/>
                      <w:color w:val="auto"/>
                    </w:rPr>
                  </w:pPr>
                  <w:r>
                    <w:rPr>
                      <w:rFonts w:ascii="Times New Roman" w:hAnsi="Times New Roman" w:cs="Times New Roman"/>
                      <w:color w:val="auto"/>
                    </w:rPr>
                    <w:t>无组织排放监控浓度限值</w:t>
                  </w:r>
                </w:p>
              </w:tc>
            </w:tr>
            <w:tr w14:paraId="1A0B8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120" w:type="pct"/>
                  <w:gridSpan w:val="2"/>
                  <w:vMerge w:val="continue"/>
                  <w:vAlign w:val="center"/>
                </w:tcPr>
                <w:p w14:paraId="74BD0F79">
                  <w:pPr>
                    <w:adjustRightInd w:val="0"/>
                    <w:snapToGrid w:val="0"/>
                    <w:jc w:val="center"/>
                    <w:rPr>
                      <w:color w:val="auto"/>
                      <w:kern w:val="0"/>
                    </w:rPr>
                  </w:pPr>
                </w:p>
              </w:tc>
              <w:tc>
                <w:tcPr>
                  <w:tcW w:w="2100" w:type="pct"/>
                  <w:gridSpan w:val="4"/>
                  <w:vAlign w:val="center"/>
                </w:tcPr>
                <w:p w14:paraId="1407977C">
                  <w:pPr>
                    <w:pStyle w:val="74"/>
                    <w:adjustRightInd w:val="0"/>
                    <w:snapToGrid w:val="0"/>
                    <w:jc w:val="center"/>
                    <w:rPr>
                      <w:rFonts w:ascii="Times New Roman" w:hAnsi="Times New Roman" w:cs="Times New Roman"/>
                      <w:color w:val="auto"/>
                    </w:rPr>
                  </w:pPr>
                  <w:r>
                    <w:rPr>
                      <w:rFonts w:ascii="Times New Roman" w:hAnsi="Times New Roman" w:cs="Times New Roman"/>
                      <w:color w:val="auto"/>
                    </w:rPr>
                    <w:t>监控点</w:t>
                  </w:r>
                </w:p>
              </w:tc>
              <w:tc>
                <w:tcPr>
                  <w:tcW w:w="1780" w:type="pct"/>
                  <w:vAlign w:val="center"/>
                </w:tcPr>
                <w:p w14:paraId="024B33B6">
                  <w:pPr>
                    <w:pStyle w:val="74"/>
                    <w:tabs>
                      <w:tab w:val="center" w:pos="1359"/>
                      <w:tab w:val="clear" w:pos="2040"/>
                    </w:tabs>
                    <w:adjustRightInd w:val="0"/>
                    <w:snapToGrid w:val="0"/>
                    <w:jc w:val="center"/>
                    <w:rPr>
                      <w:rFonts w:ascii="Times New Roman" w:hAnsi="Times New Roman" w:cs="Times New Roman"/>
                      <w:color w:val="auto"/>
                    </w:rPr>
                  </w:pPr>
                  <w:r>
                    <w:rPr>
                      <w:rFonts w:ascii="Times New Roman" w:hAnsi="Times New Roman" w:cs="Times New Roman"/>
                      <w:color w:val="auto"/>
                    </w:rPr>
                    <w:t>浓度浓度</w:t>
                  </w:r>
                  <w:r>
                    <w:rPr>
                      <w:rFonts w:hint="eastAsia" w:ascii="Times New Roman" w:hAnsi="Times New Roman" w:cs="Times New Roman"/>
                      <w:color w:val="auto"/>
                    </w:rPr>
                    <w:t>（</w:t>
                  </w:r>
                  <w:r>
                    <w:rPr>
                      <w:rFonts w:ascii="Times New Roman" w:hAnsi="Times New Roman" w:cs="Times New Roman"/>
                      <w:color w:val="auto"/>
                    </w:rPr>
                    <w:t>mg/m</w:t>
                  </w:r>
                  <w:r>
                    <w:rPr>
                      <w:rFonts w:ascii="Times New Roman" w:hAnsi="Times New Roman" w:cs="Times New Roman"/>
                      <w:color w:val="auto"/>
                      <w:vertAlign w:val="superscript"/>
                    </w:rPr>
                    <w:t>3</w:t>
                  </w:r>
                  <w:r>
                    <w:rPr>
                      <w:rFonts w:hint="eastAsia" w:ascii="Times New Roman" w:hAnsi="Times New Roman" w:cs="Times New Roman"/>
                      <w:color w:val="auto"/>
                    </w:rPr>
                    <w:t>）</w:t>
                  </w:r>
                </w:p>
              </w:tc>
            </w:tr>
            <w:tr w14:paraId="2ACFB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120" w:type="pct"/>
                  <w:gridSpan w:val="2"/>
                  <w:vAlign w:val="center"/>
                </w:tcPr>
                <w:p w14:paraId="4670B778">
                  <w:pPr>
                    <w:pStyle w:val="74"/>
                    <w:adjustRightInd w:val="0"/>
                    <w:snapToGrid w:val="0"/>
                    <w:jc w:val="center"/>
                    <w:rPr>
                      <w:rFonts w:ascii="Times New Roman" w:hAnsi="Times New Roman" w:cs="Times New Roman"/>
                      <w:color w:val="auto"/>
                    </w:rPr>
                  </w:pPr>
                  <w:r>
                    <w:rPr>
                      <w:rFonts w:ascii="Times New Roman" w:hAnsi="Times New Roman" w:cs="Times New Roman"/>
                      <w:color w:val="auto"/>
                    </w:rPr>
                    <w:t>颗粒物</w:t>
                  </w:r>
                </w:p>
              </w:tc>
              <w:tc>
                <w:tcPr>
                  <w:tcW w:w="2100" w:type="pct"/>
                  <w:gridSpan w:val="4"/>
                  <w:vAlign w:val="center"/>
                </w:tcPr>
                <w:p w14:paraId="6D3B6004">
                  <w:pPr>
                    <w:pStyle w:val="74"/>
                    <w:adjustRightInd w:val="0"/>
                    <w:snapToGrid w:val="0"/>
                    <w:jc w:val="center"/>
                    <w:rPr>
                      <w:rFonts w:ascii="Times New Roman" w:hAnsi="Times New Roman" w:cs="Times New Roman"/>
                      <w:color w:val="auto"/>
                    </w:rPr>
                  </w:pPr>
                  <w:r>
                    <w:rPr>
                      <w:rFonts w:ascii="Times New Roman" w:hAnsi="Times New Roman" w:cs="Times New Roman"/>
                      <w:color w:val="auto"/>
                    </w:rPr>
                    <w:t>周界外浓度最高点</w:t>
                  </w:r>
                </w:p>
              </w:tc>
              <w:tc>
                <w:tcPr>
                  <w:tcW w:w="1780" w:type="pct"/>
                  <w:vAlign w:val="center"/>
                </w:tcPr>
                <w:p w14:paraId="19DF6919">
                  <w:pPr>
                    <w:pStyle w:val="74"/>
                    <w:adjustRightInd w:val="0"/>
                    <w:snapToGrid w:val="0"/>
                    <w:jc w:val="center"/>
                    <w:rPr>
                      <w:rFonts w:ascii="Times New Roman" w:hAnsi="Times New Roman" w:cs="Times New Roman"/>
                      <w:color w:val="auto"/>
                    </w:rPr>
                  </w:pPr>
                  <w:r>
                    <w:rPr>
                      <w:rFonts w:ascii="Times New Roman" w:hAnsi="Times New Roman" w:cs="Times New Roman"/>
                      <w:color w:val="auto"/>
                    </w:rPr>
                    <w:t>1.0</w:t>
                  </w:r>
                </w:p>
              </w:tc>
            </w:tr>
          </w:tbl>
          <w:p w14:paraId="14A52B11">
            <w:pPr>
              <w:adjustRightInd w:val="0"/>
              <w:snapToGrid w:val="0"/>
              <w:spacing w:line="360" w:lineRule="auto"/>
              <w:rPr>
                <w:b/>
                <w:bCs/>
                <w:color w:val="auto"/>
                <w:kern w:val="24"/>
                <w:sz w:val="24"/>
              </w:rPr>
            </w:pPr>
            <w:r>
              <w:rPr>
                <w:b/>
                <w:bCs/>
                <w:color w:val="auto"/>
                <w:kern w:val="24"/>
                <w:sz w:val="24"/>
              </w:rPr>
              <w:t>2、水污染物排放标准</w:t>
            </w:r>
          </w:p>
          <w:p w14:paraId="621FD252">
            <w:pPr>
              <w:pStyle w:val="70"/>
              <w:ind w:firstLine="480"/>
              <w:rPr>
                <w:color w:val="auto"/>
              </w:rPr>
            </w:pPr>
            <w:r>
              <w:rPr>
                <w:rFonts w:hint="eastAsia"/>
                <w:color w:val="auto"/>
              </w:rPr>
              <w:t>（</w:t>
            </w:r>
            <w:r>
              <w:rPr>
                <w:color w:val="auto"/>
              </w:rPr>
              <w:t>1</w:t>
            </w:r>
            <w:r>
              <w:rPr>
                <w:rFonts w:hint="eastAsia"/>
                <w:color w:val="auto"/>
              </w:rPr>
              <w:t>）施工期：施工废水完全回用，不外排。</w:t>
            </w:r>
          </w:p>
          <w:p w14:paraId="79D47A83">
            <w:pPr>
              <w:pStyle w:val="70"/>
              <w:ind w:firstLine="480"/>
              <w:rPr>
                <w:color w:val="auto"/>
              </w:rPr>
            </w:pPr>
            <w:r>
              <w:rPr>
                <w:rFonts w:hint="eastAsia"/>
                <w:color w:val="auto"/>
              </w:rPr>
              <w:t>（</w:t>
            </w:r>
            <w:r>
              <w:rPr>
                <w:color w:val="auto"/>
              </w:rPr>
              <w:t>2</w:t>
            </w:r>
            <w:r>
              <w:rPr>
                <w:rFonts w:hint="eastAsia"/>
                <w:color w:val="auto"/>
              </w:rPr>
              <w:t>）运营期：</w:t>
            </w:r>
          </w:p>
          <w:p w14:paraId="44C401C7">
            <w:pPr>
              <w:pStyle w:val="70"/>
              <w:ind w:firstLine="480"/>
              <w:rPr>
                <w:color w:val="auto"/>
              </w:rPr>
            </w:pPr>
            <w:r>
              <w:rPr>
                <w:rFonts w:hint="eastAsia"/>
                <w:color w:val="auto"/>
              </w:rPr>
              <w:t>项目生产废水主要为焊管生产车间产品冷却水。产品冷却水经焊管车间循环水池冷却后循环使用，不外排。</w:t>
            </w:r>
          </w:p>
          <w:p w14:paraId="1F33B117">
            <w:pPr>
              <w:pStyle w:val="70"/>
              <w:ind w:firstLine="480"/>
              <w:rPr>
                <w:color w:val="auto"/>
              </w:rPr>
            </w:pPr>
            <w:r>
              <w:rPr>
                <w:rFonts w:hint="eastAsia"/>
                <w:color w:val="auto"/>
              </w:rPr>
              <w:t>项目生活污水经化粪池预处理达《污水综合排放标准》（GB8978-1996）表4三级标准和《污水排入城镇下水道水质标准》（GB/T31962-2015）表1B等级标准限值后由槽罐车运至纳古镇污水处理站处理。</w:t>
            </w:r>
          </w:p>
          <w:p w14:paraId="43C3A7FF">
            <w:pPr>
              <w:spacing w:line="360" w:lineRule="auto"/>
              <w:jc w:val="center"/>
              <w:rPr>
                <w:b/>
                <w:color w:val="auto"/>
                <w:sz w:val="24"/>
                <w:szCs w:val="22"/>
              </w:rPr>
            </w:pPr>
            <w:r>
              <w:rPr>
                <w:b/>
                <w:color w:val="auto"/>
                <w:sz w:val="24"/>
                <w:szCs w:val="22"/>
              </w:rPr>
              <w:t>表</w:t>
            </w:r>
            <w:r>
              <w:rPr>
                <w:rFonts w:hint="eastAsia"/>
                <w:b/>
                <w:color w:val="auto"/>
                <w:sz w:val="24"/>
                <w:szCs w:val="22"/>
              </w:rPr>
              <w:t>3-</w:t>
            </w:r>
            <w:r>
              <w:rPr>
                <w:rFonts w:hint="eastAsia"/>
                <w:b/>
                <w:color w:val="auto"/>
                <w:sz w:val="24"/>
                <w:szCs w:val="22"/>
                <w:lang w:val="en-US" w:eastAsia="zh-CN"/>
              </w:rPr>
              <w:t>9</w:t>
            </w:r>
            <w:r>
              <w:rPr>
                <w:rFonts w:hint="eastAsia"/>
                <w:b/>
                <w:color w:val="auto"/>
                <w:sz w:val="24"/>
                <w:szCs w:val="22"/>
              </w:rPr>
              <w:t xml:space="preserve">  </w:t>
            </w:r>
            <w:r>
              <w:rPr>
                <w:b/>
                <w:color w:val="auto"/>
                <w:sz w:val="24"/>
                <w:szCs w:val="22"/>
              </w:rPr>
              <w:t xml:space="preserve">  </w:t>
            </w:r>
            <w:r>
              <w:rPr>
                <w:rFonts w:hint="eastAsia"/>
                <w:b/>
                <w:color w:val="auto"/>
                <w:sz w:val="24"/>
                <w:szCs w:val="22"/>
              </w:rPr>
              <w:t>生活污水接管标准</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Layout w:type="autofit"/>
              <w:tblCellMar>
                <w:top w:w="0" w:type="dxa"/>
                <w:left w:w="108" w:type="dxa"/>
                <w:bottom w:w="0" w:type="dxa"/>
                <w:right w:w="108" w:type="dxa"/>
              </w:tblCellMar>
            </w:tblPr>
            <w:tblGrid>
              <w:gridCol w:w="2130"/>
              <w:gridCol w:w="682"/>
              <w:gridCol w:w="590"/>
              <w:gridCol w:w="776"/>
              <w:gridCol w:w="702"/>
              <w:gridCol w:w="886"/>
              <w:gridCol w:w="593"/>
              <w:gridCol w:w="613"/>
              <w:gridCol w:w="593"/>
              <w:gridCol w:w="1046"/>
            </w:tblGrid>
            <w:tr w14:paraId="02FFE49F">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cantSplit/>
                <w:trHeight w:val="357" w:hRule="atLeast"/>
                <w:jc w:val="center"/>
              </w:trPr>
              <w:tc>
                <w:tcPr>
                  <w:tcW w:w="1189" w:type="pct"/>
                  <w:tcBorders>
                    <w:tl2br w:val="nil"/>
                    <w:tr2bl w:val="nil"/>
                  </w:tcBorders>
                  <w:vAlign w:val="center"/>
                </w:tcPr>
                <w:p w14:paraId="4410ADB0">
                  <w:pPr>
                    <w:adjustRightInd w:val="0"/>
                    <w:snapToGrid w:val="0"/>
                    <w:jc w:val="center"/>
                    <w:rPr>
                      <w:color w:val="auto"/>
                      <w:szCs w:val="21"/>
                    </w:rPr>
                  </w:pPr>
                  <w:r>
                    <w:rPr>
                      <w:color w:val="auto"/>
                      <w:szCs w:val="21"/>
                    </w:rPr>
                    <w:t>指标</w:t>
                  </w:r>
                </w:p>
              </w:tc>
              <w:tc>
                <w:tcPr>
                  <w:tcW w:w="403" w:type="pct"/>
                  <w:tcBorders>
                    <w:tl2br w:val="nil"/>
                    <w:tr2bl w:val="nil"/>
                  </w:tcBorders>
                  <w:vAlign w:val="center"/>
                </w:tcPr>
                <w:p w14:paraId="4EE420CA">
                  <w:pPr>
                    <w:adjustRightInd w:val="0"/>
                    <w:snapToGrid w:val="0"/>
                    <w:jc w:val="center"/>
                    <w:rPr>
                      <w:color w:val="auto"/>
                      <w:szCs w:val="21"/>
                    </w:rPr>
                  </w:pPr>
                  <w:r>
                    <w:rPr>
                      <w:color w:val="auto"/>
                      <w:szCs w:val="21"/>
                    </w:rPr>
                    <w:t>pH</w:t>
                  </w:r>
                </w:p>
              </w:tc>
              <w:tc>
                <w:tcPr>
                  <w:tcW w:w="349" w:type="pct"/>
                  <w:tcBorders>
                    <w:tl2br w:val="nil"/>
                    <w:tr2bl w:val="nil"/>
                  </w:tcBorders>
                  <w:vAlign w:val="center"/>
                </w:tcPr>
                <w:p w14:paraId="20CAB5C8">
                  <w:pPr>
                    <w:adjustRightInd w:val="0"/>
                    <w:snapToGrid w:val="0"/>
                    <w:jc w:val="center"/>
                    <w:rPr>
                      <w:color w:val="auto"/>
                      <w:szCs w:val="21"/>
                    </w:rPr>
                  </w:pPr>
                  <w:r>
                    <w:rPr>
                      <w:color w:val="auto"/>
                      <w:szCs w:val="21"/>
                    </w:rPr>
                    <w:t>SS</w:t>
                  </w:r>
                </w:p>
              </w:tc>
              <w:tc>
                <w:tcPr>
                  <w:tcW w:w="457" w:type="pct"/>
                  <w:tcBorders>
                    <w:tl2br w:val="nil"/>
                    <w:tr2bl w:val="nil"/>
                  </w:tcBorders>
                  <w:vAlign w:val="center"/>
                </w:tcPr>
                <w:p w14:paraId="1BAC8FAD">
                  <w:pPr>
                    <w:adjustRightInd w:val="0"/>
                    <w:snapToGrid w:val="0"/>
                    <w:jc w:val="center"/>
                    <w:rPr>
                      <w:color w:val="auto"/>
                      <w:szCs w:val="21"/>
                    </w:rPr>
                  </w:pPr>
                  <w:r>
                    <w:rPr>
                      <w:color w:val="auto"/>
                      <w:szCs w:val="21"/>
                    </w:rPr>
                    <w:t>BOD</w:t>
                  </w:r>
                  <w:r>
                    <w:rPr>
                      <w:color w:val="auto"/>
                      <w:szCs w:val="21"/>
                      <w:vertAlign w:val="subscript"/>
                    </w:rPr>
                    <w:t>5</w:t>
                  </w:r>
                </w:p>
              </w:tc>
              <w:tc>
                <w:tcPr>
                  <w:tcW w:w="414" w:type="pct"/>
                  <w:tcBorders>
                    <w:tl2br w:val="nil"/>
                    <w:tr2bl w:val="nil"/>
                  </w:tcBorders>
                  <w:vAlign w:val="center"/>
                </w:tcPr>
                <w:p w14:paraId="4610A767">
                  <w:pPr>
                    <w:adjustRightInd w:val="0"/>
                    <w:snapToGrid w:val="0"/>
                    <w:jc w:val="center"/>
                    <w:rPr>
                      <w:color w:val="auto"/>
                      <w:szCs w:val="21"/>
                    </w:rPr>
                  </w:pPr>
                  <w:r>
                    <w:rPr>
                      <w:color w:val="auto"/>
                      <w:szCs w:val="21"/>
                    </w:rPr>
                    <w:t>COD</w:t>
                  </w:r>
                </w:p>
              </w:tc>
              <w:tc>
                <w:tcPr>
                  <w:tcW w:w="521" w:type="pct"/>
                  <w:tcBorders>
                    <w:tl2br w:val="nil"/>
                    <w:tr2bl w:val="nil"/>
                  </w:tcBorders>
                  <w:vAlign w:val="center"/>
                </w:tcPr>
                <w:p w14:paraId="07F3062B">
                  <w:pPr>
                    <w:adjustRightInd w:val="0"/>
                    <w:snapToGrid w:val="0"/>
                    <w:jc w:val="center"/>
                    <w:rPr>
                      <w:color w:val="auto"/>
                      <w:szCs w:val="21"/>
                    </w:rPr>
                  </w:pPr>
                  <w:r>
                    <w:rPr>
                      <w:color w:val="auto"/>
                      <w:szCs w:val="21"/>
                    </w:rPr>
                    <w:t>NH</w:t>
                  </w:r>
                  <w:r>
                    <w:rPr>
                      <w:color w:val="auto"/>
                      <w:szCs w:val="21"/>
                      <w:vertAlign w:val="subscript"/>
                    </w:rPr>
                    <w:t>3</w:t>
                  </w:r>
                  <w:r>
                    <w:rPr>
                      <w:color w:val="auto"/>
                      <w:szCs w:val="21"/>
                    </w:rPr>
                    <w:t>-N</w:t>
                  </w:r>
                </w:p>
              </w:tc>
              <w:tc>
                <w:tcPr>
                  <w:tcW w:w="351" w:type="pct"/>
                  <w:tcBorders>
                    <w:tl2br w:val="nil"/>
                    <w:tr2bl w:val="nil"/>
                  </w:tcBorders>
                  <w:vAlign w:val="center"/>
                </w:tcPr>
                <w:p w14:paraId="09E917A3">
                  <w:pPr>
                    <w:adjustRightInd w:val="0"/>
                    <w:snapToGrid w:val="0"/>
                    <w:jc w:val="center"/>
                    <w:rPr>
                      <w:color w:val="auto"/>
                      <w:szCs w:val="21"/>
                    </w:rPr>
                  </w:pPr>
                  <w:r>
                    <w:rPr>
                      <w:rFonts w:hint="eastAsia"/>
                      <w:color w:val="auto"/>
                      <w:szCs w:val="21"/>
                    </w:rPr>
                    <w:t>TN</w:t>
                  </w:r>
                </w:p>
              </w:tc>
              <w:tc>
                <w:tcPr>
                  <w:tcW w:w="351" w:type="pct"/>
                  <w:tcBorders>
                    <w:tl2br w:val="nil"/>
                    <w:tr2bl w:val="nil"/>
                  </w:tcBorders>
                  <w:vAlign w:val="center"/>
                </w:tcPr>
                <w:p w14:paraId="4FECC26D">
                  <w:pPr>
                    <w:adjustRightInd w:val="0"/>
                    <w:snapToGrid w:val="0"/>
                    <w:jc w:val="center"/>
                    <w:rPr>
                      <w:color w:val="auto"/>
                      <w:szCs w:val="21"/>
                    </w:rPr>
                  </w:pPr>
                  <w:r>
                    <w:rPr>
                      <w:rFonts w:hint="eastAsia"/>
                      <w:color w:val="auto"/>
                      <w:szCs w:val="21"/>
                    </w:rPr>
                    <w:t>LAS</w:t>
                  </w:r>
                </w:p>
              </w:tc>
              <w:tc>
                <w:tcPr>
                  <w:tcW w:w="351" w:type="pct"/>
                  <w:tcBorders>
                    <w:tl2br w:val="nil"/>
                    <w:tr2bl w:val="nil"/>
                  </w:tcBorders>
                  <w:vAlign w:val="center"/>
                </w:tcPr>
                <w:p w14:paraId="6CE5EA8F">
                  <w:pPr>
                    <w:adjustRightInd w:val="0"/>
                    <w:snapToGrid w:val="0"/>
                    <w:jc w:val="center"/>
                    <w:rPr>
                      <w:color w:val="auto"/>
                      <w:szCs w:val="21"/>
                    </w:rPr>
                  </w:pPr>
                  <w:r>
                    <w:rPr>
                      <w:color w:val="auto"/>
                      <w:szCs w:val="21"/>
                    </w:rPr>
                    <w:t>TP</w:t>
                  </w:r>
                </w:p>
              </w:tc>
              <w:tc>
                <w:tcPr>
                  <w:tcW w:w="614" w:type="pct"/>
                  <w:tcBorders>
                    <w:tl2br w:val="nil"/>
                    <w:tr2bl w:val="nil"/>
                  </w:tcBorders>
                  <w:vAlign w:val="center"/>
                </w:tcPr>
                <w:p w14:paraId="4B64715A">
                  <w:pPr>
                    <w:adjustRightInd w:val="0"/>
                    <w:snapToGrid w:val="0"/>
                    <w:jc w:val="center"/>
                    <w:rPr>
                      <w:color w:val="auto"/>
                      <w:szCs w:val="21"/>
                    </w:rPr>
                  </w:pPr>
                  <w:r>
                    <w:rPr>
                      <w:rFonts w:hint="eastAsia"/>
                      <w:color w:val="auto"/>
                      <w:szCs w:val="21"/>
                    </w:rPr>
                    <w:t>动植物</w:t>
                  </w:r>
                  <w:r>
                    <w:rPr>
                      <w:color w:val="auto"/>
                      <w:szCs w:val="21"/>
                    </w:rPr>
                    <w:t>油</w:t>
                  </w:r>
                </w:p>
              </w:tc>
            </w:tr>
            <w:tr w14:paraId="58320A7E">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cantSplit/>
                <w:trHeight w:val="448" w:hRule="atLeast"/>
                <w:jc w:val="center"/>
              </w:trPr>
              <w:tc>
                <w:tcPr>
                  <w:tcW w:w="1189" w:type="pct"/>
                  <w:tcBorders>
                    <w:tl2br w:val="nil"/>
                    <w:tr2bl w:val="nil"/>
                  </w:tcBorders>
                  <w:vAlign w:val="center"/>
                </w:tcPr>
                <w:p w14:paraId="2DF25180">
                  <w:pPr>
                    <w:adjustRightInd w:val="0"/>
                    <w:snapToGrid w:val="0"/>
                    <w:jc w:val="center"/>
                    <w:rPr>
                      <w:color w:val="auto"/>
                      <w:szCs w:val="21"/>
                    </w:rPr>
                  </w:pPr>
                  <w:r>
                    <w:rPr>
                      <w:color w:val="auto"/>
                      <w:szCs w:val="21"/>
                    </w:rPr>
                    <w:t>GB8978-1996三级</w:t>
                  </w:r>
                </w:p>
              </w:tc>
              <w:tc>
                <w:tcPr>
                  <w:tcW w:w="403" w:type="pct"/>
                  <w:tcBorders>
                    <w:tl2br w:val="nil"/>
                    <w:tr2bl w:val="nil"/>
                  </w:tcBorders>
                  <w:vAlign w:val="center"/>
                </w:tcPr>
                <w:p w14:paraId="442D55A6">
                  <w:pPr>
                    <w:adjustRightInd w:val="0"/>
                    <w:snapToGrid w:val="0"/>
                    <w:jc w:val="center"/>
                    <w:rPr>
                      <w:color w:val="auto"/>
                      <w:szCs w:val="21"/>
                    </w:rPr>
                  </w:pPr>
                  <w:r>
                    <w:rPr>
                      <w:color w:val="auto"/>
                      <w:szCs w:val="21"/>
                    </w:rPr>
                    <w:t>6～9</w:t>
                  </w:r>
                </w:p>
              </w:tc>
              <w:tc>
                <w:tcPr>
                  <w:tcW w:w="349" w:type="pct"/>
                  <w:tcBorders>
                    <w:tl2br w:val="nil"/>
                    <w:tr2bl w:val="nil"/>
                  </w:tcBorders>
                  <w:vAlign w:val="center"/>
                </w:tcPr>
                <w:p w14:paraId="1A3B89FD">
                  <w:pPr>
                    <w:adjustRightInd w:val="0"/>
                    <w:snapToGrid w:val="0"/>
                    <w:jc w:val="center"/>
                    <w:rPr>
                      <w:color w:val="auto"/>
                      <w:szCs w:val="21"/>
                    </w:rPr>
                  </w:pPr>
                  <w:r>
                    <w:rPr>
                      <w:color w:val="auto"/>
                      <w:szCs w:val="21"/>
                    </w:rPr>
                    <w:t>400</w:t>
                  </w:r>
                </w:p>
              </w:tc>
              <w:tc>
                <w:tcPr>
                  <w:tcW w:w="457" w:type="pct"/>
                  <w:tcBorders>
                    <w:tl2br w:val="nil"/>
                    <w:tr2bl w:val="nil"/>
                  </w:tcBorders>
                  <w:vAlign w:val="center"/>
                </w:tcPr>
                <w:p w14:paraId="792969BA">
                  <w:pPr>
                    <w:adjustRightInd w:val="0"/>
                    <w:snapToGrid w:val="0"/>
                    <w:jc w:val="center"/>
                    <w:rPr>
                      <w:color w:val="auto"/>
                      <w:szCs w:val="21"/>
                    </w:rPr>
                  </w:pPr>
                  <w:r>
                    <w:rPr>
                      <w:color w:val="auto"/>
                      <w:szCs w:val="21"/>
                    </w:rPr>
                    <w:t>300</w:t>
                  </w:r>
                </w:p>
              </w:tc>
              <w:tc>
                <w:tcPr>
                  <w:tcW w:w="414" w:type="pct"/>
                  <w:tcBorders>
                    <w:tl2br w:val="nil"/>
                    <w:tr2bl w:val="nil"/>
                  </w:tcBorders>
                  <w:vAlign w:val="center"/>
                </w:tcPr>
                <w:p w14:paraId="44C9F4F6">
                  <w:pPr>
                    <w:adjustRightInd w:val="0"/>
                    <w:snapToGrid w:val="0"/>
                    <w:jc w:val="center"/>
                    <w:rPr>
                      <w:color w:val="auto"/>
                      <w:szCs w:val="21"/>
                    </w:rPr>
                  </w:pPr>
                  <w:r>
                    <w:rPr>
                      <w:color w:val="auto"/>
                      <w:szCs w:val="21"/>
                    </w:rPr>
                    <w:t>500</w:t>
                  </w:r>
                </w:p>
              </w:tc>
              <w:tc>
                <w:tcPr>
                  <w:tcW w:w="521" w:type="pct"/>
                  <w:tcBorders>
                    <w:tl2br w:val="nil"/>
                    <w:tr2bl w:val="nil"/>
                  </w:tcBorders>
                  <w:vAlign w:val="center"/>
                </w:tcPr>
                <w:p w14:paraId="12C76CE4">
                  <w:pPr>
                    <w:adjustRightInd w:val="0"/>
                    <w:snapToGrid w:val="0"/>
                    <w:jc w:val="center"/>
                    <w:rPr>
                      <w:color w:val="auto"/>
                      <w:szCs w:val="21"/>
                    </w:rPr>
                  </w:pPr>
                  <w:r>
                    <w:rPr>
                      <w:color w:val="auto"/>
                      <w:szCs w:val="21"/>
                    </w:rPr>
                    <w:t>－</w:t>
                  </w:r>
                </w:p>
              </w:tc>
              <w:tc>
                <w:tcPr>
                  <w:tcW w:w="351" w:type="pct"/>
                  <w:tcBorders>
                    <w:tl2br w:val="nil"/>
                    <w:tr2bl w:val="nil"/>
                  </w:tcBorders>
                  <w:vAlign w:val="center"/>
                </w:tcPr>
                <w:p w14:paraId="02DA9609">
                  <w:pPr>
                    <w:adjustRightInd w:val="0"/>
                    <w:snapToGrid w:val="0"/>
                    <w:jc w:val="center"/>
                    <w:rPr>
                      <w:color w:val="auto"/>
                      <w:szCs w:val="21"/>
                    </w:rPr>
                  </w:pPr>
                  <w:r>
                    <w:rPr>
                      <w:rFonts w:hint="eastAsia"/>
                      <w:color w:val="auto"/>
                      <w:szCs w:val="21"/>
                    </w:rPr>
                    <w:t>-</w:t>
                  </w:r>
                </w:p>
              </w:tc>
              <w:tc>
                <w:tcPr>
                  <w:tcW w:w="351" w:type="pct"/>
                  <w:tcBorders>
                    <w:tl2br w:val="nil"/>
                    <w:tr2bl w:val="nil"/>
                  </w:tcBorders>
                  <w:vAlign w:val="center"/>
                </w:tcPr>
                <w:p w14:paraId="12742F03">
                  <w:pPr>
                    <w:adjustRightInd w:val="0"/>
                    <w:snapToGrid w:val="0"/>
                    <w:jc w:val="center"/>
                    <w:rPr>
                      <w:color w:val="auto"/>
                      <w:szCs w:val="21"/>
                    </w:rPr>
                  </w:pPr>
                  <w:r>
                    <w:rPr>
                      <w:rFonts w:hint="eastAsia"/>
                      <w:color w:val="auto"/>
                      <w:szCs w:val="21"/>
                    </w:rPr>
                    <w:t>10</w:t>
                  </w:r>
                </w:p>
              </w:tc>
              <w:tc>
                <w:tcPr>
                  <w:tcW w:w="351" w:type="pct"/>
                  <w:tcBorders>
                    <w:tl2br w:val="nil"/>
                    <w:tr2bl w:val="nil"/>
                  </w:tcBorders>
                  <w:vAlign w:val="center"/>
                </w:tcPr>
                <w:p w14:paraId="0125E8B0">
                  <w:pPr>
                    <w:adjustRightInd w:val="0"/>
                    <w:snapToGrid w:val="0"/>
                    <w:jc w:val="center"/>
                    <w:rPr>
                      <w:color w:val="auto"/>
                      <w:szCs w:val="21"/>
                    </w:rPr>
                  </w:pPr>
                  <w:r>
                    <w:rPr>
                      <w:color w:val="auto"/>
                      <w:szCs w:val="21"/>
                    </w:rPr>
                    <w:t>－</w:t>
                  </w:r>
                </w:p>
              </w:tc>
              <w:tc>
                <w:tcPr>
                  <w:tcW w:w="614" w:type="pct"/>
                  <w:tcBorders>
                    <w:tl2br w:val="nil"/>
                    <w:tr2bl w:val="nil"/>
                  </w:tcBorders>
                  <w:vAlign w:val="center"/>
                </w:tcPr>
                <w:p w14:paraId="265C5B7D">
                  <w:pPr>
                    <w:adjustRightInd w:val="0"/>
                    <w:snapToGrid w:val="0"/>
                    <w:jc w:val="center"/>
                    <w:rPr>
                      <w:color w:val="auto"/>
                      <w:szCs w:val="21"/>
                    </w:rPr>
                  </w:pPr>
                  <w:r>
                    <w:rPr>
                      <w:color w:val="auto"/>
                      <w:szCs w:val="21"/>
                    </w:rPr>
                    <w:t>100</w:t>
                  </w:r>
                </w:p>
              </w:tc>
            </w:tr>
            <w:tr w14:paraId="579BC666">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cantSplit/>
                <w:jc w:val="center"/>
              </w:trPr>
              <w:tc>
                <w:tcPr>
                  <w:tcW w:w="1189" w:type="pct"/>
                  <w:tcBorders>
                    <w:tl2br w:val="nil"/>
                    <w:tr2bl w:val="nil"/>
                  </w:tcBorders>
                  <w:vAlign w:val="center"/>
                </w:tcPr>
                <w:p w14:paraId="12C960FD">
                  <w:pPr>
                    <w:adjustRightInd w:val="0"/>
                    <w:snapToGrid w:val="0"/>
                    <w:jc w:val="center"/>
                    <w:rPr>
                      <w:color w:val="auto"/>
                      <w:szCs w:val="21"/>
                    </w:rPr>
                  </w:pPr>
                  <w:r>
                    <w:rPr>
                      <w:color w:val="auto"/>
                      <w:szCs w:val="21"/>
                    </w:rPr>
                    <w:t>（GB/T31962-2015）B等级</w:t>
                  </w:r>
                </w:p>
              </w:tc>
              <w:tc>
                <w:tcPr>
                  <w:tcW w:w="403" w:type="pct"/>
                  <w:tcBorders>
                    <w:tl2br w:val="nil"/>
                    <w:tr2bl w:val="nil"/>
                  </w:tcBorders>
                  <w:vAlign w:val="center"/>
                </w:tcPr>
                <w:p w14:paraId="529A7BE3">
                  <w:pPr>
                    <w:adjustRightInd w:val="0"/>
                    <w:snapToGrid w:val="0"/>
                    <w:jc w:val="center"/>
                    <w:rPr>
                      <w:color w:val="auto"/>
                      <w:szCs w:val="21"/>
                    </w:rPr>
                  </w:pPr>
                  <w:r>
                    <w:rPr>
                      <w:color w:val="auto"/>
                      <w:szCs w:val="21"/>
                    </w:rPr>
                    <w:t>/</w:t>
                  </w:r>
                </w:p>
              </w:tc>
              <w:tc>
                <w:tcPr>
                  <w:tcW w:w="349" w:type="pct"/>
                  <w:tcBorders>
                    <w:tl2br w:val="nil"/>
                    <w:tr2bl w:val="nil"/>
                  </w:tcBorders>
                  <w:vAlign w:val="center"/>
                </w:tcPr>
                <w:p w14:paraId="0B8F933A">
                  <w:pPr>
                    <w:adjustRightInd w:val="0"/>
                    <w:snapToGrid w:val="0"/>
                    <w:jc w:val="center"/>
                    <w:rPr>
                      <w:color w:val="auto"/>
                      <w:szCs w:val="21"/>
                    </w:rPr>
                  </w:pPr>
                  <w:r>
                    <w:rPr>
                      <w:color w:val="auto"/>
                      <w:szCs w:val="21"/>
                    </w:rPr>
                    <w:t>400</w:t>
                  </w:r>
                </w:p>
              </w:tc>
              <w:tc>
                <w:tcPr>
                  <w:tcW w:w="457" w:type="pct"/>
                  <w:tcBorders>
                    <w:tl2br w:val="nil"/>
                    <w:tr2bl w:val="nil"/>
                  </w:tcBorders>
                  <w:vAlign w:val="center"/>
                </w:tcPr>
                <w:p w14:paraId="1E0FD0CB">
                  <w:pPr>
                    <w:adjustRightInd w:val="0"/>
                    <w:snapToGrid w:val="0"/>
                    <w:jc w:val="center"/>
                    <w:rPr>
                      <w:color w:val="auto"/>
                      <w:szCs w:val="21"/>
                    </w:rPr>
                  </w:pPr>
                  <w:r>
                    <w:rPr>
                      <w:color w:val="auto"/>
                      <w:szCs w:val="21"/>
                    </w:rPr>
                    <w:t>350</w:t>
                  </w:r>
                </w:p>
              </w:tc>
              <w:tc>
                <w:tcPr>
                  <w:tcW w:w="414" w:type="pct"/>
                  <w:tcBorders>
                    <w:tl2br w:val="nil"/>
                    <w:tr2bl w:val="nil"/>
                  </w:tcBorders>
                  <w:vAlign w:val="center"/>
                </w:tcPr>
                <w:p w14:paraId="5FC9C27A">
                  <w:pPr>
                    <w:adjustRightInd w:val="0"/>
                    <w:snapToGrid w:val="0"/>
                    <w:jc w:val="center"/>
                    <w:rPr>
                      <w:color w:val="auto"/>
                      <w:szCs w:val="21"/>
                    </w:rPr>
                  </w:pPr>
                  <w:r>
                    <w:rPr>
                      <w:color w:val="auto"/>
                      <w:szCs w:val="21"/>
                    </w:rPr>
                    <w:t>500</w:t>
                  </w:r>
                </w:p>
              </w:tc>
              <w:tc>
                <w:tcPr>
                  <w:tcW w:w="521" w:type="pct"/>
                  <w:tcBorders>
                    <w:tl2br w:val="nil"/>
                    <w:tr2bl w:val="nil"/>
                  </w:tcBorders>
                  <w:vAlign w:val="center"/>
                </w:tcPr>
                <w:p w14:paraId="5A36AE24">
                  <w:pPr>
                    <w:adjustRightInd w:val="0"/>
                    <w:snapToGrid w:val="0"/>
                    <w:jc w:val="center"/>
                    <w:rPr>
                      <w:color w:val="auto"/>
                      <w:szCs w:val="21"/>
                    </w:rPr>
                  </w:pPr>
                  <w:r>
                    <w:rPr>
                      <w:color w:val="auto"/>
                      <w:szCs w:val="21"/>
                    </w:rPr>
                    <w:t>45</w:t>
                  </w:r>
                </w:p>
              </w:tc>
              <w:tc>
                <w:tcPr>
                  <w:tcW w:w="351" w:type="pct"/>
                  <w:tcBorders>
                    <w:tl2br w:val="nil"/>
                    <w:tr2bl w:val="nil"/>
                  </w:tcBorders>
                  <w:vAlign w:val="center"/>
                </w:tcPr>
                <w:p w14:paraId="0CEDF8A0">
                  <w:pPr>
                    <w:adjustRightInd w:val="0"/>
                    <w:snapToGrid w:val="0"/>
                    <w:jc w:val="center"/>
                    <w:rPr>
                      <w:color w:val="auto"/>
                      <w:szCs w:val="21"/>
                    </w:rPr>
                  </w:pPr>
                  <w:r>
                    <w:rPr>
                      <w:rFonts w:hint="eastAsia"/>
                      <w:color w:val="auto"/>
                      <w:szCs w:val="21"/>
                    </w:rPr>
                    <w:t>70</w:t>
                  </w:r>
                </w:p>
              </w:tc>
              <w:tc>
                <w:tcPr>
                  <w:tcW w:w="351" w:type="pct"/>
                  <w:tcBorders>
                    <w:tl2br w:val="nil"/>
                    <w:tr2bl w:val="nil"/>
                  </w:tcBorders>
                  <w:vAlign w:val="center"/>
                </w:tcPr>
                <w:p w14:paraId="37652241">
                  <w:pPr>
                    <w:adjustRightInd w:val="0"/>
                    <w:snapToGrid w:val="0"/>
                    <w:jc w:val="center"/>
                    <w:rPr>
                      <w:color w:val="auto"/>
                      <w:szCs w:val="21"/>
                    </w:rPr>
                  </w:pPr>
                  <w:r>
                    <w:rPr>
                      <w:rFonts w:hint="eastAsia"/>
                      <w:color w:val="auto"/>
                      <w:szCs w:val="21"/>
                    </w:rPr>
                    <w:t>20</w:t>
                  </w:r>
                </w:p>
              </w:tc>
              <w:tc>
                <w:tcPr>
                  <w:tcW w:w="351" w:type="pct"/>
                  <w:tcBorders>
                    <w:tl2br w:val="nil"/>
                    <w:tr2bl w:val="nil"/>
                  </w:tcBorders>
                  <w:vAlign w:val="center"/>
                </w:tcPr>
                <w:p w14:paraId="2D99B3D3">
                  <w:pPr>
                    <w:adjustRightInd w:val="0"/>
                    <w:snapToGrid w:val="0"/>
                    <w:jc w:val="center"/>
                    <w:rPr>
                      <w:color w:val="auto"/>
                      <w:szCs w:val="21"/>
                    </w:rPr>
                  </w:pPr>
                  <w:r>
                    <w:rPr>
                      <w:color w:val="auto"/>
                      <w:szCs w:val="21"/>
                    </w:rPr>
                    <w:t>8</w:t>
                  </w:r>
                </w:p>
              </w:tc>
              <w:tc>
                <w:tcPr>
                  <w:tcW w:w="614" w:type="pct"/>
                  <w:tcBorders>
                    <w:tl2br w:val="nil"/>
                    <w:tr2bl w:val="nil"/>
                  </w:tcBorders>
                  <w:vAlign w:val="center"/>
                </w:tcPr>
                <w:p w14:paraId="7C948123">
                  <w:pPr>
                    <w:adjustRightInd w:val="0"/>
                    <w:snapToGrid w:val="0"/>
                    <w:jc w:val="center"/>
                    <w:rPr>
                      <w:color w:val="auto"/>
                      <w:szCs w:val="21"/>
                    </w:rPr>
                  </w:pPr>
                  <w:r>
                    <w:rPr>
                      <w:color w:val="auto"/>
                      <w:szCs w:val="21"/>
                    </w:rPr>
                    <w:t>100</w:t>
                  </w:r>
                </w:p>
              </w:tc>
            </w:tr>
            <w:tr w14:paraId="6013F27C">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cantSplit/>
                <w:trHeight w:val="472" w:hRule="atLeast"/>
                <w:jc w:val="center"/>
              </w:trPr>
              <w:tc>
                <w:tcPr>
                  <w:tcW w:w="1189" w:type="pct"/>
                  <w:tcBorders>
                    <w:tl2br w:val="nil"/>
                    <w:tr2bl w:val="nil"/>
                  </w:tcBorders>
                  <w:vAlign w:val="center"/>
                </w:tcPr>
                <w:p w14:paraId="0E170D86">
                  <w:pPr>
                    <w:adjustRightInd w:val="0"/>
                    <w:snapToGrid w:val="0"/>
                    <w:jc w:val="center"/>
                    <w:rPr>
                      <w:color w:val="auto"/>
                      <w:szCs w:val="21"/>
                    </w:rPr>
                  </w:pPr>
                  <w:r>
                    <w:rPr>
                      <w:color w:val="auto"/>
                      <w:szCs w:val="21"/>
                    </w:rPr>
                    <w:t>本项目执行</w:t>
                  </w:r>
                </w:p>
              </w:tc>
              <w:tc>
                <w:tcPr>
                  <w:tcW w:w="403" w:type="pct"/>
                  <w:tcBorders>
                    <w:tl2br w:val="nil"/>
                    <w:tr2bl w:val="nil"/>
                  </w:tcBorders>
                  <w:vAlign w:val="center"/>
                </w:tcPr>
                <w:p w14:paraId="256E98AF">
                  <w:pPr>
                    <w:adjustRightInd w:val="0"/>
                    <w:snapToGrid w:val="0"/>
                    <w:jc w:val="center"/>
                    <w:rPr>
                      <w:color w:val="auto"/>
                      <w:szCs w:val="21"/>
                    </w:rPr>
                  </w:pPr>
                  <w:r>
                    <w:rPr>
                      <w:color w:val="auto"/>
                      <w:szCs w:val="21"/>
                    </w:rPr>
                    <w:t>6~9</w:t>
                  </w:r>
                </w:p>
              </w:tc>
              <w:tc>
                <w:tcPr>
                  <w:tcW w:w="349" w:type="pct"/>
                  <w:tcBorders>
                    <w:tl2br w:val="nil"/>
                    <w:tr2bl w:val="nil"/>
                  </w:tcBorders>
                  <w:vAlign w:val="center"/>
                </w:tcPr>
                <w:p w14:paraId="1EE44499">
                  <w:pPr>
                    <w:adjustRightInd w:val="0"/>
                    <w:snapToGrid w:val="0"/>
                    <w:jc w:val="center"/>
                    <w:rPr>
                      <w:color w:val="auto"/>
                      <w:szCs w:val="21"/>
                    </w:rPr>
                  </w:pPr>
                  <w:r>
                    <w:rPr>
                      <w:color w:val="auto"/>
                      <w:szCs w:val="21"/>
                    </w:rPr>
                    <w:t>400</w:t>
                  </w:r>
                </w:p>
              </w:tc>
              <w:tc>
                <w:tcPr>
                  <w:tcW w:w="457" w:type="pct"/>
                  <w:tcBorders>
                    <w:tl2br w:val="nil"/>
                    <w:tr2bl w:val="nil"/>
                  </w:tcBorders>
                  <w:vAlign w:val="center"/>
                </w:tcPr>
                <w:p w14:paraId="36285EF3">
                  <w:pPr>
                    <w:adjustRightInd w:val="0"/>
                    <w:snapToGrid w:val="0"/>
                    <w:jc w:val="center"/>
                    <w:rPr>
                      <w:color w:val="auto"/>
                      <w:szCs w:val="21"/>
                    </w:rPr>
                  </w:pPr>
                  <w:r>
                    <w:rPr>
                      <w:color w:val="auto"/>
                      <w:szCs w:val="21"/>
                    </w:rPr>
                    <w:t>300</w:t>
                  </w:r>
                </w:p>
              </w:tc>
              <w:tc>
                <w:tcPr>
                  <w:tcW w:w="414" w:type="pct"/>
                  <w:tcBorders>
                    <w:tl2br w:val="nil"/>
                    <w:tr2bl w:val="nil"/>
                  </w:tcBorders>
                  <w:vAlign w:val="center"/>
                </w:tcPr>
                <w:p w14:paraId="45CF610D">
                  <w:pPr>
                    <w:adjustRightInd w:val="0"/>
                    <w:snapToGrid w:val="0"/>
                    <w:jc w:val="center"/>
                    <w:rPr>
                      <w:color w:val="auto"/>
                      <w:szCs w:val="21"/>
                    </w:rPr>
                  </w:pPr>
                  <w:r>
                    <w:rPr>
                      <w:color w:val="auto"/>
                      <w:szCs w:val="21"/>
                    </w:rPr>
                    <w:t>500</w:t>
                  </w:r>
                </w:p>
              </w:tc>
              <w:tc>
                <w:tcPr>
                  <w:tcW w:w="521" w:type="pct"/>
                  <w:tcBorders>
                    <w:tl2br w:val="nil"/>
                    <w:tr2bl w:val="nil"/>
                  </w:tcBorders>
                  <w:vAlign w:val="center"/>
                </w:tcPr>
                <w:p w14:paraId="3FCB0238">
                  <w:pPr>
                    <w:adjustRightInd w:val="0"/>
                    <w:snapToGrid w:val="0"/>
                    <w:jc w:val="center"/>
                    <w:rPr>
                      <w:color w:val="auto"/>
                      <w:szCs w:val="21"/>
                    </w:rPr>
                  </w:pPr>
                  <w:r>
                    <w:rPr>
                      <w:color w:val="auto"/>
                      <w:szCs w:val="21"/>
                    </w:rPr>
                    <w:t>45</w:t>
                  </w:r>
                </w:p>
              </w:tc>
              <w:tc>
                <w:tcPr>
                  <w:tcW w:w="351" w:type="pct"/>
                  <w:tcBorders>
                    <w:tl2br w:val="nil"/>
                    <w:tr2bl w:val="nil"/>
                  </w:tcBorders>
                  <w:vAlign w:val="center"/>
                </w:tcPr>
                <w:p w14:paraId="494528E9">
                  <w:pPr>
                    <w:adjustRightInd w:val="0"/>
                    <w:snapToGrid w:val="0"/>
                    <w:jc w:val="center"/>
                    <w:rPr>
                      <w:color w:val="auto"/>
                      <w:szCs w:val="21"/>
                    </w:rPr>
                  </w:pPr>
                  <w:r>
                    <w:rPr>
                      <w:rFonts w:hint="eastAsia"/>
                      <w:color w:val="auto"/>
                      <w:szCs w:val="21"/>
                    </w:rPr>
                    <w:t>70</w:t>
                  </w:r>
                </w:p>
              </w:tc>
              <w:tc>
                <w:tcPr>
                  <w:tcW w:w="351" w:type="pct"/>
                  <w:tcBorders>
                    <w:tl2br w:val="nil"/>
                    <w:tr2bl w:val="nil"/>
                  </w:tcBorders>
                  <w:vAlign w:val="center"/>
                </w:tcPr>
                <w:p w14:paraId="51C07203">
                  <w:pPr>
                    <w:adjustRightInd w:val="0"/>
                    <w:snapToGrid w:val="0"/>
                    <w:jc w:val="center"/>
                    <w:rPr>
                      <w:color w:val="auto"/>
                      <w:szCs w:val="21"/>
                    </w:rPr>
                  </w:pPr>
                  <w:r>
                    <w:rPr>
                      <w:rFonts w:hint="eastAsia"/>
                      <w:color w:val="auto"/>
                      <w:szCs w:val="21"/>
                    </w:rPr>
                    <w:t>10</w:t>
                  </w:r>
                </w:p>
              </w:tc>
              <w:tc>
                <w:tcPr>
                  <w:tcW w:w="351" w:type="pct"/>
                  <w:tcBorders>
                    <w:tl2br w:val="nil"/>
                    <w:tr2bl w:val="nil"/>
                  </w:tcBorders>
                  <w:vAlign w:val="center"/>
                </w:tcPr>
                <w:p w14:paraId="0DC9D5A8">
                  <w:pPr>
                    <w:adjustRightInd w:val="0"/>
                    <w:snapToGrid w:val="0"/>
                    <w:jc w:val="center"/>
                    <w:rPr>
                      <w:color w:val="auto"/>
                      <w:szCs w:val="21"/>
                    </w:rPr>
                  </w:pPr>
                  <w:r>
                    <w:rPr>
                      <w:color w:val="auto"/>
                      <w:szCs w:val="21"/>
                    </w:rPr>
                    <w:t>8</w:t>
                  </w:r>
                </w:p>
              </w:tc>
              <w:tc>
                <w:tcPr>
                  <w:tcW w:w="614" w:type="pct"/>
                  <w:tcBorders>
                    <w:tl2br w:val="nil"/>
                    <w:tr2bl w:val="nil"/>
                  </w:tcBorders>
                  <w:vAlign w:val="center"/>
                </w:tcPr>
                <w:p w14:paraId="1316378B">
                  <w:pPr>
                    <w:adjustRightInd w:val="0"/>
                    <w:snapToGrid w:val="0"/>
                    <w:jc w:val="center"/>
                    <w:rPr>
                      <w:color w:val="auto"/>
                      <w:szCs w:val="21"/>
                    </w:rPr>
                  </w:pPr>
                  <w:r>
                    <w:rPr>
                      <w:color w:val="auto"/>
                      <w:szCs w:val="21"/>
                    </w:rPr>
                    <w:t>100</w:t>
                  </w:r>
                </w:p>
              </w:tc>
            </w:tr>
          </w:tbl>
          <w:p w14:paraId="784A682B">
            <w:pPr>
              <w:pStyle w:val="70"/>
              <w:ind w:firstLine="480"/>
              <w:rPr>
                <w:color w:val="auto"/>
              </w:rPr>
            </w:pPr>
          </w:p>
          <w:p w14:paraId="1E35A31A">
            <w:pPr>
              <w:adjustRightInd w:val="0"/>
              <w:snapToGrid w:val="0"/>
              <w:spacing w:line="360" w:lineRule="auto"/>
              <w:rPr>
                <w:b/>
                <w:color w:val="auto"/>
                <w:kern w:val="24"/>
                <w:sz w:val="24"/>
              </w:rPr>
            </w:pPr>
            <w:r>
              <w:rPr>
                <w:b/>
                <w:color w:val="auto"/>
                <w:kern w:val="24"/>
                <w:sz w:val="24"/>
              </w:rPr>
              <w:t>3、噪声排放标准</w:t>
            </w:r>
          </w:p>
          <w:p w14:paraId="425CEF6F">
            <w:pPr>
              <w:adjustRightInd w:val="0"/>
              <w:snapToGrid w:val="0"/>
              <w:spacing w:line="360" w:lineRule="auto"/>
              <w:ind w:firstLine="480" w:firstLineChars="200"/>
              <w:rPr>
                <w:color w:val="auto"/>
                <w:kern w:val="24"/>
                <w:sz w:val="24"/>
              </w:rPr>
            </w:pPr>
            <w:r>
              <w:rPr>
                <w:rFonts w:eastAsiaTheme="minorEastAsia"/>
                <w:color w:val="auto"/>
                <w:kern w:val="24"/>
                <w:sz w:val="24"/>
              </w:rPr>
              <w:t>（1）</w:t>
            </w:r>
            <w:r>
              <w:rPr>
                <w:color w:val="auto"/>
                <w:kern w:val="24"/>
                <w:sz w:val="24"/>
              </w:rPr>
              <w:t>施工期：施工噪声执行《建筑施工噪声排放标准》（GB 12523-2025），具体限值详见表3-</w:t>
            </w:r>
            <w:r>
              <w:rPr>
                <w:rFonts w:hint="eastAsia"/>
                <w:color w:val="auto"/>
                <w:kern w:val="24"/>
                <w:sz w:val="24"/>
                <w:lang w:val="en-US" w:eastAsia="zh-CN"/>
              </w:rPr>
              <w:t>10</w:t>
            </w:r>
            <w:r>
              <w:rPr>
                <w:color w:val="auto"/>
                <w:kern w:val="24"/>
                <w:sz w:val="24"/>
              </w:rPr>
              <w:t>。</w:t>
            </w:r>
          </w:p>
          <w:p w14:paraId="025A4846">
            <w:pPr>
              <w:pStyle w:val="60"/>
              <w:snapToGrid w:val="0"/>
              <w:spacing w:line="360" w:lineRule="auto"/>
              <w:ind w:firstLine="0"/>
              <w:jc w:val="center"/>
              <w:textAlignment w:val="auto"/>
              <w:rPr>
                <w:b/>
                <w:bCs/>
                <w:color w:val="auto"/>
                <w:szCs w:val="24"/>
              </w:rPr>
            </w:pPr>
            <w:r>
              <w:rPr>
                <w:b/>
                <w:bCs/>
                <w:color w:val="auto"/>
                <w:szCs w:val="24"/>
              </w:rPr>
              <w:t>表3-</w:t>
            </w:r>
            <w:r>
              <w:rPr>
                <w:rFonts w:hint="eastAsia"/>
                <w:b/>
                <w:bCs/>
                <w:color w:val="auto"/>
                <w:szCs w:val="24"/>
                <w:lang w:val="en-US" w:eastAsia="zh-CN"/>
              </w:rPr>
              <w:t>10</w:t>
            </w:r>
            <w:r>
              <w:rPr>
                <w:b/>
                <w:bCs/>
                <w:color w:val="auto"/>
                <w:szCs w:val="24"/>
              </w:rPr>
              <w:t xml:space="preserve">  建筑施工场界噪声排放限值   单位：dB(A)</w:t>
            </w:r>
          </w:p>
          <w:tbl>
            <w:tblPr>
              <w:tblStyle w:val="32"/>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4307"/>
              <w:gridCol w:w="4309"/>
            </w:tblGrid>
            <w:tr w14:paraId="77FADB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0" w:hRule="atLeast"/>
                <w:jc w:val="center"/>
              </w:trPr>
              <w:tc>
                <w:tcPr>
                  <w:tcW w:w="4279" w:type="dxa"/>
                  <w:vAlign w:val="center"/>
                </w:tcPr>
                <w:p w14:paraId="5C935BD4">
                  <w:pPr>
                    <w:adjustRightInd w:val="0"/>
                    <w:snapToGrid w:val="0"/>
                    <w:spacing w:line="360" w:lineRule="exact"/>
                    <w:jc w:val="center"/>
                    <w:rPr>
                      <w:color w:val="auto"/>
                      <w:kern w:val="0"/>
                      <w:szCs w:val="21"/>
                    </w:rPr>
                  </w:pPr>
                  <w:r>
                    <w:rPr>
                      <w:caps/>
                      <w:color w:val="auto"/>
                      <w:szCs w:val="21"/>
                    </w:rPr>
                    <w:t>昼间</w:t>
                  </w:r>
                </w:p>
              </w:tc>
              <w:tc>
                <w:tcPr>
                  <w:tcW w:w="4280" w:type="dxa"/>
                  <w:vAlign w:val="center"/>
                </w:tcPr>
                <w:p w14:paraId="1C36A8EA">
                  <w:pPr>
                    <w:widowControl/>
                    <w:adjustRightInd w:val="0"/>
                    <w:snapToGrid w:val="0"/>
                    <w:spacing w:line="360" w:lineRule="exact"/>
                    <w:jc w:val="center"/>
                    <w:rPr>
                      <w:color w:val="auto"/>
                      <w:kern w:val="0"/>
                      <w:szCs w:val="21"/>
                    </w:rPr>
                  </w:pPr>
                  <w:r>
                    <w:rPr>
                      <w:caps/>
                      <w:color w:val="auto"/>
                      <w:szCs w:val="21"/>
                    </w:rPr>
                    <w:t>夜间</w:t>
                  </w:r>
                </w:p>
              </w:tc>
            </w:tr>
            <w:tr w14:paraId="18DDC33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5" w:hRule="atLeast"/>
                <w:jc w:val="center"/>
              </w:trPr>
              <w:tc>
                <w:tcPr>
                  <w:tcW w:w="4279" w:type="dxa"/>
                  <w:vAlign w:val="center"/>
                </w:tcPr>
                <w:p w14:paraId="6DCDE855">
                  <w:pPr>
                    <w:adjustRightInd w:val="0"/>
                    <w:snapToGrid w:val="0"/>
                    <w:spacing w:line="360" w:lineRule="exact"/>
                    <w:jc w:val="center"/>
                    <w:rPr>
                      <w:color w:val="auto"/>
                      <w:kern w:val="0"/>
                      <w:szCs w:val="21"/>
                    </w:rPr>
                  </w:pPr>
                  <w:r>
                    <w:rPr>
                      <w:color w:val="auto"/>
                      <w:szCs w:val="21"/>
                    </w:rPr>
                    <w:t>70</w:t>
                  </w:r>
                </w:p>
              </w:tc>
              <w:tc>
                <w:tcPr>
                  <w:tcW w:w="4280" w:type="dxa"/>
                  <w:vAlign w:val="center"/>
                </w:tcPr>
                <w:p w14:paraId="0F570815">
                  <w:pPr>
                    <w:widowControl/>
                    <w:adjustRightInd w:val="0"/>
                    <w:snapToGrid w:val="0"/>
                    <w:spacing w:line="360" w:lineRule="exact"/>
                    <w:jc w:val="center"/>
                    <w:rPr>
                      <w:color w:val="auto"/>
                      <w:kern w:val="0"/>
                      <w:szCs w:val="21"/>
                    </w:rPr>
                  </w:pPr>
                  <w:r>
                    <w:rPr>
                      <w:color w:val="auto"/>
                      <w:szCs w:val="21"/>
                    </w:rPr>
                    <w:t>55</w:t>
                  </w:r>
                </w:p>
              </w:tc>
            </w:tr>
          </w:tbl>
          <w:p w14:paraId="00C6CEEF">
            <w:pPr>
              <w:adjustRightInd w:val="0"/>
              <w:snapToGrid w:val="0"/>
              <w:spacing w:line="360" w:lineRule="auto"/>
              <w:ind w:firstLine="480" w:firstLineChars="200"/>
              <w:rPr>
                <w:color w:val="auto"/>
                <w:kern w:val="24"/>
                <w:sz w:val="24"/>
              </w:rPr>
            </w:pPr>
            <w:r>
              <w:rPr>
                <w:rFonts w:eastAsiaTheme="minorEastAsia"/>
                <w:color w:val="auto"/>
                <w:kern w:val="24"/>
                <w:sz w:val="24"/>
              </w:rPr>
              <w:t>（2）</w:t>
            </w:r>
            <w:r>
              <w:rPr>
                <w:color w:val="auto"/>
                <w:kern w:val="24"/>
                <w:sz w:val="24"/>
              </w:rPr>
              <w:t>运营期：运营期厂界噪声执行《工业企业厂界环境噪声排放标准》（GB12348-2008）2类标准。具体限值详见表</w:t>
            </w:r>
            <w:r>
              <w:rPr>
                <w:rFonts w:hint="eastAsia"/>
                <w:color w:val="auto"/>
                <w:kern w:val="24"/>
                <w:sz w:val="24"/>
              </w:rPr>
              <w:t>3</w:t>
            </w:r>
            <w:r>
              <w:rPr>
                <w:color w:val="auto"/>
                <w:kern w:val="24"/>
                <w:sz w:val="24"/>
              </w:rPr>
              <w:t>-</w:t>
            </w:r>
            <w:r>
              <w:rPr>
                <w:rFonts w:hint="eastAsia"/>
                <w:color w:val="auto"/>
                <w:kern w:val="24"/>
                <w:sz w:val="24"/>
                <w:lang w:val="en-US" w:eastAsia="zh-CN"/>
              </w:rPr>
              <w:t>11</w:t>
            </w:r>
            <w:r>
              <w:rPr>
                <w:color w:val="auto"/>
                <w:kern w:val="24"/>
                <w:sz w:val="24"/>
              </w:rPr>
              <w:t>。</w:t>
            </w:r>
          </w:p>
          <w:p w14:paraId="65FD6889">
            <w:pPr>
              <w:pStyle w:val="60"/>
              <w:snapToGrid w:val="0"/>
              <w:spacing w:line="360" w:lineRule="auto"/>
              <w:ind w:firstLine="0"/>
              <w:jc w:val="center"/>
              <w:textAlignment w:val="auto"/>
              <w:rPr>
                <w:b/>
                <w:bCs/>
                <w:color w:val="auto"/>
                <w:szCs w:val="24"/>
              </w:rPr>
            </w:pPr>
            <w:r>
              <w:rPr>
                <w:b/>
                <w:bCs/>
                <w:color w:val="auto"/>
                <w:szCs w:val="24"/>
              </w:rPr>
              <w:t>表</w:t>
            </w:r>
            <w:r>
              <w:rPr>
                <w:rFonts w:hint="eastAsia"/>
                <w:b/>
                <w:bCs/>
                <w:color w:val="auto"/>
                <w:szCs w:val="24"/>
              </w:rPr>
              <w:t>3</w:t>
            </w:r>
            <w:r>
              <w:rPr>
                <w:b/>
                <w:bCs/>
                <w:color w:val="auto"/>
                <w:szCs w:val="24"/>
              </w:rPr>
              <w:t>-</w:t>
            </w:r>
            <w:r>
              <w:rPr>
                <w:rFonts w:hint="eastAsia"/>
                <w:b/>
                <w:bCs/>
                <w:color w:val="auto"/>
                <w:szCs w:val="24"/>
                <w:lang w:val="en-US" w:eastAsia="zh-CN"/>
              </w:rPr>
              <w:t>11</w:t>
            </w:r>
            <w:r>
              <w:rPr>
                <w:rFonts w:hint="eastAsia"/>
                <w:b/>
                <w:bCs/>
                <w:color w:val="auto"/>
                <w:szCs w:val="24"/>
              </w:rPr>
              <w:t xml:space="preserve"> </w:t>
            </w:r>
            <w:r>
              <w:rPr>
                <w:b/>
                <w:bCs/>
                <w:color w:val="auto"/>
                <w:szCs w:val="24"/>
              </w:rPr>
              <w:t xml:space="preserve"> 工业企业厂界环境噪声排放标准   单位：dB(A)</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5"/>
              <w:gridCol w:w="1470"/>
              <w:gridCol w:w="1175"/>
              <w:gridCol w:w="2498"/>
              <w:gridCol w:w="2223"/>
            </w:tblGrid>
            <w:tr w14:paraId="7168E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1" w:type="dxa"/>
                  <w:vMerge w:val="restart"/>
                  <w:vAlign w:val="center"/>
                </w:tcPr>
                <w:p w14:paraId="351DE97E">
                  <w:pPr>
                    <w:adjustRightInd w:val="0"/>
                    <w:snapToGrid w:val="0"/>
                    <w:spacing w:line="360" w:lineRule="exact"/>
                    <w:jc w:val="center"/>
                    <w:rPr>
                      <w:caps/>
                      <w:color w:val="auto"/>
                      <w:szCs w:val="21"/>
                    </w:rPr>
                  </w:pPr>
                  <w:r>
                    <w:rPr>
                      <w:rFonts w:hint="eastAsia"/>
                      <w:caps/>
                      <w:color w:val="auto"/>
                      <w:szCs w:val="21"/>
                    </w:rPr>
                    <w:t>声环境功能区类别</w:t>
                  </w:r>
                </w:p>
              </w:tc>
              <w:tc>
                <w:tcPr>
                  <w:tcW w:w="1418" w:type="dxa"/>
                  <w:vAlign w:val="center"/>
                </w:tcPr>
                <w:p w14:paraId="579361CF">
                  <w:pPr>
                    <w:adjustRightInd w:val="0"/>
                    <w:snapToGrid w:val="0"/>
                    <w:spacing w:line="360" w:lineRule="exact"/>
                    <w:jc w:val="center"/>
                    <w:rPr>
                      <w:caps/>
                      <w:color w:val="auto"/>
                      <w:szCs w:val="21"/>
                    </w:rPr>
                  </w:pPr>
                  <w:r>
                    <w:rPr>
                      <w:caps/>
                      <w:color w:val="auto"/>
                      <w:szCs w:val="21"/>
                    </w:rPr>
                    <w:t>昼间</w:t>
                  </w:r>
                </w:p>
              </w:tc>
              <w:tc>
                <w:tcPr>
                  <w:tcW w:w="5689" w:type="dxa"/>
                  <w:gridSpan w:val="3"/>
                  <w:vAlign w:val="center"/>
                </w:tcPr>
                <w:p w14:paraId="4C1C36A3">
                  <w:pPr>
                    <w:adjustRightInd w:val="0"/>
                    <w:snapToGrid w:val="0"/>
                    <w:spacing w:line="360" w:lineRule="exact"/>
                    <w:jc w:val="center"/>
                    <w:rPr>
                      <w:caps/>
                      <w:color w:val="auto"/>
                      <w:szCs w:val="21"/>
                    </w:rPr>
                  </w:pPr>
                  <w:r>
                    <w:rPr>
                      <w:caps/>
                      <w:color w:val="auto"/>
                      <w:szCs w:val="21"/>
                    </w:rPr>
                    <w:t>夜间</w:t>
                  </w:r>
                </w:p>
              </w:tc>
            </w:tr>
            <w:tr w14:paraId="572F2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1" w:type="dxa"/>
                  <w:vMerge w:val="continue"/>
                  <w:vAlign w:val="center"/>
                </w:tcPr>
                <w:p w14:paraId="61B4C9E9">
                  <w:pPr>
                    <w:adjustRightInd w:val="0"/>
                    <w:snapToGrid w:val="0"/>
                    <w:spacing w:line="360" w:lineRule="exact"/>
                    <w:jc w:val="center"/>
                    <w:rPr>
                      <w:caps/>
                      <w:color w:val="auto"/>
                      <w:szCs w:val="21"/>
                    </w:rPr>
                  </w:pPr>
                </w:p>
              </w:tc>
              <w:tc>
                <w:tcPr>
                  <w:tcW w:w="1418" w:type="dxa"/>
                  <w:vAlign w:val="center"/>
                </w:tcPr>
                <w:p w14:paraId="6FB2CFC6">
                  <w:pPr>
                    <w:adjustRightInd w:val="0"/>
                    <w:snapToGrid w:val="0"/>
                    <w:spacing w:line="360" w:lineRule="exact"/>
                    <w:jc w:val="center"/>
                    <w:rPr>
                      <w:caps/>
                      <w:color w:val="auto"/>
                      <w:szCs w:val="21"/>
                    </w:rPr>
                  </w:pPr>
                  <w:r>
                    <w:rPr>
                      <w:rFonts w:hint="eastAsia"/>
                      <w:caps/>
                      <w:color w:val="auto"/>
                      <w:szCs w:val="21"/>
                    </w:rPr>
                    <w:t>等效声级</w:t>
                  </w:r>
                </w:p>
              </w:tc>
              <w:tc>
                <w:tcPr>
                  <w:tcW w:w="1134" w:type="dxa"/>
                  <w:vAlign w:val="center"/>
                </w:tcPr>
                <w:p w14:paraId="39D9E0DB">
                  <w:pPr>
                    <w:adjustRightInd w:val="0"/>
                    <w:snapToGrid w:val="0"/>
                    <w:spacing w:line="360" w:lineRule="exact"/>
                    <w:jc w:val="center"/>
                    <w:rPr>
                      <w:caps/>
                      <w:color w:val="auto"/>
                      <w:szCs w:val="21"/>
                    </w:rPr>
                  </w:pPr>
                  <w:r>
                    <w:rPr>
                      <w:rFonts w:hint="eastAsia"/>
                      <w:caps/>
                      <w:color w:val="auto"/>
                      <w:szCs w:val="21"/>
                    </w:rPr>
                    <w:t>等效声级</w:t>
                  </w:r>
                </w:p>
              </w:tc>
              <w:tc>
                <w:tcPr>
                  <w:tcW w:w="2410" w:type="dxa"/>
                  <w:vAlign w:val="center"/>
                </w:tcPr>
                <w:p w14:paraId="76940A32">
                  <w:pPr>
                    <w:adjustRightInd w:val="0"/>
                    <w:snapToGrid w:val="0"/>
                    <w:spacing w:line="360" w:lineRule="exact"/>
                    <w:jc w:val="center"/>
                    <w:rPr>
                      <w:caps/>
                      <w:color w:val="auto"/>
                      <w:szCs w:val="21"/>
                    </w:rPr>
                  </w:pPr>
                  <w:r>
                    <w:rPr>
                      <w:caps/>
                      <w:color w:val="auto"/>
                      <w:szCs w:val="21"/>
                    </w:rPr>
                    <w:t>频发噪声最大声级</w:t>
                  </w:r>
                </w:p>
              </w:tc>
              <w:tc>
                <w:tcPr>
                  <w:tcW w:w="2145" w:type="dxa"/>
                  <w:vAlign w:val="center"/>
                </w:tcPr>
                <w:p w14:paraId="28581BCC">
                  <w:pPr>
                    <w:adjustRightInd w:val="0"/>
                    <w:snapToGrid w:val="0"/>
                    <w:spacing w:line="360" w:lineRule="exact"/>
                    <w:jc w:val="center"/>
                    <w:rPr>
                      <w:caps/>
                      <w:color w:val="auto"/>
                      <w:szCs w:val="21"/>
                    </w:rPr>
                  </w:pPr>
                  <w:r>
                    <w:rPr>
                      <w:caps/>
                      <w:color w:val="auto"/>
                      <w:szCs w:val="21"/>
                    </w:rPr>
                    <w:t>偶发噪声最大声级</w:t>
                  </w:r>
                </w:p>
              </w:tc>
            </w:tr>
            <w:tr w14:paraId="2B953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201" w:type="dxa"/>
                  <w:vAlign w:val="center"/>
                </w:tcPr>
                <w:p w14:paraId="484BE117">
                  <w:pPr>
                    <w:adjustRightInd w:val="0"/>
                    <w:snapToGrid w:val="0"/>
                    <w:spacing w:line="360" w:lineRule="exact"/>
                    <w:jc w:val="center"/>
                    <w:rPr>
                      <w:caps/>
                      <w:color w:val="auto"/>
                      <w:szCs w:val="21"/>
                    </w:rPr>
                  </w:pPr>
                  <w:r>
                    <w:rPr>
                      <w:rFonts w:hint="eastAsia"/>
                      <w:caps/>
                      <w:color w:val="auto"/>
                      <w:szCs w:val="21"/>
                    </w:rPr>
                    <w:t>2</w:t>
                  </w:r>
                </w:p>
              </w:tc>
              <w:tc>
                <w:tcPr>
                  <w:tcW w:w="1418" w:type="dxa"/>
                  <w:vAlign w:val="center"/>
                </w:tcPr>
                <w:p w14:paraId="220704DA">
                  <w:pPr>
                    <w:adjustRightInd w:val="0"/>
                    <w:snapToGrid w:val="0"/>
                    <w:spacing w:line="360" w:lineRule="exact"/>
                    <w:jc w:val="center"/>
                    <w:rPr>
                      <w:caps/>
                      <w:color w:val="auto"/>
                      <w:szCs w:val="21"/>
                    </w:rPr>
                  </w:pPr>
                  <w:r>
                    <w:rPr>
                      <w:rFonts w:hint="eastAsia"/>
                      <w:caps/>
                      <w:color w:val="auto"/>
                      <w:szCs w:val="21"/>
                    </w:rPr>
                    <w:t>60</w:t>
                  </w:r>
                </w:p>
              </w:tc>
              <w:tc>
                <w:tcPr>
                  <w:tcW w:w="1134" w:type="dxa"/>
                  <w:vAlign w:val="center"/>
                </w:tcPr>
                <w:p w14:paraId="0251DC57">
                  <w:pPr>
                    <w:adjustRightInd w:val="0"/>
                    <w:snapToGrid w:val="0"/>
                    <w:spacing w:line="360" w:lineRule="exact"/>
                    <w:jc w:val="center"/>
                    <w:rPr>
                      <w:caps/>
                      <w:color w:val="auto"/>
                      <w:szCs w:val="21"/>
                    </w:rPr>
                  </w:pPr>
                  <w:r>
                    <w:rPr>
                      <w:rFonts w:hint="eastAsia"/>
                      <w:caps/>
                      <w:color w:val="auto"/>
                      <w:szCs w:val="21"/>
                    </w:rPr>
                    <w:t>50</w:t>
                  </w:r>
                </w:p>
              </w:tc>
              <w:tc>
                <w:tcPr>
                  <w:tcW w:w="2410" w:type="dxa"/>
                  <w:vAlign w:val="center"/>
                </w:tcPr>
                <w:p w14:paraId="197EB17A">
                  <w:pPr>
                    <w:adjustRightInd w:val="0"/>
                    <w:snapToGrid w:val="0"/>
                    <w:spacing w:line="360" w:lineRule="exact"/>
                    <w:jc w:val="center"/>
                    <w:rPr>
                      <w:caps/>
                      <w:color w:val="auto"/>
                      <w:szCs w:val="21"/>
                    </w:rPr>
                  </w:pPr>
                  <w:r>
                    <w:rPr>
                      <w:rFonts w:hint="eastAsia"/>
                      <w:caps/>
                      <w:color w:val="auto"/>
                      <w:szCs w:val="21"/>
                    </w:rPr>
                    <w:t>80</w:t>
                  </w:r>
                </w:p>
              </w:tc>
              <w:tc>
                <w:tcPr>
                  <w:tcW w:w="2145" w:type="dxa"/>
                  <w:vAlign w:val="center"/>
                </w:tcPr>
                <w:p w14:paraId="2C6B4DD2">
                  <w:pPr>
                    <w:adjustRightInd w:val="0"/>
                    <w:snapToGrid w:val="0"/>
                    <w:spacing w:line="360" w:lineRule="exact"/>
                    <w:jc w:val="center"/>
                    <w:rPr>
                      <w:caps/>
                      <w:color w:val="auto"/>
                      <w:szCs w:val="21"/>
                    </w:rPr>
                  </w:pPr>
                  <w:r>
                    <w:rPr>
                      <w:rFonts w:hint="eastAsia"/>
                      <w:caps/>
                      <w:color w:val="auto"/>
                      <w:szCs w:val="21"/>
                    </w:rPr>
                    <w:t>70</w:t>
                  </w:r>
                </w:p>
              </w:tc>
            </w:tr>
          </w:tbl>
          <w:p w14:paraId="7E9DD1A6">
            <w:pPr>
              <w:adjustRightInd w:val="0"/>
              <w:snapToGrid w:val="0"/>
              <w:spacing w:line="360" w:lineRule="auto"/>
              <w:rPr>
                <w:b/>
                <w:bCs/>
                <w:color w:val="auto"/>
                <w:kern w:val="24"/>
                <w:sz w:val="24"/>
              </w:rPr>
            </w:pPr>
            <w:r>
              <w:rPr>
                <w:b/>
                <w:bCs/>
                <w:color w:val="auto"/>
                <w:kern w:val="24"/>
                <w:sz w:val="24"/>
              </w:rPr>
              <w:t>4、固体废物</w:t>
            </w:r>
          </w:p>
          <w:p w14:paraId="63509697">
            <w:pPr>
              <w:adjustRightInd w:val="0"/>
              <w:snapToGrid w:val="0"/>
              <w:spacing w:line="360" w:lineRule="auto"/>
              <w:ind w:left="239" w:leftChars="114" w:firstLine="240" w:firstLineChars="100"/>
              <w:rPr>
                <w:color w:val="auto"/>
                <w:kern w:val="24"/>
                <w:sz w:val="24"/>
              </w:rPr>
            </w:pPr>
            <w:r>
              <w:rPr>
                <w:rFonts w:hAnsi="宋体"/>
                <w:color w:val="auto"/>
                <w:kern w:val="24"/>
                <w:sz w:val="24"/>
              </w:rPr>
              <w:t>①</w:t>
            </w:r>
            <w:r>
              <w:rPr>
                <w:color w:val="auto"/>
                <w:kern w:val="24"/>
                <w:sz w:val="24"/>
              </w:rPr>
              <w:t>一般固废暂存及处置：</w:t>
            </w:r>
            <w:r>
              <w:rPr>
                <w:rFonts w:hint="eastAsia"/>
                <w:color w:val="auto"/>
                <w:kern w:val="24"/>
                <w:sz w:val="24"/>
              </w:rPr>
              <w:t>《一般工业固体废物贮存和填埋污染控制标准》（GB 18599-2020）（2021年7月1日起实施）</w:t>
            </w:r>
            <w:r>
              <w:rPr>
                <w:color w:val="auto"/>
                <w:kern w:val="24"/>
                <w:sz w:val="24"/>
              </w:rPr>
              <w:t>；</w:t>
            </w:r>
          </w:p>
          <w:p w14:paraId="74B1B674">
            <w:pPr>
              <w:pStyle w:val="58"/>
              <w:spacing w:line="360" w:lineRule="auto"/>
              <w:ind w:firstLine="480" w:firstLineChars="200"/>
              <w:rPr>
                <w:rFonts w:hint="eastAsia" w:ascii="Times New Roman" w:cs="Times New Roman"/>
                <w:color w:val="auto"/>
                <w:kern w:val="24"/>
                <w:sz w:val="24"/>
              </w:rPr>
            </w:pPr>
            <w:r>
              <w:rPr>
                <w:rFonts w:hint="eastAsia" w:ascii="Times New Roman" w:cs="Times New Roman"/>
                <w:color w:val="auto"/>
                <w:kern w:val="24"/>
                <w:sz w:val="24"/>
              </w:rPr>
              <w:t>②</w:t>
            </w:r>
            <w:r>
              <w:rPr>
                <w:rFonts w:ascii="Times New Roman" w:cs="Times New Roman"/>
                <w:color w:val="auto"/>
                <w:kern w:val="24"/>
                <w:sz w:val="24"/>
              </w:rPr>
              <w:t>危险废物收集、暂存、转移及处置：危险废物按《国家危险废物名录（2025版）》进行分类收集；危险废物暂存及处置执行《危险废物贮存污染控制标准》</w:t>
            </w:r>
            <w:r>
              <w:rPr>
                <w:rFonts w:hint="eastAsia" w:ascii="Times New Roman" w:cs="Times New Roman"/>
                <w:color w:val="auto"/>
                <w:kern w:val="24"/>
                <w:sz w:val="24"/>
              </w:rPr>
              <w:t>（</w:t>
            </w:r>
            <w:r>
              <w:rPr>
                <w:rFonts w:ascii="Times New Roman" w:hAnsi="Times New Roman" w:cs="Times New Roman"/>
                <w:color w:val="auto"/>
                <w:kern w:val="24"/>
                <w:sz w:val="24"/>
              </w:rPr>
              <w:t>GB 18597-2023</w:t>
            </w:r>
            <w:r>
              <w:rPr>
                <w:rFonts w:hint="eastAsia" w:ascii="Times New Roman" w:cs="Times New Roman"/>
                <w:color w:val="auto"/>
                <w:kern w:val="24"/>
                <w:sz w:val="24"/>
              </w:rPr>
              <w:t>）</w:t>
            </w:r>
            <w:r>
              <w:rPr>
                <w:rFonts w:ascii="Times New Roman" w:cs="Times New Roman"/>
                <w:color w:val="auto"/>
                <w:kern w:val="24"/>
                <w:sz w:val="24"/>
              </w:rPr>
              <w:t>标准要求；危险废物的转移依照</w:t>
            </w:r>
            <w:r>
              <w:rPr>
                <w:rFonts w:hint="eastAsia" w:ascii="Times New Roman" w:cs="Times New Roman"/>
                <w:color w:val="auto"/>
                <w:kern w:val="24"/>
                <w:sz w:val="24"/>
              </w:rPr>
              <w:t>《危险废物转移管理办法》（生态环境部、公安部、交通运输部令第23号）（2022年1月1日起施行）</w:t>
            </w:r>
            <w:r>
              <w:rPr>
                <w:rFonts w:ascii="Times New Roman" w:cs="Times New Roman"/>
                <w:color w:val="auto"/>
                <w:kern w:val="24"/>
                <w:sz w:val="24"/>
              </w:rPr>
              <w:t>。</w:t>
            </w:r>
          </w:p>
        </w:tc>
      </w:tr>
      <w:tr w14:paraId="2F0D4F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00" w:type="dxa"/>
            <w:vAlign w:val="center"/>
          </w:tcPr>
          <w:p w14:paraId="1070D184">
            <w:pPr>
              <w:adjustRightInd w:val="0"/>
              <w:snapToGrid w:val="0"/>
              <w:jc w:val="center"/>
              <w:rPr>
                <w:color w:val="auto"/>
                <w:kern w:val="0"/>
                <w:sz w:val="24"/>
              </w:rPr>
            </w:pPr>
            <w:r>
              <w:rPr>
                <w:rFonts w:hAnsi="宋体"/>
                <w:color w:val="auto"/>
                <w:kern w:val="0"/>
                <w:sz w:val="24"/>
              </w:rPr>
              <w:t>总量</w:t>
            </w:r>
          </w:p>
          <w:p w14:paraId="5322680E">
            <w:pPr>
              <w:adjustRightInd w:val="0"/>
              <w:snapToGrid w:val="0"/>
              <w:jc w:val="center"/>
              <w:rPr>
                <w:color w:val="auto"/>
                <w:kern w:val="0"/>
                <w:sz w:val="24"/>
              </w:rPr>
            </w:pPr>
            <w:r>
              <w:rPr>
                <w:rFonts w:hAnsi="宋体"/>
                <w:color w:val="auto"/>
                <w:kern w:val="0"/>
                <w:sz w:val="24"/>
              </w:rPr>
              <w:t>控制</w:t>
            </w:r>
          </w:p>
          <w:p w14:paraId="69FEB647">
            <w:pPr>
              <w:adjustRightInd w:val="0"/>
              <w:snapToGrid w:val="0"/>
              <w:jc w:val="center"/>
              <w:rPr>
                <w:color w:val="auto"/>
                <w:kern w:val="0"/>
                <w:sz w:val="24"/>
              </w:rPr>
            </w:pPr>
            <w:r>
              <w:rPr>
                <w:rFonts w:hAnsi="宋体"/>
                <w:color w:val="auto"/>
                <w:kern w:val="0"/>
                <w:sz w:val="24"/>
              </w:rPr>
              <w:t>指标</w:t>
            </w:r>
          </w:p>
        </w:tc>
        <w:tc>
          <w:tcPr>
            <w:tcW w:w="8487" w:type="dxa"/>
          </w:tcPr>
          <w:p w14:paraId="09361AE8">
            <w:pPr>
              <w:adjustRightInd w:val="0"/>
              <w:snapToGrid w:val="0"/>
              <w:spacing w:line="360" w:lineRule="auto"/>
              <w:ind w:firstLine="480" w:firstLineChars="200"/>
              <w:rPr>
                <w:color w:val="auto"/>
                <w:kern w:val="24"/>
                <w:sz w:val="24"/>
              </w:rPr>
            </w:pPr>
            <w:r>
              <w:rPr>
                <w:rFonts w:hint="eastAsia"/>
                <w:color w:val="auto"/>
                <w:kern w:val="24"/>
                <w:sz w:val="24"/>
              </w:rPr>
              <w:t>本项目建议的总量控制指标为：</w:t>
            </w:r>
          </w:p>
          <w:p w14:paraId="7BB2E76E">
            <w:pPr>
              <w:adjustRightInd w:val="0"/>
              <w:snapToGrid w:val="0"/>
              <w:spacing w:line="360" w:lineRule="auto"/>
              <w:ind w:firstLine="480" w:firstLineChars="200"/>
              <w:rPr>
                <w:color w:val="auto"/>
                <w:kern w:val="24"/>
                <w:sz w:val="24"/>
              </w:rPr>
            </w:pPr>
            <w:r>
              <w:rPr>
                <w:rFonts w:hint="eastAsia"/>
                <w:color w:val="auto"/>
                <w:kern w:val="24"/>
                <w:sz w:val="24"/>
              </w:rPr>
              <w:t>（</w:t>
            </w:r>
            <w:r>
              <w:rPr>
                <w:color w:val="auto"/>
                <w:kern w:val="24"/>
                <w:sz w:val="24"/>
              </w:rPr>
              <w:t>1</w:t>
            </w:r>
            <w:r>
              <w:rPr>
                <w:rFonts w:hint="eastAsia"/>
                <w:color w:val="auto"/>
                <w:kern w:val="24"/>
                <w:sz w:val="24"/>
              </w:rPr>
              <w:t>）废气：项目运行过程中排放的废气总量为：颗粒物：0.153</w:t>
            </w:r>
            <w:r>
              <w:rPr>
                <w:color w:val="auto"/>
                <w:kern w:val="24"/>
                <w:sz w:val="24"/>
              </w:rPr>
              <w:t xml:space="preserve"> </w:t>
            </w:r>
            <w:r>
              <w:rPr>
                <w:rFonts w:hint="eastAsia"/>
                <w:color w:val="auto"/>
                <w:kern w:val="24"/>
                <w:sz w:val="24"/>
              </w:rPr>
              <w:t>t/a。</w:t>
            </w:r>
          </w:p>
          <w:p w14:paraId="203CE07D">
            <w:pPr>
              <w:adjustRightInd w:val="0"/>
              <w:snapToGrid w:val="0"/>
              <w:spacing w:line="360" w:lineRule="auto"/>
              <w:ind w:firstLine="480" w:firstLineChars="200"/>
              <w:rPr>
                <w:color w:val="auto"/>
                <w:kern w:val="24"/>
                <w:sz w:val="24"/>
              </w:rPr>
            </w:pPr>
            <w:r>
              <w:rPr>
                <w:rFonts w:hint="eastAsia"/>
                <w:color w:val="auto"/>
                <w:kern w:val="24"/>
                <w:sz w:val="24"/>
              </w:rPr>
              <w:t>（2）本项目生产废水不外排。项目生活污水经化粪池预处理后，由槽罐车运至纳古镇污水处理站处理。</w:t>
            </w:r>
            <w:r>
              <w:rPr>
                <w:color w:val="auto"/>
                <w:kern w:val="24"/>
                <w:sz w:val="24"/>
              </w:rPr>
              <w:t>由于环保部门已对</w:t>
            </w:r>
            <w:r>
              <w:rPr>
                <w:rFonts w:hint="eastAsia"/>
                <w:color w:val="auto"/>
                <w:kern w:val="24"/>
                <w:sz w:val="24"/>
              </w:rPr>
              <w:t>纳古镇污水处理站</w:t>
            </w:r>
            <w:r>
              <w:rPr>
                <w:color w:val="auto"/>
                <w:kern w:val="24"/>
                <w:sz w:val="24"/>
              </w:rPr>
              <w:t>作总量控制要求，故本评价建议不对项目污染物排放作总量控制要求。</w:t>
            </w:r>
          </w:p>
          <w:p w14:paraId="4525B03F">
            <w:pPr>
              <w:adjustRightInd w:val="0"/>
              <w:snapToGrid w:val="0"/>
              <w:spacing w:line="360" w:lineRule="auto"/>
              <w:ind w:firstLine="480" w:firstLineChars="200"/>
              <w:rPr>
                <w:color w:val="auto"/>
                <w:kern w:val="24"/>
                <w:sz w:val="24"/>
              </w:rPr>
            </w:pPr>
            <w:r>
              <w:rPr>
                <w:rFonts w:hint="eastAsia"/>
                <w:color w:val="auto"/>
                <w:kern w:val="24"/>
                <w:sz w:val="24"/>
              </w:rPr>
              <w:t>（</w:t>
            </w:r>
            <w:r>
              <w:rPr>
                <w:color w:val="auto"/>
                <w:kern w:val="24"/>
                <w:sz w:val="24"/>
              </w:rPr>
              <w:t>3</w:t>
            </w:r>
            <w:r>
              <w:rPr>
                <w:rFonts w:hint="eastAsia"/>
                <w:color w:val="auto"/>
                <w:kern w:val="24"/>
                <w:sz w:val="24"/>
              </w:rPr>
              <w:t>）固废：处置率</w:t>
            </w:r>
            <w:r>
              <w:rPr>
                <w:color w:val="auto"/>
                <w:kern w:val="24"/>
                <w:sz w:val="24"/>
              </w:rPr>
              <w:t>100%</w:t>
            </w:r>
            <w:r>
              <w:rPr>
                <w:rFonts w:hint="eastAsia"/>
                <w:color w:val="auto"/>
                <w:kern w:val="24"/>
                <w:sz w:val="24"/>
              </w:rPr>
              <w:t>。</w:t>
            </w:r>
          </w:p>
          <w:p w14:paraId="17AEFC2F">
            <w:pPr>
              <w:adjustRightInd w:val="0"/>
              <w:snapToGrid w:val="0"/>
              <w:spacing w:line="360" w:lineRule="auto"/>
              <w:ind w:firstLine="480" w:firstLineChars="200"/>
              <w:rPr>
                <w:color w:val="auto"/>
                <w:kern w:val="24"/>
                <w:sz w:val="24"/>
              </w:rPr>
            </w:pPr>
            <w:r>
              <w:rPr>
                <w:rFonts w:hint="eastAsia"/>
                <w:color w:val="auto"/>
                <w:kern w:val="24"/>
                <w:sz w:val="24"/>
              </w:rPr>
              <w:t>根据分析，</w:t>
            </w:r>
            <w:r>
              <w:rPr>
                <w:color w:val="auto"/>
                <w:kern w:val="24"/>
                <w:sz w:val="24"/>
              </w:rPr>
              <w:t>本</w:t>
            </w:r>
            <w:r>
              <w:rPr>
                <w:rFonts w:hint="eastAsia"/>
                <w:color w:val="auto"/>
                <w:kern w:val="24"/>
                <w:sz w:val="24"/>
              </w:rPr>
              <w:t>报告</w:t>
            </w:r>
            <w:r>
              <w:rPr>
                <w:color w:val="auto"/>
                <w:kern w:val="24"/>
                <w:sz w:val="24"/>
              </w:rPr>
              <w:t>不涉及交易管理办法里要求</w:t>
            </w:r>
            <w:r>
              <w:rPr>
                <w:rFonts w:hint="eastAsia"/>
                <w:color w:val="auto"/>
                <w:kern w:val="24"/>
                <w:sz w:val="24"/>
              </w:rPr>
              <w:t>5类指标</w:t>
            </w:r>
            <w:r>
              <w:rPr>
                <w:color w:val="auto"/>
                <w:kern w:val="24"/>
                <w:sz w:val="24"/>
              </w:rPr>
              <w:t>污染物</w:t>
            </w:r>
            <w:r>
              <w:rPr>
                <w:rFonts w:hint="eastAsia"/>
                <w:color w:val="auto"/>
                <w:kern w:val="24"/>
                <w:sz w:val="24"/>
              </w:rPr>
              <w:t>。为方便管理，</w:t>
            </w:r>
            <w:r>
              <w:rPr>
                <w:color w:val="auto"/>
                <w:kern w:val="24"/>
                <w:sz w:val="24"/>
              </w:rPr>
              <w:t>本项目承诺</w:t>
            </w:r>
            <w:r>
              <w:rPr>
                <w:rFonts w:hint="eastAsia"/>
                <w:color w:val="auto"/>
                <w:kern w:val="24"/>
                <w:sz w:val="24"/>
              </w:rPr>
              <w:t>，若项目在实际建设过程可能因环保措施变化造成涉及指标污染物排放的，仍在</w:t>
            </w:r>
            <w:r>
              <w:rPr>
                <w:color w:val="auto"/>
                <w:kern w:val="24"/>
                <w:sz w:val="24"/>
              </w:rPr>
              <w:t>实际排污行为发生前，按照《云南省排污权有偿使用和交易管理办法（试行）》（云政办规〔2025〕8号）的有关规定进行核定，并通过交易方式依法取得。</w:t>
            </w:r>
          </w:p>
        </w:tc>
      </w:tr>
    </w:tbl>
    <w:p w14:paraId="2CB26C3B">
      <w:pPr>
        <w:pStyle w:val="28"/>
        <w:jc w:val="center"/>
        <w:outlineLvl w:val="0"/>
        <w:rPr>
          <w:rFonts w:ascii="Times New Roman" w:hAnsi="Times New Roman" w:eastAsia="黑体"/>
          <w:snapToGrid w:val="0"/>
          <w:color w:val="auto"/>
          <w:sz w:val="30"/>
          <w:szCs w:val="30"/>
        </w:rPr>
      </w:pPr>
      <w:r>
        <w:rPr>
          <w:rFonts w:ascii="Times New Roman" w:hAnsi="Times New Roman" w:eastAsia="黑体"/>
          <w:snapToGrid w:val="0"/>
          <w:color w:val="auto"/>
          <w:sz w:val="36"/>
          <w:szCs w:val="36"/>
        </w:rPr>
        <w:br w:type="page"/>
      </w:r>
      <w:bookmarkStart w:id="74" w:name="_Toc152840732"/>
      <w:r>
        <w:rPr>
          <w:rFonts w:ascii="Times New Roman" w:hAnsi="黑体" w:eastAsia="黑体"/>
          <w:snapToGrid w:val="0"/>
          <w:color w:val="auto"/>
          <w:sz w:val="30"/>
          <w:szCs w:val="30"/>
        </w:rPr>
        <w:t>四、主要环境影响和保护措施</w:t>
      </w:r>
      <w:bookmarkEnd w:id="74"/>
    </w:p>
    <w:tbl>
      <w:tblPr>
        <w:tblStyle w:val="32"/>
        <w:tblW w:w="963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23"/>
        <w:gridCol w:w="9116"/>
      </w:tblGrid>
      <w:tr w14:paraId="3840D1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99" w:hRule="atLeast"/>
          <w:jc w:val="center"/>
        </w:trPr>
        <w:tc>
          <w:tcPr>
            <w:tcW w:w="523" w:type="dxa"/>
            <w:tcMar>
              <w:left w:w="28" w:type="dxa"/>
              <w:right w:w="28" w:type="dxa"/>
            </w:tcMar>
            <w:vAlign w:val="center"/>
          </w:tcPr>
          <w:p w14:paraId="53EEE541">
            <w:pPr>
              <w:pStyle w:val="28"/>
              <w:adjustRightInd w:val="0"/>
              <w:snapToGrid w:val="0"/>
              <w:spacing w:before="0" w:beforeAutospacing="0" w:after="0" w:afterAutospacing="0"/>
              <w:jc w:val="center"/>
              <w:rPr>
                <w:rFonts w:ascii="Times New Roman" w:hAnsi="Times New Roman"/>
                <w:bCs/>
                <w:color w:val="auto"/>
                <w:kern w:val="2"/>
                <w:szCs w:val="24"/>
              </w:rPr>
            </w:pPr>
            <w:r>
              <w:rPr>
                <w:rFonts w:ascii="Times New Roman"/>
                <w:color w:val="auto"/>
                <w:kern w:val="2"/>
                <w:szCs w:val="24"/>
              </w:rPr>
              <w:t>施工期环境保护措施</w:t>
            </w:r>
          </w:p>
        </w:tc>
        <w:tc>
          <w:tcPr>
            <w:tcW w:w="9116" w:type="dxa"/>
          </w:tcPr>
          <w:p w14:paraId="3DE5BB16">
            <w:pPr>
              <w:adjustRightInd w:val="0"/>
              <w:snapToGrid w:val="0"/>
              <w:spacing w:line="360" w:lineRule="auto"/>
              <w:ind w:firstLine="480" w:firstLineChars="200"/>
              <w:rPr>
                <w:color w:val="auto"/>
                <w:kern w:val="24"/>
                <w:sz w:val="24"/>
              </w:rPr>
            </w:pPr>
            <w:r>
              <w:rPr>
                <w:rFonts w:hint="eastAsia"/>
                <w:color w:val="auto"/>
                <w:kern w:val="24"/>
                <w:sz w:val="24"/>
              </w:rPr>
              <w:t>本次施工期主要是对现有厂房进行</w:t>
            </w:r>
            <w:r>
              <w:rPr>
                <w:rFonts w:hint="eastAsia"/>
                <w:color w:val="auto"/>
                <w:sz w:val="24"/>
              </w:rPr>
              <w:t>适应性</w:t>
            </w:r>
            <w:r>
              <w:rPr>
                <w:rFonts w:hint="eastAsia"/>
                <w:color w:val="auto"/>
                <w:kern w:val="24"/>
                <w:sz w:val="24"/>
              </w:rPr>
              <w:t>改造，主要包括一般固废暂存间、危险废物暂存间、地面防渗、环保设备安装等。</w:t>
            </w:r>
          </w:p>
          <w:p w14:paraId="47057AC5">
            <w:pPr>
              <w:adjustRightInd w:val="0"/>
              <w:snapToGrid w:val="0"/>
              <w:spacing w:line="360" w:lineRule="auto"/>
              <w:rPr>
                <w:b/>
                <w:color w:val="auto"/>
                <w:kern w:val="24"/>
                <w:sz w:val="24"/>
              </w:rPr>
            </w:pPr>
            <w:r>
              <w:rPr>
                <w:rFonts w:hint="eastAsia"/>
                <w:b/>
                <w:color w:val="auto"/>
                <w:kern w:val="24"/>
                <w:sz w:val="24"/>
              </w:rPr>
              <w:t>1</w:t>
            </w:r>
            <w:r>
              <w:rPr>
                <w:b/>
                <w:color w:val="auto"/>
                <w:kern w:val="24"/>
                <w:sz w:val="24"/>
              </w:rPr>
              <w:t>、</w:t>
            </w:r>
            <w:r>
              <w:rPr>
                <w:rFonts w:hint="eastAsia"/>
                <w:b/>
                <w:color w:val="auto"/>
                <w:kern w:val="24"/>
                <w:sz w:val="24"/>
              </w:rPr>
              <w:t>施工期大气环境保护措施</w:t>
            </w:r>
          </w:p>
          <w:p w14:paraId="58DEB07F">
            <w:pPr>
              <w:pStyle w:val="58"/>
              <w:spacing w:line="360" w:lineRule="auto"/>
              <w:ind w:firstLine="480" w:firstLineChars="200"/>
              <w:rPr>
                <w:rFonts w:ascii="Times New Roman" w:hAnsi="Times New Roman" w:cs="Times New Roman"/>
                <w:color w:val="auto"/>
                <w:kern w:val="24"/>
                <w:sz w:val="24"/>
                <w:lang w:val="en-US" w:bidi="ar-SA"/>
              </w:rPr>
            </w:pPr>
            <w:r>
              <w:rPr>
                <w:rFonts w:hint="eastAsia" w:ascii="Times New Roman" w:hAnsi="Times New Roman" w:cs="Times New Roman"/>
                <w:color w:val="auto"/>
                <w:kern w:val="24"/>
                <w:sz w:val="24"/>
                <w:lang w:val="en-US" w:bidi="ar-SA"/>
              </w:rPr>
              <w:t>（1）施工场地每天定期洒水，以有效防止扬尘。</w:t>
            </w:r>
          </w:p>
          <w:p w14:paraId="7225E1EF">
            <w:pPr>
              <w:pStyle w:val="58"/>
              <w:spacing w:line="360" w:lineRule="auto"/>
              <w:ind w:firstLine="480" w:firstLineChars="200"/>
              <w:rPr>
                <w:rFonts w:ascii="Times New Roman" w:hAnsi="Times New Roman" w:cs="Times New Roman"/>
                <w:color w:val="auto"/>
                <w:kern w:val="24"/>
                <w:sz w:val="24"/>
                <w:lang w:val="en-US" w:bidi="ar-SA"/>
              </w:rPr>
            </w:pPr>
            <w:r>
              <w:rPr>
                <w:rFonts w:hint="eastAsia" w:ascii="Times New Roman" w:hAnsi="Times New Roman" w:cs="Times New Roman"/>
                <w:color w:val="auto"/>
                <w:kern w:val="24"/>
                <w:sz w:val="24"/>
                <w:lang w:val="en-US" w:bidi="ar-SA"/>
              </w:rPr>
              <w:t>（2）施工场地内运输通道及时清扫和平整，以尽量减少运输车辆行驶产生的扬尘，并采取洒水抑尘等措施。</w:t>
            </w:r>
          </w:p>
          <w:p w14:paraId="325979F2">
            <w:pPr>
              <w:pStyle w:val="58"/>
              <w:spacing w:line="360" w:lineRule="auto"/>
              <w:ind w:firstLine="480" w:firstLineChars="200"/>
              <w:rPr>
                <w:rFonts w:ascii="Times New Roman" w:hAnsi="Times New Roman" w:cs="Times New Roman"/>
                <w:color w:val="auto"/>
                <w:kern w:val="24"/>
                <w:sz w:val="24"/>
                <w:lang w:val="en-US" w:bidi="ar-SA"/>
              </w:rPr>
            </w:pPr>
            <w:r>
              <w:rPr>
                <w:rFonts w:hint="eastAsia" w:ascii="Times New Roman" w:hAnsi="Times New Roman" w:cs="Times New Roman"/>
                <w:color w:val="auto"/>
                <w:kern w:val="24"/>
                <w:sz w:val="24"/>
                <w:lang w:val="en-US" w:bidi="ar-SA"/>
              </w:rPr>
              <w:t>（3）运输车辆进入施工场地低速或限速行驶，减少产尘量。</w:t>
            </w:r>
          </w:p>
          <w:p w14:paraId="2DA816F3">
            <w:pPr>
              <w:pStyle w:val="58"/>
              <w:spacing w:line="360" w:lineRule="auto"/>
              <w:ind w:firstLine="480" w:firstLineChars="200"/>
              <w:rPr>
                <w:rFonts w:ascii="Times New Roman" w:hAnsi="Times New Roman" w:cs="Times New Roman"/>
                <w:color w:val="auto"/>
                <w:kern w:val="24"/>
                <w:sz w:val="24"/>
                <w:lang w:val="en-US" w:bidi="ar-SA"/>
              </w:rPr>
            </w:pPr>
            <w:r>
              <w:rPr>
                <w:rFonts w:hint="eastAsia" w:ascii="Times New Roman" w:hAnsi="Times New Roman" w:cs="Times New Roman"/>
                <w:color w:val="auto"/>
                <w:kern w:val="24"/>
                <w:sz w:val="24"/>
                <w:lang w:val="en-US" w:bidi="ar-SA"/>
              </w:rPr>
              <w:t>（4）施工过程中使用水泥、石灰、砂石、涂料、铺装材料等易产生扬尘的建筑材料，采取覆盖防尘布、防尘网等措施。</w:t>
            </w:r>
          </w:p>
          <w:p w14:paraId="2485408B">
            <w:pPr>
              <w:pStyle w:val="58"/>
              <w:spacing w:line="360" w:lineRule="auto"/>
              <w:ind w:firstLine="480" w:firstLineChars="200"/>
              <w:rPr>
                <w:rFonts w:ascii="Times New Roman" w:hAnsi="Times New Roman" w:cs="Times New Roman"/>
                <w:color w:val="auto"/>
                <w:kern w:val="24"/>
                <w:sz w:val="24"/>
                <w:lang w:val="en-US" w:bidi="ar-SA"/>
              </w:rPr>
            </w:pPr>
            <w:r>
              <w:rPr>
                <w:rFonts w:hint="eastAsia" w:ascii="Times New Roman" w:hAnsi="Times New Roman" w:cs="Times New Roman"/>
                <w:color w:val="auto"/>
                <w:kern w:val="24"/>
                <w:sz w:val="24"/>
                <w:lang w:val="en-US" w:bidi="ar-SA"/>
              </w:rPr>
              <w:t>（5）施工过程中产生的弃土、弃料及其它建筑垃圾及时清运。临时堆存时采取</w:t>
            </w:r>
            <w:bookmarkStart w:id="75" w:name="OLE_LINK62"/>
            <w:r>
              <w:rPr>
                <w:rFonts w:hint="eastAsia" w:ascii="Times New Roman" w:hAnsi="Times New Roman" w:cs="Times New Roman"/>
                <w:color w:val="auto"/>
                <w:kern w:val="24"/>
                <w:sz w:val="24"/>
                <w:lang w:val="en-US" w:bidi="ar-SA"/>
              </w:rPr>
              <w:t>覆盖防尘布、防尘网</w:t>
            </w:r>
            <w:bookmarkEnd w:id="75"/>
            <w:r>
              <w:rPr>
                <w:rFonts w:hint="eastAsia" w:ascii="Times New Roman" w:hAnsi="Times New Roman" w:cs="Times New Roman"/>
                <w:color w:val="auto"/>
                <w:kern w:val="24"/>
                <w:sz w:val="24"/>
                <w:lang w:val="en-US" w:bidi="ar-SA"/>
              </w:rPr>
              <w:t>，定期喷水压尘等措施，防止风蚀起尘及水蚀迁移。</w:t>
            </w:r>
          </w:p>
          <w:p w14:paraId="4FA44601">
            <w:pPr>
              <w:pStyle w:val="58"/>
              <w:spacing w:line="360" w:lineRule="auto"/>
              <w:ind w:firstLine="480" w:firstLineChars="200"/>
              <w:rPr>
                <w:rFonts w:ascii="Times New Roman" w:hAnsi="Times New Roman" w:cs="Times New Roman"/>
                <w:color w:val="auto"/>
                <w:kern w:val="24"/>
                <w:sz w:val="24"/>
                <w:lang w:val="en-US" w:bidi="ar-SA"/>
              </w:rPr>
            </w:pPr>
            <w:r>
              <w:rPr>
                <w:rFonts w:hint="eastAsia" w:ascii="Times New Roman" w:hAnsi="Times New Roman" w:cs="Times New Roman"/>
                <w:color w:val="auto"/>
                <w:kern w:val="24"/>
                <w:sz w:val="24"/>
                <w:lang w:val="en-US" w:bidi="ar-SA"/>
              </w:rPr>
              <w:t>（6）进出工地的物料、垃圾运输车辆，大部分采用密闭车斗，并保证物料不遗撒外漏。无密闭车斗的运输车辆，物料、垃圾、渣土的装载高度不超过车辆槽帮上沿，车斗用苫布遮盖严实。</w:t>
            </w:r>
          </w:p>
          <w:p w14:paraId="01EAD547">
            <w:pPr>
              <w:adjustRightInd w:val="0"/>
              <w:snapToGrid w:val="0"/>
              <w:spacing w:line="360" w:lineRule="auto"/>
              <w:rPr>
                <w:b/>
                <w:color w:val="auto"/>
                <w:kern w:val="24"/>
                <w:sz w:val="24"/>
              </w:rPr>
            </w:pPr>
            <w:r>
              <w:rPr>
                <w:rFonts w:hint="eastAsia"/>
                <w:b/>
                <w:color w:val="auto"/>
                <w:kern w:val="24"/>
                <w:sz w:val="24"/>
              </w:rPr>
              <w:t>2</w:t>
            </w:r>
            <w:r>
              <w:rPr>
                <w:b/>
                <w:color w:val="auto"/>
                <w:kern w:val="24"/>
                <w:sz w:val="24"/>
              </w:rPr>
              <w:t>、</w:t>
            </w:r>
            <w:r>
              <w:rPr>
                <w:rFonts w:hint="eastAsia"/>
                <w:b/>
                <w:color w:val="auto"/>
                <w:kern w:val="24"/>
                <w:sz w:val="24"/>
              </w:rPr>
              <w:t>施工期废水环境保护措施</w:t>
            </w:r>
          </w:p>
          <w:p w14:paraId="2904BE6A">
            <w:pPr>
              <w:spacing w:line="360" w:lineRule="auto"/>
              <w:ind w:firstLine="480" w:firstLineChars="200"/>
              <w:rPr>
                <w:color w:val="auto"/>
                <w:sz w:val="24"/>
              </w:rPr>
            </w:pPr>
            <w:r>
              <w:rPr>
                <w:color w:val="auto"/>
                <w:kern w:val="24"/>
                <w:sz w:val="24"/>
              </w:rPr>
              <w:t>（1）</w:t>
            </w:r>
            <w:r>
              <w:rPr>
                <w:rFonts w:hint="eastAsia"/>
                <w:color w:val="auto"/>
                <w:kern w:val="24"/>
                <w:sz w:val="24"/>
              </w:rPr>
              <w:t>施工废水经临时沉淀处理后回用于施工用水或施工场地洒水降尘，不外排。</w:t>
            </w:r>
          </w:p>
          <w:p w14:paraId="3609B623">
            <w:pPr>
              <w:adjustRightInd w:val="0"/>
              <w:snapToGrid w:val="0"/>
              <w:spacing w:line="360" w:lineRule="auto"/>
              <w:ind w:firstLine="480" w:firstLineChars="200"/>
              <w:rPr>
                <w:bCs/>
                <w:color w:val="auto"/>
                <w:sz w:val="24"/>
              </w:rPr>
            </w:pPr>
            <w:r>
              <w:rPr>
                <w:color w:val="auto"/>
                <w:kern w:val="24"/>
                <w:sz w:val="24"/>
              </w:rPr>
              <w:t>（</w:t>
            </w:r>
            <w:r>
              <w:rPr>
                <w:rFonts w:hint="eastAsia"/>
                <w:color w:val="auto"/>
                <w:kern w:val="24"/>
                <w:sz w:val="24"/>
              </w:rPr>
              <w:t>2</w:t>
            </w:r>
            <w:r>
              <w:rPr>
                <w:color w:val="auto"/>
                <w:kern w:val="24"/>
                <w:sz w:val="24"/>
              </w:rPr>
              <w:t>）</w:t>
            </w:r>
            <w:r>
              <w:rPr>
                <w:rFonts w:hint="eastAsia"/>
                <w:color w:val="auto"/>
                <w:kern w:val="24"/>
                <w:sz w:val="24"/>
              </w:rPr>
              <w:t>施工期</w:t>
            </w:r>
            <w:r>
              <w:rPr>
                <w:rFonts w:hint="eastAsia"/>
                <w:bCs/>
                <w:color w:val="auto"/>
                <w:kern w:val="24"/>
                <w:sz w:val="24"/>
              </w:rPr>
              <w:t>生活污水依托周边民房已有污水处理设施进行处理。</w:t>
            </w:r>
          </w:p>
          <w:p w14:paraId="3E3005A8">
            <w:pPr>
              <w:adjustRightInd w:val="0"/>
              <w:snapToGrid w:val="0"/>
              <w:spacing w:line="360" w:lineRule="auto"/>
              <w:rPr>
                <w:b/>
                <w:color w:val="auto"/>
                <w:kern w:val="24"/>
                <w:sz w:val="24"/>
              </w:rPr>
            </w:pPr>
            <w:bookmarkStart w:id="76" w:name="OLE_LINK63"/>
            <w:r>
              <w:rPr>
                <w:rFonts w:hint="eastAsia"/>
                <w:b/>
                <w:color w:val="auto"/>
                <w:kern w:val="24"/>
                <w:sz w:val="24"/>
              </w:rPr>
              <w:t>3</w:t>
            </w:r>
            <w:r>
              <w:rPr>
                <w:b/>
                <w:color w:val="auto"/>
                <w:kern w:val="24"/>
                <w:sz w:val="24"/>
              </w:rPr>
              <w:t>、</w:t>
            </w:r>
            <w:r>
              <w:rPr>
                <w:rFonts w:hint="eastAsia"/>
                <w:b/>
                <w:color w:val="auto"/>
                <w:kern w:val="24"/>
                <w:sz w:val="24"/>
              </w:rPr>
              <w:t>施工期噪声环境保护措施</w:t>
            </w:r>
          </w:p>
          <w:bookmarkEnd w:id="76"/>
          <w:p w14:paraId="0C6B4FBC">
            <w:pPr>
              <w:adjustRightInd w:val="0"/>
              <w:snapToGrid w:val="0"/>
              <w:spacing w:line="360" w:lineRule="auto"/>
              <w:ind w:firstLine="480" w:firstLineChars="200"/>
              <w:rPr>
                <w:color w:val="auto"/>
                <w:kern w:val="24"/>
                <w:sz w:val="24"/>
              </w:rPr>
            </w:pPr>
            <w:r>
              <w:rPr>
                <w:color w:val="auto"/>
                <w:kern w:val="24"/>
                <w:sz w:val="24"/>
              </w:rPr>
              <w:t>（1）合理布局施工机械设备，并进行一定的隔声及减振处理。选用低噪声的施工机械和工艺，振动较大的固定机械设备加装减振机座，同时加强各类施工设备的维护和保养，保持其良好的运转，降低噪声源强</w:t>
            </w:r>
            <w:r>
              <w:rPr>
                <w:rFonts w:hint="eastAsia"/>
                <w:color w:val="auto"/>
                <w:kern w:val="24"/>
                <w:sz w:val="24"/>
              </w:rPr>
              <w:t>。</w:t>
            </w:r>
          </w:p>
          <w:p w14:paraId="0BDE8EF4">
            <w:pPr>
              <w:adjustRightInd w:val="0"/>
              <w:snapToGrid w:val="0"/>
              <w:spacing w:line="360" w:lineRule="auto"/>
              <w:ind w:firstLine="480" w:firstLineChars="200"/>
              <w:rPr>
                <w:color w:val="auto"/>
                <w:kern w:val="24"/>
                <w:sz w:val="24"/>
              </w:rPr>
            </w:pPr>
            <w:r>
              <w:rPr>
                <w:color w:val="auto"/>
                <w:kern w:val="24"/>
                <w:sz w:val="24"/>
              </w:rPr>
              <w:t>（</w:t>
            </w:r>
            <w:r>
              <w:rPr>
                <w:rFonts w:hint="eastAsia"/>
                <w:color w:val="auto"/>
                <w:kern w:val="24"/>
                <w:sz w:val="24"/>
              </w:rPr>
              <w:t>2</w:t>
            </w:r>
            <w:r>
              <w:rPr>
                <w:color w:val="auto"/>
                <w:kern w:val="24"/>
                <w:sz w:val="24"/>
              </w:rPr>
              <w:t>）合理地安排施工步骤，减短噪声持续排放的时间。</w:t>
            </w:r>
          </w:p>
          <w:p w14:paraId="741EEE32">
            <w:pPr>
              <w:adjustRightInd w:val="0"/>
              <w:snapToGrid w:val="0"/>
              <w:spacing w:line="360" w:lineRule="auto"/>
              <w:ind w:firstLine="480" w:firstLineChars="200"/>
              <w:rPr>
                <w:color w:val="auto"/>
                <w:kern w:val="24"/>
                <w:sz w:val="24"/>
              </w:rPr>
            </w:pPr>
            <w:r>
              <w:rPr>
                <w:color w:val="auto"/>
                <w:kern w:val="24"/>
                <w:sz w:val="24"/>
              </w:rPr>
              <w:t>（</w:t>
            </w:r>
            <w:r>
              <w:rPr>
                <w:rFonts w:hint="eastAsia"/>
                <w:color w:val="auto"/>
                <w:kern w:val="24"/>
                <w:sz w:val="24"/>
              </w:rPr>
              <w:t>3</w:t>
            </w:r>
            <w:r>
              <w:rPr>
                <w:color w:val="auto"/>
                <w:kern w:val="24"/>
                <w:sz w:val="24"/>
              </w:rPr>
              <w:t>）施工期运输车辆</w:t>
            </w:r>
            <w:r>
              <w:rPr>
                <w:rFonts w:hint="eastAsia"/>
                <w:color w:val="auto"/>
                <w:kern w:val="24"/>
                <w:sz w:val="24"/>
              </w:rPr>
              <w:t>、</w:t>
            </w:r>
            <w:r>
              <w:rPr>
                <w:color w:val="auto"/>
                <w:kern w:val="24"/>
                <w:sz w:val="24"/>
              </w:rPr>
              <w:t>施工车辆出入现场时低速、禁鸣，减小载重汽车噪声对环境的影响。</w:t>
            </w:r>
          </w:p>
          <w:p w14:paraId="2DE4CF02">
            <w:pPr>
              <w:adjustRightInd w:val="0"/>
              <w:snapToGrid w:val="0"/>
              <w:spacing w:line="360" w:lineRule="auto"/>
              <w:rPr>
                <w:b/>
                <w:color w:val="auto"/>
                <w:kern w:val="24"/>
                <w:sz w:val="24"/>
              </w:rPr>
            </w:pPr>
            <w:bookmarkStart w:id="77" w:name="OLE_LINK65"/>
            <w:r>
              <w:rPr>
                <w:rFonts w:hint="eastAsia"/>
                <w:b/>
                <w:color w:val="auto"/>
                <w:kern w:val="24"/>
                <w:sz w:val="24"/>
              </w:rPr>
              <w:t>4</w:t>
            </w:r>
            <w:r>
              <w:rPr>
                <w:b/>
                <w:color w:val="auto"/>
                <w:kern w:val="24"/>
                <w:sz w:val="24"/>
              </w:rPr>
              <w:t>、</w:t>
            </w:r>
            <w:r>
              <w:rPr>
                <w:rFonts w:hint="eastAsia"/>
                <w:b/>
                <w:color w:val="auto"/>
                <w:kern w:val="24"/>
                <w:sz w:val="24"/>
              </w:rPr>
              <w:t>施工期固体废物环境保护措施</w:t>
            </w:r>
          </w:p>
          <w:bookmarkEnd w:id="77"/>
          <w:p w14:paraId="33AFA6F1">
            <w:pPr>
              <w:adjustRightInd w:val="0"/>
              <w:snapToGrid w:val="0"/>
              <w:spacing w:line="360" w:lineRule="auto"/>
              <w:ind w:firstLine="480" w:firstLineChars="200"/>
              <w:rPr>
                <w:color w:val="auto"/>
                <w:kern w:val="24"/>
                <w:sz w:val="24"/>
              </w:rPr>
            </w:pPr>
            <w:r>
              <w:rPr>
                <w:color w:val="auto"/>
                <w:kern w:val="24"/>
                <w:sz w:val="24"/>
              </w:rPr>
              <w:t>（1）施工单位加强管理，禁止随意堆弃垃圾</w:t>
            </w:r>
            <w:r>
              <w:rPr>
                <w:rFonts w:hint="eastAsia"/>
                <w:color w:val="auto"/>
                <w:kern w:val="24"/>
                <w:sz w:val="24"/>
              </w:rPr>
              <w:t>。</w:t>
            </w:r>
          </w:p>
          <w:p w14:paraId="74A43919">
            <w:pPr>
              <w:adjustRightInd w:val="0"/>
              <w:snapToGrid w:val="0"/>
              <w:spacing w:line="360" w:lineRule="auto"/>
              <w:ind w:firstLine="480" w:firstLineChars="200"/>
              <w:rPr>
                <w:color w:val="auto"/>
                <w:kern w:val="24"/>
                <w:sz w:val="24"/>
              </w:rPr>
            </w:pPr>
            <w:r>
              <w:rPr>
                <w:color w:val="auto"/>
                <w:kern w:val="24"/>
                <w:sz w:val="24"/>
              </w:rPr>
              <w:t>（2）</w:t>
            </w:r>
            <w:r>
              <w:rPr>
                <w:rFonts w:hint="eastAsia"/>
                <w:color w:val="auto"/>
                <w:kern w:val="24"/>
                <w:sz w:val="24"/>
              </w:rPr>
              <w:t>施工材料</w:t>
            </w:r>
            <w:r>
              <w:rPr>
                <w:color w:val="auto"/>
                <w:kern w:val="24"/>
                <w:sz w:val="24"/>
              </w:rPr>
              <w:t>在运输过程中严格管理，杜绝沿途抛洒，造成二次污染</w:t>
            </w:r>
            <w:r>
              <w:rPr>
                <w:rFonts w:hint="eastAsia"/>
                <w:color w:val="auto"/>
                <w:kern w:val="24"/>
                <w:sz w:val="24"/>
              </w:rPr>
              <w:t>。</w:t>
            </w:r>
          </w:p>
          <w:p w14:paraId="5B2F7435">
            <w:pPr>
              <w:adjustRightInd w:val="0"/>
              <w:snapToGrid w:val="0"/>
              <w:spacing w:line="360" w:lineRule="auto"/>
              <w:ind w:firstLine="480" w:firstLineChars="200"/>
              <w:rPr>
                <w:color w:val="auto"/>
                <w:kern w:val="24"/>
                <w:sz w:val="24"/>
              </w:rPr>
            </w:pPr>
            <w:r>
              <w:rPr>
                <w:color w:val="auto"/>
                <w:kern w:val="24"/>
                <w:sz w:val="24"/>
              </w:rPr>
              <w:t>（3）车辆运输散体物和废弃物时，运输车辆必须做到装载适量，加盖遮布</w:t>
            </w:r>
            <w:r>
              <w:rPr>
                <w:rFonts w:hint="eastAsia"/>
                <w:color w:val="auto"/>
                <w:kern w:val="24"/>
                <w:sz w:val="24"/>
              </w:rPr>
              <w:t>。</w:t>
            </w:r>
          </w:p>
          <w:p w14:paraId="468A0678">
            <w:pPr>
              <w:adjustRightInd w:val="0"/>
              <w:snapToGrid w:val="0"/>
              <w:spacing w:line="360" w:lineRule="auto"/>
              <w:ind w:firstLine="480" w:firstLineChars="200"/>
              <w:rPr>
                <w:color w:val="auto"/>
                <w:kern w:val="24"/>
                <w:sz w:val="24"/>
              </w:rPr>
            </w:pPr>
            <w:r>
              <w:rPr>
                <w:color w:val="auto"/>
                <w:kern w:val="24"/>
                <w:sz w:val="24"/>
              </w:rPr>
              <w:t>（4）本项目废弃的建筑垃圾，分类收集并尽可能的回收再利用，不能回收利用的部分及时清运至住建部门指定点</w:t>
            </w:r>
            <w:r>
              <w:rPr>
                <w:rFonts w:hint="eastAsia"/>
                <w:color w:val="auto"/>
                <w:kern w:val="24"/>
                <w:sz w:val="24"/>
              </w:rPr>
              <w:t>处置，并</w:t>
            </w:r>
            <w:r>
              <w:rPr>
                <w:color w:val="auto"/>
                <w:kern w:val="24"/>
                <w:sz w:val="24"/>
              </w:rPr>
              <w:t>委托有资质的单位按照相应规定进行清运、处置</w:t>
            </w:r>
            <w:r>
              <w:rPr>
                <w:rFonts w:hint="eastAsia"/>
                <w:color w:val="auto"/>
                <w:kern w:val="24"/>
                <w:sz w:val="24"/>
              </w:rPr>
              <w:t>。</w:t>
            </w:r>
          </w:p>
          <w:p w14:paraId="4E47EC4B">
            <w:pPr>
              <w:adjustRightInd w:val="0"/>
              <w:snapToGrid w:val="0"/>
              <w:spacing w:line="360" w:lineRule="auto"/>
              <w:ind w:firstLine="480" w:firstLineChars="200"/>
              <w:rPr>
                <w:color w:val="auto"/>
                <w:kern w:val="24"/>
                <w:sz w:val="24"/>
              </w:rPr>
            </w:pPr>
            <w:r>
              <w:rPr>
                <w:color w:val="auto"/>
                <w:kern w:val="24"/>
                <w:sz w:val="24"/>
              </w:rPr>
              <w:t>（5）生活垃圾</w:t>
            </w:r>
            <w:r>
              <w:rPr>
                <w:rFonts w:hint="eastAsia"/>
                <w:color w:val="auto"/>
                <w:kern w:val="24"/>
                <w:sz w:val="24"/>
              </w:rPr>
              <w:t>设垃圾桶集中收集，委托环卫部门清运处置。</w:t>
            </w:r>
          </w:p>
        </w:tc>
      </w:tr>
      <w:tr w14:paraId="22668E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74" w:hRule="atLeast"/>
          <w:jc w:val="center"/>
        </w:trPr>
        <w:tc>
          <w:tcPr>
            <w:tcW w:w="523" w:type="dxa"/>
            <w:tcMar>
              <w:left w:w="28" w:type="dxa"/>
              <w:right w:w="28" w:type="dxa"/>
            </w:tcMar>
            <w:vAlign w:val="center"/>
          </w:tcPr>
          <w:p w14:paraId="29AF8783">
            <w:pPr>
              <w:adjustRightInd w:val="0"/>
              <w:snapToGrid w:val="0"/>
              <w:jc w:val="center"/>
              <w:rPr>
                <w:bCs/>
                <w:color w:val="auto"/>
                <w:sz w:val="24"/>
              </w:rPr>
            </w:pPr>
            <w:r>
              <w:rPr>
                <w:rFonts w:hAnsi="宋体"/>
                <w:bCs/>
                <w:color w:val="auto"/>
                <w:sz w:val="24"/>
              </w:rPr>
              <w:t>运营期环境影响和保护措施</w:t>
            </w:r>
          </w:p>
        </w:tc>
        <w:tc>
          <w:tcPr>
            <w:tcW w:w="9116" w:type="dxa"/>
          </w:tcPr>
          <w:p w14:paraId="4DEE6D8D">
            <w:pPr>
              <w:adjustRightInd w:val="0"/>
              <w:snapToGrid w:val="0"/>
              <w:spacing w:line="360" w:lineRule="auto"/>
              <w:jc w:val="left"/>
              <w:rPr>
                <w:b/>
                <w:bCs/>
                <w:color w:val="auto"/>
                <w:sz w:val="24"/>
              </w:rPr>
            </w:pPr>
            <w:r>
              <w:rPr>
                <w:rFonts w:hint="eastAsia"/>
                <w:b/>
                <w:bCs/>
                <w:color w:val="auto"/>
                <w:sz w:val="24"/>
              </w:rPr>
              <w:t>1、运营期废气环境影响和保护措施</w:t>
            </w:r>
          </w:p>
          <w:p w14:paraId="4EEDA692">
            <w:pPr>
              <w:adjustRightInd w:val="0"/>
              <w:snapToGrid w:val="0"/>
              <w:spacing w:line="360" w:lineRule="auto"/>
              <w:jc w:val="left"/>
              <w:rPr>
                <w:b/>
                <w:bCs/>
                <w:color w:val="auto"/>
                <w:sz w:val="24"/>
              </w:rPr>
            </w:pPr>
            <w:r>
              <w:rPr>
                <w:rFonts w:hint="eastAsia"/>
                <w:b/>
                <w:bCs/>
                <w:color w:val="auto"/>
                <w:sz w:val="24"/>
              </w:rPr>
              <w:t>1.1污染源源强核算及达标排放情况</w:t>
            </w:r>
          </w:p>
          <w:p w14:paraId="0E1BFB8B">
            <w:pPr>
              <w:pStyle w:val="70"/>
              <w:ind w:firstLine="480"/>
              <w:rPr>
                <w:color w:val="auto"/>
                <w:lang w:bidi="en-US"/>
              </w:rPr>
            </w:pPr>
            <w:r>
              <w:rPr>
                <w:rFonts w:hint="eastAsia"/>
                <w:color w:val="auto"/>
                <w:lang w:bidi="en-US"/>
              </w:rPr>
              <w:t>项目运营期的废气主要为</w:t>
            </w:r>
            <w:r>
              <w:rPr>
                <w:rFonts w:hint="eastAsia"/>
                <w:color w:val="auto"/>
                <w:szCs w:val="21"/>
              </w:rPr>
              <w:t>高频焊接工序产生的焊接、补焊缝烟尘和切割粉尘</w:t>
            </w:r>
            <w:r>
              <w:rPr>
                <w:rFonts w:hint="eastAsia"/>
                <w:color w:val="auto"/>
                <w:kern w:val="24"/>
              </w:rPr>
              <w:t>。</w:t>
            </w:r>
          </w:p>
          <w:p w14:paraId="628DC86E">
            <w:pPr>
              <w:adjustRightInd w:val="0"/>
              <w:snapToGrid w:val="0"/>
              <w:spacing w:line="360" w:lineRule="auto"/>
              <w:ind w:firstLine="480" w:firstLineChars="200"/>
              <w:rPr>
                <w:color w:val="auto"/>
                <w:kern w:val="24"/>
                <w:sz w:val="24"/>
              </w:rPr>
            </w:pPr>
            <w:r>
              <w:rPr>
                <w:rFonts w:hint="eastAsia"/>
                <w:color w:val="auto"/>
                <w:kern w:val="24"/>
                <w:sz w:val="24"/>
              </w:rPr>
              <w:t>项目大气污染物产生量排放量汇总详见表4-1。</w:t>
            </w:r>
          </w:p>
          <w:p w14:paraId="744F01FE">
            <w:pPr>
              <w:adjustRightInd w:val="0"/>
              <w:snapToGrid w:val="0"/>
              <w:spacing w:line="360" w:lineRule="auto"/>
              <w:ind w:firstLine="482" w:firstLineChars="200"/>
              <w:jc w:val="center"/>
              <w:rPr>
                <w:color w:val="auto"/>
                <w:kern w:val="24"/>
                <w:sz w:val="24"/>
              </w:rPr>
            </w:pPr>
            <w:r>
              <w:rPr>
                <w:rFonts w:hint="eastAsia"/>
                <w:b/>
                <w:color w:val="auto"/>
                <w:kern w:val="24"/>
                <w:sz w:val="24"/>
              </w:rPr>
              <w:t>表4-1  项目大气污染物产生量排放量一览表</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108" w:type="dxa"/>
                <w:bottom w:w="28" w:type="dxa"/>
                <w:right w:w="108" w:type="dxa"/>
              </w:tblCellMar>
            </w:tblPr>
            <w:tblGrid>
              <w:gridCol w:w="947"/>
              <w:gridCol w:w="1239"/>
              <w:gridCol w:w="1451"/>
              <w:gridCol w:w="1940"/>
              <w:gridCol w:w="1940"/>
              <w:gridCol w:w="1373"/>
            </w:tblGrid>
            <w:tr w14:paraId="36403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1303" w:type="pct"/>
                  <w:gridSpan w:val="2"/>
                  <w:vAlign w:val="center"/>
                </w:tcPr>
                <w:p w14:paraId="24653738">
                  <w:pPr>
                    <w:adjustRightInd w:val="0"/>
                    <w:snapToGrid w:val="0"/>
                    <w:jc w:val="center"/>
                    <w:rPr>
                      <w:color w:val="auto"/>
                      <w:kern w:val="24"/>
                      <w:szCs w:val="21"/>
                    </w:rPr>
                  </w:pPr>
                  <w:r>
                    <w:rPr>
                      <w:rFonts w:hint="eastAsia"/>
                      <w:color w:val="auto"/>
                      <w:kern w:val="24"/>
                      <w:szCs w:val="21"/>
                    </w:rPr>
                    <w:t>产排污环节</w:t>
                  </w:r>
                </w:p>
              </w:tc>
              <w:tc>
                <w:tcPr>
                  <w:tcW w:w="853" w:type="pct"/>
                  <w:vAlign w:val="center"/>
                </w:tcPr>
                <w:p w14:paraId="5A042434">
                  <w:pPr>
                    <w:adjustRightInd w:val="0"/>
                    <w:snapToGrid w:val="0"/>
                    <w:jc w:val="center"/>
                    <w:rPr>
                      <w:color w:val="auto"/>
                      <w:kern w:val="24"/>
                      <w:szCs w:val="21"/>
                    </w:rPr>
                  </w:pPr>
                  <w:r>
                    <w:rPr>
                      <w:rFonts w:hint="eastAsia"/>
                      <w:color w:val="auto"/>
                      <w:kern w:val="24"/>
                      <w:szCs w:val="21"/>
                    </w:rPr>
                    <w:t>高频焊接、补焊缝(DA001)</w:t>
                  </w:r>
                </w:p>
              </w:tc>
              <w:tc>
                <w:tcPr>
                  <w:tcW w:w="1017" w:type="pct"/>
                  <w:vAlign w:val="center"/>
                </w:tcPr>
                <w:p w14:paraId="44D6EFDD">
                  <w:pPr>
                    <w:adjustRightInd w:val="0"/>
                    <w:snapToGrid w:val="0"/>
                    <w:jc w:val="center"/>
                    <w:rPr>
                      <w:color w:val="auto"/>
                      <w:kern w:val="24"/>
                      <w:szCs w:val="21"/>
                    </w:rPr>
                  </w:pPr>
                  <w:r>
                    <w:rPr>
                      <w:rFonts w:hint="eastAsia"/>
                      <w:color w:val="auto"/>
                      <w:kern w:val="24"/>
                      <w:szCs w:val="21"/>
                    </w:rPr>
                    <w:t>高频焊接、补焊缝(DA002)</w:t>
                  </w:r>
                </w:p>
              </w:tc>
              <w:tc>
                <w:tcPr>
                  <w:tcW w:w="1017" w:type="pct"/>
                  <w:vAlign w:val="center"/>
                </w:tcPr>
                <w:p w14:paraId="5C477E8F">
                  <w:pPr>
                    <w:adjustRightInd w:val="0"/>
                    <w:snapToGrid w:val="0"/>
                    <w:jc w:val="center"/>
                    <w:rPr>
                      <w:color w:val="auto"/>
                      <w:kern w:val="24"/>
                      <w:szCs w:val="21"/>
                    </w:rPr>
                  </w:pPr>
                  <w:r>
                    <w:rPr>
                      <w:rFonts w:hint="eastAsia"/>
                      <w:color w:val="auto"/>
                      <w:kern w:val="24"/>
                      <w:szCs w:val="21"/>
                    </w:rPr>
                    <w:t>高频焊接、补焊缝(DA003)</w:t>
                  </w:r>
                </w:p>
              </w:tc>
              <w:tc>
                <w:tcPr>
                  <w:tcW w:w="809" w:type="pct"/>
                  <w:vAlign w:val="center"/>
                </w:tcPr>
                <w:p w14:paraId="1F3458D2">
                  <w:pPr>
                    <w:adjustRightInd w:val="0"/>
                    <w:snapToGrid w:val="0"/>
                    <w:jc w:val="center"/>
                    <w:rPr>
                      <w:color w:val="auto"/>
                      <w:kern w:val="24"/>
                      <w:szCs w:val="21"/>
                    </w:rPr>
                  </w:pPr>
                  <w:r>
                    <w:rPr>
                      <w:rFonts w:hint="eastAsia"/>
                      <w:color w:val="auto"/>
                      <w:kern w:val="24"/>
                      <w:szCs w:val="21"/>
                    </w:rPr>
                    <w:t>未收集焊接烟尘、切割粉尘</w:t>
                  </w:r>
                </w:p>
              </w:tc>
            </w:tr>
            <w:tr w14:paraId="30BB1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1303" w:type="pct"/>
                  <w:gridSpan w:val="2"/>
                  <w:vAlign w:val="center"/>
                </w:tcPr>
                <w:p w14:paraId="58A2A59A">
                  <w:pPr>
                    <w:adjustRightInd w:val="0"/>
                    <w:snapToGrid w:val="0"/>
                    <w:jc w:val="center"/>
                    <w:rPr>
                      <w:color w:val="auto"/>
                      <w:kern w:val="24"/>
                      <w:szCs w:val="21"/>
                    </w:rPr>
                  </w:pPr>
                  <w:r>
                    <w:rPr>
                      <w:rFonts w:hint="eastAsia"/>
                      <w:color w:val="auto"/>
                      <w:kern w:val="24"/>
                      <w:szCs w:val="21"/>
                    </w:rPr>
                    <w:t>污染物种类</w:t>
                  </w:r>
                </w:p>
              </w:tc>
              <w:tc>
                <w:tcPr>
                  <w:tcW w:w="853" w:type="pct"/>
                  <w:vAlign w:val="center"/>
                </w:tcPr>
                <w:p w14:paraId="72B7F2CA">
                  <w:pPr>
                    <w:adjustRightInd w:val="0"/>
                    <w:snapToGrid w:val="0"/>
                    <w:jc w:val="center"/>
                    <w:rPr>
                      <w:color w:val="auto"/>
                      <w:kern w:val="24"/>
                      <w:szCs w:val="21"/>
                    </w:rPr>
                  </w:pPr>
                  <w:r>
                    <w:rPr>
                      <w:rFonts w:hint="eastAsia"/>
                      <w:color w:val="auto"/>
                      <w:kern w:val="24"/>
                      <w:szCs w:val="21"/>
                    </w:rPr>
                    <w:t>颗粒物</w:t>
                  </w:r>
                </w:p>
              </w:tc>
              <w:tc>
                <w:tcPr>
                  <w:tcW w:w="1017" w:type="pct"/>
                </w:tcPr>
                <w:p w14:paraId="5AFA0E96">
                  <w:pPr>
                    <w:adjustRightInd w:val="0"/>
                    <w:snapToGrid w:val="0"/>
                    <w:jc w:val="center"/>
                    <w:rPr>
                      <w:color w:val="auto"/>
                      <w:kern w:val="24"/>
                      <w:szCs w:val="21"/>
                    </w:rPr>
                  </w:pPr>
                  <w:r>
                    <w:rPr>
                      <w:rFonts w:hint="eastAsia"/>
                      <w:color w:val="auto"/>
                      <w:kern w:val="24"/>
                      <w:szCs w:val="21"/>
                    </w:rPr>
                    <w:t>颗粒物</w:t>
                  </w:r>
                </w:p>
              </w:tc>
              <w:tc>
                <w:tcPr>
                  <w:tcW w:w="1017" w:type="pct"/>
                </w:tcPr>
                <w:p w14:paraId="4DA3D549">
                  <w:pPr>
                    <w:adjustRightInd w:val="0"/>
                    <w:snapToGrid w:val="0"/>
                    <w:jc w:val="center"/>
                    <w:rPr>
                      <w:color w:val="auto"/>
                      <w:kern w:val="24"/>
                      <w:szCs w:val="21"/>
                    </w:rPr>
                  </w:pPr>
                  <w:r>
                    <w:rPr>
                      <w:rFonts w:hint="eastAsia"/>
                      <w:color w:val="auto"/>
                      <w:kern w:val="24"/>
                      <w:szCs w:val="21"/>
                    </w:rPr>
                    <w:t>颗粒物</w:t>
                  </w:r>
                </w:p>
              </w:tc>
              <w:tc>
                <w:tcPr>
                  <w:tcW w:w="809" w:type="pct"/>
                  <w:vAlign w:val="center"/>
                </w:tcPr>
                <w:p w14:paraId="36172389">
                  <w:pPr>
                    <w:adjustRightInd w:val="0"/>
                    <w:snapToGrid w:val="0"/>
                    <w:jc w:val="center"/>
                    <w:rPr>
                      <w:color w:val="auto"/>
                      <w:kern w:val="24"/>
                      <w:szCs w:val="21"/>
                    </w:rPr>
                  </w:pPr>
                  <w:r>
                    <w:rPr>
                      <w:rFonts w:hint="eastAsia"/>
                      <w:color w:val="auto"/>
                      <w:kern w:val="24"/>
                      <w:szCs w:val="21"/>
                    </w:rPr>
                    <w:t>颗粒物</w:t>
                  </w:r>
                </w:p>
              </w:tc>
            </w:tr>
            <w:tr w14:paraId="63C93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1303" w:type="pct"/>
                  <w:gridSpan w:val="2"/>
                  <w:vAlign w:val="center"/>
                </w:tcPr>
                <w:p w14:paraId="14C2E950">
                  <w:pPr>
                    <w:adjustRightInd w:val="0"/>
                    <w:snapToGrid w:val="0"/>
                    <w:jc w:val="center"/>
                    <w:rPr>
                      <w:color w:val="auto"/>
                      <w:kern w:val="24"/>
                      <w:szCs w:val="21"/>
                    </w:rPr>
                  </w:pPr>
                  <w:r>
                    <w:rPr>
                      <w:rFonts w:hint="eastAsia"/>
                      <w:color w:val="auto"/>
                      <w:kern w:val="24"/>
                      <w:szCs w:val="21"/>
                    </w:rPr>
                    <w:t>污染物产生量(t/a)</w:t>
                  </w:r>
                </w:p>
              </w:tc>
              <w:tc>
                <w:tcPr>
                  <w:tcW w:w="853" w:type="pct"/>
                  <w:vAlign w:val="center"/>
                </w:tcPr>
                <w:p w14:paraId="147D5A7D">
                  <w:pPr>
                    <w:adjustRightInd w:val="0"/>
                    <w:snapToGrid w:val="0"/>
                    <w:jc w:val="center"/>
                    <w:rPr>
                      <w:color w:val="auto"/>
                      <w:kern w:val="24"/>
                      <w:szCs w:val="21"/>
                    </w:rPr>
                  </w:pPr>
                  <w:r>
                    <w:rPr>
                      <w:rFonts w:hint="eastAsia"/>
                      <w:color w:val="auto"/>
                      <w:kern w:val="24"/>
                      <w:szCs w:val="21"/>
                    </w:rPr>
                    <w:t>0.099</w:t>
                  </w:r>
                </w:p>
              </w:tc>
              <w:tc>
                <w:tcPr>
                  <w:tcW w:w="1017" w:type="pct"/>
                </w:tcPr>
                <w:p w14:paraId="358768B8">
                  <w:pPr>
                    <w:adjustRightInd w:val="0"/>
                    <w:snapToGrid w:val="0"/>
                    <w:jc w:val="center"/>
                    <w:rPr>
                      <w:color w:val="auto"/>
                    </w:rPr>
                  </w:pPr>
                  <w:r>
                    <w:rPr>
                      <w:rFonts w:hint="eastAsia"/>
                      <w:color w:val="auto"/>
                    </w:rPr>
                    <w:t>0.395</w:t>
                  </w:r>
                </w:p>
              </w:tc>
              <w:tc>
                <w:tcPr>
                  <w:tcW w:w="1017" w:type="pct"/>
                </w:tcPr>
                <w:p w14:paraId="4E312A84">
                  <w:pPr>
                    <w:adjustRightInd w:val="0"/>
                    <w:snapToGrid w:val="0"/>
                    <w:jc w:val="center"/>
                    <w:rPr>
                      <w:color w:val="auto"/>
                    </w:rPr>
                  </w:pPr>
                  <w:r>
                    <w:rPr>
                      <w:rFonts w:hint="eastAsia"/>
                      <w:color w:val="auto"/>
                    </w:rPr>
                    <w:t>0.395</w:t>
                  </w:r>
                </w:p>
              </w:tc>
              <w:tc>
                <w:tcPr>
                  <w:tcW w:w="809" w:type="pct"/>
                  <w:vAlign w:val="center"/>
                </w:tcPr>
                <w:p w14:paraId="79DE64AD">
                  <w:pPr>
                    <w:adjustRightInd w:val="0"/>
                    <w:snapToGrid w:val="0"/>
                    <w:jc w:val="center"/>
                    <w:rPr>
                      <w:color w:val="auto"/>
                      <w:kern w:val="24"/>
                      <w:szCs w:val="21"/>
                    </w:rPr>
                  </w:pPr>
                  <w:r>
                    <w:rPr>
                      <w:rFonts w:hint="eastAsia"/>
                      <w:color w:val="auto"/>
                      <w:kern w:val="24"/>
                      <w:szCs w:val="21"/>
                    </w:rPr>
                    <w:t>0.222</w:t>
                  </w:r>
                </w:p>
              </w:tc>
            </w:tr>
            <w:tr w14:paraId="0FD09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1303" w:type="pct"/>
                  <w:gridSpan w:val="2"/>
                  <w:vAlign w:val="center"/>
                </w:tcPr>
                <w:p w14:paraId="385EBDAA">
                  <w:pPr>
                    <w:adjustRightInd w:val="0"/>
                    <w:snapToGrid w:val="0"/>
                    <w:jc w:val="center"/>
                    <w:rPr>
                      <w:color w:val="auto"/>
                      <w:kern w:val="24"/>
                      <w:szCs w:val="21"/>
                    </w:rPr>
                  </w:pPr>
                  <w:r>
                    <w:rPr>
                      <w:rFonts w:hint="eastAsia"/>
                      <w:color w:val="auto"/>
                      <w:kern w:val="24"/>
                      <w:szCs w:val="21"/>
                    </w:rPr>
                    <w:t>污染物产生速率(</w:t>
                  </w:r>
                  <w:r>
                    <w:rPr>
                      <w:color w:val="auto"/>
                      <w:kern w:val="24"/>
                      <w:szCs w:val="21"/>
                    </w:rPr>
                    <w:t>kg/h</w:t>
                  </w:r>
                  <w:r>
                    <w:rPr>
                      <w:rFonts w:hint="eastAsia"/>
                      <w:color w:val="auto"/>
                      <w:kern w:val="24"/>
                      <w:szCs w:val="21"/>
                    </w:rPr>
                    <w:t>)</w:t>
                  </w:r>
                </w:p>
              </w:tc>
              <w:tc>
                <w:tcPr>
                  <w:tcW w:w="853" w:type="pct"/>
                  <w:vAlign w:val="center"/>
                </w:tcPr>
                <w:p w14:paraId="259EECCA">
                  <w:pPr>
                    <w:adjustRightInd w:val="0"/>
                    <w:snapToGrid w:val="0"/>
                    <w:jc w:val="center"/>
                    <w:rPr>
                      <w:color w:val="auto"/>
                      <w:szCs w:val="21"/>
                    </w:rPr>
                  </w:pPr>
                  <w:r>
                    <w:rPr>
                      <w:rFonts w:hint="eastAsia"/>
                      <w:color w:val="auto"/>
                      <w:szCs w:val="21"/>
                    </w:rPr>
                    <w:t>0.11</w:t>
                  </w:r>
                </w:p>
              </w:tc>
              <w:tc>
                <w:tcPr>
                  <w:tcW w:w="1017" w:type="pct"/>
                  <w:vAlign w:val="center"/>
                </w:tcPr>
                <w:p w14:paraId="0F6735B7">
                  <w:pPr>
                    <w:adjustRightInd w:val="0"/>
                    <w:snapToGrid w:val="0"/>
                    <w:jc w:val="center"/>
                    <w:rPr>
                      <w:color w:val="auto"/>
                      <w:kern w:val="24"/>
                      <w:szCs w:val="21"/>
                    </w:rPr>
                  </w:pPr>
                  <w:r>
                    <w:rPr>
                      <w:rFonts w:hint="eastAsia"/>
                      <w:color w:val="auto"/>
                      <w:kern w:val="24"/>
                      <w:szCs w:val="21"/>
                    </w:rPr>
                    <w:t>0.439</w:t>
                  </w:r>
                </w:p>
              </w:tc>
              <w:tc>
                <w:tcPr>
                  <w:tcW w:w="1017" w:type="pct"/>
                  <w:vAlign w:val="center"/>
                </w:tcPr>
                <w:p w14:paraId="58282AA5">
                  <w:pPr>
                    <w:adjustRightInd w:val="0"/>
                    <w:snapToGrid w:val="0"/>
                    <w:jc w:val="center"/>
                    <w:rPr>
                      <w:color w:val="auto"/>
                      <w:kern w:val="24"/>
                      <w:szCs w:val="21"/>
                    </w:rPr>
                  </w:pPr>
                  <w:r>
                    <w:rPr>
                      <w:rFonts w:hint="eastAsia"/>
                      <w:color w:val="auto"/>
                      <w:kern w:val="24"/>
                      <w:szCs w:val="21"/>
                    </w:rPr>
                    <w:t>0.439</w:t>
                  </w:r>
                </w:p>
              </w:tc>
              <w:tc>
                <w:tcPr>
                  <w:tcW w:w="809" w:type="pct"/>
                  <w:vAlign w:val="center"/>
                </w:tcPr>
                <w:p w14:paraId="6DD497CD">
                  <w:pPr>
                    <w:adjustRightInd w:val="0"/>
                    <w:snapToGrid w:val="0"/>
                    <w:jc w:val="center"/>
                    <w:rPr>
                      <w:color w:val="auto"/>
                      <w:kern w:val="24"/>
                      <w:szCs w:val="21"/>
                    </w:rPr>
                  </w:pPr>
                  <w:r>
                    <w:rPr>
                      <w:rFonts w:hint="eastAsia"/>
                      <w:color w:val="auto"/>
                      <w:kern w:val="24"/>
                      <w:szCs w:val="21"/>
                    </w:rPr>
                    <w:t>/</w:t>
                  </w:r>
                </w:p>
              </w:tc>
            </w:tr>
            <w:tr w14:paraId="3F23C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1303" w:type="pct"/>
                  <w:gridSpan w:val="2"/>
                  <w:vAlign w:val="center"/>
                </w:tcPr>
                <w:p w14:paraId="4FC10564">
                  <w:pPr>
                    <w:adjustRightInd w:val="0"/>
                    <w:snapToGrid w:val="0"/>
                    <w:jc w:val="center"/>
                    <w:rPr>
                      <w:color w:val="auto"/>
                      <w:kern w:val="24"/>
                      <w:szCs w:val="21"/>
                    </w:rPr>
                  </w:pPr>
                  <w:r>
                    <w:rPr>
                      <w:rFonts w:hint="eastAsia"/>
                      <w:color w:val="auto"/>
                      <w:kern w:val="24"/>
                      <w:szCs w:val="21"/>
                    </w:rPr>
                    <w:t>污染物产生浓度(mg/m</w:t>
                  </w:r>
                  <w:r>
                    <w:rPr>
                      <w:rFonts w:hint="eastAsia"/>
                      <w:color w:val="auto"/>
                      <w:kern w:val="24"/>
                      <w:szCs w:val="21"/>
                      <w:vertAlign w:val="superscript"/>
                    </w:rPr>
                    <w:t>3</w:t>
                  </w:r>
                  <w:r>
                    <w:rPr>
                      <w:rFonts w:hint="eastAsia"/>
                      <w:color w:val="auto"/>
                      <w:kern w:val="24"/>
                      <w:szCs w:val="21"/>
                    </w:rPr>
                    <w:t>)</w:t>
                  </w:r>
                </w:p>
              </w:tc>
              <w:tc>
                <w:tcPr>
                  <w:tcW w:w="853" w:type="pct"/>
                  <w:vAlign w:val="center"/>
                </w:tcPr>
                <w:p w14:paraId="3AF8A299">
                  <w:pPr>
                    <w:adjustRightInd w:val="0"/>
                    <w:snapToGrid w:val="0"/>
                    <w:jc w:val="center"/>
                    <w:rPr>
                      <w:color w:val="auto"/>
                      <w:kern w:val="24"/>
                      <w:szCs w:val="21"/>
                    </w:rPr>
                  </w:pPr>
                  <w:r>
                    <w:rPr>
                      <w:rFonts w:hint="eastAsia"/>
                      <w:color w:val="auto"/>
                      <w:kern w:val="24"/>
                      <w:szCs w:val="21"/>
                    </w:rPr>
                    <w:t>68.75</w:t>
                  </w:r>
                </w:p>
              </w:tc>
              <w:tc>
                <w:tcPr>
                  <w:tcW w:w="1017" w:type="pct"/>
                  <w:vAlign w:val="center"/>
                </w:tcPr>
                <w:p w14:paraId="449950E1">
                  <w:pPr>
                    <w:adjustRightInd w:val="0"/>
                    <w:snapToGrid w:val="0"/>
                    <w:jc w:val="center"/>
                    <w:rPr>
                      <w:color w:val="auto"/>
                      <w:kern w:val="24"/>
                      <w:szCs w:val="21"/>
                    </w:rPr>
                  </w:pPr>
                  <w:r>
                    <w:rPr>
                      <w:rFonts w:hint="eastAsia"/>
                      <w:color w:val="auto"/>
                      <w:kern w:val="24"/>
                      <w:szCs w:val="21"/>
                    </w:rPr>
                    <w:t>68.75</w:t>
                  </w:r>
                </w:p>
              </w:tc>
              <w:tc>
                <w:tcPr>
                  <w:tcW w:w="1017" w:type="pct"/>
                  <w:vAlign w:val="center"/>
                </w:tcPr>
                <w:p w14:paraId="41DA780F">
                  <w:pPr>
                    <w:adjustRightInd w:val="0"/>
                    <w:snapToGrid w:val="0"/>
                    <w:jc w:val="center"/>
                    <w:rPr>
                      <w:color w:val="auto"/>
                      <w:kern w:val="24"/>
                      <w:szCs w:val="21"/>
                    </w:rPr>
                  </w:pPr>
                  <w:r>
                    <w:rPr>
                      <w:rFonts w:hint="eastAsia"/>
                      <w:color w:val="auto"/>
                      <w:kern w:val="24"/>
                      <w:szCs w:val="21"/>
                    </w:rPr>
                    <w:t>68.75</w:t>
                  </w:r>
                </w:p>
              </w:tc>
              <w:tc>
                <w:tcPr>
                  <w:tcW w:w="809" w:type="pct"/>
                  <w:vAlign w:val="center"/>
                </w:tcPr>
                <w:p w14:paraId="42E3FB12">
                  <w:pPr>
                    <w:adjustRightInd w:val="0"/>
                    <w:snapToGrid w:val="0"/>
                    <w:jc w:val="center"/>
                    <w:rPr>
                      <w:color w:val="auto"/>
                      <w:kern w:val="24"/>
                      <w:szCs w:val="21"/>
                    </w:rPr>
                  </w:pPr>
                  <w:r>
                    <w:rPr>
                      <w:rFonts w:hint="eastAsia"/>
                      <w:color w:val="auto"/>
                      <w:kern w:val="24"/>
                      <w:szCs w:val="21"/>
                    </w:rPr>
                    <w:t>/</w:t>
                  </w:r>
                </w:p>
              </w:tc>
            </w:tr>
            <w:tr w14:paraId="35AE3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1303" w:type="pct"/>
                  <w:gridSpan w:val="2"/>
                  <w:vAlign w:val="center"/>
                </w:tcPr>
                <w:p w14:paraId="5A313A64">
                  <w:pPr>
                    <w:adjustRightInd w:val="0"/>
                    <w:snapToGrid w:val="0"/>
                    <w:jc w:val="center"/>
                    <w:rPr>
                      <w:color w:val="auto"/>
                      <w:kern w:val="24"/>
                      <w:szCs w:val="21"/>
                    </w:rPr>
                  </w:pPr>
                  <w:r>
                    <w:rPr>
                      <w:rFonts w:hint="eastAsia"/>
                      <w:color w:val="auto"/>
                      <w:kern w:val="24"/>
                      <w:szCs w:val="21"/>
                    </w:rPr>
                    <w:t>排放形式</w:t>
                  </w:r>
                </w:p>
              </w:tc>
              <w:tc>
                <w:tcPr>
                  <w:tcW w:w="853" w:type="pct"/>
                  <w:vAlign w:val="center"/>
                </w:tcPr>
                <w:p w14:paraId="2D99EBEA">
                  <w:pPr>
                    <w:adjustRightInd w:val="0"/>
                    <w:snapToGrid w:val="0"/>
                    <w:jc w:val="center"/>
                    <w:rPr>
                      <w:color w:val="auto"/>
                      <w:kern w:val="24"/>
                      <w:szCs w:val="21"/>
                    </w:rPr>
                  </w:pPr>
                  <w:r>
                    <w:rPr>
                      <w:rFonts w:hint="eastAsia"/>
                      <w:color w:val="auto"/>
                      <w:kern w:val="24"/>
                      <w:szCs w:val="21"/>
                    </w:rPr>
                    <w:t>有组织</w:t>
                  </w:r>
                </w:p>
              </w:tc>
              <w:tc>
                <w:tcPr>
                  <w:tcW w:w="1017" w:type="pct"/>
                </w:tcPr>
                <w:p w14:paraId="224B2DB2">
                  <w:pPr>
                    <w:adjustRightInd w:val="0"/>
                    <w:snapToGrid w:val="0"/>
                    <w:jc w:val="center"/>
                    <w:rPr>
                      <w:color w:val="auto"/>
                      <w:kern w:val="24"/>
                      <w:szCs w:val="21"/>
                    </w:rPr>
                  </w:pPr>
                  <w:r>
                    <w:rPr>
                      <w:rFonts w:hint="eastAsia"/>
                      <w:color w:val="auto"/>
                      <w:kern w:val="24"/>
                      <w:szCs w:val="21"/>
                    </w:rPr>
                    <w:t>有组织</w:t>
                  </w:r>
                </w:p>
              </w:tc>
              <w:tc>
                <w:tcPr>
                  <w:tcW w:w="1017" w:type="pct"/>
                </w:tcPr>
                <w:p w14:paraId="345056B8">
                  <w:pPr>
                    <w:adjustRightInd w:val="0"/>
                    <w:snapToGrid w:val="0"/>
                    <w:jc w:val="center"/>
                    <w:rPr>
                      <w:color w:val="auto"/>
                      <w:kern w:val="24"/>
                      <w:szCs w:val="21"/>
                    </w:rPr>
                  </w:pPr>
                  <w:r>
                    <w:rPr>
                      <w:rFonts w:hint="eastAsia"/>
                      <w:color w:val="auto"/>
                      <w:kern w:val="24"/>
                      <w:szCs w:val="21"/>
                    </w:rPr>
                    <w:t>有组织</w:t>
                  </w:r>
                </w:p>
              </w:tc>
              <w:tc>
                <w:tcPr>
                  <w:tcW w:w="809" w:type="pct"/>
                  <w:vAlign w:val="center"/>
                </w:tcPr>
                <w:p w14:paraId="7BE90693">
                  <w:pPr>
                    <w:adjustRightInd w:val="0"/>
                    <w:snapToGrid w:val="0"/>
                    <w:jc w:val="center"/>
                    <w:rPr>
                      <w:color w:val="auto"/>
                      <w:kern w:val="24"/>
                      <w:szCs w:val="21"/>
                    </w:rPr>
                  </w:pPr>
                  <w:r>
                    <w:rPr>
                      <w:rFonts w:hint="eastAsia"/>
                      <w:color w:val="auto"/>
                      <w:kern w:val="24"/>
                      <w:szCs w:val="21"/>
                    </w:rPr>
                    <w:t>无组织</w:t>
                  </w:r>
                </w:p>
              </w:tc>
            </w:tr>
            <w:tr w14:paraId="12B30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570" w:type="pct"/>
                  <w:vMerge w:val="restart"/>
                  <w:vAlign w:val="center"/>
                </w:tcPr>
                <w:p w14:paraId="778A8A35">
                  <w:pPr>
                    <w:adjustRightInd w:val="0"/>
                    <w:snapToGrid w:val="0"/>
                    <w:jc w:val="center"/>
                    <w:rPr>
                      <w:color w:val="auto"/>
                      <w:kern w:val="24"/>
                      <w:szCs w:val="21"/>
                    </w:rPr>
                  </w:pPr>
                  <w:r>
                    <w:rPr>
                      <w:rFonts w:hint="eastAsia"/>
                      <w:color w:val="auto"/>
                      <w:kern w:val="24"/>
                      <w:szCs w:val="21"/>
                    </w:rPr>
                    <w:t>治理设施</w:t>
                  </w:r>
                </w:p>
              </w:tc>
              <w:tc>
                <w:tcPr>
                  <w:tcW w:w="734" w:type="pct"/>
                  <w:vAlign w:val="center"/>
                </w:tcPr>
                <w:p w14:paraId="18E50C0B">
                  <w:pPr>
                    <w:adjustRightInd w:val="0"/>
                    <w:snapToGrid w:val="0"/>
                    <w:jc w:val="center"/>
                    <w:rPr>
                      <w:color w:val="auto"/>
                      <w:kern w:val="24"/>
                      <w:szCs w:val="21"/>
                    </w:rPr>
                  </w:pPr>
                  <w:r>
                    <w:rPr>
                      <w:rFonts w:hint="eastAsia"/>
                      <w:color w:val="auto"/>
                      <w:kern w:val="24"/>
                      <w:szCs w:val="21"/>
                    </w:rPr>
                    <w:t>治理工艺</w:t>
                  </w:r>
                </w:p>
              </w:tc>
              <w:tc>
                <w:tcPr>
                  <w:tcW w:w="853" w:type="pct"/>
                  <w:vAlign w:val="center"/>
                </w:tcPr>
                <w:p w14:paraId="260BADFB">
                  <w:pPr>
                    <w:adjustRightInd w:val="0"/>
                    <w:snapToGrid w:val="0"/>
                    <w:jc w:val="center"/>
                    <w:rPr>
                      <w:color w:val="auto"/>
                      <w:kern w:val="24"/>
                      <w:szCs w:val="21"/>
                    </w:rPr>
                  </w:pPr>
                  <w:r>
                    <w:rPr>
                      <w:rFonts w:hint="eastAsia"/>
                      <w:color w:val="auto"/>
                      <w:kern w:val="24"/>
                      <w:szCs w:val="21"/>
                    </w:rPr>
                    <w:t>集气罩+袋式除尘器（TA001）</w:t>
                  </w:r>
                </w:p>
              </w:tc>
              <w:tc>
                <w:tcPr>
                  <w:tcW w:w="1017" w:type="pct"/>
                </w:tcPr>
                <w:p w14:paraId="5523BA9B">
                  <w:pPr>
                    <w:adjustRightInd w:val="0"/>
                    <w:snapToGrid w:val="0"/>
                    <w:jc w:val="center"/>
                    <w:rPr>
                      <w:color w:val="auto"/>
                      <w:kern w:val="24"/>
                      <w:szCs w:val="21"/>
                    </w:rPr>
                  </w:pPr>
                  <w:r>
                    <w:rPr>
                      <w:rFonts w:hint="eastAsia"/>
                      <w:color w:val="auto"/>
                      <w:kern w:val="24"/>
                      <w:szCs w:val="21"/>
                    </w:rPr>
                    <w:t>集气罩+袋式除尘器（TA002~TA005）</w:t>
                  </w:r>
                </w:p>
              </w:tc>
              <w:tc>
                <w:tcPr>
                  <w:tcW w:w="1017" w:type="pct"/>
                </w:tcPr>
                <w:p w14:paraId="05309018">
                  <w:pPr>
                    <w:adjustRightInd w:val="0"/>
                    <w:snapToGrid w:val="0"/>
                    <w:jc w:val="center"/>
                    <w:rPr>
                      <w:color w:val="auto"/>
                      <w:kern w:val="24"/>
                      <w:szCs w:val="21"/>
                    </w:rPr>
                  </w:pPr>
                  <w:r>
                    <w:rPr>
                      <w:rFonts w:hint="eastAsia"/>
                      <w:color w:val="auto"/>
                      <w:kern w:val="24"/>
                      <w:szCs w:val="21"/>
                    </w:rPr>
                    <w:t>集气罩+袋式除尘器（TA006~TA009）</w:t>
                  </w:r>
                </w:p>
              </w:tc>
              <w:tc>
                <w:tcPr>
                  <w:tcW w:w="809" w:type="pct"/>
                  <w:vAlign w:val="center"/>
                </w:tcPr>
                <w:p w14:paraId="2F19FAB0">
                  <w:pPr>
                    <w:adjustRightInd w:val="0"/>
                    <w:snapToGrid w:val="0"/>
                    <w:jc w:val="center"/>
                    <w:rPr>
                      <w:color w:val="auto"/>
                      <w:kern w:val="24"/>
                      <w:szCs w:val="21"/>
                    </w:rPr>
                  </w:pPr>
                  <w:r>
                    <w:rPr>
                      <w:rFonts w:hint="eastAsia"/>
                      <w:color w:val="auto"/>
                      <w:kern w:val="24"/>
                      <w:szCs w:val="21"/>
                    </w:rPr>
                    <w:t>封闭式厂房，重力沉降</w:t>
                  </w:r>
                </w:p>
              </w:tc>
            </w:tr>
            <w:tr w14:paraId="46856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570" w:type="pct"/>
                  <w:vMerge w:val="continue"/>
                  <w:vAlign w:val="center"/>
                </w:tcPr>
                <w:p w14:paraId="78C3AF60">
                  <w:pPr>
                    <w:adjustRightInd w:val="0"/>
                    <w:snapToGrid w:val="0"/>
                    <w:jc w:val="center"/>
                    <w:rPr>
                      <w:color w:val="auto"/>
                      <w:kern w:val="24"/>
                      <w:szCs w:val="21"/>
                    </w:rPr>
                  </w:pPr>
                </w:p>
              </w:tc>
              <w:tc>
                <w:tcPr>
                  <w:tcW w:w="734" w:type="pct"/>
                  <w:vAlign w:val="center"/>
                </w:tcPr>
                <w:p w14:paraId="062C019F">
                  <w:pPr>
                    <w:adjustRightInd w:val="0"/>
                    <w:snapToGrid w:val="0"/>
                    <w:jc w:val="center"/>
                    <w:rPr>
                      <w:color w:val="auto"/>
                      <w:kern w:val="24"/>
                      <w:szCs w:val="21"/>
                    </w:rPr>
                  </w:pPr>
                  <w:r>
                    <w:rPr>
                      <w:rFonts w:hint="eastAsia"/>
                      <w:color w:val="auto"/>
                      <w:kern w:val="24"/>
                      <w:szCs w:val="21"/>
                    </w:rPr>
                    <w:t>处理能力(m</w:t>
                  </w:r>
                  <w:r>
                    <w:rPr>
                      <w:rFonts w:hint="eastAsia"/>
                      <w:color w:val="auto"/>
                      <w:kern w:val="24"/>
                      <w:szCs w:val="21"/>
                      <w:vertAlign w:val="superscript"/>
                    </w:rPr>
                    <w:t>3</w:t>
                  </w:r>
                  <w:r>
                    <w:rPr>
                      <w:rFonts w:hint="eastAsia"/>
                      <w:color w:val="auto"/>
                      <w:kern w:val="24"/>
                      <w:szCs w:val="21"/>
                    </w:rPr>
                    <w:t>/h)</w:t>
                  </w:r>
                </w:p>
              </w:tc>
              <w:tc>
                <w:tcPr>
                  <w:tcW w:w="853" w:type="pct"/>
                  <w:vAlign w:val="center"/>
                </w:tcPr>
                <w:p w14:paraId="6146DB18">
                  <w:pPr>
                    <w:adjustRightInd w:val="0"/>
                    <w:snapToGrid w:val="0"/>
                    <w:jc w:val="center"/>
                    <w:rPr>
                      <w:color w:val="auto"/>
                      <w:kern w:val="24"/>
                      <w:szCs w:val="21"/>
                    </w:rPr>
                  </w:pPr>
                  <w:r>
                    <w:rPr>
                      <w:rFonts w:hint="eastAsia"/>
                      <w:color w:val="auto"/>
                      <w:kern w:val="24"/>
                      <w:szCs w:val="21"/>
                    </w:rPr>
                    <w:t>1600</w:t>
                  </w:r>
                </w:p>
              </w:tc>
              <w:tc>
                <w:tcPr>
                  <w:tcW w:w="1017" w:type="pct"/>
                  <w:vAlign w:val="center"/>
                </w:tcPr>
                <w:p w14:paraId="527C065B">
                  <w:pPr>
                    <w:adjustRightInd w:val="0"/>
                    <w:snapToGrid w:val="0"/>
                    <w:jc w:val="center"/>
                    <w:rPr>
                      <w:color w:val="auto"/>
                      <w:kern w:val="24"/>
                      <w:szCs w:val="21"/>
                    </w:rPr>
                  </w:pPr>
                  <w:r>
                    <w:rPr>
                      <w:rFonts w:hint="eastAsia"/>
                      <w:color w:val="auto"/>
                      <w:kern w:val="24"/>
                      <w:szCs w:val="21"/>
                    </w:rPr>
                    <w:t>6400</w:t>
                  </w:r>
                </w:p>
              </w:tc>
              <w:tc>
                <w:tcPr>
                  <w:tcW w:w="1017" w:type="pct"/>
                  <w:vAlign w:val="center"/>
                </w:tcPr>
                <w:p w14:paraId="3ABE648F">
                  <w:pPr>
                    <w:adjustRightInd w:val="0"/>
                    <w:snapToGrid w:val="0"/>
                    <w:jc w:val="center"/>
                    <w:rPr>
                      <w:color w:val="auto"/>
                      <w:kern w:val="24"/>
                      <w:szCs w:val="21"/>
                    </w:rPr>
                  </w:pPr>
                  <w:r>
                    <w:rPr>
                      <w:rFonts w:hint="eastAsia"/>
                      <w:color w:val="auto"/>
                      <w:kern w:val="24"/>
                      <w:szCs w:val="21"/>
                    </w:rPr>
                    <w:t>6400</w:t>
                  </w:r>
                </w:p>
              </w:tc>
              <w:tc>
                <w:tcPr>
                  <w:tcW w:w="809" w:type="pct"/>
                  <w:vAlign w:val="center"/>
                </w:tcPr>
                <w:p w14:paraId="06C82022">
                  <w:pPr>
                    <w:adjustRightInd w:val="0"/>
                    <w:snapToGrid w:val="0"/>
                    <w:jc w:val="center"/>
                    <w:rPr>
                      <w:color w:val="auto"/>
                      <w:kern w:val="24"/>
                      <w:szCs w:val="21"/>
                    </w:rPr>
                  </w:pPr>
                  <w:r>
                    <w:rPr>
                      <w:rFonts w:hint="eastAsia"/>
                      <w:color w:val="auto"/>
                      <w:kern w:val="24"/>
                      <w:szCs w:val="21"/>
                    </w:rPr>
                    <w:t>/</w:t>
                  </w:r>
                </w:p>
              </w:tc>
            </w:tr>
            <w:tr w14:paraId="05A5D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570" w:type="pct"/>
                  <w:vMerge w:val="continue"/>
                  <w:vAlign w:val="center"/>
                </w:tcPr>
                <w:p w14:paraId="079D74A8">
                  <w:pPr>
                    <w:adjustRightInd w:val="0"/>
                    <w:snapToGrid w:val="0"/>
                    <w:jc w:val="center"/>
                    <w:rPr>
                      <w:color w:val="auto"/>
                      <w:kern w:val="24"/>
                      <w:szCs w:val="21"/>
                    </w:rPr>
                  </w:pPr>
                </w:p>
              </w:tc>
              <w:tc>
                <w:tcPr>
                  <w:tcW w:w="734" w:type="pct"/>
                  <w:vAlign w:val="center"/>
                </w:tcPr>
                <w:p w14:paraId="3E910974">
                  <w:pPr>
                    <w:adjustRightInd w:val="0"/>
                    <w:snapToGrid w:val="0"/>
                    <w:jc w:val="center"/>
                    <w:rPr>
                      <w:color w:val="auto"/>
                      <w:kern w:val="24"/>
                      <w:szCs w:val="21"/>
                    </w:rPr>
                  </w:pPr>
                  <w:r>
                    <w:rPr>
                      <w:rFonts w:hint="eastAsia"/>
                      <w:color w:val="auto"/>
                      <w:kern w:val="24"/>
                      <w:szCs w:val="21"/>
                    </w:rPr>
                    <w:t>收集效率(%)</w:t>
                  </w:r>
                </w:p>
              </w:tc>
              <w:tc>
                <w:tcPr>
                  <w:tcW w:w="853" w:type="pct"/>
                  <w:vAlign w:val="center"/>
                </w:tcPr>
                <w:p w14:paraId="5D24785D">
                  <w:pPr>
                    <w:adjustRightInd w:val="0"/>
                    <w:snapToGrid w:val="0"/>
                    <w:jc w:val="center"/>
                    <w:rPr>
                      <w:color w:val="auto"/>
                      <w:kern w:val="24"/>
                      <w:szCs w:val="21"/>
                    </w:rPr>
                  </w:pPr>
                  <w:r>
                    <w:rPr>
                      <w:rFonts w:hint="eastAsia"/>
                      <w:color w:val="auto"/>
                      <w:kern w:val="24"/>
                      <w:szCs w:val="21"/>
                    </w:rPr>
                    <w:t>8</w:t>
                  </w:r>
                  <w:r>
                    <w:rPr>
                      <w:color w:val="auto"/>
                      <w:kern w:val="24"/>
                      <w:szCs w:val="21"/>
                    </w:rPr>
                    <w:t>0</w:t>
                  </w:r>
                </w:p>
              </w:tc>
              <w:tc>
                <w:tcPr>
                  <w:tcW w:w="1017" w:type="pct"/>
                  <w:vAlign w:val="center"/>
                </w:tcPr>
                <w:p w14:paraId="2E951BC8">
                  <w:pPr>
                    <w:adjustRightInd w:val="0"/>
                    <w:snapToGrid w:val="0"/>
                    <w:jc w:val="center"/>
                    <w:rPr>
                      <w:color w:val="auto"/>
                      <w:kern w:val="24"/>
                      <w:szCs w:val="21"/>
                    </w:rPr>
                  </w:pPr>
                  <w:r>
                    <w:rPr>
                      <w:rFonts w:hint="eastAsia"/>
                      <w:color w:val="auto"/>
                      <w:kern w:val="24"/>
                      <w:szCs w:val="21"/>
                    </w:rPr>
                    <w:t>8</w:t>
                  </w:r>
                  <w:r>
                    <w:rPr>
                      <w:color w:val="auto"/>
                      <w:kern w:val="24"/>
                      <w:szCs w:val="21"/>
                    </w:rPr>
                    <w:t>0</w:t>
                  </w:r>
                </w:p>
              </w:tc>
              <w:tc>
                <w:tcPr>
                  <w:tcW w:w="1017" w:type="pct"/>
                  <w:vAlign w:val="center"/>
                </w:tcPr>
                <w:p w14:paraId="5679BD13">
                  <w:pPr>
                    <w:adjustRightInd w:val="0"/>
                    <w:snapToGrid w:val="0"/>
                    <w:jc w:val="center"/>
                    <w:rPr>
                      <w:color w:val="auto"/>
                      <w:kern w:val="24"/>
                      <w:szCs w:val="21"/>
                    </w:rPr>
                  </w:pPr>
                  <w:r>
                    <w:rPr>
                      <w:rFonts w:hint="eastAsia"/>
                      <w:color w:val="auto"/>
                      <w:kern w:val="24"/>
                      <w:szCs w:val="21"/>
                    </w:rPr>
                    <w:t>8</w:t>
                  </w:r>
                  <w:r>
                    <w:rPr>
                      <w:color w:val="auto"/>
                      <w:kern w:val="24"/>
                      <w:szCs w:val="21"/>
                    </w:rPr>
                    <w:t>0</w:t>
                  </w:r>
                </w:p>
              </w:tc>
              <w:tc>
                <w:tcPr>
                  <w:tcW w:w="809" w:type="pct"/>
                  <w:vAlign w:val="center"/>
                </w:tcPr>
                <w:p w14:paraId="4440D12F">
                  <w:pPr>
                    <w:adjustRightInd w:val="0"/>
                    <w:snapToGrid w:val="0"/>
                    <w:jc w:val="center"/>
                    <w:rPr>
                      <w:color w:val="auto"/>
                      <w:kern w:val="24"/>
                      <w:szCs w:val="21"/>
                    </w:rPr>
                  </w:pPr>
                  <w:r>
                    <w:rPr>
                      <w:rFonts w:hint="eastAsia"/>
                      <w:color w:val="auto"/>
                      <w:kern w:val="24"/>
                      <w:szCs w:val="21"/>
                    </w:rPr>
                    <w:t>/</w:t>
                  </w:r>
                </w:p>
              </w:tc>
            </w:tr>
            <w:tr w14:paraId="5C422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570" w:type="pct"/>
                  <w:vMerge w:val="continue"/>
                  <w:vAlign w:val="center"/>
                </w:tcPr>
                <w:p w14:paraId="4689A323">
                  <w:pPr>
                    <w:adjustRightInd w:val="0"/>
                    <w:snapToGrid w:val="0"/>
                    <w:jc w:val="center"/>
                    <w:rPr>
                      <w:color w:val="auto"/>
                      <w:kern w:val="24"/>
                      <w:szCs w:val="21"/>
                    </w:rPr>
                  </w:pPr>
                </w:p>
              </w:tc>
              <w:tc>
                <w:tcPr>
                  <w:tcW w:w="734" w:type="pct"/>
                  <w:vAlign w:val="center"/>
                </w:tcPr>
                <w:p w14:paraId="29443EFF">
                  <w:pPr>
                    <w:adjustRightInd w:val="0"/>
                    <w:snapToGrid w:val="0"/>
                    <w:jc w:val="center"/>
                    <w:rPr>
                      <w:color w:val="auto"/>
                      <w:kern w:val="24"/>
                      <w:szCs w:val="21"/>
                    </w:rPr>
                  </w:pPr>
                  <w:r>
                    <w:rPr>
                      <w:rFonts w:hint="eastAsia"/>
                      <w:color w:val="auto"/>
                      <w:kern w:val="24"/>
                      <w:szCs w:val="21"/>
                    </w:rPr>
                    <w:t>去除率(%)</w:t>
                  </w:r>
                </w:p>
              </w:tc>
              <w:tc>
                <w:tcPr>
                  <w:tcW w:w="853" w:type="pct"/>
                  <w:vAlign w:val="center"/>
                </w:tcPr>
                <w:p w14:paraId="3A3188D7">
                  <w:pPr>
                    <w:adjustRightInd w:val="0"/>
                    <w:snapToGrid w:val="0"/>
                    <w:jc w:val="center"/>
                    <w:rPr>
                      <w:color w:val="auto"/>
                      <w:kern w:val="24"/>
                      <w:szCs w:val="21"/>
                    </w:rPr>
                  </w:pPr>
                  <w:r>
                    <w:rPr>
                      <w:rFonts w:hint="eastAsia"/>
                      <w:color w:val="auto"/>
                      <w:kern w:val="24"/>
                      <w:szCs w:val="21"/>
                    </w:rPr>
                    <w:t>95</w:t>
                  </w:r>
                </w:p>
              </w:tc>
              <w:tc>
                <w:tcPr>
                  <w:tcW w:w="1017" w:type="pct"/>
                  <w:vAlign w:val="center"/>
                </w:tcPr>
                <w:p w14:paraId="205FE7E2">
                  <w:pPr>
                    <w:adjustRightInd w:val="0"/>
                    <w:snapToGrid w:val="0"/>
                    <w:jc w:val="center"/>
                    <w:rPr>
                      <w:color w:val="auto"/>
                      <w:kern w:val="24"/>
                      <w:szCs w:val="21"/>
                    </w:rPr>
                  </w:pPr>
                  <w:r>
                    <w:rPr>
                      <w:rFonts w:hint="eastAsia"/>
                      <w:color w:val="auto"/>
                      <w:kern w:val="24"/>
                      <w:szCs w:val="21"/>
                    </w:rPr>
                    <w:t>95</w:t>
                  </w:r>
                </w:p>
              </w:tc>
              <w:tc>
                <w:tcPr>
                  <w:tcW w:w="1017" w:type="pct"/>
                  <w:vAlign w:val="center"/>
                </w:tcPr>
                <w:p w14:paraId="0E085275">
                  <w:pPr>
                    <w:adjustRightInd w:val="0"/>
                    <w:snapToGrid w:val="0"/>
                    <w:jc w:val="center"/>
                    <w:rPr>
                      <w:color w:val="auto"/>
                      <w:kern w:val="24"/>
                      <w:szCs w:val="21"/>
                    </w:rPr>
                  </w:pPr>
                  <w:r>
                    <w:rPr>
                      <w:rFonts w:hint="eastAsia"/>
                      <w:color w:val="auto"/>
                      <w:kern w:val="24"/>
                      <w:szCs w:val="21"/>
                    </w:rPr>
                    <w:t>95</w:t>
                  </w:r>
                </w:p>
              </w:tc>
              <w:tc>
                <w:tcPr>
                  <w:tcW w:w="809" w:type="pct"/>
                  <w:vAlign w:val="center"/>
                </w:tcPr>
                <w:p w14:paraId="1D017715">
                  <w:pPr>
                    <w:adjustRightInd w:val="0"/>
                    <w:snapToGrid w:val="0"/>
                    <w:jc w:val="center"/>
                    <w:rPr>
                      <w:color w:val="auto"/>
                      <w:kern w:val="24"/>
                      <w:szCs w:val="21"/>
                    </w:rPr>
                  </w:pPr>
                  <w:r>
                    <w:rPr>
                      <w:color w:val="auto"/>
                      <w:kern w:val="24"/>
                      <w:szCs w:val="21"/>
                    </w:rPr>
                    <w:t>60</w:t>
                  </w:r>
                </w:p>
              </w:tc>
            </w:tr>
            <w:tr w14:paraId="3B588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570" w:type="pct"/>
                  <w:vMerge w:val="continue"/>
                  <w:vAlign w:val="center"/>
                </w:tcPr>
                <w:p w14:paraId="6FFE4AFA">
                  <w:pPr>
                    <w:adjustRightInd w:val="0"/>
                    <w:snapToGrid w:val="0"/>
                    <w:jc w:val="center"/>
                    <w:rPr>
                      <w:color w:val="auto"/>
                      <w:kern w:val="24"/>
                      <w:szCs w:val="21"/>
                    </w:rPr>
                  </w:pPr>
                </w:p>
              </w:tc>
              <w:tc>
                <w:tcPr>
                  <w:tcW w:w="734" w:type="pct"/>
                  <w:vAlign w:val="center"/>
                </w:tcPr>
                <w:p w14:paraId="098F3E0D">
                  <w:pPr>
                    <w:adjustRightInd w:val="0"/>
                    <w:snapToGrid w:val="0"/>
                    <w:jc w:val="center"/>
                    <w:rPr>
                      <w:color w:val="auto"/>
                      <w:kern w:val="24"/>
                      <w:szCs w:val="21"/>
                    </w:rPr>
                  </w:pPr>
                  <w:r>
                    <w:rPr>
                      <w:rFonts w:hint="eastAsia"/>
                      <w:color w:val="auto"/>
                      <w:kern w:val="24"/>
                      <w:szCs w:val="21"/>
                    </w:rPr>
                    <w:t>是否可行技术</w:t>
                  </w:r>
                </w:p>
              </w:tc>
              <w:tc>
                <w:tcPr>
                  <w:tcW w:w="853" w:type="pct"/>
                  <w:vAlign w:val="center"/>
                </w:tcPr>
                <w:p w14:paraId="574C3B7C">
                  <w:pPr>
                    <w:adjustRightInd w:val="0"/>
                    <w:snapToGrid w:val="0"/>
                    <w:jc w:val="center"/>
                    <w:rPr>
                      <w:color w:val="auto"/>
                      <w:kern w:val="24"/>
                      <w:szCs w:val="21"/>
                    </w:rPr>
                  </w:pPr>
                  <w:r>
                    <w:rPr>
                      <w:rFonts w:hint="eastAsia"/>
                      <w:color w:val="auto"/>
                      <w:kern w:val="24"/>
                      <w:szCs w:val="21"/>
                    </w:rPr>
                    <w:t>是</w:t>
                  </w:r>
                </w:p>
              </w:tc>
              <w:tc>
                <w:tcPr>
                  <w:tcW w:w="1017" w:type="pct"/>
                  <w:vAlign w:val="center"/>
                </w:tcPr>
                <w:p w14:paraId="77624050">
                  <w:pPr>
                    <w:adjustRightInd w:val="0"/>
                    <w:snapToGrid w:val="0"/>
                    <w:jc w:val="center"/>
                    <w:rPr>
                      <w:color w:val="auto"/>
                      <w:kern w:val="24"/>
                      <w:szCs w:val="21"/>
                    </w:rPr>
                  </w:pPr>
                  <w:r>
                    <w:rPr>
                      <w:rFonts w:hint="eastAsia"/>
                      <w:color w:val="auto"/>
                      <w:kern w:val="24"/>
                      <w:szCs w:val="21"/>
                    </w:rPr>
                    <w:t>是</w:t>
                  </w:r>
                </w:p>
              </w:tc>
              <w:tc>
                <w:tcPr>
                  <w:tcW w:w="1017" w:type="pct"/>
                  <w:vAlign w:val="center"/>
                </w:tcPr>
                <w:p w14:paraId="48DA01AA">
                  <w:pPr>
                    <w:adjustRightInd w:val="0"/>
                    <w:snapToGrid w:val="0"/>
                    <w:jc w:val="center"/>
                    <w:rPr>
                      <w:color w:val="auto"/>
                      <w:kern w:val="24"/>
                      <w:szCs w:val="21"/>
                    </w:rPr>
                  </w:pPr>
                  <w:r>
                    <w:rPr>
                      <w:rFonts w:hint="eastAsia"/>
                      <w:color w:val="auto"/>
                      <w:kern w:val="24"/>
                      <w:szCs w:val="21"/>
                    </w:rPr>
                    <w:t>是</w:t>
                  </w:r>
                </w:p>
              </w:tc>
              <w:tc>
                <w:tcPr>
                  <w:tcW w:w="809" w:type="pct"/>
                  <w:vAlign w:val="center"/>
                </w:tcPr>
                <w:p w14:paraId="000AD9F7">
                  <w:pPr>
                    <w:adjustRightInd w:val="0"/>
                    <w:snapToGrid w:val="0"/>
                    <w:jc w:val="center"/>
                    <w:rPr>
                      <w:color w:val="auto"/>
                      <w:kern w:val="24"/>
                      <w:szCs w:val="21"/>
                    </w:rPr>
                  </w:pPr>
                  <w:r>
                    <w:rPr>
                      <w:rFonts w:hint="eastAsia"/>
                      <w:color w:val="auto"/>
                      <w:kern w:val="24"/>
                      <w:szCs w:val="21"/>
                    </w:rPr>
                    <w:t>是</w:t>
                  </w:r>
                </w:p>
              </w:tc>
            </w:tr>
            <w:tr w14:paraId="1F61D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1303" w:type="pct"/>
                  <w:gridSpan w:val="2"/>
                  <w:vAlign w:val="center"/>
                </w:tcPr>
                <w:p w14:paraId="4E7DA522">
                  <w:pPr>
                    <w:adjustRightInd w:val="0"/>
                    <w:snapToGrid w:val="0"/>
                    <w:jc w:val="center"/>
                    <w:rPr>
                      <w:color w:val="auto"/>
                      <w:kern w:val="24"/>
                      <w:szCs w:val="21"/>
                    </w:rPr>
                  </w:pPr>
                  <w:r>
                    <w:rPr>
                      <w:rFonts w:hint="eastAsia"/>
                      <w:color w:val="auto"/>
                      <w:kern w:val="24"/>
                      <w:szCs w:val="21"/>
                    </w:rPr>
                    <w:t>污染物排放浓度(mg/m</w:t>
                  </w:r>
                  <w:r>
                    <w:rPr>
                      <w:rFonts w:hint="eastAsia"/>
                      <w:color w:val="auto"/>
                      <w:kern w:val="24"/>
                      <w:szCs w:val="21"/>
                      <w:vertAlign w:val="superscript"/>
                    </w:rPr>
                    <w:t>3</w:t>
                  </w:r>
                  <w:r>
                    <w:rPr>
                      <w:rFonts w:hint="eastAsia"/>
                      <w:color w:val="auto"/>
                      <w:kern w:val="24"/>
                      <w:szCs w:val="21"/>
                    </w:rPr>
                    <w:t>)</w:t>
                  </w:r>
                </w:p>
              </w:tc>
              <w:tc>
                <w:tcPr>
                  <w:tcW w:w="853" w:type="pct"/>
                  <w:vAlign w:val="center"/>
                </w:tcPr>
                <w:p w14:paraId="4534F65F">
                  <w:pPr>
                    <w:adjustRightInd w:val="0"/>
                    <w:snapToGrid w:val="0"/>
                    <w:jc w:val="center"/>
                    <w:rPr>
                      <w:color w:val="auto"/>
                      <w:kern w:val="24"/>
                      <w:szCs w:val="21"/>
                    </w:rPr>
                  </w:pPr>
                  <w:r>
                    <w:rPr>
                      <w:rFonts w:hint="eastAsia"/>
                      <w:color w:val="auto"/>
                      <w:kern w:val="24"/>
                      <w:szCs w:val="21"/>
                    </w:rPr>
                    <w:t>3.44</w:t>
                  </w:r>
                </w:p>
              </w:tc>
              <w:tc>
                <w:tcPr>
                  <w:tcW w:w="1017" w:type="pct"/>
                  <w:vAlign w:val="center"/>
                </w:tcPr>
                <w:p w14:paraId="2CAD3C01">
                  <w:pPr>
                    <w:adjustRightInd w:val="0"/>
                    <w:snapToGrid w:val="0"/>
                    <w:jc w:val="center"/>
                    <w:rPr>
                      <w:color w:val="auto"/>
                      <w:kern w:val="24"/>
                      <w:szCs w:val="21"/>
                    </w:rPr>
                  </w:pPr>
                  <w:r>
                    <w:rPr>
                      <w:rFonts w:hint="eastAsia"/>
                      <w:color w:val="auto"/>
                      <w:kern w:val="24"/>
                      <w:szCs w:val="21"/>
                    </w:rPr>
                    <w:t>3.44</w:t>
                  </w:r>
                </w:p>
              </w:tc>
              <w:tc>
                <w:tcPr>
                  <w:tcW w:w="1017" w:type="pct"/>
                  <w:vAlign w:val="center"/>
                </w:tcPr>
                <w:p w14:paraId="101E0EAB">
                  <w:pPr>
                    <w:adjustRightInd w:val="0"/>
                    <w:snapToGrid w:val="0"/>
                    <w:jc w:val="center"/>
                    <w:rPr>
                      <w:color w:val="auto"/>
                      <w:kern w:val="24"/>
                      <w:szCs w:val="21"/>
                    </w:rPr>
                  </w:pPr>
                  <w:r>
                    <w:rPr>
                      <w:rFonts w:hint="eastAsia"/>
                      <w:color w:val="auto"/>
                      <w:kern w:val="24"/>
                      <w:szCs w:val="21"/>
                    </w:rPr>
                    <w:t>3.44</w:t>
                  </w:r>
                </w:p>
              </w:tc>
              <w:tc>
                <w:tcPr>
                  <w:tcW w:w="809" w:type="pct"/>
                  <w:vAlign w:val="center"/>
                </w:tcPr>
                <w:p w14:paraId="5B672777">
                  <w:pPr>
                    <w:adjustRightInd w:val="0"/>
                    <w:snapToGrid w:val="0"/>
                    <w:jc w:val="center"/>
                    <w:rPr>
                      <w:color w:val="auto"/>
                      <w:kern w:val="24"/>
                      <w:szCs w:val="21"/>
                    </w:rPr>
                  </w:pPr>
                  <w:r>
                    <w:rPr>
                      <w:rFonts w:hint="eastAsia"/>
                      <w:color w:val="auto"/>
                      <w:kern w:val="24"/>
                      <w:szCs w:val="21"/>
                    </w:rPr>
                    <w:t>/</w:t>
                  </w:r>
                </w:p>
              </w:tc>
            </w:tr>
            <w:tr w14:paraId="126CF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1303" w:type="pct"/>
                  <w:gridSpan w:val="2"/>
                  <w:vAlign w:val="center"/>
                </w:tcPr>
                <w:p w14:paraId="08BB2D6C">
                  <w:pPr>
                    <w:adjustRightInd w:val="0"/>
                    <w:snapToGrid w:val="0"/>
                    <w:jc w:val="center"/>
                    <w:rPr>
                      <w:color w:val="auto"/>
                      <w:kern w:val="24"/>
                      <w:szCs w:val="21"/>
                    </w:rPr>
                  </w:pPr>
                  <w:r>
                    <w:rPr>
                      <w:rFonts w:hint="eastAsia"/>
                      <w:color w:val="auto"/>
                      <w:kern w:val="24"/>
                      <w:szCs w:val="21"/>
                    </w:rPr>
                    <w:t>污染物排放速率(kg/h)</w:t>
                  </w:r>
                </w:p>
              </w:tc>
              <w:tc>
                <w:tcPr>
                  <w:tcW w:w="853" w:type="pct"/>
                  <w:vAlign w:val="center"/>
                </w:tcPr>
                <w:p w14:paraId="0FCA2F93">
                  <w:pPr>
                    <w:widowControl/>
                    <w:jc w:val="center"/>
                    <w:rPr>
                      <w:color w:val="auto"/>
                      <w:kern w:val="0"/>
                      <w:szCs w:val="21"/>
                    </w:rPr>
                  </w:pPr>
                  <w:r>
                    <w:rPr>
                      <w:rFonts w:hint="eastAsia"/>
                      <w:color w:val="auto"/>
                      <w:kern w:val="0"/>
                      <w:szCs w:val="21"/>
                    </w:rPr>
                    <w:t>0.0055</w:t>
                  </w:r>
                </w:p>
              </w:tc>
              <w:tc>
                <w:tcPr>
                  <w:tcW w:w="1017" w:type="pct"/>
                  <w:vAlign w:val="center"/>
                </w:tcPr>
                <w:p w14:paraId="19A7DDDE">
                  <w:pPr>
                    <w:adjustRightInd w:val="0"/>
                    <w:snapToGrid w:val="0"/>
                    <w:jc w:val="center"/>
                    <w:rPr>
                      <w:color w:val="auto"/>
                      <w:kern w:val="24"/>
                      <w:szCs w:val="21"/>
                    </w:rPr>
                  </w:pPr>
                  <w:r>
                    <w:rPr>
                      <w:rFonts w:hint="eastAsia"/>
                      <w:color w:val="auto"/>
                      <w:kern w:val="24"/>
                      <w:szCs w:val="21"/>
                    </w:rPr>
                    <w:t>0.022</w:t>
                  </w:r>
                </w:p>
              </w:tc>
              <w:tc>
                <w:tcPr>
                  <w:tcW w:w="1017" w:type="pct"/>
                  <w:vAlign w:val="center"/>
                </w:tcPr>
                <w:p w14:paraId="71DDE96D">
                  <w:pPr>
                    <w:adjustRightInd w:val="0"/>
                    <w:snapToGrid w:val="0"/>
                    <w:jc w:val="center"/>
                    <w:rPr>
                      <w:color w:val="auto"/>
                      <w:kern w:val="24"/>
                      <w:szCs w:val="21"/>
                    </w:rPr>
                  </w:pPr>
                  <w:r>
                    <w:rPr>
                      <w:rFonts w:hint="eastAsia"/>
                      <w:color w:val="auto"/>
                      <w:kern w:val="24"/>
                      <w:szCs w:val="21"/>
                    </w:rPr>
                    <w:t>0.022</w:t>
                  </w:r>
                </w:p>
              </w:tc>
              <w:tc>
                <w:tcPr>
                  <w:tcW w:w="809" w:type="pct"/>
                  <w:vAlign w:val="center"/>
                </w:tcPr>
                <w:p w14:paraId="4C7DD54E">
                  <w:pPr>
                    <w:adjustRightInd w:val="0"/>
                    <w:snapToGrid w:val="0"/>
                    <w:jc w:val="center"/>
                    <w:rPr>
                      <w:color w:val="auto"/>
                      <w:kern w:val="24"/>
                      <w:szCs w:val="21"/>
                    </w:rPr>
                  </w:pPr>
                  <w:r>
                    <w:rPr>
                      <w:rFonts w:hint="eastAsia"/>
                      <w:color w:val="auto"/>
                      <w:kern w:val="24"/>
                      <w:szCs w:val="21"/>
                    </w:rPr>
                    <w:t>/</w:t>
                  </w:r>
                </w:p>
              </w:tc>
            </w:tr>
            <w:tr w14:paraId="10218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1303" w:type="pct"/>
                  <w:gridSpan w:val="2"/>
                  <w:vAlign w:val="center"/>
                </w:tcPr>
                <w:p w14:paraId="7A6C8DA6">
                  <w:pPr>
                    <w:adjustRightInd w:val="0"/>
                    <w:snapToGrid w:val="0"/>
                    <w:jc w:val="center"/>
                    <w:rPr>
                      <w:color w:val="auto"/>
                      <w:kern w:val="24"/>
                      <w:szCs w:val="21"/>
                    </w:rPr>
                  </w:pPr>
                  <w:r>
                    <w:rPr>
                      <w:rFonts w:hint="eastAsia"/>
                      <w:color w:val="auto"/>
                      <w:kern w:val="24"/>
                      <w:szCs w:val="21"/>
                    </w:rPr>
                    <w:t>污染物排放量(t/a)</w:t>
                  </w:r>
                </w:p>
              </w:tc>
              <w:tc>
                <w:tcPr>
                  <w:tcW w:w="853" w:type="pct"/>
                  <w:vAlign w:val="center"/>
                </w:tcPr>
                <w:p w14:paraId="31832400">
                  <w:pPr>
                    <w:adjustRightInd w:val="0"/>
                    <w:snapToGrid w:val="0"/>
                    <w:jc w:val="center"/>
                    <w:rPr>
                      <w:color w:val="auto"/>
                      <w:kern w:val="24"/>
                      <w:szCs w:val="21"/>
                    </w:rPr>
                  </w:pPr>
                  <w:r>
                    <w:rPr>
                      <w:rFonts w:hint="eastAsia"/>
                      <w:color w:val="auto"/>
                      <w:kern w:val="24"/>
                      <w:szCs w:val="21"/>
                    </w:rPr>
                    <w:t>0.005</w:t>
                  </w:r>
                </w:p>
              </w:tc>
              <w:tc>
                <w:tcPr>
                  <w:tcW w:w="1017" w:type="pct"/>
                  <w:vAlign w:val="center"/>
                </w:tcPr>
                <w:p w14:paraId="45CC004D">
                  <w:pPr>
                    <w:adjustRightInd w:val="0"/>
                    <w:snapToGrid w:val="0"/>
                    <w:jc w:val="center"/>
                    <w:rPr>
                      <w:color w:val="auto"/>
                    </w:rPr>
                  </w:pPr>
                  <w:r>
                    <w:rPr>
                      <w:rFonts w:hint="eastAsia"/>
                      <w:color w:val="auto"/>
                    </w:rPr>
                    <w:t>0.020</w:t>
                  </w:r>
                </w:p>
              </w:tc>
              <w:tc>
                <w:tcPr>
                  <w:tcW w:w="1017" w:type="pct"/>
                  <w:vAlign w:val="center"/>
                </w:tcPr>
                <w:p w14:paraId="5E9C0B4B">
                  <w:pPr>
                    <w:adjustRightInd w:val="0"/>
                    <w:snapToGrid w:val="0"/>
                    <w:jc w:val="center"/>
                    <w:rPr>
                      <w:color w:val="auto"/>
                    </w:rPr>
                  </w:pPr>
                  <w:r>
                    <w:rPr>
                      <w:rFonts w:hint="eastAsia"/>
                      <w:color w:val="auto"/>
                    </w:rPr>
                    <w:t>0.020</w:t>
                  </w:r>
                </w:p>
              </w:tc>
              <w:tc>
                <w:tcPr>
                  <w:tcW w:w="809" w:type="pct"/>
                  <w:vAlign w:val="center"/>
                </w:tcPr>
                <w:p w14:paraId="13D2916C">
                  <w:pPr>
                    <w:adjustRightInd w:val="0"/>
                    <w:snapToGrid w:val="0"/>
                    <w:jc w:val="center"/>
                    <w:rPr>
                      <w:color w:val="auto"/>
                      <w:kern w:val="24"/>
                      <w:szCs w:val="21"/>
                    </w:rPr>
                  </w:pPr>
                  <w:r>
                    <w:rPr>
                      <w:rFonts w:hint="eastAsia"/>
                      <w:color w:val="auto"/>
                    </w:rPr>
                    <w:t>0.108</w:t>
                  </w:r>
                </w:p>
              </w:tc>
            </w:tr>
          </w:tbl>
          <w:p w14:paraId="5AF0140F">
            <w:pPr>
              <w:pStyle w:val="70"/>
              <w:ind w:firstLine="480"/>
              <w:rPr>
                <w:color w:val="auto"/>
                <w:kern w:val="24"/>
              </w:rPr>
            </w:pPr>
            <w:r>
              <w:rPr>
                <w:rFonts w:hint="eastAsia"/>
                <w:color w:val="auto"/>
                <w:kern w:val="24"/>
              </w:rPr>
              <w:t>根据《排污许可证申请与核发技术规范 总则》(HJ942-2018)、《排污许可申请与核发技术规范 钢铁工业》（HJ846-2017），本项目</w:t>
            </w:r>
            <w:r>
              <w:rPr>
                <w:color w:val="auto"/>
                <w:kern w:val="24"/>
              </w:rPr>
              <w:t>主要废气污染源排放</w:t>
            </w:r>
            <w:r>
              <w:rPr>
                <w:rFonts w:hint="eastAsia"/>
                <w:color w:val="auto"/>
                <w:kern w:val="24"/>
              </w:rPr>
              <w:t>口为一般排放口。</w:t>
            </w:r>
          </w:p>
          <w:p w14:paraId="473E74D1">
            <w:pPr>
              <w:adjustRightInd w:val="0"/>
              <w:snapToGrid w:val="0"/>
              <w:spacing w:line="360" w:lineRule="auto"/>
              <w:ind w:firstLine="480" w:firstLineChars="200"/>
              <w:rPr>
                <w:color w:val="auto"/>
                <w:kern w:val="24"/>
                <w:sz w:val="24"/>
              </w:rPr>
            </w:pPr>
            <w:r>
              <w:rPr>
                <w:color w:val="auto"/>
                <w:kern w:val="24"/>
                <w:sz w:val="24"/>
              </w:rPr>
              <w:t>主要废气污染源</w:t>
            </w:r>
            <w:r>
              <w:rPr>
                <w:rFonts w:hint="eastAsia"/>
                <w:color w:val="auto"/>
                <w:kern w:val="24"/>
                <w:sz w:val="24"/>
              </w:rPr>
              <w:t>废气排放口基本情况</w:t>
            </w:r>
            <w:r>
              <w:rPr>
                <w:color w:val="auto"/>
                <w:kern w:val="24"/>
                <w:sz w:val="24"/>
              </w:rPr>
              <w:t>见下表：</w:t>
            </w:r>
          </w:p>
          <w:p w14:paraId="410E823E">
            <w:pPr>
              <w:adjustRightInd w:val="0"/>
              <w:snapToGrid w:val="0"/>
              <w:spacing w:line="360" w:lineRule="auto"/>
              <w:ind w:firstLine="482" w:firstLineChars="200"/>
              <w:jc w:val="center"/>
              <w:rPr>
                <w:b/>
                <w:bCs/>
                <w:color w:val="auto"/>
                <w:kern w:val="24"/>
                <w:sz w:val="24"/>
              </w:rPr>
            </w:pPr>
            <w:r>
              <w:rPr>
                <w:rFonts w:hint="eastAsia"/>
                <w:b/>
                <w:bCs/>
                <w:color w:val="auto"/>
                <w:kern w:val="24"/>
                <w:sz w:val="24"/>
              </w:rPr>
              <w:t>表4-2  主要废气污染源排放口基本情况表</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169"/>
              <w:gridCol w:w="1123"/>
              <w:gridCol w:w="1079"/>
              <w:gridCol w:w="1379"/>
              <w:gridCol w:w="1337"/>
              <w:gridCol w:w="957"/>
              <w:gridCol w:w="962"/>
              <w:gridCol w:w="884"/>
            </w:tblGrid>
            <w:tr w14:paraId="6F336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70" w:hRule="atLeast"/>
              </w:trPr>
              <w:tc>
                <w:tcPr>
                  <w:tcW w:w="1249" w:type="dxa"/>
                  <w:vMerge w:val="restart"/>
                  <w:vAlign w:val="center"/>
                </w:tcPr>
                <w:p w14:paraId="64A74C61">
                  <w:pPr>
                    <w:adjustRightInd w:val="0"/>
                    <w:snapToGrid w:val="0"/>
                    <w:jc w:val="center"/>
                    <w:rPr>
                      <w:color w:val="auto"/>
                      <w:szCs w:val="21"/>
                    </w:rPr>
                  </w:pPr>
                  <w:r>
                    <w:rPr>
                      <w:color w:val="auto"/>
                      <w:szCs w:val="21"/>
                    </w:rPr>
                    <w:t>排放口编号</w:t>
                  </w:r>
                </w:p>
              </w:tc>
              <w:tc>
                <w:tcPr>
                  <w:tcW w:w="1208" w:type="dxa"/>
                  <w:vMerge w:val="restart"/>
                  <w:vAlign w:val="center"/>
                </w:tcPr>
                <w:p w14:paraId="012A0680">
                  <w:pPr>
                    <w:adjustRightInd w:val="0"/>
                    <w:snapToGrid w:val="0"/>
                    <w:jc w:val="center"/>
                    <w:rPr>
                      <w:color w:val="auto"/>
                      <w:szCs w:val="21"/>
                    </w:rPr>
                  </w:pPr>
                  <w:r>
                    <w:rPr>
                      <w:color w:val="auto"/>
                      <w:szCs w:val="21"/>
                    </w:rPr>
                    <w:t>排放口名称</w:t>
                  </w:r>
                </w:p>
              </w:tc>
              <w:tc>
                <w:tcPr>
                  <w:tcW w:w="1209" w:type="dxa"/>
                  <w:vMerge w:val="restart"/>
                  <w:vAlign w:val="center"/>
                </w:tcPr>
                <w:p w14:paraId="44480722">
                  <w:pPr>
                    <w:adjustRightInd w:val="0"/>
                    <w:snapToGrid w:val="0"/>
                    <w:jc w:val="center"/>
                    <w:rPr>
                      <w:color w:val="auto"/>
                      <w:szCs w:val="21"/>
                    </w:rPr>
                  </w:pPr>
                  <w:r>
                    <w:rPr>
                      <w:color w:val="auto"/>
                      <w:szCs w:val="21"/>
                    </w:rPr>
                    <w:t>排放口</w:t>
                  </w:r>
                  <w:r>
                    <w:rPr>
                      <w:rFonts w:hint="eastAsia"/>
                      <w:color w:val="auto"/>
                      <w:szCs w:val="21"/>
                    </w:rPr>
                    <w:t>类型</w:t>
                  </w:r>
                </w:p>
              </w:tc>
              <w:tc>
                <w:tcPr>
                  <w:tcW w:w="2763" w:type="dxa"/>
                  <w:gridSpan w:val="2"/>
                  <w:vAlign w:val="center"/>
                </w:tcPr>
                <w:p w14:paraId="1A468AC2">
                  <w:pPr>
                    <w:adjustRightInd w:val="0"/>
                    <w:snapToGrid w:val="0"/>
                    <w:jc w:val="center"/>
                    <w:rPr>
                      <w:color w:val="auto"/>
                      <w:szCs w:val="21"/>
                    </w:rPr>
                  </w:pPr>
                  <w:r>
                    <w:rPr>
                      <w:rFonts w:hint="eastAsia"/>
                      <w:color w:val="auto"/>
                      <w:szCs w:val="21"/>
                    </w:rPr>
                    <w:t>地理</w:t>
                  </w:r>
                  <w:r>
                    <w:rPr>
                      <w:color w:val="auto"/>
                      <w:szCs w:val="21"/>
                    </w:rPr>
                    <w:t>坐标</w:t>
                  </w:r>
                </w:p>
              </w:tc>
              <w:tc>
                <w:tcPr>
                  <w:tcW w:w="1066" w:type="dxa"/>
                  <w:vMerge w:val="restart"/>
                  <w:vAlign w:val="center"/>
                </w:tcPr>
                <w:p w14:paraId="1F45E688">
                  <w:pPr>
                    <w:adjustRightInd w:val="0"/>
                    <w:snapToGrid w:val="0"/>
                    <w:jc w:val="center"/>
                    <w:rPr>
                      <w:color w:val="auto"/>
                      <w:szCs w:val="21"/>
                    </w:rPr>
                  </w:pPr>
                  <w:r>
                    <w:rPr>
                      <w:rFonts w:hint="eastAsia"/>
                      <w:color w:val="auto"/>
                      <w:szCs w:val="21"/>
                    </w:rPr>
                    <w:t>高度/m</w:t>
                  </w:r>
                </w:p>
              </w:tc>
              <w:tc>
                <w:tcPr>
                  <w:tcW w:w="1065" w:type="dxa"/>
                  <w:vMerge w:val="restart"/>
                  <w:vAlign w:val="center"/>
                </w:tcPr>
                <w:p w14:paraId="57A9AFC5">
                  <w:pPr>
                    <w:adjustRightInd w:val="0"/>
                    <w:snapToGrid w:val="0"/>
                    <w:jc w:val="center"/>
                    <w:rPr>
                      <w:color w:val="auto"/>
                      <w:szCs w:val="21"/>
                    </w:rPr>
                  </w:pPr>
                  <w:r>
                    <w:rPr>
                      <w:rFonts w:hint="eastAsia"/>
                      <w:color w:val="auto"/>
                      <w:szCs w:val="21"/>
                    </w:rPr>
                    <w:t>内径/m</w:t>
                  </w:r>
                </w:p>
              </w:tc>
              <w:tc>
                <w:tcPr>
                  <w:tcW w:w="974" w:type="dxa"/>
                  <w:vMerge w:val="restart"/>
                  <w:vAlign w:val="center"/>
                </w:tcPr>
                <w:p w14:paraId="23C8F388">
                  <w:pPr>
                    <w:adjustRightInd w:val="0"/>
                    <w:snapToGrid w:val="0"/>
                    <w:jc w:val="center"/>
                    <w:rPr>
                      <w:color w:val="auto"/>
                      <w:szCs w:val="21"/>
                    </w:rPr>
                  </w:pPr>
                  <w:r>
                    <w:rPr>
                      <w:rFonts w:hint="eastAsia"/>
                      <w:color w:val="auto"/>
                      <w:szCs w:val="21"/>
                    </w:rPr>
                    <w:t>温度/℃</w:t>
                  </w:r>
                </w:p>
              </w:tc>
            </w:tr>
            <w:tr w14:paraId="48301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1249" w:type="dxa"/>
                  <w:vMerge w:val="continue"/>
                  <w:vAlign w:val="center"/>
                </w:tcPr>
                <w:p w14:paraId="2349DCE4">
                  <w:pPr>
                    <w:adjustRightInd w:val="0"/>
                    <w:snapToGrid w:val="0"/>
                    <w:jc w:val="center"/>
                    <w:rPr>
                      <w:color w:val="auto"/>
                      <w:szCs w:val="21"/>
                    </w:rPr>
                  </w:pPr>
                </w:p>
              </w:tc>
              <w:tc>
                <w:tcPr>
                  <w:tcW w:w="1208" w:type="dxa"/>
                  <w:vMerge w:val="continue"/>
                  <w:vAlign w:val="center"/>
                </w:tcPr>
                <w:p w14:paraId="63ABEAAC">
                  <w:pPr>
                    <w:adjustRightInd w:val="0"/>
                    <w:snapToGrid w:val="0"/>
                    <w:jc w:val="center"/>
                    <w:rPr>
                      <w:color w:val="auto"/>
                      <w:szCs w:val="21"/>
                    </w:rPr>
                  </w:pPr>
                </w:p>
              </w:tc>
              <w:tc>
                <w:tcPr>
                  <w:tcW w:w="1209" w:type="dxa"/>
                  <w:vMerge w:val="continue"/>
                  <w:vAlign w:val="center"/>
                </w:tcPr>
                <w:p w14:paraId="5556AC23">
                  <w:pPr>
                    <w:adjustRightInd w:val="0"/>
                    <w:snapToGrid w:val="0"/>
                    <w:jc w:val="center"/>
                    <w:rPr>
                      <w:color w:val="auto"/>
                      <w:szCs w:val="21"/>
                    </w:rPr>
                  </w:pPr>
                </w:p>
              </w:tc>
              <w:tc>
                <w:tcPr>
                  <w:tcW w:w="1398" w:type="dxa"/>
                  <w:vAlign w:val="center"/>
                </w:tcPr>
                <w:p w14:paraId="7916AAE1">
                  <w:pPr>
                    <w:adjustRightInd w:val="0"/>
                    <w:snapToGrid w:val="0"/>
                    <w:jc w:val="center"/>
                    <w:rPr>
                      <w:color w:val="auto"/>
                      <w:szCs w:val="21"/>
                    </w:rPr>
                  </w:pPr>
                  <w:r>
                    <w:rPr>
                      <w:color w:val="auto"/>
                      <w:szCs w:val="21"/>
                    </w:rPr>
                    <w:t>经度</w:t>
                  </w:r>
                </w:p>
              </w:tc>
              <w:tc>
                <w:tcPr>
                  <w:tcW w:w="1365" w:type="dxa"/>
                  <w:vAlign w:val="center"/>
                </w:tcPr>
                <w:p w14:paraId="75A676B7">
                  <w:pPr>
                    <w:adjustRightInd w:val="0"/>
                    <w:snapToGrid w:val="0"/>
                    <w:jc w:val="center"/>
                    <w:rPr>
                      <w:color w:val="auto"/>
                      <w:szCs w:val="21"/>
                    </w:rPr>
                  </w:pPr>
                  <w:r>
                    <w:rPr>
                      <w:color w:val="auto"/>
                      <w:szCs w:val="21"/>
                    </w:rPr>
                    <w:t>纬度</w:t>
                  </w:r>
                </w:p>
              </w:tc>
              <w:tc>
                <w:tcPr>
                  <w:tcW w:w="1066" w:type="dxa"/>
                  <w:vMerge w:val="continue"/>
                  <w:vAlign w:val="center"/>
                </w:tcPr>
                <w:p w14:paraId="0E2549C9">
                  <w:pPr>
                    <w:adjustRightInd w:val="0"/>
                    <w:snapToGrid w:val="0"/>
                    <w:jc w:val="center"/>
                    <w:rPr>
                      <w:color w:val="auto"/>
                      <w:szCs w:val="21"/>
                    </w:rPr>
                  </w:pPr>
                </w:p>
              </w:tc>
              <w:tc>
                <w:tcPr>
                  <w:tcW w:w="1065" w:type="dxa"/>
                  <w:vMerge w:val="continue"/>
                  <w:vAlign w:val="center"/>
                </w:tcPr>
                <w:p w14:paraId="478C6EDF">
                  <w:pPr>
                    <w:adjustRightInd w:val="0"/>
                    <w:snapToGrid w:val="0"/>
                    <w:jc w:val="center"/>
                    <w:rPr>
                      <w:color w:val="auto"/>
                      <w:szCs w:val="21"/>
                    </w:rPr>
                  </w:pPr>
                </w:p>
              </w:tc>
              <w:tc>
                <w:tcPr>
                  <w:tcW w:w="974" w:type="dxa"/>
                  <w:vMerge w:val="continue"/>
                  <w:vAlign w:val="center"/>
                </w:tcPr>
                <w:p w14:paraId="71864C75">
                  <w:pPr>
                    <w:adjustRightInd w:val="0"/>
                    <w:snapToGrid w:val="0"/>
                    <w:jc w:val="center"/>
                    <w:rPr>
                      <w:color w:val="auto"/>
                      <w:szCs w:val="21"/>
                    </w:rPr>
                  </w:pPr>
                </w:p>
              </w:tc>
            </w:tr>
            <w:tr w14:paraId="327DF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4" w:hRule="atLeast"/>
              </w:trPr>
              <w:tc>
                <w:tcPr>
                  <w:tcW w:w="1249" w:type="dxa"/>
                  <w:vAlign w:val="center"/>
                </w:tcPr>
                <w:p w14:paraId="76F4E86A">
                  <w:pPr>
                    <w:adjustRightInd w:val="0"/>
                    <w:snapToGrid w:val="0"/>
                    <w:jc w:val="center"/>
                    <w:rPr>
                      <w:color w:val="auto"/>
                      <w:szCs w:val="21"/>
                    </w:rPr>
                  </w:pPr>
                  <w:r>
                    <w:rPr>
                      <w:rFonts w:hint="eastAsia"/>
                      <w:color w:val="auto"/>
                      <w:szCs w:val="21"/>
                    </w:rPr>
                    <w:t>DA001</w:t>
                  </w:r>
                </w:p>
              </w:tc>
              <w:tc>
                <w:tcPr>
                  <w:tcW w:w="1208" w:type="dxa"/>
                  <w:vAlign w:val="center"/>
                </w:tcPr>
                <w:p w14:paraId="2C853161">
                  <w:pPr>
                    <w:adjustRightInd w:val="0"/>
                    <w:snapToGrid w:val="0"/>
                    <w:jc w:val="center"/>
                    <w:rPr>
                      <w:color w:val="auto"/>
                      <w:szCs w:val="21"/>
                    </w:rPr>
                  </w:pPr>
                  <w:r>
                    <w:rPr>
                      <w:rFonts w:hint="eastAsia"/>
                      <w:color w:val="auto"/>
                      <w:szCs w:val="21"/>
                    </w:rPr>
                    <w:t>1#线排放口</w:t>
                  </w:r>
                </w:p>
              </w:tc>
              <w:tc>
                <w:tcPr>
                  <w:tcW w:w="1209" w:type="dxa"/>
                  <w:vAlign w:val="center"/>
                </w:tcPr>
                <w:p w14:paraId="0CC42E48">
                  <w:pPr>
                    <w:adjustRightInd w:val="0"/>
                    <w:snapToGrid w:val="0"/>
                    <w:jc w:val="center"/>
                    <w:rPr>
                      <w:color w:val="auto"/>
                      <w:szCs w:val="21"/>
                    </w:rPr>
                  </w:pPr>
                  <w:r>
                    <w:rPr>
                      <w:rFonts w:hint="eastAsia"/>
                      <w:color w:val="auto"/>
                      <w:szCs w:val="21"/>
                    </w:rPr>
                    <w:t>一般排放口</w:t>
                  </w:r>
                </w:p>
              </w:tc>
              <w:tc>
                <w:tcPr>
                  <w:tcW w:w="1398" w:type="dxa"/>
                  <w:vAlign w:val="center"/>
                </w:tcPr>
                <w:p w14:paraId="5D30440A">
                  <w:pPr>
                    <w:adjustRightInd w:val="0"/>
                    <w:snapToGrid w:val="0"/>
                    <w:jc w:val="center"/>
                    <w:rPr>
                      <w:color w:val="auto"/>
                      <w:szCs w:val="21"/>
                    </w:rPr>
                  </w:pPr>
                  <w:r>
                    <w:rPr>
                      <w:color w:val="auto"/>
                      <w:szCs w:val="21"/>
                    </w:rPr>
                    <w:t>102.75137651</w:t>
                  </w:r>
                </w:p>
              </w:tc>
              <w:tc>
                <w:tcPr>
                  <w:tcW w:w="1365" w:type="dxa"/>
                  <w:vAlign w:val="center"/>
                </w:tcPr>
                <w:p w14:paraId="1FAF2334">
                  <w:pPr>
                    <w:adjustRightInd w:val="0"/>
                    <w:snapToGrid w:val="0"/>
                    <w:jc w:val="center"/>
                    <w:rPr>
                      <w:color w:val="auto"/>
                      <w:szCs w:val="21"/>
                    </w:rPr>
                  </w:pPr>
                  <w:r>
                    <w:rPr>
                      <w:color w:val="auto"/>
                      <w:szCs w:val="21"/>
                    </w:rPr>
                    <w:t>24.2010964</w:t>
                  </w:r>
                  <w:r>
                    <w:rPr>
                      <w:rFonts w:hint="eastAsia"/>
                      <w:color w:val="auto"/>
                      <w:szCs w:val="21"/>
                    </w:rPr>
                    <w:t>8</w:t>
                  </w:r>
                </w:p>
              </w:tc>
              <w:tc>
                <w:tcPr>
                  <w:tcW w:w="1066" w:type="dxa"/>
                  <w:vAlign w:val="center"/>
                </w:tcPr>
                <w:p w14:paraId="1CE64720">
                  <w:pPr>
                    <w:adjustRightInd w:val="0"/>
                    <w:snapToGrid w:val="0"/>
                    <w:jc w:val="center"/>
                    <w:rPr>
                      <w:color w:val="auto"/>
                      <w:szCs w:val="21"/>
                    </w:rPr>
                  </w:pPr>
                  <w:r>
                    <w:rPr>
                      <w:color w:val="auto"/>
                      <w:szCs w:val="21"/>
                    </w:rPr>
                    <w:t>15</w:t>
                  </w:r>
                </w:p>
              </w:tc>
              <w:tc>
                <w:tcPr>
                  <w:tcW w:w="1065" w:type="dxa"/>
                  <w:vAlign w:val="center"/>
                </w:tcPr>
                <w:p w14:paraId="49436A2B">
                  <w:pPr>
                    <w:adjustRightInd w:val="0"/>
                    <w:snapToGrid w:val="0"/>
                    <w:jc w:val="center"/>
                    <w:rPr>
                      <w:color w:val="auto"/>
                      <w:szCs w:val="21"/>
                    </w:rPr>
                  </w:pPr>
                  <w:r>
                    <w:rPr>
                      <w:rFonts w:hint="eastAsia"/>
                      <w:color w:val="auto"/>
                      <w:szCs w:val="21"/>
                    </w:rPr>
                    <w:t>0</w:t>
                  </w:r>
                  <w:r>
                    <w:rPr>
                      <w:color w:val="auto"/>
                      <w:szCs w:val="21"/>
                    </w:rPr>
                    <w:t>.3</w:t>
                  </w:r>
                </w:p>
              </w:tc>
              <w:tc>
                <w:tcPr>
                  <w:tcW w:w="974" w:type="dxa"/>
                  <w:vAlign w:val="center"/>
                </w:tcPr>
                <w:p w14:paraId="3A4CE1C4">
                  <w:pPr>
                    <w:adjustRightInd w:val="0"/>
                    <w:snapToGrid w:val="0"/>
                    <w:jc w:val="center"/>
                    <w:rPr>
                      <w:color w:val="auto"/>
                      <w:szCs w:val="21"/>
                    </w:rPr>
                  </w:pPr>
                  <w:r>
                    <w:rPr>
                      <w:rFonts w:hint="eastAsia"/>
                      <w:color w:val="auto"/>
                      <w:szCs w:val="21"/>
                    </w:rPr>
                    <w:t>25</w:t>
                  </w:r>
                </w:p>
              </w:tc>
            </w:tr>
            <w:tr w14:paraId="00EFD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4" w:hRule="atLeast"/>
              </w:trPr>
              <w:tc>
                <w:tcPr>
                  <w:tcW w:w="1249" w:type="dxa"/>
                  <w:vAlign w:val="center"/>
                </w:tcPr>
                <w:p w14:paraId="109A5299">
                  <w:pPr>
                    <w:adjustRightInd w:val="0"/>
                    <w:snapToGrid w:val="0"/>
                    <w:jc w:val="center"/>
                    <w:rPr>
                      <w:color w:val="auto"/>
                      <w:szCs w:val="21"/>
                    </w:rPr>
                  </w:pPr>
                  <w:r>
                    <w:rPr>
                      <w:rFonts w:hint="eastAsia"/>
                      <w:color w:val="auto"/>
                      <w:szCs w:val="21"/>
                    </w:rPr>
                    <w:t>DA002</w:t>
                  </w:r>
                </w:p>
              </w:tc>
              <w:tc>
                <w:tcPr>
                  <w:tcW w:w="1208" w:type="dxa"/>
                  <w:vAlign w:val="center"/>
                </w:tcPr>
                <w:p w14:paraId="0B5F75A0">
                  <w:pPr>
                    <w:adjustRightInd w:val="0"/>
                    <w:snapToGrid w:val="0"/>
                    <w:jc w:val="center"/>
                    <w:rPr>
                      <w:color w:val="auto"/>
                      <w:szCs w:val="21"/>
                    </w:rPr>
                  </w:pPr>
                  <w:r>
                    <w:rPr>
                      <w:rFonts w:hint="eastAsia"/>
                      <w:color w:val="auto"/>
                      <w:szCs w:val="21"/>
                    </w:rPr>
                    <w:t>2#~5#线排放口</w:t>
                  </w:r>
                </w:p>
              </w:tc>
              <w:tc>
                <w:tcPr>
                  <w:tcW w:w="1209" w:type="dxa"/>
                  <w:vAlign w:val="center"/>
                </w:tcPr>
                <w:p w14:paraId="68303DE2">
                  <w:pPr>
                    <w:adjustRightInd w:val="0"/>
                    <w:snapToGrid w:val="0"/>
                    <w:jc w:val="center"/>
                    <w:rPr>
                      <w:color w:val="auto"/>
                      <w:szCs w:val="21"/>
                    </w:rPr>
                  </w:pPr>
                  <w:r>
                    <w:rPr>
                      <w:rFonts w:hint="eastAsia"/>
                      <w:color w:val="auto"/>
                      <w:szCs w:val="21"/>
                    </w:rPr>
                    <w:t>一般排放口</w:t>
                  </w:r>
                </w:p>
              </w:tc>
              <w:tc>
                <w:tcPr>
                  <w:tcW w:w="1398" w:type="dxa"/>
                  <w:vAlign w:val="center"/>
                </w:tcPr>
                <w:p w14:paraId="1DC3013D">
                  <w:pPr>
                    <w:adjustRightInd w:val="0"/>
                    <w:snapToGrid w:val="0"/>
                    <w:jc w:val="center"/>
                    <w:rPr>
                      <w:color w:val="auto"/>
                      <w:szCs w:val="21"/>
                    </w:rPr>
                  </w:pPr>
                  <w:r>
                    <w:rPr>
                      <w:color w:val="auto"/>
                      <w:szCs w:val="21"/>
                    </w:rPr>
                    <w:t>102.75117792</w:t>
                  </w:r>
                </w:p>
              </w:tc>
              <w:tc>
                <w:tcPr>
                  <w:tcW w:w="1365" w:type="dxa"/>
                  <w:vAlign w:val="center"/>
                </w:tcPr>
                <w:p w14:paraId="5D13377B">
                  <w:pPr>
                    <w:adjustRightInd w:val="0"/>
                    <w:snapToGrid w:val="0"/>
                    <w:jc w:val="center"/>
                    <w:rPr>
                      <w:color w:val="auto"/>
                      <w:szCs w:val="21"/>
                    </w:rPr>
                  </w:pPr>
                  <w:r>
                    <w:rPr>
                      <w:color w:val="auto"/>
                      <w:szCs w:val="21"/>
                    </w:rPr>
                    <w:t>24.20077612</w:t>
                  </w:r>
                </w:p>
              </w:tc>
              <w:tc>
                <w:tcPr>
                  <w:tcW w:w="1066" w:type="dxa"/>
                  <w:vAlign w:val="center"/>
                </w:tcPr>
                <w:p w14:paraId="45445DF9">
                  <w:pPr>
                    <w:adjustRightInd w:val="0"/>
                    <w:snapToGrid w:val="0"/>
                    <w:jc w:val="center"/>
                    <w:rPr>
                      <w:color w:val="auto"/>
                      <w:szCs w:val="21"/>
                    </w:rPr>
                  </w:pPr>
                  <w:r>
                    <w:rPr>
                      <w:rFonts w:hint="eastAsia"/>
                      <w:color w:val="auto"/>
                      <w:szCs w:val="21"/>
                    </w:rPr>
                    <w:t>15</w:t>
                  </w:r>
                </w:p>
              </w:tc>
              <w:tc>
                <w:tcPr>
                  <w:tcW w:w="1065" w:type="dxa"/>
                  <w:vAlign w:val="center"/>
                </w:tcPr>
                <w:p w14:paraId="6AD5EFB2">
                  <w:pPr>
                    <w:adjustRightInd w:val="0"/>
                    <w:snapToGrid w:val="0"/>
                    <w:jc w:val="center"/>
                    <w:rPr>
                      <w:color w:val="auto"/>
                      <w:szCs w:val="21"/>
                    </w:rPr>
                  </w:pPr>
                  <w:r>
                    <w:rPr>
                      <w:rFonts w:hint="eastAsia"/>
                      <w:color w:val="auto"/>
                      <w:szCs w:val="21"/>
                    </w:rPr>
                    <w:t>0</w:t>
                  </w:r>
                  <w:r>
                    <w:rPr>
                      <w:color w:val="auto"/>
                      <w:szCs w:val="21"/>
                    </w:rPr>
                    <w:t>.</w:t>
                  </w:r>
                  <w:r>
                    <w:rPr>
                      <w:rFonts w:hint="eastAsia"/>
                      <w:color w:val="auto"/>
                      <w:szCs w:val="21"/>
                    </w:rPr>
                    <w:t>4</w:t>
                  </w:r>
                </w:p>
              </w:tc>
              <w:tc>
                <w:tcPr>
                  <w:tcW w:w="974" w:type="dxa"/>
                  <w:vAlign w:val="center"/>
                </w:tcPr>
                <w:p w14:paraId="2C59827E">
                  <w:pPr>
                    <w:adjustRightInd w:val="0"/>
                    <w:snapToGrid w:val="0"/>
                    <w:jc w:val="center"/>
                    <w:rPr>
                      <w:color w:val="auto"/>
                      <w:szCs w:val="21"/>
                    </w:rPr>
                  </w:pPr>
                  <w:r>
                    <w:rPr>
                      <w:rFonts w:hint="eastAsia"/>
                      <w:color w:val="auto"/>
                      <w:szCs w:val="21"/>
                    </w:rPr>
                    <w:t>25</w:t>
                  </w:r>
                </w:p>
              </w:tc>
            </w:tr>
            <w:tr w14:paraId="35AF3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4" w:hRule="atLeast"/>
              </w:trPr>
              <w:tc>
                <w:tcPr>
                  <w:tcW w:w="1249" w:type="dxa"/>
                  <w:vAlign w:val="center"/>
                </w:tcPr>
                <w:p w14:paraId="0A99000F">
                  <w:pPr>
                    <w:adjustRightInd w:val="0"/>
                    <w:snapToGrid w:val="0"/>
                    <w:jc w:val="center"/>
                    <w:rPr>
                      <w:color w:val="auto"/>
                      <w:szCs w:val="21"/>
                    </w:rPr>
                  </w:pPr>
                  <w:r>
                    <w:rPr>
                      <w:rFonts w:hint="eastAsia"/>
                      <w:color w:val="auto"/>
                      <w:szCs w:val="21"/>
                    </w:rPr>
                    <w:t>DA003</w:t>
                  </w:r>
                </w:p>
              </w:tc>
              <w:tc>
                <w:tcPr>
                  <w:tcW w:w="1208" w:type="dxa"/>
                  <w:vAlign w:val="center"/>
                </w:tcPr>
                <w:p w14:paraId="2AA3EE48">
                  <w:pPr>
                    <w:adjustRightInd w:val="0"/>
                    <w:snapToGrid w:val="0"/>
                    <w:jc w:val="center"/>
                    <w:rPr>
                      <w:color w:val="auto"/>
                      <w:szCs w:val="21"/>
                    </w:rPr>
                  </w:pPr>
                  <w:r>
                    <w:rPr>
                      <w:rFonts w:hint="eastAsia"/>
                      <w:color w:val="auto"/>
                      <w:szCs w:val="21"/>
                    </w:rPr>
                    <w:t>6#~9#线排放口</w:t>
                  </w:r>
                </w:p>
              </w:tc>
              <w:tc>
                <w:tcPr>
                  <w:tcW w:w="1209" w:type="dxa"/>
                  <w:vAlign w:val="center"/>
                </w:tcPr>
                <w:p w14:paraId="6DF907C9">
                  <w:pPr>
                    <w:adjustRightInd w:val="0"/>
                    <w:snapToGrid w:val="0"/>
                    <w:jc w:val="center"/>
                    <w:rPr>
                      <w:color w:val="auto"/>
                      <w:szCs w:val="21"/>
                    </w:rPr>
                  </w:pPr>
                  <w:r>
                    <w:rPr>
                      <w:rFonts w:hint="eastAsia"/>
                      <w:color w:val="auto"/>
                      <w:szCs w:val="21"/>
                    </w:rPr>
                    <w:t>一般排放口</w:t>
                  </w:r>
                </w:p>
              </w:tc>
              <w:tc>
                <w:tcPr>
                  <w:tcW w:w="1398" w:type="dxa"/>
                  <w:vAlign w:val="center"/>
                </w:tcPr>
                <w:p w14:paraId="05AC9CBD">
                  <w:pPr>
                    <w:adjustRightInd w:val="0"/>
                    <w:snapToGrid w:val="0"/>
                    <w:jc w:val="center"/>
                    <w:rPr>
                      <w:color w:val="auto"/>
                      <w:szCs w:val="21"/>
                    </w:rPr>
                  </w:pPr>
                  <w:r>
                    <w:rPr>
                      <w:color w:val="auto"/>
                      <w:szCs w:val="21"/>
                    </w:rPr>
                    <w:t>102.75021447</w:t>
                  </w:r>
                </w:p>
              </w:tc>
              <w:tc>
                <w:tcPr>
                  <w:tcW w:w="1365" w:type="dxa"/>
                  <w:vAlign w:val="center"/>
                </w:tcPr>
                <w:p w14:paraId="4A05B5BB">
                  <w:pPr>
                    <w:adjustRightInd w:val="0"/>
                    <w:snapToGrid w:val="0"/>
                    <w:jc w:val="center"/>
                    <w:rPr>
                      <w:color w:val="auto"/>
                      <w:szCs w:val="21"/>
                    </w:rPr>
                  </w:pPr>
                  <w:r>
                    <w:rPr>
                      <w:color w:val="auto"/>
                      <w:szCs w:val="21"/>
                    </w:rPr>
                    <w:t>24.20029433</w:t>
                  </w:r>
                </w:p>
              </w:tc>
              <w:tc>
                <w:tcPr>
                  <w:tcW w:w="1066" w:type="dxa"/>
                  <w:vAlign w:val="center"/>
                </w:tcPr>
                <w:p w14:paraId="5819B42E">
                  <w:pPr>
                    <w:adjustRightInd w:val="0"/>
                    <w:snapToGrid w:val="0"/>
                    <w:jc w:val="center"/>
                    <w:rPr>
                      <w:color w:val="auto"/>
                      <w:szCs w:val="21"/>
                    </w:rPr>
                  </w:pPr>
                  <w:r>
                    <w:rPr>
                      <w:rFonts w:hint="eastAsia"/>
                      <w:color w:val="auto"/>
                      <w:szCs w:val="21"/>
                    </w:rPr>
                    <w:t>15</w:t>
                  </w:r>
                </w:p>
              </w:tc>
              <w:tc>
                <w:tcPr>
                  <w:tcW w:w="1065" w:type="dxa"/>
                  <w:vAlign w:val="center"/>
                </w:tcPr>
                <w:p w14:paraId="6D221C1B">
                  <w:pPr>
                    <w:adjustRightInd w:val="0"/>
                    <w:snapToGrid w:val="0"/>
                    <w:jc w:val="center"/>
                    <w:rPr>
                      <w:color w:val="auto"/>
                      <w:szCs w:val="21"/>
                    </w:rPr>
                  </w:pPr>
                  <w:r>
                    <w:rPr>
                      <w:rFonts w:hint="eastAsia"/>
                      <w:color w:val="auto"/>
                      <w:szCs w:val="21"/>
                    </w:rPr>
                    <w:t>0</w:t>
                  </w:r>
                  <w:r>
                    <w:rPr>
                      <w:color w:val="auto"/>
                      <w:szCs w:val="21"/>
                    </w:rPr>
                    <w:t>.</w:t>
                  </w:r>
                  <w:r>
                    <w:rPr>
                      <w:rFonts w:hint="eastAsia"/>
                      <w:color w:val="auto"/>
                      <w:szCs w:val="21"/>
                    </w:rPr>
                    <w:t>4</w:t>
                  </w:r>
                </w:p>
              </w:tc>
              <w:tc>
                <w:tcPr>
                  <w:tcW w:w="974" w:type="dxa"/>
                  <w:vAlign w:val="center"/>
                </w:tcPr>
                <w:p w14:paraId="509D1804">
                  <w:pPr>
                    <w:adjustRightInd w:val="0"/>
                    <w:snapToGrid w:val="0"/>
                    <w:jc w:val="center"/>
                    <w:rPr>
                      <w:color w:val="auto"/>
                      <w:szCs w:val="21"/>
                    </w:rPr>
                  </w:pPr>
                  <w:r>
                    <w:rPr>
                      <w:rFonts w:hint="eastAsia"/>
                      <w:color w:val="auto"/>
                      <w:szCs w:val="21"/>
                    </w:rPr>
                    <w:t>25</w:t>
                  </w:r>
                </w:p>
              </w:tc>
            </w:tr>
          </w:tbl>
          <w:p w14:paraId="6AD2090F">
            <w:pPr>
              <w:pStyle w:val="31"/>
              <w:spacing w:line="360" w:lineRule="auto"/>
              <w:ind w:left="0" w:leftChars="0" w:firstLine="480"/>
              <w:rPr>
                <w:color w:val="auto"/>
                <w:kern w:val="24"/>
                <w:sz w:val="24"/>
              </w:rPr>
            </w:pPr>
            <w:r>
              <w:rPr>
                <w:rFonts w:hint="eastAsia"/>
                <w:color w:val="auto"/>
                <w:kern w:val="24"/>
                <w:sz w:val="24"/>
              </w:rPr>
              <w:t>本项目运营后，主要污染物有组织和无组织排放量核算见下表。</w:t>
            </w:r>
          </w:p>
          <w:p w14:paraId="16B2809C">
            <w:pPr>
              <w:adjustRightInd w:val="0"/>
              <w:snapToGrid w:val="0"/>
              <w:spacing w:line="360" w:lineRule="auto"/>
              <w:ind w:firstLine="482" w:firstLineChars="200"/>
              <w:jc w:val="center"/>
              <w:rPr>
                <w:b/>
                <w:bCs/>
                <w:color w:val="auto"/>
                <w:kern w:val="24"/>
                <w:sz w:val="24"/>
              </w:rPr>
            </w:pPr>
            <w:r>
              <w:rPr>
                <w:rFonts w:hint="eastAsia"/>
                <w:b/>
                <w:bCs/>
                <w:color w:val="auto"/>
                <w:kern w:val="24"/>
                <w:sz w:val="24"/>
              </w:rPr>
              <w:t>表4-3  大气污染物有组织排放量核算表</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616"/>
              <w:gridCol w:w="1570"/>
              <w:gridCol w:w="1554"/>
              <w:gridCol w:w="1742"/>
              <w:gridCol w:w="1762"/>
              <w:gridCol w:w="1646"/>
            </w:tblGrid>
            <w:tr w14:paraId="1E09F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90" w:hRule="atLeast"/>
              </w:trPr>
              <w:tc>
                <w:tcPr>
                  <w:tcW w:w="642" w:type="dxa"/>
                  <w:vAlign w:val="center"/>
                </w:tcPr>
                <w:p w14:paraId="58FC9366">
                  <w:pPr>
                    <w:adjustRightInd w:val="0"/>
                    <w:snapToGrid w:val="0"/>
                    <w:jc w:val="center"/>
                    <w:rPr>
                      <w:color w:val="auto"/>
                      <w:szCs w:val="21"/>
                    </w:rPr>
                  </w:pPr>
                  <w:r>
                    <w:rPr>
                      <w:color w:val="auto"/>
                      <w:szCs w:val="21"/>
                    </w:rPr>
                    <w:t>序号</w:t>
                  </w:r>
                </w:p>
              </w:tc>
              <w:tc>
                <w:tcPr>
                  <w:tcW w:w="1668" w:type="dxa"/>
                  <w:vAlign w:val="center"/>
                </w:tcPr>
                <w:p w14:paraId="6CAF88C4">
                  <w:pPr>
                    <w:adjustRightInd w:val="0"/>
                    <w:snapToGrid w:val="0"/>
                    <w:jc w:val="center"/>
                    <w:rPr>
                      <w:color w:val="auto"/>
                      <w:szCs w:val="21"/>
                    </w:rPr>
                  </w:pPr>
                  <w:r>
                    <w:rPr>
                      <w:color w:val="auto"/>
                      <w:szCs w:val="21"/>
                    </w:rPr>
                    <w:t>排放口编号</w:t>
                  </w:r>
                </w:p>
              </w:tc>
              <w:tc>
                <w:tcPr>
                  <w:tcW w:w="1705" w:type="dxa"/>
                  <w:vAlign w:val="center"/>
                </w:tcPr>
                <w:p w14:paraId="251EC9CE">
                  <w:pPr>
                    <w:adjustRightInd w:val="0"/>
                    <w:snapToGrid w:val="0"/>
                    <w:jc w:val="center"/>
                    <w:rPr>
                      <w:color w:val="auto"/>
                      <w:szCs w:val="21"/>
                    </w:rPr>
                  </w:pPr>
                  <w:r>
                    <w:rPr>
                      <w:color w:val="auto"/>
                      <w:szCs w:val="21"/>
                    </w:rPr>
                    <w:t>污染物</w:t>
                  </w:r>
                </w:p>
              </w:tc>
              <w:tc>
                <w:tcPr>
                  <w:tcW w:w="1853" w:type="dxa"/>
                  <w:vAlign w:val="center"/>
                </w:tcPr>
                <w:p w14:paraId="2930AE64">
                  <w:pPr>
                    <w:adjustRightInd w:val="0"/>
                    <w:snapToGrid w:val="0"/>
                    <w:jc w:val="center"/>
                    <w:rPr>
                      <w:color w:val="auto"/>
                      <w:szCs w:val="21"/>
                    </w:rPr>
                  </w:pPr>
                  <w:r>
                    <w:rPr>
                      <w:color w:val="auto"/>
                      <w:szCs w:val="21"/>
                    </w:rPr>
                    <w:t>核算排放浓度/</w:t>
                  </w:r>
                </w:p>
                <w:p w14:paraId="4B9F01E7">
                  <w:pPr>
                    <w:adjustRightInd w:val="0"/>
                    <w:snapToGrid w:val="0"/>
                    <w:jc w:val="center"/>
                    <w:rPr>
                      <w:color w:val="auto"/>
                      <w:szCs w:val="21"/>
                    </w:rPr>
                  </w:pPr>
                  <w:r>
                    <w:rPr>
                      <w:color w:val="auto"/>
                      <w:szCs w:val="21"/>
                    </w:rPr>
                    <w:t>(</w:t>
                  </w:r>
                  <w:r>
                    <w:rPr>
                      <w:rFonts w:hint="eastAsia"/>
                      <w:color w:val="auto"/>
                      <w:szCs w:val="21"/>
                    </w:rPr>
                    <w:t>m</w:t>
                  </w:r>
                  <w:r>
                    <w:rPr>
                      <w:color w:val="auto"/>
                      <w:szCs w:val="21"/>
                    </w:rPr>
                    <w:t>g/m</w:t>
                  </w:r>
                  <w:r>
                    <w:rPr>
                      <w:color w:val="auto"/>
                      <w:szCs w:val="21"/>
                      <w:vertAlign w:val="superscript"/>
                    </w:rPr>
                    <w:t>3</w:t>
                  </w:r>
                  <w:r>
                    <w:rPr>
                      <w:color w:val="auto"/>
                      <w:szCs w:val="21"/>
                    </w:rPr>
                    <w:t>)</w:t>
                  </w:r>
                </w:p>
              </w:tc>
              <w:tc>
                <w:tcPr>
                  <w:tcW w:w="1892" w:type="dxa"/>
                  <w:vAlign w:val="center"/>
                </w:tcPr>
                <w:p w14:paraId="2E18D103">
                  <w:pPr>
                    <w:adjustRightInd w:val="0"/>
                    <w:snapToGrid w:val="0"/>
                    <w:jc w:val="center"/>
                    <w:rPr>
                      <w:color w:val="auto"/>
                      <w:szCs w:val="21"/>
                    </w:rPr>
                  </w:pPr>
                  <w:r>
                    <w:rPr>
                      <w:color w:val="auto"/>
                      <w:szCs w:val="21"/>
                    </w:rPr>
                    <w:t>核算排放速率/</w:t>
                  </w:r>
                </w:p>
                <w:p w14:paraId="09172E9E">
                  <w:pPr>
                    <w:adjustRightInd w:val="0"/>
                    <w:snapToGrid w:val="0"/>
                    <w:jc w:val="center"/>
                    <w:rPr>
                      <w:color w:val="auto"/>
                      <w:szCs w:val="21"/>
                    </w:rPr>
                  </w:pPr>
                  <w:r>
                    <w:rPr>
                      <w:color w:val="auto"/>
                      <w:szCs w:val="21"/>
                    </w:rPr>
                    <w:t>(kg/h)</w:t>
                  </w:r>
                </w:p>
              </w:tc>
              <w:tc>
                <w:tcPr>
                  <w:tcW w:w="1774" w:type="dxa"/>
                  <w:vAlign w:val="center"/>
                </w:tcPr>
                <w:p w14:paraId="596424A9">
                  <w:pPr>
                    <w:adjustRightInd w:val="0"/>
                    <w:snapToGrid w:val="0"/>
                    <w:jc w:val="center"/>
                    <w:rPr>
                      <w:color w:val="auto"/>
                      <w:szCs w:val="21"/>
                    </w:rPr>
                  </w:pPr>
                  <w:r>
                    <w:rPr>
                      <w:color w:val="auto"/>
                      <w:szCs w:val="21"/>
                    </w:rPr>
                    <w:t>核算年排放量/</w:t>
                  </w:r>
                </w:p>
                <w:p w14:paraId="71DF4940">
                  <w:pPr>
                    <w:adjustRightInd w:val="0"/>
                    <w:snapToGrid w:val="0"/>
                    <w:jc w:val="center"/>
                    <w:rPr>
                      <w:color w:val="auto"/>
                      <w:szCs w:val="21"/>
                    </w:rPr>
                  </w:pPr>
                  <w:r>
                    <w:rPr>
                      <w:color w:val="auto"/>
                      <w:szCs w:val="21"/>
                    </w:rPr>
                    <w:t>(t/a)</w:t>
                  </w:r>
                </w:p>
              </w:tc>
            </w:tr>
            <w:tr w14:paraId="6FDCC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90" w:hRule="atLeast"/>
              </w:trPr>
              <w:tc>
                <w:tcPr>
                  <w:tcW w:w="9534" w:type="dxa"/>
                  <w:gridSpan w:val="6"/>
                  <w:vAlign w:val="center"/>
                </w:tcPr>
                <w:p w14:paraId="007A535D">
                  <w:pPr>
                    <w:adjustRightInd w:val="0"/>
                    <w:snapToGrid w:val="0"/>
                    <w:jc w:val="center"/>
                    <w:rPr>
                      <w:color w:val="auto"/>
                      <w:szCs w:val="21"/>
                    </w:rPr>
                  </w:pPr>
                  <w:r>
                    <w:rPr>
                      <w:rFonts w:hint="eastAsia"/>
                      <w:color w:val="auto"/>
                      <w:szCs w:val="21"/>
                    </w:rPr>
                    <w:t>一般排放口</w:t>
                  </w:r>
                </w:p>
              </w:tc>
            </w:tr>
            <w:tr w14:paraId="6C7E9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70" w:hRule="atLeast"/>
              </w:trPr>
              <w:tc>
                <w:tcPr>
                  <w:tcW w:w="642" w:type="dxa"/>
                  <w:vAlign w:val="center"/>
                </w:tcPr>
                <w:p w14:paraId="03D82310">
                  <w:pPr>
                    <w:adjustRightInd w:val="0"/>
                    <w:snapToGrid w:val="0"/>
                    <w:jc w:val="center"/>
                    <w:rPr>
                      <w:color w:val="auto"/>
                      <w:szCs w:val="21"/>
                    </w:rPr>
                  </w:pPr>
                  <w:r>
                    <w:rPr>
                      <w:color w:val="auto"/>
                      <w:szCs w:val="21"/>
                    </w:rPr>
                    <w:t>1</w:t>
                  </w:r>
                </w:p>
              </w:tc>
              <w:tc>
                <w:tcPr>
                  <w:tcW w:w="1668" w:type="dxa"/>
                  <w:vAlign w:val="center"/>
                </w:tcPr>
                <w:p w14:paraId="15C5BC5C">
                  <w:pPr>
                    <w:adjustRightInd w:val="0"/>
                    <w:snapToGrid w:val="0"/>
                    <w:jc w:val="center"/>
                    <w:rPr>
                      <w:color w:val="auto"/>
                      <w:szCs w:val="21"/>
                    </w:rPr>
                  </w:pPr>
                  <w:r>
                    <w:rPr>
                      <w:rFonts w:hint="eastAsia"/>
                      <w:color w:val="auto"/>
                      <w:szCs w:val="21"/>
                    </w:rPr>
                    <w:t>DA001</w:t>
                  </w:r>
                </w:p>
              </w:tc>
              <w:tc>
                <w:tcPr>
                  <w:tcW w:w="1705" w:type="dxa"/>
                  <w:vAlign w:val="center"/>
                </w:tcPr>
                <w:p w14:paraId="5DD7DAF4">
                  <w:pPr>
                    <w:adjustRightInd w:val="0"/>
                    <w:snapToGrid w:val="0"/>
                    <w:jc w:val="center"/>
                    <w:rPr>
                      <w:color w:val="auto"/>
                      <w:szCs w:val="21"/>
                    </w:rPr>
                  </w:pPr>
                  <w:r>
                    <w:rPr>
                      <w:rFonts w:hint="eastAsia"/>
                      <w:color w:val="auto"/>
                      <w:szCs w:val="21"/>
                    </w:rPr>
                    <w:t>颗粒物</w:t>
                  </w:r>
                </w:p>
              </w:tc>
              <w:tc>
                <w:tcPr>
                  <w:tcW w:w="1853" w:type="dxa"/>
                  <w:vAlign w:val="center"/>
                </w:tcPr>
                <w:p w14:paraId="3CF7B20F">
                  <w:pPr>
                    <w:adjustRightInd w:val="0"/>
                    <w:snapToGrid w:val="0"/>
                    <w:jc w:val="center"/>
                    <w:rPr>
                      <w:color w:val="auto"/>
                      <w:szCs w:val="21"/>
                    </w:rPr>
                  </w:pPr>
                  <w:r>
                    <w:rPr>
                      <w:rFonts w:hint="eastAsia"/>
                      <w:color w:val="auto"/>
                      <w:szCs w:val="21"/>
                    </w:rPr>
                    <w:t>3.44</w:t>
                  </w:r>
                </w:p>
              </w:tc>
              <w:tc>
                <w:tcPr>
                  <w:tcW w:w="1892" w:type="dxa"/>
                  <w:vAlign w:val="center"/>
                </w:tcPr>
                <w:p w14:paraId="0576C71D">
                  <w:pPr>
                    <w:adjustRightInd w:val="0"/>
                    <w:snapToGrid w:val="0"/>
                    <w:jc w:val="center"/>
                    <w:rPr>
                      <w:color w:val="auto"/>
                      <w:szCs w:val="21"/>
                    </w:rPr>
                  </w:pPr>
                  <w:r>
                    <w:rPr>
                      <w:rFonts w:hint="eastAsia"/>
                      <w:color w:val="auto"/>
                      <w:szCs w:val="21"/>
                    </w:rPr>
                    <w:t>0.0055</w:t>
                  </w:r>
                </w:p>
              </w:tc>
              <w:tc>
                <w:tcPr>
                  <w:tcW w:w="1774" w:type="dxa"/>
                  <w:vAlign w:val="center"/>
                </w:tcPr>
                <w:p w14:paraId="38C158F6">
                  <w:pPr>
                    <w:adjustRightInd w:val="0"/>
                    <w:snapToGrid w:val="0"/>
                    <w:jc w:val="center"/>
                    <w:rPr>
                      <w:color w:val="auto"/>
                      <w:szCs w:val="21"/>
                    </w:rPr>
                  </w:pPr>
                  <w:r>
                    <w:rPr>
                      <w:rFonts w:hint="eastAsia"/>
                      <w:color w:val="auto"/>
                      <w:szCs w:val="21"/>
                    </w:rPr>
                    <w:t>0.005</w:t>
                  </w:r>
                </w:p>
              </w:tc>
            </w:tr>
            <w:tr w14:paraId="38FFB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70" w:hRule="atLeast"/>
              </w:trPr>
              <w:tc>
                <w:tcPr>
                  <w:tcW w:w="642" w:type="dxa"/>
                  <w:vAlign w:val="center"/>
                </w:tcPr>
                <w:p w14:paraId="17D5844F">
                  <w:pPr>
                    <w:adjustRightInd w:val="0"/>
                    <w:snapToGrid w:val="0"/>
                    <w:jc w:val="center"/>
                    <w:rPr>
                      <w:color w:val="auto"/>
                      <w:szCs w:val="21"/>
                    </w:rPr>
                  </w:pPr>
                  <w:r>
                    <w:rPr>
                      <w:rFonts w:hint="eastAsia"/>
                      <w:color w:val="auto"/>
                      <w:szCs w:val="21"/>
                    </w:rPr>
                    <w:t>2</w:t>
                  </w:r>
                </w:p>
              </w:tc>
              <w:tc>
                <w:tcPr>
                  <w:tcW w:w="1668" w:type="dxa"/>
                  <w:vAlign w:val="center"/>
                </w:tcPr>
                <w:p w14:paraId="75419B78">
                  <w:pPr>
                    <w:adjustRightInd w:val="0"/>
                    <w:snapToGrid w:val="0"/>
                    <w:jc w:val="center"/>
                    <w:rPr>
                      <w:color w:val="auto"/>
                      <w:szCs w:val="21"/>
                    </w:rPr>
                  </w:pPr>
                  <w:r>
                    <w:rPr>
                      <w:rFonts w:hint="eastAsia"/>
                      <w:color w:val="auto"/>
                      <w:szCs w:val="21"/>
                    </w:rPr>
                    <w:t>DA002</w:t>
                  </w:r>
                </w:p>
              </w:tc>
              <w:tc>
                <w:tcPr>
                  <w:tcW w:w="1705" w:type="dxa"/>
                  <w:vAlign w:val="center"/>
                </w:tcPr>
                <w:p w14:paraId="70F64373">
                  <w:pPr>
                    <w:adjustRightInd w:val="0"/>
                    <w:snapToGrid w:val="0"/>
                    <w:jc w:val="center"/>
                    <w:rPr>
                      <w:color w:val="auto"/>
                      <w:szCs w:val="21"/>
                    </w:rPr>
                  </w:pPr>
                  <w:r>
                    <w:rPr>
                      <w:rFonts w:hint="eastAsia"/>
                      <w:color w:val="auto"/>
                      <w:szCs w:val="21"/>
                    </w:rPr>
                    <w:t>颗粒物</w:t>
                  </w:r>
                </w:p>
              </w:tc>
              <w:tc>
                <w:tcPr>
                  <w:tcW w:w="1853" w:type="dxa"/>
                  <w:vAlign w:val="center"/>
                </w:tcPr>
                <w:p w14:paraId="32869288">
                  <w:pPr>
                    <w:adjustRightInd w:val="0"/>
                    <w:snapToGrid w:val="0"/>
                    <w:jc w:val="center"/>
                    <w:rPr>
                      <w:color w:val="auto"/>
                    </w:rPr>
                  </w:pPr>
                  <w:r>
                    <w:rPr>
                      <w:rFonts w:hint="eastAsia"/>
                      <w:color w:val="auto"/>
                    </w:rPr>
                    <w:t>3.44</w:t>
                  </w:r>
                </w:p>
              </w:tc>
              <w:tc>
                <w:tcPr>
                  <w:tcW w:w="1892" w:type="dxa"/>
                  <w:vAlign w:val="center"/>
                </w:tcPr>
                <w:p w14:paraId="6FB039B4">
                  <w:pPr>
                    <w:adjustRightInd w:val="0"/>
                    <w:snapToGrid w:val="0"/>
                    <w:jc w:val="center"/>
                    <w:rPr>
                      <w:color w:val="auto"/>
                    </w:rPr>
                  </w:pPr>
                  <w:r>
                    <w:rPr>
                      <w:rFonts w:hint="eastAsia"/>
                      <w:color w:val="auto"/>
                    </w:rPr>
                    <w:t>0.022</w:t>
                  </w:r>
                </w:p>
              </w:tc>
              <w:tc>
                <w:tcPr>
                  <w:tcW w:w="1774" w:type="dxa"/>
                  <w:vAlign w:val="center"/>
                </w:tcPr>
                <w:p w14:paraId="56A2A779">
                  <w:pPr>
                    <w:adjustRightInd w:val="0"/>
                    <w:snapToGrid w:val="0"/>
                    <w:jc w:val="center"/>
                    <w:rPr>
                      <w:color w:val="auto"/>
                    </w:rPr>
                  </w:pPr>
                  <w:r>
                    <w:rPr>
                      <w:rFonts w:hint="eastAsia"/>
                      <w:color w:val="auto"/>
                    </w:rPr>
                    <w:t>0.020</w:t>
                  </w:r>
                </w:p>
              </w:tc>
            </w:tr>
            <w:tr w14:paraId="78EBF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70" w:hRule="atLeast"/>
              </w:trPr>
              <w:tc>
                <w:tcPr>
                  <w:tcW w:w="642" w:type="dxa"/>
                  <w:vAlign w:val="center"/>
                </w:tcPr>
                <w:p w14:paraId="5E95108E">
                  <w:pPr>
                    <w:adjustRightInd w:val="0"/>
                    <w:snapToGrid w:val="0"/>
                    <w:jc w:val="center"/>
                    <w:rPr>
                      <w:color w:val="auto"/>
                      <w:szCs w:val="21"/>
                    </w:rPr>
                  </w:pPr>
                  <w:r>
                    <w:rPr>
                      <w:rFonts w:hint="eastAsia"/>
                      <w:color w:val="auto"/>
                      <w:szCs w:val="21"/>
                    </w:rPr>
                    <w:t>3</w:t>
                  </w:r>
                </w:p>
              </w:tc>
              <w:tc>
                <w:tcPr>
                  <w:tcW w:w="1668" w:type="dxa"/>
                  <w:vAlign w:val="center"/>
                </w:tcPr>
                <w:p w14:paraId="17A91086">
                  <w:pPr>
                    <w:adjustRightInd w:val="0"/>
                    <w:snapToGrid w:val="0"/>
                    <w:jc w:val="center"/>
                    <w:rPr>
                      <w:color w:val="auto"/>
                      <w:szCs w:val="21"/>
                    </w:rPr>
                  </w:pPr>
                  <w:r>
                    <w:rPr>
                      <w:rFonts w:hint="eastAsia"/>
                      <w:color w:val="auto"/>
                      <w:szCs w:val="21"/>
                    </w:rPr>
                    <w:t>DA003</w:t>
                  </w:r>
                </w:p>
              </w:tc>
              <w:tc>
                <w:tcPr>
                  <w:tcW w:w="1705" w:type="dxa"/>
                  <w:vAlign w:val="center"/>
                </w:tcPr>
                <w:p w14:paraId="4BEB9E99">
                  <w:pPr>
                    <w:adjustRightInd w:val="0"/>
                    <w:snapToGrid w:val="0"/>
                    <w:jc w:val="center"/>
                    <w:rPr>
                      <w:color w:val="auto"/>
                      <w:szCs w:val="21"/>
                    </w:rPr>
                  </w:pPr>
                  <w:r>
                    <w:rPr>
                      <w:rFonts w:hint="eastAsia"/>
                      <w:color w:val="auto"/>
                      <w:szCs w:val="21"/>
                    </w:rPr>
                    <w:t>颗粒物</w:t>
                  </w:r>
                </w:p>
              </w:tc>
              <w:tc>
                <w:tcPr>
                  <w:tcW w:w="1853" w:type="dxa"/>
                  <w:vAlign w:val="center"/>
                </w:tcPr>
                <w:p w14:paraId="29303D15">
                  <w:pPr>
                    <w:adjustRightInd w:val="0"/>
                    <w:snapToGrid w:val="0"/>
                    <w:jc w:val="center"/>
                    <w:rPr>
                      <w:color w:val="auto"/>
                    </w:rPr>
                  </w:pPr>
                  <w:r>
                    <w:rPr>
                      <w:rFonts w:hint="eastAsia"/>
                      <w:color w:val="auto"/>
                    </w:rPr>
                    <w:t>3.44</w:t>
                  </w:r>
                </w:p>
              </w:tc>
              <w:tc>
                <w:tcPr>
                  <w:tcW w:w="1892" w:type="dxa"/>
                  <w:vAlign w:val="center"/>
                </w:tcPr>
                <w:p w14:paraId="3AA41EE1">
                  <w:pPr>
                    <w:adjustRightInd w:val="0"/>
                    <w:snapToGrid w:val="0"/>
                    <w:jc w:val="center"/>
                    <w:rPr>
                      <w:color w:val="auto"/>
                    </w:rPr>
                  </w:pPr>
                  <w:r>
                    <w:rPr>
                      <w:rFonts w:hint="eastAsia"/>
                      <w:color w:val="auto"/>
                    </w:rPr>
                    <w:t>0.022</w:t>
                  </w:r>
                </w:p>
              </w:tc>
              <w:tc>
                <w:tcPr>
                  <w:tcW w:w="1774" w:type="dxa"/>
                  <w:vAlign w:val="center"/>
                </w:tcPr>
                <w:p w14:paraId="454165D2">
                  <w:pPr>
                    <w:adjustRightInd w:val="0"/>
                    <w:snapToGrid w:val="0"/>
                    <w:jc w:val="center"/>
                    <w:rPr>
                      <w:color w:val="auto"/>
                    </w:rPr>
                  </w:pPr>
                  <w:r>
                    <w:rPr>
                      <w:rFonts w:hint="eastAsia"/>
                      <w:color w:val="auto"/>
                    </w:rPr>
                    <w:t>0.020</w:t>
                  </w:r>
                </w:p>
              </w:tc>
            </w:tr>
            <w:tr w14:paraId="7E5F6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58" w:hRule="atLeast"/>
              </w:trPr>
              <w:tc>
                <w:tcPr>
                  <w:tcW w:w="2310" w:type="dxa"/>
                  <w:gridSpan w:val="2"/>
                  <w:vAlign w:val="center"/>
                </w:tcPr>
                <w:p w14:paraId="462BFB5E">
                  <w:pPr>
                    <w:adjustRightInd w:val="0"/>
                    <w:snapToGrid w:val="0"/>
                    <w:jc w:val="center"/>
                    <w:rPr>
                      <w:color w:val="auto"/>
                      <w:szCs w:val="21"/>
                    </w:rPr>
                  </w:pPr>
                  <w:r>
                    <w:rPr>
                      <w:rFonts w:hint="eastAsia"/>
                      <w:color w:val="auto"/>
                      <w:szCs w:val="21"/>
                    </w:rPr>
                    <w:t>一般排放口合计</w:t>
                  </w:r>
                </w:p>
              </w:tc>
              <w:tc>
                <w:tcPr>
                  <w:tcW w:w="5450" w:type="dxa"/>
                  <w:gridSpan w:val="3"/>
                  <w:vAlign w:val="center"/>
                </w:tcPr>
                <w:p w14:paraId="20571D7E">
                  <w:pPr>
                    <w:widowControl/>
                    <w:jc w:val="center"/>
                    <w:textAlignment w:val="center"/>
                    <w:rPr>
                      <w:color w:val="auto"/>
                      <w:szCs w:val="21"/>
                    </w:rPr>
                  </w:pPr>
                  <w:r>
                    <w:rPr>
                      <w:rFonts w:hint="eastAsia"/>
                      <w:color w:val="auto"/>
                      <w:szCs w:val="21"/>
                    </w:rPr>
                    <w:t>颗粒物</w:t>
                  </w:r>
                </w:p>
              </w:tc>
              <w:tc>
                <w:tcPr>
                  <w:tcW w:w="1774" w:type="dxa"/>
                  <w:vAlign w:val="center"/>
                </w:tcPr>
                <w:p w14:paraId="4913242B">
                  <w:pPr>
                    <w:widowControl/>
                    <w:jc w:val="center"/>
                    <w:textAlignment w:val="center"/>
                    <w:rPr>
                      <w:color w:val="auto"/>
                      <w:szCs w:val="21"/>
                    </w:rPr>
                  </w:pPr>
                  <w:r>
                    <w:rPr>
                      <w:color w:val="auto"/>
                      <w:szCs w:val="21"/>
                    </w:rPr>
                    <w:fldChar w:fldCharType="begin"/>
                  </w:r>
                  <w:r>
                    <w:rPr>
                      <w:color w:val="auto"/>
                      <w:szCs w:val="21"/>
                    </w:rPr>
                    <w:instrText xml:space="preserve"> =SUM(ABOVE) </w:instrText>
                  </w:r>
                  <w:r>
                    <w:rPr>
                      <w:color w:val="auto"/>
                      <w:szCs w:val="21"/>
                    </w:rPr>
                    <w:fldChar w:fldCharType="separate"/>
                  </w:r>
                  <w:r>
                    <w:rPr>
                      <w:color w:val="auto"/>
                      <w:szCs w:val="21"/>
                    </w:rPr>
                    <w:t>0.045</w:t>
                  </w:r>
                  <w:r>
                    <w:rPr>
                      <w:color w:val="auto"/>
                      <w:szCs w:val="21"/>
                    </w:rPr>
                    <w:fldChar w:fldCharType="end"/>
                  </w:r>
                </w:p>
              </w:tc>
            </w:tr>
            <w:tr w14:paraId="267B9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58" w:hRule="atLeast"/>
              </w:trPr>
              <w:tc>
                <w:tcPr>
                  <w:tcW w:w="9534" w:type="dxa"/>
                  <w:gridSpan w:val="6"/>
                  <w:vAlign w:val="center"/>
                </w:tcPr>
                <w:p w14:paraId="2CA73A7D">
                  <w:pPr>
                    <w:widowControl/>
                    <w:jc w:val="center"/>
                    <w:textAlignment w:val="center"/>
                    <w:rPr>
                      <w:color w:val="auto"/>
                      <w:szCs w:val="21"/>
                    </w:rPr>
                  </w:pPr>
                  <w:r>
                    <w:rPr>
                      <w:rFonts w:hint="eastAsia"/>
                      <w:color w:val="auto"/>
                      <w:szCs w:val="21"/>
                    </w:rPr>
                    <w:t>有组织排放总计</w:t>
                  </w:r>
                </w:p>
              </w:tc>
            </w:tr>
            <w:tr w14:paraId="48B0A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58" w:hRule="atLeast"/>
              </w:trPr>
              <w:tc>
                <w:tcPr>
                  <w:tcW w:w="2310" w:type="dxa"/>
                  <w:gridSpan w:val="2"/>
                  <w:vAlign w:val="center"/>
                </w:tcPr>
                <w:p w14:paraId="6DBE3719">
                  <w:pPr>
                    <w:adjustRightInd w:val="0"/>
                    <w:snapToGrid w:val="0"/>
                    <w:jc w:val="center"/>
                    <w:rPr>
                      <w:color w:val="auto"/>
                      <w:szCs w:val="21"/>
                    </w:rPr>
                  </w:pPr>
                  <w:r>
                    <w:rPr>
                      <w:rFonts w:hint="eastAsia"/>
                      <w:color w:val="auto"/>
                      <w:szCs w:val="21"/>
                    </w:rPr>
                    <w:t>有组织排放总计</w:t>
                  </w:r>
                </w:p>
              </w:tc>
              <w:tc>
                <w:tcPr>
                  <w:tcW w:w="5450" w:type="dxa"/>
                  <w:gridSpan w:val="3"/>
                  <w:vAlign w:val="center"/>
                </w:tcPr>
                <w:p w14:paraId="35549BDD">
                  <w:pPr>
                    <w:widowControl/>
                    <w:jc w:val="center"/>
                    <w:textAlignment w:val="center"/>
                    <w:rPr>
                      <w:color w:val="auto"/>
                      <w:szCs w:val="21"/>
                    </w:rPr>
                  </w:pPr>
                  <w:r>
                    <w:rPr>
                      <w:rFonts w:hint="eastAsia"/>
                      <w:color w:val="auto"/>
                      <w:szCs w:val="21"/>
                    </w:rPr>
                    <w:t>颗粒物</w:t>
                  </w:r>
                </w:p>
              </w:tc>
              <w:tc>
                <w:tcPr>
                  <w:tcW w:w="1774" w:type="dxa"/>
                  <w:vAlign w:val="center"/>
                </w:tcPr>
                <w:p w14:paraId="09EC48C7">
                  <w:pPr>
                    <w:widowControl/>
                    <w:jc w:val="center"/>
                    <w:textAlignment w:val="center"/>
                    <w:rPr>
                      <w:color w:val="auto"/>
                      <w:szCs w:val="21"/>
                    </w:rPr>
                  </w:pPr>
                  <w:r>
                    <w:rPr>
                      <w:rFonts w:hint="eastAsia"/>
                      <w:color w:val="auto"/>
                      <w:szCs w:val="21"/>
                    </w:rPr>
                    <w:t>0.045</w:t>
                  </w:r>
                </w:p>
              </w:tc>
            </w:tr>
          </w:tbl>
          <w:p w14:paraId="3BC81E98">
            <w:pPr>
              <w:adjustRightInd w:val="0"/>
              <w:snapToGrid w:val="0"/>
              <w:spacing w:line="360" w:lineRule="auto"/>
              <w:ind w:firstLine="482" w:firstLineChars="200"/>
              <w:jc w:val="center"/>
              <w:rPr>
                <w:b/>
                <w:bCs/>
                <w:color w:val="auto"/>
                <w:kern w:val="24"/>
                <w:sz w:val="24"/>
              </w:rPr>
            </w:pPr>
          </w:p>
          <w:p w14:paraId="074A83B1">
            <w:pPr>
              <w:adjustRightInd w:val="0"/>
              <w:snapToGrid w:val="0"/>
              <w:spacing w:line="360" w:lineRule="auto"/>
              <w:ind w:firstLine="482" w:firstLineChars="200"/>
              <w:jc w:val="center"/>
              <w:rPr>
                <w:b/>
                <w:bCs/>
                <w:color w:val="auto"/>
                <w:kern w:val="24"/>
                <w:sz w:val="24"/>
              </w:rPr>
            </w:pPr>
            <w:r>
              <w:rPr>
                <w:rFonts w:hint="eastAsia"/>
                <w:b/>
                <w:bCs/>
                <w:color w:val="auto"/>
                <w:kern w:val="24"/>
                <w:sz w:val="24"/>
              </w:rPr>
              <w:t>表4-4  大气污染物无组织排放量核算表</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527"/>
              <w:gridCol w:w="1547"/>
              <w:gridCol w:w="1117"/>
              <w:gridCol w:w="1019"/>
              <w:gridCol w:w="1943"/>
              <w:gridCol w:w="1368"/>
              <w:gridCol w:w="1369"/>
            </w:tblGrid>
            <w:tr w14:paraId="62C0F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299" w:type="pct"/>
                  <w:vMerge w:val="restart"/>
                  <w:vAlign w:val="center"/>
                </w:tcPr>
                <w:p w14:paraId="50AAC1F1">
                  <w:pPr>
                    <w:adjustRightInd w:val="0"/>
                    <w:snapToGrid w:val="0"/>
                    <w:jc w:val="center"/>
                    <w:rPr>
                      <w:color w:val="auto"/>
                      <w:szCs w:val="21"/>
                    </w:rPr>
                  </w:pPr>
                  <w:r>
                    <w:rPr>
                      <w:color w:val="auto"/>
                      <w:szCs w:val="21"/>
                    </w:rPr>
                    <w:t>序号</w:t>
                  </w:r>
                </w:p>
              </w:tc>
              <w:tc>
                <w:tcPr>
                  <w:tcW w:w="873" w:type="pct"/>
                  <w:vMerge w:val="restart"/>
                  <w:vAlign w:val="center"/>
                </w:tcPr>
                <w:p w14:paraId="41DF0D92">
                  <w:pPr>
                    <w:adjustRightInd w:val="0"/>
                    <w:snapToGrid w:val="0"/>
                    <w:jc w:val="center"/>
                    <w:rPr>
                      <w:color w:val="auto"/>
                      <w:szCs w:val="21"/>
                    </w:rPr>
                  </w:pPr>
                  <w:r>
                    <w:rPr>
                      <w:color w:val="auto"/>
                      <w:szCs w:val="21"/>
                    </w:rPr>
                    <w:t>产污环节</w:t>
                  </w:r>
                </w:p>
              </w:tc>
              <w:tc>
                <w:tcPr>
                  <w:tcW w:w="631" w:type="pct"/>
                  <w:vMerge w:val="restart"/>
                  <w:vAlign w:val="center"/>
                </w:tcPr>
                <w:p w14:paraId="25187DC5">
                  <w:pPr>
                    <w:adjustRightInd w:val="0"/>
                    <w:snapToGrid w:val="0"/>
                    <w:jc w:val="center"/>
                    <w:rPr>
                      <w:color w:val="auto"/>
                      <w:szCs w:val="21"/>
                    </w:rPr>
                  </w:pPr>
                  <w:r>
                    <w:rPr>
                      <w:color w:val="auto"/>
                      <w:szCs w:val="21"/>
                    </w:rPr>
                    <w:t>污染物</w:t>
                  </w:r>
                </w:p>
              </w:tc>
              <w:tc>
                <w:tcPr>
                  <w:tcW w:w="576" w:type="pct"/>
                  <w:vMerge w:val="restart"/>
                  <w:vAlign w:val="center"/>
                </w:tcPr>
                <w:p w14:paraId="379DBF57">
                  <w:pPr>
                    <w:adjustRightInd w:val="0"/>
                    <w:snapToGrid w:val="0"/>
                    <w:jc w:val="center"/>
                    <w:rPr>
                      <w:color w:val="auto"/>
                      <w:szCs w:val="21"/>
                    </w:rPr>
                  </w:pPr>
                  <w:r>
                    <w:rPr>
                      <w:color w:val="auto"/>
                      <w:szCs w:val="21"/>
                    </w:rPr>
                    <w:t>主要污染防治措施</w:t>
                  </w:r>
                </w:p>
              </w:tc>
              <w:tc>
                <w:tcPr>
                  <w:tcW w:w="1849" w:type="pct"/>
                  <w:gridSpan w:val="2"/>
                  <w:vAlign w:val="center"/>
                </w:tcPr>
                <w:p w14:paraId="39C23F1A">
                  <w:pPr>
                    <w:adjustRightInd w:val="0"/>
                    <w:snapToGrid w:val="0"/>
                    <w:jc w:val="center"/>
                    <w:rPr>
                      <w:color w:val="auto"/>
                      <w:szCs w:val="21"/>
                    </w:rPr>
                  </w:pPr>
                  <w:r>
                    <w:rPr>
                      <w:rFonts w:hint="eastAsia"/>
                      <w:color w:val="auto"/>
                      <w:szCs w:val="21"/>
                    </w:rPr>
                    <w:t>国家或地方污染物排放标准</w:t>
                  </w:r>
                </w:p>
              </w:tc>
              <w:tc>
                <w:tcPr>
                  <w:tcW w:w="772" w:type="pct"/>
                  <w:vMerge w:val="restart"/>
                  <w:vAlign w:val="center"/>
                </w:tcPr>
                <w:p w14:paraId="6BFBA1C2">
                  <w:pPr>
                    <w:adjustRightInd w:val="0"/>
                    <w:snapToGrid w:val="0"/>
                    <w:jc w:val="center"/>
                    <w:rPr>
                      <w:color w:val="auto"/>
                      <w:szCs w:val="21"/>
                    </w:rPr>
                  </w:pPr>
                  <w:r>
                    <w:rPr>
                      <w:rFonts w:hint="eastAsia"/>
                      <w:color w:val="auto"/>
                      <w:szCs w:val="21"/>
                    </w:rPr>
                    <w:t>年排放量/</w:t>
                  </w:r>
                </w:p>
                <w:p w14:paraId="2F797D19">
                  <w:pPr>
                    <w:adjustRightInd w:val="0"/>
                    <w:snapToGrid w:val="0"/>
                    <w:jc w:val="center"/>
                    <w:rPr>
                      <w:color w:val="auto"/>
                      <w:szCs w:val="21"/>
                    </w:rPr>
                  </w:pPr>
                  <w:r>
                    <w:rPr>
                      <w:rFonts w:hint="eastAsia"/>
                      <w:color w:val="auto"/>
                      <w:szCs w:val="21"/>
                    </w:rPr>
                    <w:t>(t/a)</w:t>
                  </w:r>
                </w:p>
              </w:tc>
            </w:tr>
            <w:tr w14:paraId="034AD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90" w:hRule="atLeast"/>
              </w:trPr>
              <w:tc>
                <w:tcPr>
                  <w:tcW w:w="299" w:type="pct"/>
                  <w:vMerge w:val="continue"/>
                  <w:vAlign w:val="center"/>
                </w:tcPr>
                <w:p w14:paraId="1FF81D7B">
                  <w:pPr>
                    <w:adjustRightInd w:val="0"/>
                    <w:snapToGrid w:val="0"/>
                    <w:jc w:val="center"/>
                    <w:rPr>
                      <w:color w:val="auto"/>
                      <w:szCs w:val="21"/>
                    </w:rPr>
                  </w:pPr>
                </w:p>
              </w:tc>
              <w:tc>
                <w:tcPr>
                  <w:tcW w:w="873" w:type="pct"/>
                  <w:vMerge w:val="continue"/>
                  <w:vAlign w:val="center"/>
                </w:tcPr>
                <w:p w14:paraId="0C8FB19B">
                  <w:pPr>
                    <w:adjustRightInd w:val="0"/>
                    <w:snapToGrid w:val="0"/>
                    <w:jc w:val="center"/>
                    <w:rPr>
                      <w:color w:val="auto"/>
                      <w:szCs w:val="21"/>
                    </w:rPr>
                  </w:pPr>
                </w:p>
              </w:tc>
              <w:tc>
                <w:tcPr>
                  <w:tcW w:w="631" w:type="pct"/>
                  <w:vMerge w:val="continue"/>
                  <w:vAlign w:val="center"/>
                </w:tcPr>
                <w:p w14:paraId="7F9D4A71">
                  <w:pPr>
                    <w:adjustRightInd w:val="0"/>
                    <w:snapToGrid w:val="0"/>
                    <w:jc w:val="center"/>
                    <w:rPr>
                      <w:color w:val="auto"/>
                      <w:szCs w:val="21"/>
                    </w:rPr>
                  </w:pPr>
                </w:p>
              </w:tc>
              <w:tc>
                <w:tcPr>
                  <w:tcW w:w="576" w:type="pct"/>
                  <w:vMerge w:val="continue"/>
                  <w:vAlign w:val="center"/>
                </w:tcPr>
                <w:p w14:paraId="503DC7A9">
                  <w:pPr>
                    <w:adjustRightInd w:val="0"/>
                    <w:snapToGrid w:val="0"/>
                    <w:jc w:val="center"/>
                    <w:rPr>
                      <w:color w:val="auto"/>
                      <w:szCs w:val="21"/>
                    </w:rPr>
                  </w:pPr>
                </w:p>
              </w:tc>
              <w:tc>
                <w:tcPr>
                  <w:tcW w:w="1077" w:type="pct"/>
                  <w:vAlign w:val="center"/>
                </w:tcPr>
                <w:p w14:paraId="6D218CE9">
                  <w:pPr>
                    <w:adjustRightInd w:val="0"/>
                    <w:snapToGrid w:val="0"/>
                    <w:jc w:val="center"/>
                    <w:rPr>
                      <w:color w:val="auto"/>
                      <w:szCs w:val="21"/>
                    </w:rPr>
                  </w:pPr>
                  <w:r>
                    <w:rPr>
                      <w:rFonts w:hint="eastAsia"/>
                      <w:color w:val="auto"/>
                      <w:szCs w:val="21"/>
                    </w:rPr>
                    <w:t>浓度限值/</w:t>
                  </w:r>
                </w:p>
                <w:p w14:paraId="3B27C3C7">
                  <w:pPr>
                    <w:adjustRightInd w:val="0"/>
                    <w:snapToGrid w:val="0"/>
                    <w:jc w:val="center"/>
                    <w:rPr>
                      <w:color w:val="auto"/>
                      <w:szCs w:val="21"/>
                    </w:rPr>
                  </w:pPr>
                  <w:r>
                    <w:rPr>
                      <w:rFonts w:hint="eastAsia"/>
                      <w:color w:val="auto"/>
                      <w:szCs w:val="21"/>
                    </w:rPr>
                    <w:t>(m</w:t>
                  </w:r>
                  <w:r>
                    <w:rPr>
                      <w:color w:val="auto"/>
                      <w:szCs w:val="21"/>
                    </w:rPr>
                    <w:t>g/m</w:t>
                  </w:r>
                  <w:r>
                    <w:rPr>
                      <w:color w:val="auto"/>
                      <w:szCs w:val="21"/>
                      <w:vertAlign w:val="superscript"/>
                    </w:rPr>
                    <w:t>3</w:t>
                  </w:r>
                  <w:r>
                    <w:rPr>
                      <w:rFonts w:hint="eastAsia"/>
                      <w:color w:val="auto"/>
                      <w:szCs w:val="21"/>
                    </w:rPr>
                    <w:t>)</w:t>
                  </w:r>
                </w:p>
              </w:tc>
              <w:tc>
                <w:tcPr>
                  <w:tcW w:w="772" w:type="pct"/>
                  <w:vAlign w:val="center"/>
                </w:tcPr>
                <w:p w14:paraId="7F8E69F4">
                  <w:pPr>
                    <w:adjustRightInd w:val="0"/>
                    <w:snapToGrid w:val="0"/>
                    <w:jc w:val="center"/>
                    <w:rPr>
                      <w:color w:val="auto"/>
                      <w:szCs w:val="21"/>
                    </w:rPr>
                  </w:pPr>
                  <w:r>
                    <w:rPr>
                      <w:rFonts w:hint="eastAsia"/>
                      <w:color w:val="auto"/>
                      <w:szCs w:val="21"/>
                    </w:rPr>
                    <w:t>浓度限值/</w:t>
                  </w:r>
                </w:p>
                <w:p w14:paraId="1583AC7B">
                  <w:pPr>
                    <w:adjustRightInd w:val="0"/>
                    <w:snapToGrid w:val="0"/>
                    <w:jc w:val="center"/>
                    <w:rPr>
                      <w:color w:val="auto"/>
                      <w:szCs w:val="21"/>
                    </w:rPr>
                  </w:pPr>
                  <w:r>
                    <w:rPr>
                      <w:rFonts w:hint="eastAsia"/>
                      <w:color w:val="auto"/>
                      <w:szCs w:val="21"/>
                    </w:rPr>
                    <w:t>(m</w:t>
                  </w:r>
                  <w:r>
                    <w:rPr>
                      <w:color w:val="auto"/>
                      <w:szCs w:val="21"/>
                    </w:rPr>
                    <w:t>g/m</w:t>
                  </w:r>
                  <w:r>
                    <w:rPr>
                      <w:color w:val="auto"/>
                      <w:szCs w:val="21"/>
                      <w:vertAlign w:val="superscript"/>
                    </w:rPr>
                    <w:t>3</w:t>
                  </w:r>
                  <w:r>
                    <w:rPr>
                      <w:rFonts w:hint="eastAsia"/>
                      <w:color w:val="auto"/>
                      <w:szCs w:val="21"/>
                    </w:rPr>
                    <w:t>)</w:t>
                  </w:r>
                </w:p>
              </w:tc>
              <w:tc>
                <w:tcPr>
                  <w:tcW w:w="772" w:type="pct"/>
                  <w:vMerge w:val="continue"/>
                  <w:vAlign w:val="center"/>
                </w:tcPr>
                <w:p w14:paraId="777CA174">
                  <w:pPr>
                    <w:adjustRightInd w:val="0"/>
                    <w:snapToGrid w:val="0"/>
                    <w:jc w:val="center"/>
                    <w:rPr>
                      <w:color w:val="auto"/>
                      <w:szCs w:val="21"/>
                    </w:rPr>
                  </w:pPr>
                </w:p>
              </w:tc>
            </w:tr>
            <w:tr w14:paraId="605C9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2" w:hRule="atLeast"/>
              </w:trPr>
              <w:tc>
                <w:tcPr>
                  <w:tcW w:w="299" w:type="pct"/>
                  <w:vAlign w:val="center"/>
                </w:tcPr>
                <w:p w14:paraId="69223367">
                  <w:pPr>
                    <w:adjustRightInd w:val="0"/>
                    <w:snapToGrid w:val="0"/>
                    <w:jc w:val="center"/>
                    <w:rPr>
                      <w:color w:val="auto"/>
                      <w:szCs w:val="21"/>
                    </w:rPr>
                  </w:pPr>
                  <w:r>
                    <w:rPr>
                      <w:color w:val="auto"/>
                      <w:szCs w:val="21"/>
                    </w:rPr>
                    <w:t>1</w:t>
                  </w:r>
                </w:p>
              </w:tc>
              <w:tc>
                <w:tcPr>
                  <w:tcW w:w="873" w:type="pct"/>
                  <w:vAlign w:val="center"/>
                </w:tcPr>
                <w:p w14:paraId="601AE311">
                  <w:pPr>
                    <w:adjustRightInd w:val="0"/>
                    <w:snapToGrid w:val="0"/>
                    <w:jc w:val="center"/>
                    <w:rPr>
                      <w:color w:val="auto"/>
                      <w:szCs w:val="21"/>
                    </w:rPr>
                  </w:pPr>
                  <w:r>
                    <w:rPr>
                      <w:rFonts w:hint="eastAsia"/>
                      <w:color w:val="auto"/>
                      <w:kern w:val="24"/>
                      <w:szCs w:val="21"/>
                    </w:rPr>
                    <w:t>项目车间未收集焊接烟尘、切割粉尘</w:t>
                  </w:r>
                </w:p>
              </w:tc>
              <w:tc>
                <w:tcPr>
                  <w:tcW w:w="631" w:type="pct"/>
                  <w:vAlign w:val="center"/>
                </w:tcPr>
                <w:p w14:paraId="0285DC32">
                  <w:pPr>
                    <w:adjustRightInd w:val="0"/>
                    <w:snapToGrid w:val="0"/>
                    <w:jc w:val="center"/>
                    <w:rPr>
                      <w:color w:val="auto"/>
                      <w:szCs w:val="21"/>
                    </w:rPr>
                  </w:pPr>
                  <w:r>
                    <w:rPr>
                      <w:rFonts w:hint="eastAsia"/>
                      <w:color w:val="auto"/>
                      <w:szCs w:val="21"/>
                    </w:rPr>
                    <w:t>颗粒物</w:t>
                  </w:r>
                </w:p>
              </w:tc>
              <w:tc>
                <w:tcPr>
                  <w:tcW w:w="576" w:type="pct"/>
                  <w:vAlign w:val="center"/>
                </w:tcPr>
                <w:p w14:paraId="645D158C">
                  <w:pPr>
                    <w:adjustRightInd w:val="0"/>
                    <w:snapToGrid w:val="0"/>
                    <w:jc w:val="center"/>
                    <w:rPr>
                      <w:color w:val="auto"/>
                      <w:szCs w:val="21"/>
                    </w:rPr>
                  </w:pPr>
                  <w:r>
                    <w:rPr>
                      <w:rFonts w:hint="eastAsia"/>
                      <w:color w:val="auto"/>
                      <w:szCs w:val="21"/>
                    </w:rPr>
                    <w:t>封闭车间自然沉降</w:t>
                  </w:r>
                </w:p>
              </w:tc>
              <w:tc>
                <w:tcPr>
                  <w:tcW w:w="1077" w:type="pct"/>
                  <w:vAlign w:val="center"/>
                </w:tcPr>
                <w:p w14:paraId="62107C38">
                  <w:pPr>
                    <w:widowControl/>
                    <w:jc w:val="center"/>
                    <w:textAlignment w:val="center"/>
                    <w:rPr>
                      <w:color w:val="auto"/>
                      <w:szCs w:val="21"/>
                    </w:rPr>
                  </w:pPr>
                  <w:r>
                    <w:rPr>
                      <w:rFonts w:hint="eastAsia"/>
                      <w:color w:val="auto"/>
                      <w:szCs w:val="21"/>
                    </w:rPr>
                    <w:t>《大气污染物综合排放标准》（GB16297-1996）</w:t>
                  </w:r>
                </w:p>
              </w:tc>
              <w:tc>
                <w:tcPr>
                  <w:tcW w:w="772" w:type="pct"/>
                  <w:vAlign w:val="center"/>
                </w:tcPr>
                <w:p w14:paraId="2D7A5174">
                  <w:pPr>
                    <w:widowControl/>
                    <w:jc w:val="center"/>
                    <w:textAlignment w:val="center"/>
                    <w:rPr>
                      <w:color w:val="auto"/>
                      <w:szCs w:val="21"/>
                    </w:rPr>
                  </w:pPr>
                  <w:r>
                    <w:rPr>
                      <w:rFonts w:hint="eastAsia"/>
                      <w:color w:val="auto"/>
                      <w:szCs w:val="21"/>
                    </w:rPr>
                    <w:t>1.0</w:t>
                  </w:r>
                </w:p>
              </w:tc>
              <w:tc>
                <w:tcPr>
                  <w:tcW w:w="772" w:type="pct"/>
                  <w:vAlign w:val="center"/>
                </w:tcPr>
                <w:p w14:paraId="48939234">
                  <w:pPr>
                    <w:widowControl/>
                    <w:jc w:val="center"/>
                    <w:textAlignment w:val="center"/>
                    <w:rPr>
                      <w:color w:val="auto"/>
                      <w:szCs w:val="21"/>
                    </w:rPr>
                  </w:pPr>
                  <w:r>
                    <w:rPr>
                      <w:rFonts w:hint="eastAsia"/>
                      <w:color w:val="auto"/>
                      <w:szCs w:val="21"/>
                    </w:rPr>
                    <w:t>0.108</w:t>
                  </w:r>
                </w:p>
              </w:tc>
            </w:tr>
            <w:tr w14:paraId="3D556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1" w:hRule="atLeast"/>
              </w:trPr>
              <w:tc>
                <w:tcPr>
                  <w:tcW w:w="5000" w:type="pct"/>
                  <w:gridSpan w:val="7"/>
                  <w:vAlign w:val="center"/>
                </w:tcPr>
                <w:p w14:paraId="5C2CCA2F">
                  <w:pPr>
                    <w:widowControl/>
                    <w:jc w:val="center"/>
                    <w:textAlignment w:val="center"/>
                    <w:rPr>
                      <w:color w:val="auto"/>
                      <w:szCs w:val="21"/>
                    </w:rPr>
                  </w:pPr>
                  <w:r>
                    <w:rPr>
                      <w:rFonts w:hint="eastAsia"/>
                      <w:color w:val="auto"/>
                      <w:szCs w:val="21"/>
                    </w:rPr>
                    <w:t>无组织排放总计</w:t>
                  </w:r>
                </w:p>
              </w:tc>
            </w:tr>
            <w:tr w14:paraId="6D152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2" w:hRule="atLeast"/>
              </w:trPr>
              <w:tc>
                <w:tcPr>
                  <w:tcW w:w="1803" w:type="pct"/>
                  <w:gridSpan w:val="3"/>
                  <w:vAlign w:val="center"/>
                </w:tcPr>
                <w:p w14:paraId="0FBE8072">
                  <w:pPr>
                    <w:adjustRightInd w:val="0"/>
                    <w:snapToGrid w:val="0"/>
                    <w:jc w:val="center"/>
                    <w:rPr>
                      <w:color w:val="auto"/>
                      <w:szCs w:val="21"/>
                    </w:rPr>
                  </w:pPr>
                  <w:r>
                    <w:rPr>
                      <w:rFonts w:hint="eastAsia"/>
                      <w:color w:val="auto"/>
                      <w:szCs w:val="21"/>
                    </w:rPr>
                    <w:t>无组织排放总计</w:t>
                  </w:r>
                </w:p>
              </w:tc>
              <w:tc>
                <w:tcPr>
                  <w:tcW w:w="2425" w:type="pct"/>
                  <w:gridSpan w:val="3"/>
                  <w:vAlign w:val="center"/>
                </w:tcPr>
                <w:p w14:paraId="1A5245D2">
                  <w:pPr>
                    <w:widowControl/>
                    <w:jc w:val="center"/>
                    <w:textAlignment w:val="center"/>
                    <w:rPr>
                      <w:color w:val="auto"/>
                      <w:szCs w:val="21"/>
                    </w:rPr>
                  </w:pPr>
                  <w:r>
                    <w:rPr>
                      <w:rFonts w:hint="eastAsia"/>
                      <w:color w:val="auto"/>
                      <w:szCs w:val="21"/>
                    </w:rPr>
                    <w:t>颗粒物</w:t>
                  </w:r>
                </w:p>
              </w:tc>
              <w:tc>
                <w:tcPr>
                  <w:tcW w:w="772" w:type="pct"/>
                  <w:vAlign w:val="center"/>
                </w:tcPr>
                <w:p w14:paraId="614D49CD">
                  <w:pPr>
                    <w:widowControl/>
                    <w:jc w:val="center"/>
                    <w:textAlignment w:val="center"/>
                    <w:rPr>
                      <w:color w:val="auto"/>
                      <w:szCs w:val="21"/>
                    </w:rPr>
                  </w:pPr>
                  <w:r>
                    <w:rPr>
                      <w:rFonts w:hint="eastAsia"/>
                      <w:color w:val="auto"/>
                      <w:szCs w:val="21"/>
                    </w:rPr>
                    <w:t>0.108</w:t>
                  </w:r>
                </w:p>
              </w:tc>
            </w:tr>
          </w:tbl>
          <w:p w14:paraId="55CF434C">
            <w:pPr>
              <w:pStyle w:val="31"/>
              <w:spacing w:line="360" w:lineRule="auto"/>
              <w:ind w:firstLine="480"/>
              <w:rPr>
                <w:color w:val="auto"/>
                <w:kern w:val="24"/>
                <w:sz w:val="24"/>
              </w:rPr>
            </w:pPr>
          </w:p>
          <w:p w14:paraId="5F6DEFBD">
            <w:pPr>
              <w:pStyle w:val="31"/>
              <w:spacing w:line="360" w:lineRule="auto"/>
              <w:ind w:left="0" w:leftChars="0" w:firstLine="480"/>
              <w:rPr>
                <w:color w:val="auto"/>
                <w:kern w:val="24"/>
                <w:sz w:val="24"/>
              </w:rPr>
            </w:pPr>
            <w:r>
              <w:rPr>
                <w:rFonts w:hint="eastAsia"/>
                <w:color w:val="auto"/>
                <w:kern w:val="24"/>
                <w:sz w:val="24"/>
              </w:rPr>
              <w:t>项目主要大气污染物年排放量核算详见下表。</w:t>
            </w:r>
          </w:p>
          <w:p w14:paraId="17930ECA">
            <w:pPr>
              <w:adjustRightInd w:val="0"/>
              <w:snapToGrid w:val="0"/>
              <w:spacing w:line="360" w:lineRule="auto"/>
              <w:ind w:firstLine="482" w:firstLineChars="200"/>
              <w:jc w:val="center"/>
              <w:rPr>
                <w:b/>
                <w:bCs/>
                <w:color w:val="auto"/>
                <w:kern w:val="24"/>
                <w:sz w:val="24"/>
              </w:rPr>
            </w:pPr>
            <w:r>
              <w:rPr>
                <w:rFonts w:hint="eastAsia"/>
                <w:b/>
                <w:bCs/>
                <w:color w:val="auto"/>
                <w:kern w:val="24"/>
                <w:sz w:val="24"/>
              </w:rPr>
              <w:t>表4-5  大气污染物年排放量核算表</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5"/>
              <w:gridCol w:w="2947"/>
              <w:gridCol w:w="2998"/>
            </w:tblGrid>
            <w:tr w14:paraId="7C51E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656" w:type="pct"/>
                  <w:vAlign w:val="center"/>
                </w:tcPr>
                <w:p w14:paraId="7FAB08C9">
                  <w:pPr>
                    <w:adjustRightInd w:val="0"/>
                    <w:snapToGrid w:val="0"/>
                    <w:jc w:val="center"/>
                    <w:rPr>
                      <w:color w:val="auto"/>
                      <w:szCs w:val="21"/>
                    </w:rPr>
                  </w:pPr>
                  <w:r>
                    <w:rPr>
                      <w:color w:val="auto"/>
                      <w:szCs w:val="21"/>
                    </w:rPr>
                    <w:t>序号</w:t>
                  </w:r>
                </w:p>
              </w:tc>
              <w:tc>
                <w:tcPr>
                  <w:tcW w:w="1657" w:type="pct"/>
                  <w:vAlign w:val="center"/>
                </w:tcPr>
                <w:p w14:paraId="5F7D0A11">
                  <w:pPr>
                    <w:adjustRightInd w:val="0"/>
                    <w:snapToGrid w:val="0"/>
                    <w:jc w:val="center"/>
                    <w:rPr>
                      <w:color w:val="auto"/>
                      <w:szCs w:val="21"/>
                    </w:rPr>
                  </w:pPr>
                  <w:r>
                    <w:rPr>
                      <w:color w:val="auto"/>
                      <w:szCs w:val="21"/>
                    </w:rPr>
                    <w:t>污染物</w:t>
                  </w:r>
                </w:p>
              </w:tc>
              <w:tc>
                <w:tcPr>
                  <w:tcW w:w="1686" w:type="pct"/>
                  <w:vAlign w:val="center"/>
                </w:tcPr>
                <w:p w14:paraId="5AF8228A">
                  <w:pPr>
                    <w:adjustRightInd w:val="0"/>
                    <w:snapToGrid w:val="0"/>
                    <w:jc w:val="center"/>
                    <w:rPr>
                      <w:color w:val="auto"/>
                      <w:szCs w:val="21"/>
                    </w:rPr>
                  </w:pPr>
                  <w:r>
                    <w:rPr>
                      <w:color w:val="auto"/>
                      <w:szCs w:val="21"/>
                    </w:rPr>
                    <w:t>年排放量/(t/a)</w:t>
                  </w:r>
                </w:p>
              </w:tc>
            </w:tr>
            <w:tr w14:paraId="3D481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1656" w:type="pct"/>
                  <w:vAlign w:val="center"/>
                </w:tcPr>
                <w:p w14:paraId="6CD8394F">
                  <w:pPr>
                    <w:adjustRightInd w:val="0"/>
                    <w:snapToGrid w:val="0"/>
                    <w:jc w:val="center"/>
                    <w:rPr>
                      <w:color w:val="auto"/>
                      <w:szCs w:val="21"/>
                    </w:rPr>
                  </w:pPr>
                  <w:r>
                    <w:rPr>
                      <w:color w:val="auto"/>
                      <w:szCs w:val="21"/>
                    </w:rPr>
                    <w:t>1</w:t>
                  </w:r>
                </w:p>
              </w:tc>
              <w:tc>
                <w:tcPr>
                  <w:tcW w:w="1657" w:type="pct"/>
                  <w:vAlign w:val="center"/>
                </w:tcPr>
                <w:p w14:paraId="3E1B6B88">
                  <w:pPr>
                    <w:adjustRightInd w:val="0"/>
                    <w:snapToGrid w:val="0"/>
                    <w:jc w:val="center"/>
                    <w:rPr>
                      <w:color w:val="auto"/>
                      <w:szCs w:val="21"/>
                    </w:rPr>
                  </w:pPr>
                  <w:r>
                    <w:rPr>
                      <w:rFonts w:hint="eastAsia"/>
                      <w:color w:val="auto"/>
                      <w:szCs w:val="21"/>
                    </w:rPr>
                    <w:t>颗粒物</w:t>
                  </w:r>
                </w:p>
              </w:tc>
              <w:tc>
                <w:tcPr>
                  <w:tcW w:w="1686" w:type="pct"/>
                  <w:vAlign w:val="center"/>
                </w:tcPr>
                <w:p w14:paraId="3CF92689">
                  <w:pPr>
                    <w:adjustRightInd w:val="0"/>
                    <w:snapToGrid w:val="0"/>
                    <w:jc w:val="center"/>
                    <w:rPr>
                      <w:color w:val="auto"/>
                      <w:szCs w:val="21"/>
                    </w:rPr>
                  </w:pPr>
                  <w:r>
                    <w:rPr>
                      <w:rFonts w:hint="eastAsia"/>
                      <w:color w:val="auto"/>
                      <w:szCs w:val="21"/>
                    </w:rPr>
                    <w:t>0.153</w:t>
                  </w:r>
                </w:p>
              </w:tc>
            </w:tr>
          </w:tbl>
          <w:p w14:paraId="18A9A0D5">
            <w:pPr>
              <w:pStyle w:val="70"/>
              <w:ind w:firstLine="480"/>
              <w:rPr>
                <w:color w:val="auto"/>
                <w:lang w:bidi="en-US"/>
              </w:rPr>
            </w:pPr>
          </w:p>
          <w:p w14:paraId="3BA6CEFF">
            <w:pPr>
              <w:adjustRightInd w:val="0"/>
              <w:snapToGrid w:val="0"/>
              <w:spacing w:line="360" w:lineRule="auto"/>
              <w:ind w:firstLine="480" w:firstLineChars="200"/>
              <w:rPr>
                <w:color w:val="auto"/>
                <w:kern w:val="24"/>
                <w:sz w:val="24"/>
              </w:rPr>
            </w:pPr>
            <w:r>
              <w:rPr>
                <w:rFonts w:hint="eastAsia"/>
                <w:color w:val="auto"/>
                <w:kern w:val="24"/>
                <w:sz w:val="24"/>
              </w:rPr>
              <w:t>（1）焊接、补焊缝烟尘</w:t>
            </w:r>
          </w:p>
          <w:p w14:paraId="095FEF9F">
            <w:pPr>
              <w:pStyle w:val="70"/>
              <w:ind w:firstLine="480"/>
              <w:rPr>
                <w:color w:val="auto"/>
                <w:lang w:bidi="en-US"/>
              </w:rPr>
            </w:pPr>
            <w:r>
              <w:rPr>
                <w:rFonts w:hint="eastAsia"/>
                <w:color w:val="auto"/>
              </w:rPr>
              <w:t>本项目废气主要为</w:t>
            </w:r>
            <w:r>
              <w:rPr>
                <w:rFonts w:hint="eastAsia"/>
                <w:color w:val="auto"/>
                <w:szCs w:val="21"/>
              </w:rPr>
              <w:t>高频焊接工序产生的焊接、补焊缝烟尘</w:t>
            </w:r>
            <w:r>
              <w:rPr>
                <w:rFonts w:hint="eastAsia"/>
                <w:color w:val="auto"/>
              </w:rPr>
              <w:t>。</w:t>
            </w:r>
            <w:r>
              <w:rPr>
                <w:color w:val="auto"/>
                <w:lang w:bidi="en-US"/>
              </w:rPr>
              <w:t>污染物源强核算参照《排放源统计调查产排污核算方法和系数手册》（2021.6.11）中</w:t>
            </w:r>
            <w:r>
              <w:rPr>
                <w:rFonts w:hint="eastAsia"/>
                <w:color w:val="auto"/>
                <w:lang w:bidi="en-US"/>
              </w:rPr>
              <w:t>“3130钢压延加工行业系数手册”中焊接钢管-带钢-高频焊法工艺产污系数</w:t>
            </w:r>
            <w:r>
              <w:rPr>
                <w:color w:val="auto"/>
                <w:lang w:bidi="en-US"/>
              </w:rPr>
              <w:t>。</w:t>
            </w:r>
          </w:p>
          <w:p w14:paraId="40785837">
            <w:pPr>
              <w:adjustRightInd w:val="0"/>
              <w:snapToGrid w:val="0"/>
              <w:spacing w:line="360" w:lineRule="auto"/>
              <w:ind w:firstLine="482" w:firstLineChars="200"/>
              <w:jc w:val="center"/>
              <w:rPr>
                <w:b/>
                <w:bCs/>
                <w:color w:val="auto"/>
                <w:kern w:val="24"/>
                <w:sz w:val="24"/>
              </w:rPr>
            </w:pPr>
            <w:r>
              <w:rPr>
                <w:b/>
                <w:bCs/>
                <w:color w:val="auto"/>
                <w:kern w:val="24"/>
                <w:sz w:val="24"/>
              </w:rPr>
              <w:t>表4-</w:t>
            </w:r>
            <w:r>
              <w:rPr>
                <w:rFonts w:hint="eastAsia"/>
                <w:b/>
                <w:bCs/>
                <w:color w:val="auto"/>
                <w:kern w:val="24"/>
                <w:sz w:val="24"/>
              </w:rPr>
              <w:t>6</w:t>
            </w:r>
            <w:r>
              <w:rPr>
                <w:b/>
                <w:bCs/>
                <w:color w:val="auto"/>
                <w:kern w:val="24"/>
                <w:sz w:val="24"/>
              </w:rPr>
              <w:t xml:space="preserve">  </w:t>
            </w:r>
            <w:r>
              <w:rPr>
                <w:rFonts w:hint="eastAsia"/>
                <w:b/>
                <w:bCs/>
                <w:color w:val="auto"/>
                <w:kern w:val="24"/>
                <w:sz w:val="24"/>
              </w:rPr>
              <w:t>钢压延加工行业</w:t>
            </w:r>
            <w:r>
              <w:rPr>
                <w:b/>
                <w:bCs/>
                <w:color w:val="auto"/>
                <w:kern w:val="24"/>
                <w:sz w:val="24"/>
              </w:rPr>
              <w:t>系数表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709"/>
              <w:gridCol w:w="708"/>
              <w:gridCol w:w="851"/>
              <w:gridCol w:w="992"/>
              <w:gridCol w:w="1418"/>
              <w:gridCol w:w="1275"/>
              <w:gridCol w:w="1126"/>
              <w:gridCol w:w="1036"/>
            </w:tblGrid>
            <w:tr w14:paraId="6425A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vAlign w:val="center"/>
                </w:tcPr>
                <w:p w14:paraId="63DD0B52">
                  <w:pPr>
                    <w:jc w:val="center"/>
                    <w:rPr>
                      <w:color w:val="auto"/>
                      <w:szCs w:val="16"/>
                      <w:lang w:bidi="en-US"/>
                    </w:rPr>
                  </w:pPr>
                  <w:r>
                    <w:rPr>
                      <w:color w:val="auto"/>
                      <w:szCs w:val="16"/>
                      <w:lang w:bidi="en-US"/>
                    </w:rPr>
                    <w:t>产品</w:t>
                  </w:r>
                </w:p>
                <w:p w14:paraId="320844B9">
                  <w:pPr>
                    <w:jc w:val="center"/>
                    <w:rPr>
                      <w:color w:val="auto"/>
                      <w:szCs w:val="16"/>
                      <w:lang w:bidi="en-US"/>
                    </w:rPr>
                  </w:pPr>
                  <w:r>
                    <w:rPr>
                      <w:color w:val="auto"/>
                      <w:szCs w:val="16"/>
                      <w:lang w:bidi="en-US"/>
                    </w:rPr>
                    <w:t>名称</w:t>
                  </w:r>
                </w:p>
              </w:tc>
              <w:tc>
                <w:tcPr>
                  <w:tcW w:w="709" w:type="dxa"/>
                  <w:vAlign w:val="center"/>
                </w:tcPr>
                <w:p w14:paraId="02413152">
                  <w:pPr>
                    <w:jc w:val="center"/>
                    <w:rPr>
                      <w:color w:val="auto"/>
                      <w:szCs w:val="16"/>
                      <w:lang w:bidi="en-US"/>
                    </w:rPr>
                  </w:pPr>
                  <w:r>
                    <w:rPr>
                      <w:color w:val="auto"/>
                      <w:szCs w:val="16"/>
                      <w:lang w:bidi="en-US"/>
                    </w:rPr>
                    <w:t>原料名称</w:t>
                  </w:r>
                </w:p>
              </w:tc>
              <w:tc>
                <w:tcPr>
                  <w:tcW w:w="708" w:type="dxa"/>
                  <w:vAlign w:val="center"/>
                </w:tcPr>
                <w:p w14:paraId="1A0DCE8A">
                  <w:pPr>
                    <w:jc w:val="center"/>
                    <w:rPr>
                      <w:color w:val="auto"/>
                      <w:szCs w:val="16"/>
                      <w:lang w:bidi="en-US"/>
                    </w:rPr>
                  </w:pPr>
                  <w:r>
                    <w:rPr>
                      <w:color w:val="auto"/>
                      <w:szCs w:val="16"/>
                      <w:lang w:bidi="en-US"/>
                    </w:rPr>
                    <w:t>工艺名称</w:t>
                  </w:r>
                </w:p>
              </w:tc>
              <w:tc>
                <w:tcPr>
                  <w:tcW w:w="851" w:type="dxa"/>
                  <w:vAlign w:val="center"/>
                </w:tcPr>
                <w:p w14:paraId="1EB93D02">
                  <w:pPr>
                    <w:jc w:val="center"/>
                    <w:rPr>
                      <w:color w:val="auto"/>
                      <w:szCs w:val="16"/>
                      <w:lang w:bidi="en-US"/>
                    </w:rPr>
                  </w:pPr>
                  <w:r>
                    <w:rPr>
                      <w:color w:val="auto"/>
                      <w:szCs w:val="16"/>
                      <w:lang w:bidi="en-US"/>
                    </w:rPr>
                    <w:t>规模</w:t>
                  </w:r>
                </w:p>
                <w:p w14:paraId="43663B09">
                  <w:pPr>
                    <w:jc w:val="center"/>
                    <w:rPr>
                      <w:color w:val="auto"/>
                      <w:szCs w:val="16"/>
                      <w:lang w:bidi="en-US"/>
                    </w:rPr>
                  </w:pPr>
                  <w:r>
                    <w:rPr>
                      <w:color w:val="auto"/>
                      <w:szCs w:val="16"/>
                      <w:lang w:bidi="en-US"/>
                    </w:rPr>
                    <w:t>等级</w:t>
                  </w:r>
                </w:p>
              </w:tc>
              <w:tc>
                <w:tcPr>
                  <w:tcW w:w="992" w:type="dxa"/>
                  <w:vAlign w:val="center"/>
                </w:tcPr>
                <w:p w14:paraId="43F3A2C8">
                  <w:pPr>
                    <w:jc w:val="center"/>
                    <w:rPr>
                      <w:color w:val="auto"/>
                      <w:szCs w:val="16"/>
                      <w:lang w:bidi="en-US"/>
                    </w:rPr>
                  </w:pPr>
                  <w:r>
                    <w:rPr>
                      <w:color w:val="auto"/>
                      <w:szCs w:val="16"/>
                      <w:lang w:bidi="en-US"/>
                    </w:rPr>
                    <w:t>污染物指标</w:t>
                  </w:r>
                </w:p>
              </w:tc>
              <w:tc>
                <w:tcPr>
                  <w:tcW w:w="1418" w:type="dxa"/>
                  <w:vAlign w:val="center"/>
                </w:tcPr>
                <w:p w14:paraId="74B8BCAD">
                  <w:pPr>
                    <w:jc w:val="center"/>
                    <w:rPr>
                      <w:color w:val="auto"/>
                      <w:szCs w:val="16"/>
                      <w:lang w:bidi="en-US"/>
                    </w:rPr>
                  </w:pPr>
                  <w:r>
                    <w:rPr>
                      <w:color w:val="auto"/>
                      <w:szCs w:val="16"/>
                      <w:lang w:bidi="en-US"/>
                    </w:rPr>
                    <w:t>单位</w:t>
                  </w:r>
                </w:p>
              </w:tc>
              <w:tc>
                <w:tcPr>
                  <w:tcW w:w="1275" w:type="dxa"/>
                  <w:vAlign w:val="center"/>
                </w:tcPr>
                <w:p w14:paraId="6E2B39DF">
                  <w:pPr>
                    <w:jc w:val="center"/>
                    <w:rPr>
                      <w:color w:val="auto"/>
                      <w:szCs w:val="16"/>
                      <w:lang w:bidi="en-US"/>
                    </w:rPr>
                  </w:pPr>
                  <w:r>
                    <w:rPr>
                      <w:rFonts w:hint="eastAsia"/>
                      <w:color w:val="auto"/>
                      <w:szCs w:val="16"/>
                      <w:lang w:bidi="en-US"/>
                    </w:rPr>
                    <w:t>产污</w:t>
                  </w:r>
                  <w:r>
                    <w:rPr>
                      <w:color w:val="auto"/>
                      <w:szCs w:val="16"/>
                      <w:lang w:bidi="en-US"/>
                    </w:rPr>
                    <w:t>系数</w:t>
                  </w:r>
                </w:p>
              </w:tc>
              <w:tc>
                <w:tcPr>
                  <w:tcW w:w="1126" w:type="dxa"/>
                  <w:vAlign w:val="center"/>
                </w:tcPr>
                <w:p w14:paraId="0B581820">
                  <w:pPr>
                    <w:jc w:val="center"/>
                    <w:rPr>
                      <w:color w:val="auto"/>
                      <w:szCs w:val="16"/>
                      <w:lang w:bidi="en-US"/>
                    </w:rPr>
                  </w:pPr>
                  <w:r>
                    <w:rPr>
                      <w:rFonts w:hint="eastAsia"/>
                      <w:color w:val="auto"/>
                      <w:szCs w:val="16"/>
                      <w:lang w:bidi="en-US"/>
                    </w:rPr>
                    <w:t>末端治理技术</w:t>
                  </w:r>
                </w:p>
              </w:tc>
              <w:tc>
                <w:tcPr>
                  <w:tcW w:w="1036" w:type="dxa"/>
                  <w:vAlign w:val="center"/>
                </w:tcPr>
                <w:p w14:paraId="4DA23DB2">
                  <w:pPr>
                    <w:jc w:val="center"/>
                    <w:rPr>
                      <w:color w:val="auto"/>
                      <w:szCs w:val="16"/>
                      <w:lang w:bidi="en-US"/>
                    </w:rPr>
                  </w:pPr>
                  <w:r>
                    <w:rPr>
                      <w:rFonts w:hint="eastAsia"/>
                      <w:color w:val="auto"/>
                      <w:szCs w:val="16"/>
                      <w:lang w:bidi="en-US"/>
                    </w:rPr>
                    <w:t>平均去除效率</w:t>
                  </w:r>
                </w:p>
              </w:tc>
            </w:tr>
            <w:tr w14:paraId="5C93C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vAlign w:val="center"/>
                </w:tcPr>
                <w:p w14:paraId="137A68AB">
                  <w:pPr>
                    <w:jc w:val="center"/>
                    <w:rPr>
                      <w:color w:val="auto"/>
                      <w:szCs w:val="16"/>
                      <w:lang w:bidi="en-US"/>
                    </w:rPr>
                  </w:pPr>
                  <w:r>
                    <w:rPr>
                      <w:rFonts w:hint="eastAsia"/>
                      <w:color w:val="auto"/>
                      <w:lang w:bidi="en-US"/>
                    </w:rPr>
                    <w:t>焊接钢管</w:t>
                  </w:r>
                </w:p>
              </w:tc>
              <w:tc>
                <w:tcPr>
                  <w:tcW w:w="709" w:type="dxa"/>
                  <w:vAlign w:val="center"/>
                </w:tcPr>
                <w:p w14:paraId="5A0E30F3">
                  <w:pPr>
                    <w:jc w:val="center"/>
                    <w:rPr>
                      <w:color w:val="auto"/>
                      <w:szCs w:val="16"/>
                      <w:lang w:bidi="en-US"/>
                    </w:rPr>
                  </w:pPr>
                  <w:r>
                    <w:rPr>
                      <w:rFonts w:hint="eastAsia"/>
                      <w:color w:val="auto"/>
                      <w:lang w:bidi="en-US"/>
                    </w:rPr>
                    <w:t>带钢</w:t>
                  </w:r>
                </w:p>
              </w:tc>
              <w:tc>
                <w:tcPr>
                  <w:tcW w:w="708" w:type="dxa"/>
                  <w:vAlign w:val="center"/>
                </w:tcPr>
                <w:p w14:paraId="6D78C965">
                  <w:pPr>
                    <w:jc w:val="center"/>
                    <w:rPr>
                      <w:color w:val="auto"/>
                      <w:szCs w:val="16"/>
                      <w:lang w:bidi="en-US"/>
                    </w:rPr>
                  </w:pPr>
                  <w:r>
                    <w:rPr>
                      <w:rFonts w:hint="eastAsia"/>
                      <w:color w:val="auto"/>
                      <w:lang w:bidi="en-US"/>
                    </w:rPr>
                    <w:t>高频焊法</w:t>
                  </w:r>
                </w:p>
              </w:tc>
              <w:tc>
                <w:tcPr>
                  <w:tcW w:w="851" w:type="dxa"/>
                  <w:vAlign w:val="center"/>
                </w:tcPr>
                <w:p w14:paraId="4DD30FD7">
                  <w:pPr>
                    <w:jc w:val="center"/>
                    <w:rPr>
                      <w:color w:val="auto"/>
                      <w:szCs w:val="16"/>
                      <w:lang w:bidi="en-US"/>
                    </w:rPr>
                  </w:pPr>
                  <w:r>
                    <w:rPr>
                      <w:color w:val="auto"/>
                      <w:szCs w:val="16"/>
                      <w:lang w:bidi="en-US"/>
                    </w:rPr>
                    <w:t>所有</w:t>
                  </w:r>
                </w:p>
                <w:p w14:paraId="35139787">
                  <w:pPr>
                    <w:jc w:val="center"/>
                    <w:rPr>
                      <w:color w:val="auto"/>
                      <w:szCs w:val="16"/>
                      <w:lang w:bidi="en-US"/>
                    </w:rPr>
                  </w:pPr>
                  <w:r>
                    <w:rPr>
                      <w:color w:val="auto"/>
                      <w:szCs w:val="16"/>
                      <w:lang w:bidi="en-US"/>
                    </w:rPr>
                    <w:t>规模</w:t>
                  </w:r>
                </w:p>
              </w:tc>
              <w:tc>
                <w:tcPr>
                  <w:tcW w:w="992" w:type="dxa"/>
                  <w:vAlign w:val="center"/>
                </w:tcPr>
                <w:p w14:paraId="4BA8E983">
                  <w:pPr>
                    <w:jc w:val="center"/>
                    <w:rPr>
                      <w:color w:val="auto"/>
                      <w:szCs w:val="16"/>
                      <w:lang w:bidi="en-US"/>
                    </w:rPr>
                  </w:pPr>
                  <w:r>
                    <w:rPr>
                      <w:color w:val="auto"/>
                      <w:szCs w:val="16"/>
                      <w:lang w:bidi="en-US"/>
                    </w:rPr>
                    <w:t>颗粒物</w:t>
                  </w:r>
                </w:p>
              </w:tc>
              <w:tc>
                <w:tcPr>
                  <w:tcW w:w="1418" w:type="dxa"/>
                  <w:vAlign w:val="center"/>
                </w:tcPr>
                <w:p w14:paraId="2A132DC5">
                  <w:pPr>
                    <w:jc w:val="center"/>
                    <w:rPr>
                      <w:color w:val="auto"/>
                      <w:szCs w:val="16"/>
                      <w:lang w:bidi="en-US"/>
                    </w:rPr>
                  </w:pPr>
                  <w:r>
                    <w:rPr>
                      <w:rFonts w:hint="eastAsia"/>
                      <w:color w:val="auto"/>
                      <w:szCs w:val="16"/>
                      <w:lang w:bidi="en-US"/>
                    </w:rPr>
                    <w:t>千克/吨-钢材</w:t>
                  </w:r>
                </w:p>
              </w:tc>
              <w:tc>
                <w:tcPr>
                  <w:tcW w:w="1275" w:type="dxa"/>
                  <w:vAlign w:val="center"/>
                </w:tcPr>
                <w:p w14:paraId="3CCF969D">
                  <w:pPr>
                    <w:jc w:val="center"/>
                    <w:rPr>
                      <w:color w:val="auto"/>
                      <w:szCs w:val="16"/>
                      <w:lang w:bidi="en-US"/>
                    </w:rPr>
                  </w:pPr>
                  <w:r>
                    <w:rPr>
                      <w:color w:val="auto"/>
                      <w:szCs w:val="16"/>
                      <w:lang w:bidi="en-US"/>
                    </w:rPr>
                    <w:t>0.011</w:t>
                  </w:r>
                </w:p>
              </w:tc>
              <w:tc>
                <w:tcPr>
                  <w:tcW w:w="1126" w:type="dxa"/>
                  <w:vAlign w:val="center"/>
                </w:tcPr>
                <w:p w14:paraId="02D1D9C8">
                  <w:pPr>
                    <w:jc w:val="center"/>
                    <w:rPr>
                      <w:color w:val="auto"/>
                      <w:szCs w:val="16"/>
                      <w:lang w:bidi="en-US"/>
                    </w:rPr>
                  </w:pPr>
                  <w:r>
                    <w:rPr>
                      <w:rFonts w:hint="eastAsia"/>
                      <w:color w:val="auto"/>
                      <w:szCs w:val="16"/>
                      <w:lang w:bidi="en-US"/>
                    </w:rPr>
                    <w:t>袋式除尘</w:t>
                  </w:r>
                </w:p>
              </w:tc>
              <w:tc>
                <w:tcPr>
                  <w:tcW w:w="1036" w:type="dxa"/>
                  <w:vAlign w:val="center"/>
                </w:tcPr>
                <w:p w14:paraId="479C91D7">
                  <w:pPr>
                    <w:jc w:val="center"/>
                    <w:rPr>
                      <w:color w:val="auto"/>
                      <w:szCs w:val="16"/>
                      <w:lang w:bidi="en-US"/>
                    </w:rPr>
                  </w:pPr>
                  <w:r>
                    <w:rPr>
                      <w:rFonts w:hint="eastAsia"/>
                      <w:color w:val="auto"/>
                      <w:szCs w:val="16"/>
                      <w:lang w:bidi="en-US"/>
                    </w:rPr>
                    <w:t>95</w:t>
                  </w:r>
                  <w:r>
                    <w:rPr>
                      <w:color w:val="auto"/>
                      <w:szCs w:val="16"/>
                      <w:lang w:bidi="en-US"/>
                    </w:rPr>
                    <w:t>%</w:t>
                  </w:r>
                </w:p>
              </w:tc>
            </w:tr>
          </w:tbl>
          <w:p w14:paraId="2CC05F31">
            <w:pPr>
              <w:jc w:val="center"/>
              <w:rPr>
                <w:color w:val="auto"/>
                <w:szCs w:val="16"/>
                <w:lang w:bidi="en-US"/>
              </w:rPr>
            </w:pPr>
          </w:p>
          <w:p w14:paraId="6B10A6C7">
            <w:pPr>
              <w:pStyle w:val="70"/>
              <w:ind w:firstLine="480"/>
              <w:rPr>
                <w:color w:val="auto"/>
              </w:rPr>
            </w:pPr>
            <w:r>
              <w:rPr>
                <w:color w:val="auto"/>
              </w:rPr>
              <w:t>项目</w:t>
            </w:r>
            <w:r>
              <w:rPr>
                <w:rFonts w:hint="eastAsia"/>
                <w:color w:val="auto"/>
              </w:rPr>
              <w:t>用于焊管生产的</w:t>
            </w:r>
            <w:r>
              <w:rPr>
                <w:rFonts w:hint="eastAsia"/>
                <w:color w:val="auto"/>
                <w:kern w:val="24"/>
              </w:rPr>
              <w:t>原料带钢及铝丝年用量为</w:t>
            </w:r>
            <w:r>
              <w:rPr>
                <w:rFonts w:hint="eastAsia"/>
                <w:color w:val="auto"/>
              </w:rPr>
              <w:t>101008t</w:t>
            </w:r>
            <w:r>
              <w:rPr>
                <w:color w:val="auto"/>
              </w:rPr>
              <w:t>/a</w:t>
            </w:r>
            <w:r>
              <w:rPr>
                <w:rFonts w:hint="eastAsia"/>
                <w:color w:val="auto"/>
              </w:rPr>
              <w:t>，产污系数为</w:t>
            </w:r>
            <w:r>
              <w:rPr>
                <w:color w:val="auto"/>
              </w:rPr>
              <w:t>0.011</w:t>
            </w:r>
            <w:r>
              <w:rPr>
                <w:rFonts w:hint="eastAsia"/>
                <w:color w:val="auto"/>
              </w:rPr>
              <w:t>千克/吨-钢材。项目高频直缝焊管机组每天工作时间为3小时，年工作时间9</w:t>
            </w:r>
            <w:r>
              <w:rPr>
                <w:color w:val="auto"/>
              </w:rPr>
              <w:t>00</w:t>
            </w:r>
            <w:r>
              <w:rPr>
                <w:rFonts w:hint="eastAsia"/>
                <w:color w:val="auto"/>
              </w:rPr>
              <w:t>小时。则</w:t>
            </w:r>
            <w:r>
              <w:rPr>
                <w:rFonts w:hint="eastAsia"/>
                <w:color w:val="auto"/>
                <w:szCs w:val="21"/>
              </w:rPr>
              <w:t>高频焊接工序的</w:t>
            </w:r>
            <w:r>
              <w:rPr>
                <w:rFonts w:hint="eastAsia"/>
                <w:color w:val="auto"/>
              </w:rPr>
              <w:t>颗粒物产生量为1.11</w:t>
            </w:r>
            <w:r>
              <w:rPr>
                <w:color w:val="auto"/>
              </w:rPr>
              <w:t xml:space="preserve"> t/a</w:t>
            </w:r>
            <w:r>
              <w:rPr>
                <w:rFonts w:hint="eastAsia"/>
                <w:color w:val="auto"/>
              </w:rPr>
              <w:t>（1.23</w:t>
            </w:r>
            <w:r>
              <w:rPr>
                <w:color w:val="auto"/>
              </w:rPr>
              <w:t>kg/h</w:t>
            </w:r>
            <w:r>
              <w:rPr>
                <w:rFonts w:hint="eastAsia"/>
                <w:color w:val="auto"/>
              </w:rPr>
              <w:t>）。</w:t>
            </w:r>
          </w:p>
          <w:p w14:paraId="1CC53418">
            <w:pPr>
              <w:pStyle w:val="70"/>
              <w:ind w:firstLine="480"/>
              <w:rPr>
                <w:color w:val="auto"/>
                <w:szCs w:val="21"/>
              </w:rPr>
            </w:pPr>
            <w:r>
              <w:rPr>
                <w:rFonts w:hint="eastAsia" w:eastAsiaTheme="minorEastAsia"/>
                <w:color w:val="auto"/>
                <w:szCs w:val="21"/>
              </w:rPr>
              <w:t>本项目采用在每台焊管机上方设置集气罩，</w:t>
            </w:r>
            <w:r>
              <w:rPr>
                <w:rFonts w:hint="eastAsia"/>
                <w:color w:val="auto"/>
                <w:szCs w:val="21"/>
              </w:rPr>
              <w:t>经每条生产线焊接工段配套的布袋除尘器收集处理。</w:t>
            </w:r>
          </w:p>
          <w:p w14:paraId="546C452C">
            <w:pPr>
              <w:pStyle w:val="70"/>
              <w:ind w:firstLine="480"/>
              <w:rPr>
                <w:color w:val="auto"/>
              </w:rPr>
            </w:pPr>
            <w:r>
              <w:rPr>
                <w:rFonts w:hint="eastAsia"/>
                <w:color w:val="auto"/>
                <w:szCs w:val="21"/>
              </w:rPr>
              <w:t>本项目共设置9套</w:t>
            </w:r>
            <w:r>
              <w:rPr>
                <w:color w:val="auto"/>
              </w:rPr>
              <w:t>集气罩</w:t>
            </w:r>
            <w:r>
              <w:rPr>
                <w:rFonts w:hint="eastAsia"/>
                <w:color w:val="auto"/>
              </w:rPr>
              <w:t>+</w:t>
            </w:r>
            <w:r>
              <w:rPr>
                <w:rFonts w:hint="eastAsia"/>
                <w:color w:val="auto"/>
                <w:szCs w:val="21"/>
              </w:rPr>
              <w:t>布袋除尘器（TA001~TA009）。每个</w:t>
            </w:r>
            <w:r>
              <w:rPr>
                <w:color w:val="auto"/>
              </w:rPr>
              <w:t>集气罩</w:t>
            </w:r>
            <w:r>
              <w:rPr>
                <w:rFonts w:hint="eastAsia"/>
                <w:color w:val="auto"/>
              </w:rPr>
              <w:t>四周为封闭式，</w:t>
            </w:r>
            <w:r>
              <w:rPr>
                <w:color w:val="auto"/>
              </w:rPr>
              <w:t>集气罩‌无单一规范直接规定固定“集气效率”数值‌，</w:t>
            </w:r>
            <w:r>
              <w:rPr>
                <w:rFonts w:hint="eastAsia"/>
                <w:color w:val="auto"/>
              </w:rPr>
              <w:t>参照《广东省工业源挥发性有机物减排量核算方法（2023年修订版）》表3.3-2废气收集集气效率参考值，项目控制风速不小于0</w:t>
            </w:r>
            <w:r>
              <w:rPr>
                <w:color w:val="auto"/>
              </w:rPr>
              <w:t>.5m/s</w:t>
            </w:r>
            <w:r>
              <w:rPr>
                <w:rFonts w:hint="eastAsia"/>
                <w:color w:val="auto"/>
              </w:rPr>
              <w:t>，</w:t>
            </w:r>
            <w:r>
              <w:rPr>
                <w:color w:val="auto"/>
              </w:rPr>
              <w:t>收集效率以</w:t>
            </w:r>
            <w:r>
              <w:rPr>
                <w:rFonts w:hint="eastAsia"/>
                <w:color w:val="auto"/>
              </w:rPr>
              <w:t>8</w:t>
            </w:r>
            <w:r>
              <w:rPr>
                <w:color w:val="auto"/>
              </w:rPr>
              <w:t>0%计</w:t>
            </w:r>
            <w:r>
              <w:rPr>
                <w:rFonts w:hint="eastAsia"/>
                <w:color w:val="auto"/>
              </w:rPr>
              <w:t>。</w:t>
            </w:r>
            <w:r>
              <w:rPr>
                <w:color w:val="auto"/>
              </w:rPr>
              <w:t>袋式除尘器除尘效率</w:t>
            </w:r>
            <w:r>
              <w:rPr>
                <w:rFonts w:hint="eastAsia"/>
                <w:color w:val="auto"/>
              </w:rPr>
              <w:t>按</w:t>
            </w:r>
            <w:r>
              <w:rPr>
                <w:color w:val="auto"/>
              </w:rPr>
              <w:t>9</w:t>
            </w:r>
            <w:r>
              <w:rPr>
                <w:rFonts w:hint="eastAsia"/>
                <w:color w:val="auto"/>
              </w:rPr>
              <w:t>5</w:t>
            </w:r>
            <w:r>
              <w:rPr>
                <w:color w:val="auto"/>
              </w:rPr>
              <w:t>%</w:t>
            </w:r>
            <w:r>
              <w:rPr>
                <w:rFonts w:hint="eastAsia"/>
                <w:color w:val="auto"/>
              </w:rPr>
              <w:t>计。</w:t>
            </w:r>
          </w:p>
          <w:p w14:paraId="04C8EFF2">
            <w:pPr>
              <w:pStyle w:val="70"/>
              <w:ind w:firstLine="480"/>
              <w:rPr>
                <w:rFonts w:eastAsiaTheme="minorEastAsia"/>
                <w:color w:val="auto"/>
                <w:szCs w:val="21"/>
              </w:rPr>
            </w:pPr>
            <w:r>
              <w:rPr>
                <w:color w:val="auto"/>
              </w:rPr>
              <w:t>根据本项目生产设备实际情况，每台焊接机焊接台面积约为0.5m×0.8m</w:t>
            </w:r>
            <w:r>
              <w:rPr>
                <w:rFonts w:hint="eastAsia"/>
                <w:color w:val="auto"/>
              </w:rPr>
              <w:t>，</w:t>
            </w:r>
            <w:r>
              <w:rPr>
                <w:color w:val="auto"/>
              </w:rPr>
              <w:t>参照《排风罩的分类及技术条件》（GB/T16758-2008）第6.3.4章节中的相关要求：对于悬挂高度H≤1m的接受罩，罩口尺寸应比热源尺寸每边扩大150mm~200mm。本次评价取值</w:t>
            </w:r>
            <w:r>
              <w:rPr>
                <w:rFonts w:hint="eastAsia"/>
                <w:color w:val="auto"/>
              </w:rPr>
              <w:t>15</w:t>
            </w:r>
            <w:r>
              <w:rPr>
                <w:color w:val="auto"/>
              </w:rPr>
              <w:t>0mm，则</w:t>
            </w:r>
            <w:r>
              <w:rPr>
                <w:rFonts w:hint="eastAsia"/>
                <w:color w:val="auto"/>
              </w:rPr>
              <w:t>焊接机</w:t>
            </w:r>
            <w:r>
              <w:rPr>
                <w:color w:val="auto"/>
              </w:rPr>
              <w:t>上方设置的集气罩尺寸长度及宽度设置为</w:t>
            </w:r>
            <w:r>
              <w:rPr>
                <w:rFonts w:hint="eastAsia"/>
                <w:color w:val="auto"/>
              </w:rPr>
              <w:t>0.8</w:t>
            </w:r>
            <w:r>
              <w:rPr>
                <w:color w:val="auto"/>
              </w:rPr>
              <w:t>×</w:t>
            </w:r>
            <w:r>
              <w:rPr>
                <w:rFonts w:hint="eastAsia"/>
                <w:color w:val="auto"/>
              </w:rPr>
              <w:t>1.1</w:t>
            </w:r>
            <w:r>
              <w:rPr>
                <w:color w:val="auto"/>
              </w:rPr>
              <w:t>m，</w:t>
            </w:r>
            <w:r>
              <w:rPr>
                <w:rFonts w:hint="eastAsia"/>
                <w:color w:val="auto"/>
              </w:rPr>
              <w:t>集气罩投影面积按0.88m</w:t>
            </w:r>
            <w:r>
              <w:rPr>
                <w:rFonts w:hint="eastAsia"/>
                <w:color w:val="auto"/>
                <w:vertAlign w:val="superscript"/>
              </w:rPr>
              <w:t>2</w:t>
            </w:r>
            <w:r>
              <w:rPr>
                <w:rFonts w:hint="eastAsia"/>
                <w:color w:val="auto"/>
              </w:rPr>
              <w:t>计，风速不小于0</w:t>
            </w:r>
            <w:r>
              <w:rPr>
                <w:color w:val="auto"/>
              </w:rPr>
              <w:t>.5m/s</w:t>
            </w:r>
            <w:r>
              <w:rPr>
                <w:rFonts w:hint="eastAsia"/>
                <w:color w:val="auto"/>
              </w:rPr>
              <w:t>，则每个集气罩风量应不低于1584m</w:t>
            </w:r>
            <w:r>
              <w:rPr>
                <w:rFonts w:hint="eastAsia"/>
                <w:color w:val="auto"/>
                <w:vertAlign w:val="superscript"/>
              </w:rPr>
              <w:t>3</w:t>
            </w:r>
            <w:r>
              <w:rPr>
                <w:rFonts w:hint="eastAsia"/>
                <w:color w:val="auto"/>
              </w:rPr>
              <w:t>/h。本项目单台</w:t>
            </w:r>
            <w:r>
              <w:rPr>
                <w:rFonts w:hint="eastAsia" w:eastAsiaTheme="minorEastAsia"/>
                <w:color w:val="auto"/>
                <w:szCs w:val="21"/>
              </w:rPr>
              <w:t>袋式除尘器</w:t>
            </w:r>
            <w:r>
              <w:rPr>
                <w:rFonts w:hint="eastAsia"/>
                <w:color w:val="auto"/>
              </w:rPr>
              <w:t>设计</w:t>
            </w:r>
            <w:r>
              <w:rPr>
                <w:color w:val="auto"/>
              </w:rPr>
              <w:t>风量为</w:t>
            </w:r>
            <w:r>
              <w:rPr>
                <w:rFonts w:hint="eastAsia"/>
                <w:color w:val="auto"/>
              </w:rPr>
              <w:t>16</w:t>
            </w:r>
            <w:r>
              <w:rPr>
                <w:color w:val="auto"/>
              </w:rPr>
              <w:t>00 m</w:t>
            </w:r>
            <w:r>
              <w:rPr>
                <w:color w:val="auto"/>
                <w:vertAlign w:val="superscript"/>
              </w:rPr>
              <w:t>3</w:t>
            </w:r>
            <w:r>
              <w:rPr>
                <w:color w:val="auto"/>
              </w:rPr>
              <w:t>/h</w:t>
            </w:r>
            <w:r>
              <w:rPr>
                <w:rFonts w:hint="eastAsia"/>
                <w:color w:val="auto"/>
              </w:rPr>
              <w:t>，满足控制风速要求</w:t>
            </w:r>
            <w:r>
              <w:rPr>
                <w:rFonts w:hint="eastAsia" w:eastAsiaTheme="minorEastAsia"/>
                <w:color w:val="auto"/>
                <w:szCs w:val="21"/>
              </w:rPr>
              <w:t>。</w:t>
            </w:r>
          </w:p>
          <w:p w14:paraId="26B675C8">
            <w:pPr>
              <w:pStyle w:val="70"/>
              <w:ind w:firstLine="480"/>
              <w:rPr>
                <w:color w:val="auto"/>
                <w:szCs w:val="21"/>
              </w:rPr>
            </w:pPr>
            <w:r>
              <w:rPr>
                <w:rFonts w:hint="eastAsia"/>
                <w:color w:val="auto"/>
              </w:rPr>
              <w:t>根据项目原料用量，本项目</w:t>
            </w:r>
            <w:r>
              <w:rPr>
                <w:rFonts w:hint="eastAsia"/>
                <w:color w:val="auto"/>
                <w:szCs w:val="21"/>
              </w:rPr>
              <w:t>高频焊接工序的颗粒物总产生量为</w:t>
            </w:r>
            <w:r>
              <w:rPr>
                <w:rFonts w:hint="eastAsia"/>
                <w:color w:val="auto"/>
              </w:rPr>
              <w:t>1.11</w:t>
            </w:r>
            <w:r>
              <w:rPr>
                <w:rFonts w:hint="eastAsia"/>
                <w:color w:val="auto"/>
                <w:szCs w:val="21"/>
              </w:rPr>
              <w:t>t/a，则有组织产生量为0.889</w:t>
            </w:r>
            <w:r>
              <w:rPr>
                <w:color w:val="auto"/>
                <w:szCs w:val="21"/>
              </w:rPr>
              <w:t xml:space="preserve"> </w:t>
            </w:r>
            <w:r>
              <w:rPr>
                <w:rFonts w:hint="eastAsia"/>
                <w:color w:val="auto"/>
                <w:szCs w:val="21"/>
              </w:rPr>
              <w:t>t/a，无组织产生量为0.222t/a。</w:t>
            </w:r>
          </w:p>
          <w:p w14:paraId="0B1D4EBB">
            <w:pPr>
              <w:pStyle w:val="70"/>
              <w:ind w:firstLine="480"/>
              <w:rPr>
                <w:color w:val="auto"/>
              </w:rPr>
            </w:pPr>
            <w:r>
              <w:rPr>
                <w:rFonts w:hint="eastAsia"/>
                <w:color w:val="auto"/>
                <w:szCs w:val="21"/>
              </w:rPr>
              <w:t>项目车间高频焊接产生焊接烟尘，经9条生产线焊接工段配套的9套集气罩+布袋除尘器（TA001~TA003）收集处理后，经管道引入3根</w:t>
            </w:r>
            <w:r>
              <w:rPr>
                <w:color w:val="auto"/>
                <w:szCs w:val="21"/>
              </w:rPr>
              <w:t>15</w:t>
            </w:r>
            <w:r>
              <w:rPr>
                <w:rFonts w:hint="eastAsia"/>
                <w:color w:val="auto"/>
                <w:szCs w:val="21"/>
              </w:rPr>
              <w:t>m高排气筒排放（DA001~DA003）。DA001排气筒（1#生产线）风量为16</w:t>
            </w:r>
            <w:r>
              <w:rPr>
                <w:color w:val="auto"/>
                <w:szCs w:val="21"/>
              </w:rPr>
              <w:t>00</w:t>
            </w:r>
            <w:r>
              <w:rPr>
                <w:color w:val="auto"/>
              </w:rPr>
              <w:t xml:space="preserve"> m</w:t>
            </w:r>
            <w:r>
              <w:rPr>
                <w:color w:val="auto"/>
                <w:vertAlign w:val="superscript"/>
              </w:rPr>
              <w:t>3</w:t>
            </w:r>
            <w:r>
              <w:rPr>
                <w:color w:val="auto"/>
              </w:rPr>
              <w:t>/h</w:t>
            </w:r>
            <w:r>
              <w:rPr>
                <w:rFonts w:hint="eastAsia"/>
                <w:color w:val="auto"/>
              </w:rPr>
              <w:t>，DA002排气筒（2#~5#生产线）风量为6400m</w:t>
            </w:r>
            <w:r>
              <w:rPr>
                <w:rFonts w:hint="eastAsia"/>
                <w:color w:val="auto"/>
                <w:vertAlign w:val="superscript"/>
              </w:rPr>
              <w:t>3</w:t>
            </w:r>
            <w:r>
              <w:rPr>
                <w:rFonts w:hint="eastAsia"/>
                <w:color w:val="auto"/>
              </w:rPr>
              <w:t>/h，DA003（6#~9#生产线）风量为6400m</w:t>
            </w:r>
            <w:r>
              <w:rPr>
                <w:rFonts w:hint="eastAsia"/>
                <w:color w:val="auto"/>
                <w:vertAlign w:val="superscript"/>
              </w:rPr>
              <w:t>3</w:t>
            </w:r>
            <w:r>
              <w:rPr>
                <w:rFonts w:hint="eastAsia"/>
                <w:color w:val="auto"/>
              </w:rPr>
              <w:t>/h。</w:t>
            </w:r>
          </w:p>
          <w:p w14:paraId="61325761">
            <w:pPr>
              <w:pStyle w:val="70"/>
              <w:ind w:firstLine="480"/>
              <w:rPr>
                <w:color w:val="auto"/>
              </w:rPr>
            </w:pPr>
            <w:r>
              <w:rPr>
                <w:rFonts w:hint="eastAsia"/>
                <w:color w:val="auto"/>
                <w:szCs w:val="21"/>
              </w:rPr>
              <w:t>高频焊接工序的</w:t>
            </w:r>
            <w:r>
              <w:rPr>
                <w:rFonts w:hint="eastAsia"/>
                <w:color w:val="auto"/>
              </w:rPr>
              <w:t>未收集无组织颗粒物产生量0.222t/a。未收集无组织颗粒物通过设置封闭式厂房，重力沉降后，</w:t>
            </w:r>
            <w:r>
              <w:rPr>
                <w:color w:val="auto"/>
              </w:rPr>
              <w:t>参考工业源固体物料堆场颗粒物核算系数手册</w:t>
            </w:r>
            <w:r>
              <w:rPr>
                <w:rFonts w:hint="eastAsia"/>
                <w:color w:val="auto"/>
              </w:rPr>
              <w:t>，无组织颗粒物控制效率取</w:t>
            </w:r>
            <w:r>
              <w:rPr>
                <w:color w:val="auto"/>
              </w:rPr>
              <w:t>60</w:t>
            </w:r>
            <w:r>
              <w:rPr>
                <w:rFonts w:hint="eastAsia"/>
                <w:color w:val="auto"/>
              </w:rPr>
              <w:t>%，则本项目高频焊接工序无组织颗粒物排放总量为0.089t/a。</w:t>
            </w:r>
          </w:p>
          <w:p w14:paraId="14EA2A51">
            <w:pPr>
              <w:pStyle w:val="70"/>
              <w:ind w:firstLine="480"/>
              <w:rPr>
                <w:color w:val="auto"/>
              </w:rPr>
            </w:pPr>
            <w:r>
              <w:rPr>
                <w:rFonts w:hint="eastAsia"/>
                <w:color w:val="auto"/>
              </w:rPr>
              <w:t>（2）切割粉尘</w:t>
            </w:r>
          </w:p>
          <w:p w14:paraId="289B1F4A">
            <w:pPr>
              <w:pStyle w:val="70"/>
              <w:ind w:firstLine="480"/>
              <w:rPr>
                <w:color w:val="auto"/>
              </w:rPr>
            </w:pPr>
            <w:r>
              <w:rPr>
                <w:rFonts w:hint="eastAsia"/>
                <w:color w:val="auto"/>
              </w:rPr>
              <w:t>项目每条生产线设置1台飞锯将焊管切割至所需长度（6m左右），切割过程会产生切割烟尘，本项目飞锯工序颗粒物参照</w:t>
            </w:r>
            <w:r>
              <w:rPr>
                <w:color w:val="auto"/>
              </w:rPr>
              <w:t>《排放源统计调查产排污核实方法和系数手册》中《3130钢压延加工行业系数手册》</w:t>
            </w:r>
            <w:r>
              <w:rPr>
                <w:rFonts w:hint="eastAsia"/>
                <w:color w:val="auto"/>
              </w:rPr>
              <w:t>：“焊接钢管采用高频焊法颗粒物产生系数为0.011kg/t钢材。”项目使用带钢的量为101000t/a，该产生系数为纵焊接，而本项目飞锯切割为横切，焊管长度一般为6m，项目飞锯切割粉尘产生系数按0.00046kg/t钢材，故产生的颗粒物为0.046t/a，通过设置封闭式厂房，重力沉降后，参考工业源固体物料堆场颗粒物核算系数手册，无组织颗粒物控制效率取</w:t>
            </w:r>
            <w:r>
              <w:rPr>
                <w:color w:val="auto"/>
              </w:rPr>
              <w:t>60</w:t>
            </w:r>
            <w:r>
              <w:rPr>
                <w:rFonts w:hint="eastAsia"/>
                <w:color w:val="auto"/>
              </w:rPr>
              <w:t>%，则本项目切割工序无组织颗粒物排放总量为0.019t/a。</w:t>
            </w:r>
          </w:p>
          <w:p w14:paraId="08FA0BB2">
            <w:pPr>
              <w:adjustRightInd w:val="0"/>
              <w:snapToGrid w:val="0"/>
              <w:spacing w:line="360" w:lineRule="auto"/>
              <w:ind w:firstLine="480" w:firstLineChars="200"/>
              <w:rPr>
                <w:color w:val="auto"/>
                <w:kern w:val="24"/>
                <w:sz w:val="24"/>
              </w:rPr>
            </w:pPr>
            <w:r>
              <w:rPr>
                <w:rFonts w:hint="eastAsia"/>
                <w:color w:val="auto"/>
                <w:kern w:val="24"/>
                <w:sz w:val="24"/>
              </w:rPr>
              <w:t>三、非正常排放</w:t>
            </w:r>
          </w:p>
          <w:p w14:paraId="38907AA6">
            <w:pPr>
              <w:adjustRightInd w:val="0"/>
              <w:snapToGrid w:val="0"/>
              <w:spacing w:line="360" w:lineRule="auto"/>
              <w:ind w:firstLine="480" w:firstLineChars="200"/>
              <w:rPr>
                <w:color w:val="auto"/>
                <w:kern w:val="24"/>
                <w:sz w:val="24"/>
              </w:rPr>
            </w:pPr>
            <w:r>
              <w:rPr>
                <w:rFonts w:hint="eastAsia"/>
                <w:color w:val="auto"/>
                <w:kern w:val="24"/>
                <w:sz w:val="24"/>
              </w:rPr>
              <w:t>非正常排放</w:t>
            </w:r>
            <w:r>
              <w:rPr>
                <w:color w:val="auto"/>
                <w:kern w:val="24"/>
                <w:sz w:val="24"/>
              </w:rPr>
              <w:t>指生产过程中开停车(工、炉)、设备检修、工艺设备运转异常等非正常工况下的污染物排放，以及污染物排放控制措施达不到应有效率等情况下的排放。</w:t>
            </w:r>
            <w:r>
              <w:rPr>
                <w:rFonts w:hint="eastAsia"/>
                <w:color w:val="auto"/>
                <w:kern w:val="24"/>
                <w:sz w:val="24"/>
              </w:rPr>
              <w:t>本次评价非正常排放情况设定为袋式除尘器布袋破损后，无法立即更换，导致其处理达不到应有效率的情况，除尘效率下降至8</w:t>
            </w:r>
            <w:r>
              <w:rPr>
                <w:color w:val="auto"/>
                <w:kern w:val="24"/>
                <w:sz w:val="24"/>
              </w:rPr>
              <w:t>0%</w:t>
            </w:r>
            <w:r>
              <w:rPr>
                <w:rFonts w:hint="eastAsia"/>
                <w:color w:val="auto"/>
                <w:kern w:val="24"/>
                <w:sz w:val="24"/>
              </w:rPr>
              <w:t>。则污染源非正常排放统计见下表。</w:t>
            </w:r>
          </w:p>
          <w:p w14:paraId="19BDF42B">
            <w:pPr>
              <w:adjustRightInd w:val="0"/>
              <w:snapToGrid w:val="0"/>
              <w:spacing w:line="360" w:lineRule="auto"/>
              <w:ind w:firstLine="482" w:firstLineChars="200"/>
              <w:jc w:val="center"/>
              <w:rPr>
                <w:b/>
                <w:color w:val="auto"/>
                <w:kern w:val="24"/>
                <w:sz w:val="24"/>
              </w:rPr>
            </w:pPr>
            <w:r>
              <w:rPr>
                <w:rFonts w:hint="eastAsia"/>
                <w:b/>
                <w:color w:val="auto"/>
                <w:kern w:val="24"/>
                <w:sz w:val="24"/>
              </w:rPr>
              <w:t>表4-7   污染源非正常排放量核算表</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5"/>
              <w:gridCol w:w="1107"/>
              <w:gridCol w:w="904"/>
              <w:gridCol w:w="1195"/>
              <w:gridCol w:w="1094"/>
              <w:gridCol w:w="819"/>
              <w:gridCol w:w="842"/>
              <w:gridCol w:w="1674"/>
            </w:tblGrid>
            <w:tr w14:paraId="1DA1E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7" w:type="dxa"/>
                  <w:vAlign w:val="center"/>
                </w:tcPr>
                <w:p w14:paraId="18245547">
                  <w:pPr>
                    <w:adjustRightInd w:val="0"/>
                    <w:snapToGrid w:val="0"/>
                    <w:spacing w:line="320" w:lineRule="exact"/>
                    <w:jc w:val="center"/>
                    <w:rPr>
                      <w:color w:val="auto"/>
                      <w:kern w:val="24"/>
                      <w:szCs w:val="21"/>
                    </w:rPr>
                  </w:pPr>
                  <w:r>
                    <w:rPr>
                      <w:rFonts w:hint="eastAsia"/>
                      <w:color w:val="auto"/>
                      <w:kern w:val="24"/>
                      <w:szCs w:val="21"/>
                    </w:rPr>
                    <w:t>污染源</w:t>
                  </w:r>
                </w:p>
              </w:tc>
              <w:tc>
                <w:tcPr>
                  <w:tcW w:w="1145" w:type="dxa"/>
                  <w:vAlign w:val="center"/>
                </w:tcPr>
                <w:p w14:paraId="44E85557">
                  <w:pPr>
                    <w:adjustRightInd w:val="0"/>
                    <w:snapToGrid w:val="0"/>
                    <w:spacing w:line="320" w:lineRule="exact"/>
                    <w:jc w:val="center"/>
                    <w:rPr>
                      <w:color w:val="auto"/>
                      <w:kern w:val="24"/>
                      <w:szCs w:val="21"/>
                    </w:rPr>
                  </w:pPr>
                  <w:r>
                    <w:rPr>
                      <w:rFonts w:hint="eastAsia"/>
                      <w:color w:val="auto"/>
                      <w:kern w:val="24"/>
                      <w:szCs w:val="21"/>
                    </w:rPr>
                    <w:t>非正常排放原因</w:t>
                  </w:r>
                </w:p>
              </w:tc>
              <w:tc>
                <w:tcPr>
                  <w:tcW w:w="943" w:type="dxa"/>
                  <w:vAlign w:val="center"/>
                </w:tcPr>
                <w:p w14:paraId="201ECE90">
                  <w:pPr>
                    <w:adjustRightInd w:val="0"/>
                    <w:snapToGrid w:val="0"/>
                    <w:spacing w:line="320" w:lineRule="exact"/>
                    <w:jc w:val="center"/>
                    <w:rPr>
                      <w:color w:val="auto"/>
                      <w:kern w:val="24"/>
                      <w:szCs w:val="21"/>
                    </w:rPr>
                  </w:pPr>
                  <w:r>
                    <w:rPr>
                      <w:rFonts w:hint="eastAsia"/>
                      <w:color w:val="auto"/>
                      <w:kern w:val="24"/>
                      <w:szCs w:val="21"/>
                    </w:rPr>
                    <w:t>污染物</w:t>
                  </w:r>
                </w:p>
              </w:tc>
              <w:tc>
                <w:tcPr>
                  <w:tcW w:w="1113" w:type="dxa"/>
                  <w:vAlign w:val="center"/>
                </w:tcPr>
                <w:p w14:paraId="58E729A0">
                  <w:pPr>
                    <w:adjustRightInd w:val="0"/>
                    <w:snapToGrid w:val="0"/>
                    <w:spacing w:line="320" w:lineRule="exact"/>
                    <w:jc w:val="center"/>
                    <w:rPr>
                      <w:color w:val="auto"/>
                      <w:kern w:val="24"/>
                      <w:szCs w:val="21"/>
                    </w:rPr>
                  </w:pPr>
                  <w:r>
                    <w:rPr>
                      <w:rFonts w:hint="eastAsia"/>
                      <w:color w:val="auto"/>
                      <w:kern w:val="24"/>
                      <w:szCs w:val="21"/>
                    </w:rPr>
                    <w:t>非正常排放浓度</w:t>
                  </w:r>
                  <w:r>
                    <w:rPr>
                      <w:color w:val="auto"/>
                      <w:kern w:val="24"/>
                      <w:szCs w:val="21"/>
                    </w:rPr>
                    <w:t>（</w:t>
                  </w:r>
                  <w:r>
                    <w:rPr>
                      <w:rFonts w:hint="eastAsia"/>
                      <w:color w:val="auto"/>
                      <w:kern w:val="24"/>
                      <w:szCs w:val="21"/>
                    </w:rPr>
                    <w:t>mg/m</w:t>
                  </w:r>
                  <w:r>
                    <w:rPr>
                      <w:rFonts w:hint="eastAsia"/>
                      <w:color w:val="auto"/>
                      <w:kern w:val="24"/>
                      <w:szCs w:val="21"/>
                      <w:vertAlign w:val="superscript"/>
                    </w:rPr>
                    <w:t>3</w:t>
                  </w:r>
                  <w:r>
                    <w:rPr>
                      <w:color w:val="auto"/>
                      <w:kern w:val="24"/>
                      <w:szCs w:val="21"/>
                    </w:rPr>
                    <w:t>）</w:t>
                  </w:r>
                </w:p>
              </w:tc>
              <w:tc>
                <w:tcPr>
                  <w:tcW w:w="1101" w:type="dxa"/>
                  <w:vAlign w:val="center"/>
                </w:tcPr>
                <w:p w14:paraId="3734CB9F">
                  <w:pPr>
                    <w:adjustRightInd w:val="0"/>
                    <w:snapToGrid w:val="0"/>
                    <w:spacing w:line="320" w:lineRule="exact"/>
                    <w:jc w:val="center"/>
                    <w:rPr>
                      <w:color w:val="auto"/>
                      <w:kern w:val="24"/>
                      <w:szCs w:val="21"/>
                    </w:rPr>
                  </w:pPr>
                  <w:r>
                    <w:rPr>
                      <w:rFonts w:hint="eastAsia"/>
                      <w:color w:val="auto"/>
                      <w:kern w:val="24"/>
                      <w:szCs w:val="21"/>
                    </w:rPr>
                    <w:t>非正常排放速率（kg/h）</w:t>
                  </w:r>
                </w:p>
              </w:tc>
              <w:tc>
                <w:tcPr>
                  <w:tcW w:w="847" w:type="dxa"/>
                  <w:vAlign w:val="center"/>
                </w:tcPr>
                <w:p w14:paraId="7F746D32">
                  <w:pPr>
                    <w:adjustRightInd w:val="0"/>
                    <w:snapToGrid w:val="0"/>
                    <w:spacing w:line="320" w:lineRule="exact"/>
                    <w:jc w:val="center"/>
                    <w:rPr>
                      <w:color w:val="auto"/>
                      <w:kern w:val="24"/>
                      <w:szCs w:val="21"/>
                    </w:rPr>
                  </w:pPr>
                  <w:r>
                    <w:rPr>
                      <w:rFonts w:hint="eastAsia"/>
                      <w:color w:val="auto"/>
                      <w:kern w:val="24"/>
                      <w:szCs w:val="21"/>
                    </w:rPr>
                    <w:t>单次持续时间/h</w:t>
                  </w:r>
                </w:p>
              </w:tc>
              <w:tc>
                <w:tcPr>
                  <w:tcW w:w="876" w:type="dxa"/>
                  <w:vAlign w:val="center"/>
                </w:tcPr>
                <w:p w14:paraId="308E2095">
                  <w:pPr>
                    <w:adjustRightInd w:val="0"/>
                    <w:snapToGrid w:val="0"/>
                    <w:spacing w:line="320" w:lineRule="exact"/>
                    <w:jc w:val="center"/>
                    <w:rPr>
                      <w:color w:val="auto"/>
                      <w:kern w:val="24"/>
                      <w:szCs w:val="21"/>
                    </w:rPr>
                  </w:pPr>
                  <w:r>
                    <w:rPr>
                      <w:rFonts w:hint="eastAsia"/>
                      <w:color w:val="auto"/>
                      <w:kern w:val="24"/>
                      <w:szCs w:val="21"/>
                    </w:rPr>
                    <w:t>年发生频次/次</w:t>
                  </w:r>
                </w:p>
              </w:tc>
              <w:tc>
                <w:tcPr>
                  <w:tcW w:w="1758" w:type="dxa"/>
                  <w:vAlign w:val="center"/>
                </w:tcPr>
                <w:p w14:paraId="5784D310">
                  <w:pPr>
                    <w:adjustRightInd w:val="0"/>
                    <w:snapToGrid w:val="0"/>
                    <w:spacing w:line="320" w:lineRule="exact"/>
                    <w:jc w:val="center"/>
                    <w:rPr>
                      <w:color w:val="auto"/>
                      <w:kern w:val="24"/>
                      <w:szCs w:val="21"/>
                    </w:rPr>
                  </w:pPr>
                  <w:r>
                    <w:rPr>
                      <w:rFonts w:hint="eastAsia"/>
                      <w:color w:val="auto"/>
                      <w:kern w:val="24"/>
                      <w:szCs w:val="21"/>
                    </w:rPr>
                    <w:t>应对措施</w:t>
                  </w:r>
                </w:p>
              </w:tc>
            </w:tr>
            <w:tr w14:paraId="4E81D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1107" w:type="dxa"/>
                  <w:vAlign w:val="center"/>
                </w:tcPr>
                <w:p w14:paraId="67E67D28">
                  <w:pPr>
                    <w:adjustRightInd w:val="0"/>
                    <w:snapToGrid w:val="0"/>
                    <w:spacing w:line="320" w:lineRule="exact"/>
                    <w:jc w:val="center"/>
                    <w:rPr>
                      <w:color w:val="auto"/>
                      <w:kern w:val="24"/>
                      <w:szCs w:val="21"/>
                    </w:rPr>
                  </w:pPr>
                  <w:r>
                    <w:rPr>
                      <w:rFonts w:hint="eastAsia"/>
                      <w:color w:val="auto"/>
                      <w:kern w:val="24"/>
                      <w:szCs w:val="21"/>
                    </w:rPr>
                    <w:t>车间焊接烟尘（DA001）</w:t>
                  </w:r>
                </w:p>
              </w:tc>
              <w:tc>
                <w:tcPr>
                  <w:tcW w:w="1145" w:type="dxa"/>
                  <w:vAlign w:val="center"/>
                </w:tcPr>
                <w:p w14:paraId="105C4F3C">
                  <w:pPr>
                    <w:adjustRightInd w:val="0"/>
                    <w:snapToGrid w:val="0"/>
                    <w:spacing w:line="320" w:lineRule="exact"/>
                    <w:jc w:val="center"/>
                    <w:rPr>
                      <w:color w:val="auto"/>
                      <w:kern w:val="24"/>
                      <w:szCs w:val="21"/>
                    </w:rPr>
                  </w:pPr>
                  <w:r>
                    <w:rPr>
                      <w:rFonts w:hint="eastAsia"/>
                      <w:color w:val="auto"/>
                      <w:kern w:val="24"/>
                      <w:szCs w:val="21"/>
                    </w:rPr>
                    <w:t>除尘器布袋破损，除尘效率下降至8</w:t>
                  </w:r>
                  <w:r>
                    <w:rPr>
                      <w:color w:val="auto"/>
                      <w:kern w:val="24"/>
                      <w:szCs w:val="21"/>
                    </w:rPr>
                    <w:t xml:space="preserve">0% </w:t>
                  </w:r>
                </w:p>
              </w:tc>
              <w:tc>
                <w:tcPr>
                  <w:tcW w:w="943" w:type="dxa"/>
                  <w:vAlign w:val="center"/>
                </w:tcPr>
                <w:p w14:paraId="40587342">
                  <w:pPr>
                    <w:adjustRightInd w:val="0"/>
                    <w:snapToGrid w:val="0"/>
                    <w:spacing w:line="320" w:lineRule="exact"/>
                    <w:jc w:val="center"/>
                    <w:rPr>
                      <w:color w:val="auto"/>
                      <w:kern w:val="24"/>
                      <w:szCs w:val="21"/>
                    </w:rPr>
                  </w:pPr>
                  <w:r>
                    <w:rPr>
                      <w:rFonts w:hint="eastAsia"/>
                      <w:color w:val="auto"/>
                      <w:kern w:val="24"/>
                      <w:szCs w:val="21"/>
                    </w:rPr>
                    <w:t>颗粒物</w:t>
                  </w:r>
                </w:p>
              </w:tc>
              <w:tc>
                <w:tcPr>
                  <w:tcW w:w="1113" w:type="dxa"/>
                  <w:vAlign w:val="center"/>
                </w:tcPr>
                <w:p w14:paraId="1C4A893D">
                  <w:pPr>
                    <w:adjustRightInd w:val="0"/>
                    <w:snapToGrid w:val="0"/>
                    <w:spacing w:line="320" w:lineRule="exact"/>
                    <w:jc w:val="center"/>
                    <w:rPr>
                      <w:color w:val="auto"/>
                      <w:kern w:val="24"/>
                      <w:szCs w:val="21"/>
                    </w:rPr>
                  </w:pPr>
                  <w:r>
                    <w:rPr>
                      <w:rFonts w:hint="eastAsia"/>
                      <w:color w:val="auto"/>
                    </w:rPr>
                    <w:t>27.5</w:t>
                  </w:r>
                </w:p>
              </w:tc>
              <w:tc>
                <w:tcPr>
                  <w:tcW w:w="1101" w:type="dxa"/>
                  <w:vAlign w:val="center"/>
                </w:tcPr>
                <w:p w14:paraId="727FAFF7">
                  <w:pPr>
                    <w:adjustRightInd w:val="0"/>
                    <w:snapToGrid w:val="0"/>
                    <w:spacing w:line="320" w:lineRule="exact"/>
                    <w:jc w:val="center"/>
                    <w:rPr>
                      <w:color w:val="auto"/>
                      <w:kern w:val="24"/>
                      <w:szCs w:val="21"/>
                    </w:rPr>
                  </w:pPr>
                  <w:r>
                    <w:rPr>
                      <w:rFonts w:hint="eastAsia"/>
                      <w:color w:val="auto"/>
                      <w:kern w:val="24"/>
                      <w:szCs w:val="21"/>
                    </w:rPr>
                    <w:t>0.022</w:t>
                  </w:r>
                </w:p>
              </w:tc>
              <w:tc>
                <w:tcPr>
                  <w:tcW w:w="847" w:type="dxa"/>
                  <w:vAlign w:val="center"/>
                </w:tcPr>
                <w:p w14:paraId="278E8986">
                  <w:pPr>
                    <w:adjustRightInd w:val="0"/>
                    <w:snapToGrid w:val="0"/>
                    <w:spacing w:line="320" w:lineRule="exact"/>
                    <w:jc w:val="center"/>
                    <w:rPr>
                      <w:color w:val="auto"/>
                      <w:kern w:val="24"/>
                      <w:szCs w:val="21"/>
                    </w:rPr>
                  </w:pPr>
                  <w:r>
                    <w:rPr>
                      <w:rFonts w:hint="eastAsia"/>
                      <w:color w:val="auto"/>
                      <w:kern w:val="24"/>
                      <w:szCs w:val="21"/>
                    </w:rPr>
                    <w:t>0.5</w:t>
                  </w:r>
                </w:p>
              </w:tc>
              <w:tc>
                <w:tcPr>
                  <w:tcW w:w="876" w:type="dxa"/>
                  <w:vAlign w:val="center"/>
                </w:tcPr>
                <w:p w14:paraId="223E97A6">
                  <w:pPr>
                    <w:adjustRightInd w:val="0"/>
                    <w:snapToGrid w:val="0"/>
                    <w:spacing w:line="320" w:lineRule="exact"/>
                    <w:jc w:val="center"/>
                    <w:rPr>
                      <w:color w:val="auto"/>
                      <w:kern w:val="24"/>
                      <w:szCs w:val="21"/>
                    </w:rPr>
                  </w:pPr>
                  <w:r>
                    <w:rPr>
                      <w:rFonts w:hint="eastAsia"/>
                      <w:color w:val="auto"/>
                      <w:kern w:val="24"/>
                      <w:szCs w:val="21"/>
                    </w:rPr>
                    <w:t>1</w:t>
                  </w:r>
                </w:p>
              </w:tc>
              <w:tc>
                <w:tcPr>
                  <w:tcW w:w="1758" w:type="dxa"/>
                  <w:vAlign w:val="center"/>
                </w:tcPr>
                <w:p w14:paraId="564C7719">
                  <w:pPr>
                    <w:adjustRightInd w:val="0"/>
                    <w:snapToGrid w:val="0"/>
                    <w:spacing w:line="320" w:lineRule="exact"/>
                    <w:jc w:val="center"/>
                    <w:rPr>
                      <w:color w:val="auto"/>
                      <w:kern w:val="24"/>
                      <w:szCs w:val="21"/>
                    </w:rPr>
                  </w:pPr>
                  <w:r>
                    <w:rPr>
                      <w:rFonts w:hint="eastAsia"/>
                      <w:color w:val="auto"/>
                      <w:kern w:val="24"/>
                      <w:szCs w:val="21"/>
                    </w:rPr>
                    <w:t>应立即停止生产，更换除尘器布袋；定期对废气处理设施进行检修和更换</w:t>
                  </w:r>
                </w:p>
              </w:tc>
            </w:tr>
          </w:tbl>
          <w:p w14:paraId="5E99EBF3">
            <w:pPr>
              <w:adjustRightInd w:val="0"/>
              <w:snapToGrid w:val="0"/>
              <w:spacing w:line="360" w:lineRule="auto"/>
              <w:ind w:firstLine="480" w:firstLineChars="200"/>
              <w:rPr>
                <w:color w:val="auto"/>
                <w:kern w:val="24"/>
                <w:sz w:val="24"/>
              </w:rPr>
            </w:pPr>
            <w:r>
              <w:rPr>
                <w:rFonts w:hint="eastAsia"/>
                <w:color w:val="auto"/>
                <w:kern w:val="24"/>
                <w:sz w:val="24"/>
              </w:rPr>
              <w:t>因此，废气处理设施故障出现事故非正常排放时，颗粒物未出现超标排放，但排放浓度变大。运营期为了尽可能减轻焊接烟尘对周围环境的影响，避免非正常排放情况发生，需对废气治理设施配置一定量的易损备件及维护保养专用工具，并设专门技术人员对袋式除尘器进行管理及维修。当发生故障出现非正常排放时，应立即停止生产，及时排除和抢修，待废气处理系统恢复正常后，方可继续生产。</w:t>
            </w:r>
          </w:p>
          <w:p w14:paraId="3C5A255A">
            <w:pPr>
              <w:adjustRightInd w:val="0"/>
              <w:snapToGrid w:val="0"/>
              <w:spacing w:line="360" w:lineRule="auto"/>
              <w:ind w:firstLine="480" w:firstLineChars="200"/>
              <w:rPr>
                <w:color w:val="auto"/>
                <w:kern w:val="24"/>
                <w:sz w:val="24"/>
              </w:rPr>
            </w:pPr>
            <w:r>
              <w:rPr>
                <w:rFonts w:hint="eastAsia"/>
                <w:color w:val="auto"/>
                <w:kern w:val="24"/>
                <w:sz w:val="24"/>
              </w:rPr>
              <w:t>四、废气防治措施可行性分析</w:t>
            </w:r>
          </w:p>
          <w:p w14:paraId="6957D249">
            <w:pPr>
              <w:adjustRightInd w:val="0"/>
              <w:snapToGrid w:val="0"/>
              <w:spacing w:line="360" w:lineRule="auto"/>
              <w:ind w:firstLine="480" w:firstLineChars="200"/>
              <w:rPr>
                <w:color w:val="auto"/>
                <w:kern w:val="24"/>
                <w:sz w:val="24"/>
              </w:rPr>
            </w:pPr>
            <w:r>
              <w:rPr>
                <w:rFonts w:hint="eastAsia"/>
                <w:color w:val="auto"/>
                <w:kern w:val="24"/>
                <w:sz w:val="24"/>
              </w:rPr>
              <w:t>（1）废气治理措施</w:t>
            </w:r>
          </w:p>
          <w:p w14:paraId="5FABA1AF">
            <w:pPr>
              <w:adjustRightInd w:val="0"/>
              <w:snapToGrid w:val="0"/>
              <w:spacing w:line="360" w:lineRule="auto"/>
              <w:ind w:firstLine="480" w:firstLineChars="200"/>
              <w:rPr>
                <w:color w:val="auto"/>
                <w:kern w:val="24"/>
                <w:sz w:val="24"/>
              </w:rPr>
            </w:pPr>
            <w:r>
              <w:rPr>
                <w:rFonts w:hint="eastAsia"/>
                <w:color w:val="auto"/>
                <w:kern w:val="24"/>
                <w:sz w:val="24"/>
              </w:rPr>
              <w:t>项目生产车间高频焊接产生焊接、补焊缝烟尘，经9条生产线焊接工段配套的9套集气罩+布袋除尘器（TA001~TA009）收集处理后，经管道引入</w:t>
            </w:r>
            <w:r>
              <w:rPr>
                <w:color w:val="auto"/>
                <w:kern w:val="24"/>
                <w:sz w:val="24"/>
              </w:rPr>
              <w:t>15m</w:t>
            </w:r>
            <w:r>
              <w:rPr>
                <w:rFonts w:hint="eastAsia"/>
                <w:color w:val="auto"/>
                <w:kern w:val="24"/>
                <w:sz w:val="24"/>
              </w:rPr>
              <w:t>高排气筒排放（DA001~DA003）。</w:t>
            </w:r>
          </w:p>
          <w:p w14:paraId="692B21EB">
            <w:pPr>
              <w:adjustRightInd w:val="0"/>
              <w:snapToGrid w:val="0"/>
              <w:spacing w:line="360" w:lineRule="auto"/>
              <w:ind w:firstLine="480" w:firstLineChars="200"/>
              <w:rPr>
                <w:color w:val="auto"/>
                <w:kern w:val="24"/>
                <w:sz w:val="24"/>
              </w:rPr>
            </w:pPr>
            <w:r>
              <w:rPr>
                <w:rFonts w:hint="eastAsia"/>
                <w:color w:val="auto"/>
                <w:kern w:val="24"/>
                <w:sz w:val="24"/>
              </w:rPr>
              <w:t>厂房为全封闭式结构（加强车间的封闭式建设，四面设置围挡，仅留设运输车辆进出口，上方加设轻钢结构彩钢瓦屋面顶盖）。</w:t>
            </w:r>
          </w:p>
          <w:p w14:paraId="36C127B0">
            <w:pPr>
              <w:adjustRightInd w:val="0"/>
              <w:snapToGrid w:val="0"/>
              <w:spacing w:line="360" w:lineRule="auto"/>
              <w:ind w:firstLine="480" w:firstLineChars="200"/>
              <w:rPr>
                <w:color w:val="auto"/>
                <w:kern w:val="24"/>
                <w:sz w:val="24"/>
              </w:rPr>
            </w:pPr>
            <w:r>
              <w:rPr>
                <w:rFonts w:hint="eastAsia"/>
                <w:color w:val="auto"/>
                <w:kern w:val="24"/>
                <w:sz w:val="24"/>
              </w:rPr>
              <w:t>（2）废气治理措施可行性分析</w:t>
            </w:r>
          </w:p>
          <w:p w14:paraId="2B1C5352">
            <w:pPr>
              <w:adjustRightInd w:val="0"/>
              <w:snapToGrid w:val="0"/>
              <w:spacing w:line="360" w:lineRule="auto"/>
              <w:ind w:firstLine="480" w:firstLineChars="200"/>
              <w:rPr>
                <w:color w:val="auto"/>
                <w:kern w:val="24"/>
                <w:sz w:val="24"/>
              </w:rPr>
            </w:pPr>
            <w:r>
              <w:rPr>
                <w:rFonts w:hint="eastAsia"/>
                <w:color w:val="auto"/>
                <w:kern w:val="24"/>
                <w:sz w:val="24"/>
              </w:rPr>
              <w:t>根据《大气污染治理工程技术导则》（HJ 2000-2010），袋式除尘属于颗粒物处理可行技术。因此，本项目废气防治措施属于污染防治可行技术。根据源强核算，项目高频焊接产生的焊接烟尘经处理后，颗粒物可达到《大气污染物综合排放标准》（GB16297-1996）表2 中二级标准限值。</w:t>
            </w:r>
          </w:p>
          <w:p w14:paraId="78B53618">
            <w:pPr>
              <w:pStyle w:val="70"/>
              <w:ind w:firstLine="480"/>
              <w:rPr>
                <w:color w:val="auto"/>
              </w:rPr>
            </w:pPr>
            <w:r>
              <w:rPr>
                <w:color w:val="auto"/>
              </w:rPr>
              <w:t>根据《排污许可申请与核发技术规范 钢铁工业》（HJ846-2017）</w:t>
            </w:r>
            <w:r>
              <w:rPr>
                <w:rFonts w:hint="eastAsia"/>
                <w:color w:val="auto"/>
              </w:rPr>
              <w:t>，无组织废气可行技术为各废气产生点配备抑尘措施（如局部密闭罩、整体密闭罩、大容积密闭罩等，本项目厂房为全封闭式结构（四面设置围挡，仅留设运输车辆进出口，上方加设轻钢结构彩钢瓦屋面顶盖），可以有效的降低粉尘的排放，属于可行技术。</w:t>
            </w:r>
          </w:p>
          <w:p w14:paraId="07169163">
            <w:pPr>
              <w:adjustRightInd w:val="0"/>
              <w:snapToGrid w:val="0"/>
              <w:spacing w:line="360" w:lineRule="auto"/>
              <w:ind w:firstLine="480" w:firstLineChars="200"/>
              <w:rPr>
                <w:color w:val="auto"/>
                <w:sz w:val="24"/>
              </w:rPr>
            </w:pPr>
            <w:r>
              <w:rPr>
                <w:rFonts w:hint="eastAsia"/>
                <w:color w:val="auto"/>
                <w:sz w:val="24"/>
              </w:rPr>
              <w:t>本项目无组织排放量较小，项目无组织排放废气（颗粒物）可以满足《大气污染物综合排放标准》（GB16297-1996）表2无组织排放监控浓度限值。</w:t>
            </w:r>
          </w:p>
          <w:p w14:paraId="5B635B22">
            <w:pPr>
              <w:adjustRightInd w:val="0"/>
              <w:snapToGrid w:val="0"/>
              <w:spacing w:line="360" w:lineRule="auto"/>
              <w:ind w:firstLine="480" w:firstLineChars="200"/>
              <w:rPr>
                <w:color w:val="auto"/>
                <w:kern w:val="24"/>
                <w:sz w:val="24"/>
              </w:rPr>
            </w:pPr>
            <w:r>
              <w:rPr>
                <w:rFonts w:hint="eastAsia"/>
                <w:color w:val="auto"/>
                <w:kern w:val="24"/>
                <w:sz w:val="24"/>
              </w:rPr>
              <w:t>五、排气筒高度合理性分析</w:t>
            </w:r>
          </w:p>
          <w:p w14:paraId="0DAC0B89">
            <w:pPr>
              <w:adjustRightInd w:val="0"/>
              <w:snapToGrid w:val="0"/>
              <w:spacing w:line="360" w:lineRule="auto"/>
              <w:ind w:firstLine="480" w:firstLineChars="200"/>
              <w:textAlignment w:val="baseline"/>
              <w:rPr>
                <w:color w:val="auto"/>
                <w:kern w:val="24"/>
                <w:sz w:val="24"/>
              </w:rPr>
            </w:pPr>
            <w:r>
              <w:rPr>
                <w:rFonts w:hint="eastAsia"/>
                <w:color w:val="auto"/>
                <w:kern w:val="24"/>
                <w:sz w:val="24"/>
              </w:rPr>
              <w:t>根据《大气污染物综合排放标准》 (GB 16297-1996)，周围200m内有建筑物时，排放口高度应高于最高建筑物</w:t>
            </w:r>
            <w:r>
              <w:rPr>
                <w:color w:val="auto"/>
                <w:kern w:val="24"/>
                <w:sz w:val="24"/>
              </w:rPr>
              <w:t>5</w:t>
            </w:r>
            <w:r>
              <w:rPr>
                <w:rFonts w:hint="eastAsia"/>
                <w:color w:val="auto"/>
                <w:kern w:val="24"/>
                <w:sz w:val="24"/>
              </w:rPr>
              <w:t>m以上。根据现场调查情况，项目排气筒周围200m内最高建筑物为</w:t>
            </w:r>
            <w:r>
              <w:rPr>
                <w:color w:val="auto"/>
                <w:kern w:val="24"/>
                <w:sz w:val="24"/>
              </w:rPr>
              <w:t>10</w:t>
            </w:r>
            <w:r>
              <w:rPr>
                <w:rFonts w:hint="eastAsia"/>
                <w:color w:val="auto"/>
                <w:kern w:val="24"/>
                <w:sz w:val="24"/>
              </w:rPr>
              <w:t>m，本项目排放口高度设置为</w:t>
            </w:r>
            <w:r>
              <w:rPr>
                <w:color w:val="auto"/>
                <w:kern w:val="24"/>
                <w:sz w:val="24"/>
              </w:rPr>
              <w:t>15m</w:t>
            </w:r>
            <w:r>
              <w:rPr>
                <w:rFonts w:hint="eastAsia"/>
                <w:color w:val="auto"/>
                <w:kern w:val="24"/>
                <w:sz w:val="24"/>
              </w:rPr>
              <w:t>，符合标准要求。</w:t>
            </w:r>
          </w:p>
          <w:p w14:paraId="575BE551">
            <w:pPr>
              <w:adjustRightInd w:val="0"/>
              <w:snapToGrid w:val="0"/>
              <w:spacing w:line="360" w:lineRule="auto"/>
              <w:jc w:val="left"/>
              <w:rPr>
                <w:color w:val="auto"/>
                <w:kern w:val="24"/>
              </w:rPr>
            </w:pPr>
            <w:r>
              <w:rPr>
                <w:rFonts w:hint="eastAsia"/>
                <w:b/>
                <w:bCs/>
                <w:color w:val="auto"/>
                <w:sz w:val="24"/>
              </w:rPr>
              <w:t>1.2大气环境影响分析</w:t>
            </w:r>
          </w:p>
          <w:p w14:paraId="4CFA443C">
            <w:pPr>
              <w:adjustRightInd w:val="0"/>
              <w:snapToGrid w:val="0"/>
              <w:spacing w:line="360" w:lineRule="auto"/>
              <w:ind w:firstLine="480" w:firstLineChars="200"/>
              <w:rPr>
                <w:color w:val="auto"/>
                <w:kern w:val="24"/>
                <w:sz w:val="24"/>
              </w:rPr>
            </w:pPr>
            <w:r>
              <w:rPr>
                <w:rFonts w:hint="eastAsia"/>
                <w:color w:val="auto"/>
                <w:kern w:val="24"/>
                <w:sz w:val="24"/>
              </w:rPr>
              <w:t>项目所在区域</w:t>
            </w:r>
            <w:r>
              <w:rPr>
                <w:color w:val="auto"/>
                <w:kern w:val="24"/>
                <w:sz w:val="24"/>
              </w:rPr>
              <w:t>环境空气质量</w:t>
            </w:r>
            <w:r>
              <w:rPr>
                <w:rFonts w:hint="eastAsia"/>
                <w:color w:val="auto"/>
                <w:kern w:val="24"/>
                <w:sz w:val="24"/>
              </w:rPr>
              <w:t>现状为</w:t>
            </w:r>
            <w:r>
              <w:rPr>
                <w:color w:val="auto"/>
                <w:kern w:val="24"/>
                <w:sz w:val="24"/>
              </w:rPr>
              <w:t>达标区</w:t>
            </w:r>
            <w:r>
              <w:rPr>
                <w:rFonts w:hint="eastAsia"/>
                <w:color w:val="auto"/>
                <w:kern w:val="24"/>
                <w:sz w:val="24"/>
              </w:rPr>
              <w:t>，</w:t>
            </w:r>
            <w:r>
              <w:rPr>
                <w:color w:val="auto"/>
                <w:kern w:val="24"/>
                <w:sz w:val="24"/>
              </w:rPr>
              <w:t>符合城市环境空气质量功能二类区要求</w:t>
            </w:r>
            <w:r>
              <w:rPr>
                <w:rFonts w:hint="eastAsia"/>
                <w:color w:val="auto"/>
                <w:kern w:val="24"/>
                <w:sz w:val="24"/>
              </w:rPr>
              <w:t>，</w:t>
            </w:r>
            <w:r>
              <w:rPr>
                <w:color w:val="auto"/>
                <w:kern w:val="24"/>
                <w:sz w:val="24"/>
              </w:rPr>
              <w:t>空气质量状况良好</w:t>
            </w:r>
            <w:r>
              <w:rPr>
                <w:rFonts w:hint="eastAsia"/>
                <w:color w:val="auto"/>
                <w:kern w:val="24"/>
                <w:sz w:val="24"/>
              </w:rPr>
              <w:t>。项目厂界外500m范围内没大气环境保护目标。</w:t>
            </w:r>
          </w:p>
          <w:p w14:paraId="38188DE2">
            <w:pPr>
              <w:pStyle w:val="70"/>
              <w:ind w:firstLine="480"/>
              <w:rPr>
                <w:color w:val="auto"/>
                <w:kern w:val="24"/>
              </w:rPr>
            </w:pPr>
            <w:r>
              <w:rPr>
                <w:rFonts w:hint="eastAsia"/>
                <w:color w:val="auto"/>
                <w:lang w:bidi="en-US"/>
              </w:rPr>
              <w:t>项目运营期的废气主要为</w:t>
            </w:r>
            <w:r>
              <w:rPr>
                <w:rFonts w:hint="eastAsia"/>
                <w:color w:val="auto"/>
                <w:szCs w:val="21"/>
              </w:rPr>
              <w:t>高频焊接工序产生的焊接、补焊缝烟尘和切割粉尘</w:t>
            </w:r>
            <w:r>
              <w:rPr>
                <w:rFonts w:hint="eastAsia"/>
                <w:color w:val="auto"/>
                <w:kern w:val="24"/>
              </w:rPr>
              <w:t>。</w:t>
            </w:r>
          </w:p>
          <w:p w14:paraId="416104A2">
            <w:pPr>
              <w:pStyle w:val="70"/>
              <w:ind w:firstLine="480"/>
              <w:rPr>
                <w:color w:val="auto"/>
                <w:lang w:bidi="en-US"/>
              </w:rPr>
            </w:pPr>
            <w:r>
              <w:rPr>
                <w:rFonts w:hint="eastAsia"/>
                <w:color w:val="auto"/>
                <w:lang w:bidi="en-US"/>
              </w:rPr>
              <w:t>项目间高频焊接产生焊接、补焊缝烟尘，经9条生产线焊接工段配套的9套集气罩+布袋除尘器（TA001~TA009）收集处理后，经管道引入</w:t>
            </w:r>
            <w:r>
              <w:rPr>
                <w:color w:val="auto"/>
                <w:lang w:bidi="en-US"/>
              </w:rPr>
              <w:t>15m</w:t>
            </w:r>
            <w:r>
              <w:rPr>
                <w:rFonts w:hint="eastAsia"/>
                <w:color w:val="auto"/>
                <w:lang w:bidi="en-US"/>
              </w:rPr>
              <w:t>高排气筒排放（DA001~DA003）。厂房为全封闭式结构（四面设置围挡，仅留设运输车辆进出口，上方加设轻钢结构彩钢瓦屋面顶盖）。</w:t>
            </w:r>
          </w:p>
          <w:p w14:paraId="0B80C750">
            <w:pPr>
              <w:adjustRightInd w:val="0"/>
              <w:snapToGrid w:val="0"/>
              <w:spacing w:line="360" w:lineRule="auto"/>
              <w:ind w:firstLine="480" w:firstLineChars="200"/>
              <w:rPr>
                <w:color w:val="auto"/>
                <w:kern w:val="24"/>
                <w:sz w:val="24"/>
              </w:rPr>
            </w:pPr>
            <w:r>
              <w:rPr>
                <w:rFonts w:hint="eastAsia"/>
                <w:color w:val="auto"/>
                <w:kern w:val="24"/>
                <w:sz w:val="24"/>
              </w:rPr>
              <w:t>本项目废气防治措施属于污染防治可行技术。根据源强核算，项目废气经处理后，可以达标排放。</w:t>
            </w:r>
          </w:p>
          <w:p w14:paraId="666AED86">
            <w:pPr>
              <w:adjustRightInd w:val="0"/>
              <w:snapToGrid w:val="0"/>
              <w:spacing w:line="360" w:lineRule="auto"/>
              <w:ind w:firstLine="480" w:firstLineChars="200"/>
              <w:rPr>
                <w:color w:val="auto"/>
                <w:kern w:val="24"/>
                <w:sz w:val="24"/>
              </w:rPr>
            </w:pPr>
            <w:r>
              <w:rPr>
                <w:rFonts w:hint="eastAsia"/>
                <w:color w:val="auto"/>
                <w:kern w:val="24"/>
                <w:sz w:val="24"/>
              </w:rPr>
              <w:t>综上所述，项目所在区域属于环境空气质量达标区。厂界外500m 范围内没有大气环境保护目标，项目废气经处理后满足达标排放，因此项目废气对周边环境影响较小，对环境空气质量影响可以接受。</w:t>
            </w:r>
          </w:p>
          <w:p w14:paraId="3CCDAA1E">
            <w:pPr>
              <w:adjustRightInd w:val="0"/>
              <w:snapToGrid w:val="0"/>
              <w:spacing w:line="360" w:lineRule="auto"/>
              <w:jc w:val="left"/>
              <w:rPr>
                <w:color w:val="auto"/>
                <w:kern w:val="24"/>
              </w:rPr>
            </w:pPr>
            <w:r>
              <w:rPr>
                <w:rFonts w:hint="eastAsia"/>
                <w:b/>
                <w:bCs/>
                <w:color w:val="auto"/>
                <w:sz w:val="24"/>
              </w:rPr>
              <w:t>1.3监测要求</w:t>
            </w:r>
          </w:p>
          <w:p w14:paraId="390414E5">
            <w:pPr>
              <w:adjustRightInd w:val="0"/>
              <w:snapToGrid w:val="0"/>
              <w:spacing w:line="360" w:lineRule="auto"/>
              <w:ind w:firstLine="480" w:firstLineChars="200"/>
              <w:rPr>
                <w:color w:val="auto"/>
                <w:kern w:val="24"/>
                <w:sz w:val="24"/>
              </w:rPr>
            </w:pPr>
            <w:r>
              <w:rPr>
                <w:rFonts w:hint="eastAsia"/>
                <w:color w:val="auto"/>
                <w:kern w:val="24"/>
                <w:sz w:val="24"/>
              </w:rPr>
              <w:t>参照《排污单位自行监测技术指南 总则》(HJ 819-2017)、《排污单位自行监测技术指南 钢铁工业及炼焦化学工业》（HJ878-2017）中相关要求，</w:t>
            </w:r>
            <w:r>
              <w:rPr>
                <w:color w:val="auto"/>
                <w:kern w:val="24"/>
                <w:sz w:val="24"/>
              </w:rPr>
              <w:t>本环评推荐监测计划如下，最终以项目排污许可证规定为主</w:t>
            </w:r>
            <w:r>
              <w:rPr>
                <w:rFonts w:hint="eastAsia"/>
                <w:color w:val="auto"/>
                <w:kern w:val="24"/>
                <w:sz w:val="24"/>
              </w:rPr>
              <w:t>。</w:t>
            </w:r>
          </w:p>
          <w:p w14:paraId="6CA2606B">
            <w:pPr>
              <w:adjustRightInd w:val="0"/>
              <w:snapToGrid w:val="0"/>
              <w:spacing w:line="360" w:lineRule="auto"/>
              <w:ind w:firstLine="482" w:firstLineChars="200"/>
              <w:jc w:val="center"/>
              <w:rPr>
                <w:b/>
                <w:bCs/>
                <w:color w:val="auto"/>
                <w:kern w:val="24"/>
                <w:sz w:val="24"/>
              </w:rPr>
            </w:pPr>
            <w:r>
              <w:rPr>
                <w:b/>
                <w:bCs/>
                <w:color w:val="auto"/>
                <w:kern w:val="24"/>
                <w:sz w:val="24"/>
              </w:rPr>
              <w:t>表</w:t>
            </w:r>
            <w:r>
              <w:rPr>
                <w:rFonts w:hint="eastAsia"/>
                <w:b/>
                <w:bCs/>
                <w:color w:val="auto"/>
                <w:kern w:val="24"/>
                <w:sz w:val="24"/>
              </w:rPr>
              <w:t>4-8  项目运营期废气</w:t>
            </w:r>
            <w:r>
              <w:rPr>
                <w:b/>
                <w:bCs/>
                <w:color w:val="auto"/>
                <w:kern w:val="24"/>
                <w:sz w:val="24"/>
              </w:rPr>
              <w:t>监测</w:t>
            </w:r>
            <w:r>
              <w:rPr>
                <w:rFonts w:hint="eastAsia"/>
                <w:b/>
                <w:bCs/>
                <w:color w:val="auto"/>
                <w:kern w:val="24"/>
                <w:sz w:val="24"/>
              </w:rPr>
              <w:t>要求</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
              <w:gridCol w:w="1505"/>
              <w:gridCol w:w="1345"/>
              <w:gridCol w:w="1134"/>
              <w:gridCol w:w="4146"/>
            </w:tblGrid>
            <w:tr w14:paraId="29C73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760" w:type="dxa"/>
                  <w:vAlign w:val="center"/>
                </w:tcPr>
                <w:p w14:paraId="1012C97A">
                  <w:pPr>
                    <w:jc w:val="center"/>
                    <w:rPr>
                      <w:color w:val="auto"/>
                      <w:szCs w:val="21"/>
                    </w:rPr>
                  </w:pPr>
                  <w:r>
                    <w:rPr>
                      <w:rFonts w:hint="eastAsia"/>
                      <w:color w:val="auto"/>
                      <w:szCs w:val="21"/>
                    </w:rPr>
                    <w:t>项目</w:t>
                  </w:r>
                </w:p>
              </w:tc>
              <w:tc>
                <w:tcPr>
                  <w:tcW w:w="1505" w:type="dxa"/>
                  <w:vAlign w:val="center"/>
                </w:tcPr>
                <w:p w14:paraId="3BC816E7">
                  <w:pPr>
                    <w:jc w:val="center"/>
                    <w:rPr>
                      <w:color w:val="auto"/>
                      <w:szCs w:val="21"/>
                    </w:rPr>
                  </w:pPr>
                  <w:r>
                    <w:rPr>
                      <w:rFonts w:hint="eastAsia"/>
                      <w:color w:val="auto"/>
                      <w:szCs w:val="21"/>
                    </w:rPr>
                    <w:t>监测点位</w:t>
                  </w:r>
                </w:p>
              </w:tc>
              <w:tc>
                <w:tcPr>
                  <w:tcW w:w="1345" w:type="dxa"/>
                  <w:vAlign w:val="center"/>
                </w:tcPr>
                <w:p w14:paraId="06235DA2">
                  <w:pPr>
                    <w:jc w:val="center"/>
                    <w:rPr>
                      <w:color w:val="auto"/>
                      <w:szCs w:val="21"/>
                    </w:rPr>
                  </w:pPr>
                  <w:r>
                    <w:rPr>
                      <w:rFonts w:hint="eastAsia"/>
                      <w:color w:val="auto"/>
                      <w:szCs w:val="21"/>
                    </w:rPr>
                    <w:t>监测因子</w:t>
                  </w:r>
                </w:p>
              </w:tc>
              <w:tc>
                <w:tcPr>
                  <w:tcW w:w="1134" w:type="dxa"/>
                  <w:vAlign w:val="center"/>
                </w:tcPr>
                <w:p w14:paraId="15CBCECB">
                  <w:pPr>
                    <w:jc w:val="center"/>
                    <w:rPr>
                      <w:color w:val="auto"/>
                      <w:szCs w:val="21"/>
                    </w:rPr>
                  </w:pPr>
                  <w:r>
                    <w:rPr>
                      <w:rFonts w:hint="eastAsia"/>
                      <w:color w:val="auto"/>
                      <w:szCs w:val="21"/>
                    </w:rPr>
                    <w:t>监测频次</w:t>
                  </w:r>
                </w:p>
              </w:tc>
              <w:tc>
                <w:tcPr>
                  <w:tcW w:w="4146" w:type="dxa"/>
                  <w:vAlign w:val="center"/>
                </w:tcPr>
                <w:p w14:paraId="46C90B67">
                  <w:pPr>
                    <w:jc w:val="center"/>
                    <w:rPr>
                      <w:color w:val="auto"/>
                      <w:szCs w:val="21"/>
                    </w:rPr>
                  </w:pPr>
                  <w:r>
                    <w:rPr>
                      <w:rFonts w:hint="eastAsia"/>
                      <w:color w:val="auto"/>
                      <w:szCs w:val="21"/>
                    </w:rPr>
                    <w:t>执行标准</w:t>
                  </w:r>
                </w:p>
              </w:tc>
            </w:tr>
            <w:tr w14:paraId="33B8D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760" w:type="dxa"/>
                  <w:vAlign w:val="center"/>
                </w:tcPr>
                <w:p w14:paraId="5A999B43">
                  <w:pPr>
                    <w:jc w:val="center"/>
                    <w:rPr>
                      <w:color w:val="auto"/>
                      <w:szCs w:val="21"/>
                    </w:rPr>
                  </w:pPr>
                  <w:r>
                    <w:rPr>
                      <w:rFonts w:hint="eastAsia"/>
                      <w:color w:val="auto"/>
                      <w:szCs w:val="21"/>
                    </w:rPr>
                    <w:t>有组织废气</w:t>
                  </w:r>
                </w:p>
              </w:tc>
              <w:tc>
                <w:tcPr>
                  <w:tcW w:w="1505" w:type="dxa"/>
                  <w:vAlign w:val="center"/>
                </w:tcPr>
                <w:p w14:paraId="51E649BB">
                  <w:pPr>
                    <w:jc w:val="center"/>
                    <w:rPr>
                      <w:color w:val="auto"/>
                      <w:kern w:val="24"/>
                      <w:szCs w:val="21"/>
                    </w:rPr>
                  </w:pPr>
                  <w:r>
                    <w:rPr>
                      <w:rFonts w:hint="eastAsia"/>
                      <w:color w:val="auto"/>
                      <w:kern w:val="24"/>
                      <w:szCs w:val="21"/>
                    </w:rPr>
                    <w:t>高频焊接烟尘（DA00</w:t>
                  </w:r>
                  <w:r>
                    <w:rPr>
                      <w:color w:val="auto"/>
                      <w:kern w:val="24"/>
                      <w:szCs w:val="21"/>
                    </w:rPr>
                    <w:t>1</w:t>
                  </w:r>
                  <w:r>
                    <w:rPr>
                      <w:rFonts w:hint="eastAsia"/>
                      <w:color w:val="auto"/>
                      <w:kern w:val="24"/>
                      <w:szCs w:val="21"/>
                    </w:rPr>
                    <w:t>、DA002、DA003）</w:t>
                  </w:r>
                </w:p>
              </w:tc>
              <w:tc>
                <w:tcPr>
                  <w:tcW w:w="1345" w:type="dxa"/>
                  <w:vAlign w:val="center"/>
                </w:tcPr>
                <w:p w14:paraId="0AA77676">
                  <w:pPr>
                    <w:jc w:val="center"/>
                    <w:rPr>
                      <w:color w:val="auto"/>
                      <w:kern w:val="0"/>
                      <w:szCs w:val="21"/>
                      <w:lang w:bidi="ar"/>
                    </w:rPr>
                  </w:pPr>
                  <w:r>
                    <w:rPr>
                      <w:rFonts w:hint="eastAsia" w:eastAsiaTheme="minorEastAsia"/>
                      <w:color w:val="auto"/>
                      <w:kern w:val="24"/>
                      <w:szCs w:val="21"/>
                    </w:rPr>
                    <w:t>颗粒物</w:t>
                  </w:r>
                </w:p>
              </w:tc>
              <w:tc>
                <w:tcPr>
                  <w:tcW w:w="1134" w:type="dxa"/>
                  <w:vAlign w:val="center"/>
                </w:tcPr>
                <w:p w14:paraId="55783314">
                  <w:pPr>
                    <w:jc w:val="center"/>
                    <w:rPr>
                      <w:color w:val="auto"/>
                      <w:szCs w:val="21"/>
                    </w:rPr>
                  </w:pPr>
                  <w:r>
                    <w:rPr>
                      <w:color w:val="auto"/>
                      <w:kern w:val="0"/>
                      <w:szCs w:val="21"/>
                      <w:lang w:bidi="ar"/>
                    </w:rPr>
                    <w:t>1次/</w:t>
                  </w:r>
                  <w:r>
                    <w:rPr>
                      <w:rFonts w:hint="eastAsia"/>
                      <w:color w:val="auto"/>
                      <w:kern w:val="0"/>
                      <w:szCs w:val="21"/>
                      <w:lang w:bidi="ar"/>
                    </w:rPr>
                    <w:t>两</w:t>
                  </w:r>
                  <w:r>
                    <w:rPr>
                      <w:rFonts w:hint="eastAsia"/>
                      <w:color w:val="auto"/>
                      <w:szCs w:val="21"/>
                    </w:rPr>
                    <w:t>年</w:t>
                  </w:r>
                </w:p>
              </w:tc>
              <w:tc>
                <w:tcPr>
                  <w:tcW w:w="4146" w:type="dxa"/>
                  <w:vAlign w:val="center"/>
                </w:tcPr>
                <w:p w14:paraId="7F4C7887">
                  <w:pPr>
                    <w:jc w:val="center"/>
                    <w:rPr>
                      <w:color w:val="auto"/>
                      <w:kern w:val="0"/>
                      <w:szCs w:val="21"/>
                      <w:lang w:bidi="ar"/>
                    </w:rPr>
                  </w:pPr>
                  <w:r>
                    <w:rPr>
                      <w:rFonts w:hint="eastAsia" w:eastAsiaTheme="minorEastAsia"/>
                      <w:color w:val="auto"/>
                    </w:rPr>
                    <w:t>《大气污染物综合排放标准》（GB16297-1996）表2 中二级标准限值</w:t>
                  </w:r>
                </w:p>
              </w:tc>
            </w:tr>
            <w:tr w14:paraId="53529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0" w:type="dxa"/>
                  <w:vAlign w:val="center"/>
                </w:tcPr>
                <w:p w14:paraId="548FC96E">
                  <w:pPr>
                    <w:jc w:val="center"/>
                    <w:rPr>
                      <w:color w:val="auto"/>
                      <w:szCs w:val="21"/>
                    </w:rPr>
                  </w:pPr>
                  <w:r>
                    <w:rPr>
                      <w:rFonts w:hint="eastAsia"/>
                      <w:color w:val="auto"/>
                      <w:szCs w:val="21"/>
                    </w:rPr>
                    <w:t>无组织废气</w:t>
                  </w:r>
                </w:p>
              </w:tc>
              <w:tc>
                <w:tcPr>
                  <w:tcW w:w="1505" w:type="dxa"/>
                  <w:vAlign w:val="center"/>
                </w:tcPr>
                <w:p w14:paraId="2B2F563B">
                  <w:pPr>
                    <w:jc w:val="center"/>
                    <w:rPr>
                      <w:color w:val="auto"/>
                      <w:kern w:val="24"/>
                      <w:szCs w:val="21"/>
                    </w:rPr>
                  </w:pPr>
                  <w:r>
                    <w:rPr>
                      <w:rFonts w:hint="eastAsia"/>
                      <w:color w:val="auto"/>
                      <w:kern w:val="0"/>
                      <w:szCs w:val="22"/>
                    </w:rPr>
                    <w:t>项目厂界上风向设置1个，项目厂界下风向设置3个</w:t>
                  </w:r>
                </w:p>
              </w:tc>
              <w:tc>
                <w:tcPr>
                  <w:tcW w:w="1345" w:type="dxa"/>
                  <w:vAlign w:val="center"/>
                </w:tcPr>
                <w:p w14:paraId="520BE408">
                  <w:pPr>
                    <w:jc w:val="center"/>
                    <w:rPr>
                      <w:rFonts w:eastAsiaTheme="minorEastAsia"/>
                      <w:color w:val="auto"/>
                      <w:kern w:val="24"/>
                      <w:szCs w:val="21"/>
                    </w:rPr>
                  </w:pPr>
                  <w:r>
                    <w:rPr>
                      <w:rFonts w:hint="eastAsia" w:eastAsiaTheme="minorEastAsia"/>
                      <w:color w:val="auto"/>
                      <w:kern w:val="24"/>
                      <w:szCs w:val="21"/>
                    </w:rPr>
                    <w:t>颗粒物</w:t>
                  </w:r>
                </w:p>
              </w:tc>
              <w:tc>
                <w:tcPr>
                  <w:tcW w:w="1134" w:type="dxa"/>
                  <w:vAlign w:val="center"/>
                </w:tcPr>
                <w:p w14:paraId="2D37F580">
                  <w:pPr>
                    <w:jc w:val="center"/>
                    <w:rPr>
                      <w:color w:val="auto"/>
                      <w:szCs w:val="21"/>
                    </w:rPr>
                  </w:pPr>
                  <w:r>
                    <w:rPr>
                      <w:color w:val="auto"/>
                      <w:kern w:val="0"/>
                      <w:szCs w:val="21"/>
                      <w:lang w:bidi="ar"/>
                    </w:rPr>
                    <w:t>1次/</w:t>
                  </w:r>
                  <w:r>
                    <w:rPr>
                      <w:rFonts w:hint="eastAsia"/>
                      <w:color w:val="auto"/>
                      <w:szCs w:val="21"/>
                    </w:rPr>
                    <w:t>季度</w:t>
                  </w:r>
                </w:p>
              </w:tc>
              <w:tc>
                <w:tcPr>
                  <w:tcW w:w="4146" w:type="dxa"/>
                  <w:vAlign w:val="center"/>
                </w:tcPr>
                <w:p w14:paraId="56D20D3C">
                  <w:pPr>
                    <w:adjustRightInd w:val="0"/>
                    <w:snapToGrid w:val="0"/>
                    <w:jc w:val="center"/>
                    <w:rPr>
                      <w:color w:val="auto"/>
                      <w:szCs w:val="21"/>
                    </w:rPr>
                  </w:pPr>
                  <w:r>
                    <w:rPr>
                      <w:rFonts w:hint="eastAsia"/>
                      <w:color w:val="auto"/>
                    </w:rPr>
                    <w:t>《大气污染物综合排放标准》（GB16297-1996）表2中新污染源大气污染物无组织排放监控浓度限值</w:t>
                  </w:r>
                </w:p>
              </w:tc>
            </w:tr>
          </w:tbl>
          <w:p w14:paraId="4224B153">
            <w:pPr>
              <w:adjustRightInd w:val="0"/>
              <w:snapToGrid w:val="0"/>
              <w:spacing w:line="360" w:lineRule="auto"/>
              <w:ind w:firstLine="480" w:firstLineChars="200"/>
              <w:rPr>
                <w:color w:val="auto"/>
                <w:kern w:val="24"/>
                <w:sz w:val="24"/>
              </w:rPr>
            </w:pPr>
          </w:p>
          <w:p w14:paraId="16390FC5">
            <w:pPr>
              <w:adjustRightInd w:val="0"/>
              <w:snapToGrid w:val="0"/>
              <w:spacing w:line="360" w:lineRule="auto"/>
              <w:jc w:val="left"/>
              <w:rPr>
                <w:b/>
                <w:bCs/>
                <w:color w:val="auto"/>
                <w:sz w:val="24"/>
              </w:rPr>
            </w:pPr>
            <w:r>
              <w:rPr>
                <w:rFonts w:hint="eastAsia"/>
                <w:b/>
                <w:bCs/>
                <w:color w:val="auto"/>
                <w:sz w:val="24"/>
              </w:rPr>
              <w:t>2、运营期废水环境影响和保护措施</w:t>
            </w:r>
          </w:p>
          <w:p w14:paraId="261EA932">
            <w:pPr>
              <w:adjustRightInd w:val="0"/>
              <w:snapToGrid w:val="0"/>
              <w:spacing w:line="360" w:lineRule="auto"/>
              <w:jc w:val="left"/>
              <w:rPr>
                <w:b/>
                <w:bCs/>
                <w:color w:val="auto"/>
                <w:sz w:val="24"/>
              </w:rPr>
            </w:pPr>
            <w:r>
              <w:rPr>
                <w:rFonts w:hint="eastAsia"/>
                <w:b/>
                <w:bCs/>
                <w:color w:val="auto"/>
                <w:sz w:val="24"/>
              </w:rPr>
              <w:t>2.1 污染源源强核算及达标排放情况</w:t>
            </w:r>
          </w:p>
          <w:p w14:paraId="1429DC6A">
            <w:pPr>
              <w:adjustRightInd w:val="0"/>
              <w:snapToGrid w:val="0"/>
              <w:spacing w:line="360" w:lineRule="auto"/>
              <w:ind w:firstLine="480" w:firstLineChars="200"/>
              <w:rPr>
                <w:bCs/>
                <w:color w:val="auto"/>
                <w:sz w:val="24"/>
              </w:rPr>
            </w:pPr>
            <w:r>
              <w:rPr>
                <w:rFonts w:hint="eastAsia"/>
                <w:bCs/>
                <w:color w:val="auto"/>
                <w:sz w:val="24"/>
              </w:rPr>
              <w:t>本项目废水主要为生活污水、生产废水。项目生产废水主要为焊管生产车间产品直接冷却水。</w:t>
            </w:r>
          </w:p>
          <w:p w14:paraId="5EEC481C">
            <w:pPr>
              <w:adjustRightInd w:val="0"/>
              <w:snapToGrid w:val="0"/>
              <w:spacing w:line="360" w:lineRule="auto"/>
              <w:ind w:firstLine="480" w:firstLineChars="200"/>
              <w:rPr>
                <w:color w:val="auto"/>
                <w:kern w:val="24"/>
                <w:sz w:val="24"/>
              </w:rPr>
            </w:pPr>
            <w:r>
              <w:rPr>
                <w:rFonts w:hint="eastAsia"/>
                <w:color w:val="auto"/>
                <w:kern w:val="24"/>
                <w:sz w:val="24"/>
              </w:rPr>
              <w:t>（1）生活污水</w:t>
            </w:r>
          </w:p>
          <w:p w14:paraId="29974429">
            <w:pPr>
              <w:adjustRightInd w:val="0"/>
              <w:snapToGrid w:val="0"/>
              <w:spacing w:line="360" w:lineRule="auto"/>
              <w:ind w:firstLine="480" w:firstLineChars="200"/>
              <w:rPr>
                <w:color w:val="auto"/>
                <w:kern w:val="24"/>
                <w:sz w:val="24"/>
              </w:rPr>
            </w:pPr>
            <w:r>
              <w:rPr>
                <w:rFonts w:hint="eastAsia"/>
                <w:color w:val="auto"/>
                <w:kern w:val="24"/>
                <w:sz w:val="24"/>
              </w:rPr>
              <w:t>根据项目水平衡计算，</w:t>
            </w:r>
            <w:r>
              <w:rPr>
                <w:color w:val="auto"/>
                <w:kern w:val="24"/>
                <w:sz w:val="24"/>
              </w:rPr>
              <w:t>本项目</w:t>
            </w:r>
            <w:r>
              <w:rPr>
                <w:rFonts w:hint="eastAsia"/>
                <w:color w:val="auto"/>
                <w:kern w:val="24"/>
                <w:sz w:val="24"/>
              </w:rPr>
              <w:t>生活污水</w:t>
            </w:r>
            <w:r>
              <w:rPr>
                <w:color w:val="auto"/>
                <w:kern w:val="24"/>
                <w:sz w:val="24"/>
              </w:rPr>
              <w:t>产生总量为</w:t>
            </w:r>
            <w:r>
              <w:rPr>
                <w:rFonts w:hint="eastAsia"/>
                <w:color w:val="auto"/>
                <w:kern w:val="24"/>
                <w:sz w:val="24"/>
              </w:rPr>
              <w:t>432</w:t>
            </w:r>
            <w:r>
              <w:rPr>
                <w:color w:val="auto"/>
                <w:kern w:val="24"/>
                <w:sz w:val="24"/>
              </w:rPr>
              <w:t>m</w:t>
            </w:r>
            <w:r>
              <w:rPr>
                <w:color w:val="auto"/>
                <w:kern w:val="24"/>
                <w:sz w:val="24"/>
                <w:vertAlign w:val="superscript"/>
              </w:rPr>
              <w:t>3</w:t>
            </w:r>
            <w:r>
              <w:rPr>
                <w:color w:val="auto"/>
                <w:kern w:val="24"/>
                <w:sz w:val="24"/>
              </w:rPr>
              <w:t>/a（</w:t>
            </w:r>
            <w:r>
              <w:rPr>
                <w:rFonts w:hint="eastAsia"/>
                <w:color w:val="auto"/>
                <w:kern w:val="24"/>
                <w:sz w:val="24"/>
              </w:rPr>
              <w:t>1.44</w:t>
            </w:r>
            <w:r>
              <w:rPr>
                <w:color w:val="auto"/>
                <w:kern w:val="24"/>
                <w:sz w:val="24"/>
              </w:rPr>
              <w:t>m</w:t>
            </w:r>
            <w:r>
              <w:rPr>
                <w:color w:val="auto"/>
                <w:kern w:val="24"/>
                <w:sz w:val="24"/>
                <w:vertAlign w:val="superscript"/>
              </w:rPr>
              <w:t>3</w:t>
            </w:r>
            <w:r>
              <w:rPr>
                <w:color w:val="auto"/>
                <w:kern w:val="24"/>
                <w:sz w:val="24"/>
              </w:rPr>
              <w:t>/d）</w:t>
            </w:r>
            <w:r>
              <w:rPr>
                <w:rFonts w:hint="eastAsia"/>
                <w:color w:val="auto"/>
                <w:kern w:val="24"/>
                <w:sz w:val="24"/>
              </w:rPr>
              <w:t>。</w:t>
            </w:r>
          </w:p>
          <w:p w14:paraId="24D80101">
            <w:pPr>
              <w:adjustRightInd w:val="0"/>
              <w:snapToGrid w:val="0"/>
              <w:spacing w:line="360" w:lineRule="auto"/>
              <w:ind w:firstLine="480" w:firstLineChars="200"/>
              <w:rPr>
                <w:color w:val="auto"/>
                <w:kern w:val="24"/>
                <w:sz w:val="24"/>
              </w:rPr>
            </w:pPr>
            <w:r>
              <w:rPr>
                <w:rFonts w:hint="eastAsia"/>
                <w:color w:val="auto"/>
                <w:kern w:val="24"/>
                <w:sz w:val="24"/>
              </w:rPr>
              <w:t>项目生活污水经化粪池预处理达《污水综合排放标准》（GB8978-1996）表4三级标准和《污水排入城镇下水道水质标准》（GB/T31962-2015）表1B等级标准限值后通过罐车拉至纳古镇污水处理站处理。</w:t>
            </w:r>
          </w:p>
          <w:p w14:paraId="4467FCA0">
            <w:pPr>
              <w:adjustRightInd w:val="0"/>
              <w:snapToGrid w:val="0"/>
              <w:spacing w:line="360" w:lineRule="auto"/>
              <w:ind w:firstLine="482" w:firstLineChars="200"/>
              <w:jc w:val="center"/>
              <w:rPr>
                <w:b/>
                <w:bCs/>
                <w:color w:val="auto"/>
                <w:kern w:val="24"/>
                <w:sz w:val="24"/>
              </w:rPr>
            </w:pPr>
            <w:r>
              <w:rPr>
                <w:b/>
                <w:bCs/>
                <w:color w:val="auto"/>
                <w:kern w:val="24"/>
                <w:sz w:val="24"/>
              </w:rPr>
              <w:t>表</w:t>
            </w:r>
            <w:r>
              <w:rPr>
                <w:rFonts w:hint="eastAsia"/>
                <w:b/>
                <w:bCs/>
                <w:color w:val="auto"/>
                <w:kern w:val="24"/>
                <w:sz w:val="24"/>
              </w:rPr>
              <w:t>4</w:t>
            </w:r>
            <w:r>
              <w:rPr>
                <w:b/>
                <w:bCs/>
                <w:color w:val="auto"/>
                <w:kern w:val="24"/>
                <w:sz w:val="24"/>
              </w:rPr>
              <w:t>-</w:t>
            </w:r>
            <w:r>
              <w:rPr>
                <w:rFonts w:hint="eastAsia"/>
                <w:b/>
                <w:bCs/>
                <w:color w:val="auto"/>
                <w:kern w:val="24"/>
                <w:sz w:val="24"/>
              </w:rPr>
              <w:t>9</w:t>
            </w:r>
            <w:r>
              <w:rPr>
                <w:b/>
                <w:bCs/>
                <w:color w:val="auto"/>
                <w:kern w:val="24"/>
                <w:sz w:val="24"/>
              </w:rPr>
              <w:t xml:space="preserve">   项目</w:t>
            </w:r>
            <w:r>
              <w:rPr>
                <w:rFonts w:hint="eastAsia"/>
                <w:b/>
                <w:bCs/>
                <w:color w:val="auto"/>
                <w:kern w:val="24"/>
                <w:sz w:val="24"/>
              </w:rPr>
              <w:t>建成后生活污水</w:t>
            </w:r>
            <w:r>
              <w:rPr>
                <w:b/>
                <w:bCs/>
                <w:color w:val="auto"/>
                <w:kern w:val="24"/>
                <w:sz w:val="24"/>
              </w:rPr>
              <w:t>统计情况表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6"/>
              <w:gridCol w:w="1445"/>
              <w:gridCol w:w="745"/>
              <w:gridCol w:w="890"/>
              <w:gridCol w:w="1271"/>
              <w:gridCol w:w="1024"/>
              <w:gridCol w:w="1135"/>
              <w:gridCol w:w="1294"/>
            </w:tblGrid>
            <w:tr w14:paraId="32B5A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jc w:val="center"/>
              </w:trPr>
              <w:tc>
                <w:tcPr>
                  <w:tcW w:w="1175" w:type="dxa"/>
                  <w:vMerge w:val="restart"/>
                  <w:vAlign w:val="center"/>
                </w:tcPr>
                <w:p w14:paraId="64536728">
                  <w:pPr>
                    <w:pStyle w:val="8"/>
                    <w:spacing w:line="360" w:lineRule="exact"/>
                    <w:ind w:firstLine="0"/>
                    <w:jc w:val="center"/>
                    <w:rPr>
                      <w:color w:val="auto"/>
                      <w:sz w:val="21"/>
                      <w:szCs w:val="21"/>
                    </w:rPr>
                  </w:pPr>
                  <w:r>
                    <w:rPr>
                      <w:rFonts w:hint="eastAsia"/>
                      <w:color w:val="auto"/>
                      <w:sz w:val="21"/>
                      <w:szCs w:val="21"/>
                    </w:rPr>
                    <w:t>废水量</w:t>
                  </w:r>
                </w:p>
              </w:tc>
              <w:tc>
                <w:tcPr>
                  <w:tcW w:w="1632" w:type="dxa"/>
                  <w:vMerge w:val="restart"/>
                  <w:vAlign w:val="center"/>
                </w:tcPr>
                <w:p w14:paraId="6EA94BFC">
                  <w:pPr>
                    <w:pStyle w:val="8"/>
                    <w:spacing w:line="360" w:lineRule="exact"/>
                    <w:ind w:firstLine="0"/>
                    <w:jc w:val="center"/>
                    <w:rPr>
                      <w:color w:val="auto"/>
                      <w:sz w:val="21"/>
                      <w:szCs w:val="21"/>
                    </w:rPr>
                  </w:pPr>
                  <w:r>
                    <w:rPr>
                      <w:color w:val="auto"/>
                      <w:sz w:val="21"/>
                      <w:szCs w:val="21"/>
                    </w:rPr>
                    <w:t>污染物浓度及排放量</w:t>
                  </w:r>
                </w:p>
              </w:tc>
              <w:tc>
                <w:tcPr>
                  <w:tcW w:w="759" w:type="dxa"/>
                  <w:vMerge w:val="restart"/>
                  <w:vAlign w:val="center"/>
                </w:tcPr>
                <w:p w14:paraId="6FD4F64F">
                  <w:pPr>
                    <w:pStyle w:val="8"/>
                    <w:spacing w:line="360" w:lineRule="exact"/>
                    <w:ind w:firstLine="0"/>
                    <w:jc w:val="center"/>
                    <w:rPr>
                      <w:color w:val="auto"/>
                      <w:sz w:val="21"/>
                      <w:szCs w:val="21"/>
                    </w:rPr>
                  </w:pPr>
                  <w:r>
                    <w:rPr>
                      <w:color w:val="auto"/>
                      <w:sz w:val="21"/>
                      <w:szCs w:val="21"/>
                    </w:rPr>
                    <w:t>单位</w:t>
                  </w:r>
                </w:p>
              </w:tc>
              <w:tc>
                <w:tcPr>
                  <w:tcW w:w="5968" w:type="dxa"/>
                  <w:gridSpan w:val="5"/>
                  <w:vAlign w:val="center"/>
                </w:tcPr>
                <w:p w14:paraId="57FA26F7">
                  <w:pPr>
                    <w:pStyle w:val="8"/>
                    <w:spacing w:line="360" w:lineRule="exact"/>
                    <w:ind w:firstLine="0"/>
                    <w:jc w:val="center"/>
                    <w:rPr>
                      <w:color w:val="auto"/>
                      <w:sz w:val="21"/>
                      <w:szCs w:val="21"/>
                    </w:rPr>
                  </w:pPr>
                  <w:r>
                    <w:rPr>
                      <w:color w:val="auto"/>
                      <w:sz w:val="21"/>
                      <w:szCs w:val="21"/>
                    </w:rPr>
                    <w:t>污染物</w:t>
                  </w:r>
                </w:p>
              </w:tc>
            </w:tr>
            <w:tr w14:paraId="6C3D5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175" w:type="dxa"/>
                  <w:vMerge w:val="continue"/>
                  <w:vAlign w:val="center"/>
                </w:tcPr>
                <w:p w14:paraId="7E899173">
                  <w:pPr>
                    <w:pStyle w:val="8"/>
                    <w:spacing w:line="360" w:lineRule="exact"/>
                    <w:ind w:firstLine="0"/>
                    <w:jc w:val="center"/>
                    <w:rPr>
                      <w:color w:val="auto"/>
                      <w:sz w:val="21"/>
                      <w:szCs w:val="21"/>
                    </w:rPr>
                  </w:pPr>
                </w:p>
              </w:tc>
              <w:tc>
                <w:tcPr>
                  <w:tcW w:w="1632" w:type="dxa"/>
                  <w:vMerge w:val="continue"/>
                  <w:vAlign w:val="center"/>
                </w:tcPr>
                <w:p w14:paraId="7E9DE049">
                  <w:pPr>
                    <w:pStyle w:val="8"/>
                    <w:spacing w:line="360" w:lineRule="exact"/>
                    <w:ind w:firstLine="0"/>
                    <w:jc w:val="center"/>
                    <w:rPr>
                      <w:color w:val="auto"/>
                      <w:sz w:val="21"/>
                      <w:szCs w:val="21"/>
                    </w:rPr>
                  </w:pPr>
                </w:p>
              </w:tc>
              <w:tc>
                <w:tcPr>
                  <w:tcW w:w="759" w:type="dxa"/>
                  <w:vMerge w:val="continue"/>
                  <w:vAlign w:val="center"/>
                </w:tcPr>
                <w:p w14:paraId="09B245F0">
                  <w:pPr>
                    <w:pStyle w:val="8"/>
                    <w:spacing w:line="360" w:lineRule="exact"/>
                    <w:ind w:firstLine="0"/>
                    <w:jc w:val="center"/>
                    <w:rPr>
                      <w:color w:val="auto"/>
                      <w:sz w:val="21"/>
                      <w:szCs w:val="21"/>
                    </w:rPr>
                  </w:pPr>
                </w:p>
              </w:tc>
              <w:tc>
                <w:tcPr>
                  <w:tcW w:w="913" w:type="dxa"/>
                  <w:vAlign w:val="center"/>
                </w:tcPr>
                <w:p w14:paraId="1731AD94">
                  <w:pPr>
                    <w:pStyle w:val="8"/>
                    <w:spacing w:line="360" w:lineRule="exact"/>
                    <w:ind w:firstLine="0"/>
                    <w:jc w:val="center"/>
                    <w:rPr>
                      <w:color w:val="auto"/>
                      <w:sz w:val="21"/>
                      <w:szCs w:val="21"/>
                    </w:rPr>
                  </w:pPr>
                  <w:r>
                    <w:rPr>
                      <w:color w:val="auto"/>
                      <w:sz w:val="21"/>
                      <w:szCs w:val="21"/>
                    </w:rPr>
                    <w:t>COD</w:t>
                  </w:r>
                  <w:r>
                    <w:rPr>
                      <w:color w:val="auto"/>
                      <w:sz w:val="21"/>
                      <w:szCs w:val="21"/>
                      <w:vertAlign w:val="subscript"/>
                    </w:rPr>
                    <w:t>cr</w:t>
                  </w:r>
                </w:p>
              </w:tc>
              <w:tc>
                <w:tcPr>
                  <w:tcW w:w="1371" w:type="dxa"/>
                  <w:vAlign w:val="center"/>
                </w:tcPr>
                <w:p w14:paraId="67DCD2BE">
                  <w:pPr>
                    <w:pStyle w:val="8"/>
                    <w:spacing w:line="360" w:lineRule="exact"/>
                    <w:ind w:firstLine="0"/>
                    <w:jc w:val="center"/>
                    <w:rPr>
                      <w:color w:val="auto"/>
                      <w:sz w:val="21"/>
                      <w:szCs w:val="21"/>
                    </w:rPr>
                  </w:pPr>
                  <w:r>
                    <w:rPr>
                      <w:color w:val="auto"/>
                      <w:sz w:val="21"/>
                      <w:szCs w:val="21"/>
                    </w:rPr>
                    <w:t>BOD</w:t>
                  </w:r>
                  <w:r>
                    <w:rPr>
                      <w:color w:val="auto"/>
                      <w:sz w:val="21"/>
                      <w:szCs w:val="21"/>
                      <w:vertAlign w:val="subscript"/>
                    </w:rPr>
                    <w:t>5</w:t>
                  </w:r>
                </w:p>
              </w:tc>
              <w:tc>
                <w:tcPr>
                  <w:tcW w:w="1064" w:type="dxa"/>
                  <w:vAlign w:val="center"/>
                </w:tcPr>
                <w:p w14:paraId="1D8DA3E8">
                  <w:pPr>
                    <w:pStyle w:val="8"/>
                    <w:spacing w:line="360" w:lineRule="exact"/>
                    <w:ind w:firstLine="0"/>
                    <w:jc w:val="center"/>
                    <w:rPr>
                      <w:color w:val="auto"/>
                      <w:sz w:val="21"/>
                      <w:szCs w:val="21"/>
                    </w:rPr>
                  </w:pPr>
                  <w:r>
                    <w:rPr>
                      <w:color w:val="auto"/>
                      <w:sz w:val="21"/>
                      <w:szCs w:val="21"/>
                    </w:rPr>
                    <w:t>NH</w:t>
                  </w:r>
                  <w:r>
                    <w:rPr>
                      <w:color w:val="auto"/>
                      <w:sz w:val="21"/>
                      <w:szCs w:val="21"/>
                      <w:vertAlign w:val="subscript"/>
                    </w:rPr>
                    <w:t>3</w:t>
                  </w:r>
                  <w:r>
                    <w:rPr>
                      <w:color w:val="auto"/>
                      <w:sz w:val="21"/>
                      <w:szCs w:val="21"/>
                    </w:rPr>
                    <w:t>-N</w:t>
                  </w:r>
                </w:p>
              </w:tc>
              <w:tc>
                <w:tcPr>
                  <w:tcW w:w="1216" w:type="dxa"/>
                  <w:vAlign w:val="center"/>
                </w:tcPr>
                <w:p w14:paraId="5DD5CFCD">
                  <w:pPr>
                    <w:pStyle w:val="8"/>
                    <w:spacing w:line="360" w:lineRule="exact"/>
                    <w:ind w:firstLine="0"/>
                    <w:jc w:val="center"/>
                    <w:rPr>
                      <w:color w:val="auto"/>
                      <w:sz w:val="21"/>
                      <w:szCs w:val="21"/>
                    </w:rPr>
                  </w:pPr>
                  <w:r>
                    <w:rPr>
                      <w:color w:val="auto"/>
                      <w:sz w:val="21"/>
                      <w:szCs w:val="21"/>
                    </w:rPr>
                    <w:t>SS</w:t>
                  </w:r>
                </w:p>
              </w:tc>
              <w:tc>
                <w:tcPr>
                  <w:tcW w:w="1404" w:type="dxa"/>
                  <w:tcBorders>
                    <w:bottom w:val="nil"/>
                  </w:tcBorders>
                  <w:vAlign w:val="center"/>
                </w:tcPr>
                <w:p w14:paraId="68AA66F9">
                  <w:pPr>
                    <w:pStyle w:val="8"/>
                    <w:spacing w:line="360" w:lineRule="exact"/>
                    <w:ind w:firstLine="0"/>
                    <w:jc w:val="center"/>
                    <w:rPr>
                      <w:color w:val="auto"/>
                      <w:sz w:val="18"/>
                      <w:szCs w:val="18"/>
                    </w:rPr>
                  </w:pPr>
                  <w:r>
                    <w:rPr>
                      <w:color w:val="auto"/>
                      <w:sz w:val="21"/>
                      <w:szCs w:val="21"/>
                    </w:rPr>
                    <w:t>TP</w:t>
                  </w:r>
                </w:p>
              </w:tc>
            </w:tr>
            <w:tr w14:paraId="00EF4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jc w:val="center"/>
              </w:trPr>
              <w:tc>
                <w:tcPr>
                  <w:tcW w:w="1175" w:type="dxa"/>
                  <w:vMerge w:val="restart"/>
                  <w:vAlign w:val="center"/>
                </w:tcPr>
                <w:p w14:paraId="0970CA8E">
                  <w:pPr>
                    <w:pStyle w:val="8"/>
                    <w:spacing w:line="360" w:lineRule="exact"/>
                    <w:ind w:firstLine="0"/>
                    <w:jc w:val="center"/>
                    <w:rPr>
                      <w:color w:val="auto"/>
                      <w:sz w:val="21"/>
                      <w:szCs w:val="21"/>
                    </w:rPr>
                  </w:pPr>
                  <w:r>
                    <w:rPr>
                      <w:color w:val="auto"/>
                      <w:sz w:val="21"/>
                      <w:szCs w:val="21"/>
                    </w:rPr>
                    <w:t>生活污水</w:t>
                  </w:r>
                </w:p>
                <w:p w14:paraId="26FD2CF6">
                  <w:pPr>
                    <w:pStyle w:val="8"/>
                    <w:spacing w:line="360" w:lineRule="exact"/>
                    <w:ind w:firstLine="0"/>
                    <w:jc w:val="center"/>
                    <w:rPr>
                      <w:color w:val="auto"/>
                      <w:kern w:val="24"/>
                      <w:sz w:val="21"/>
                      <w:szCs w:val="21"/>
                    </w:rPr>
                  </w:pPr>
                  <w:r>
                    <w:rPr>
                      <w:rFonts w:hint="eastAsia"/>
                      <w:color w:val="auto"/>
                      <w:kern w:val="24"/>
                      <w:sz w:val="21"/>
                      <w:szCs w:val="21"/>
                    </w:rPr>
                    <w:t>1.44</w:t>
                  </w:r>
                  <w:r>
                    <w:rPr>
                      <w:color w:val="auto"/>
                      <w:kern w:val="24"/>
                      <w:sz w:val="24"/>
                    </w:rPr>
                    <w:t xml:space="preserve"> </w:t>
                  </w:r>
                  <w:r>
                    <w:rPr>
                      <w:color w:val="auto"/>
                      <w:kern w:val="24"/>
                      <w:sz w:val="21"/>
                      <w:szCs w:val="21"/>
                    </w:rPr>
                    <w:t>m</w:t>
                  </w:r>
                  <w:r>
                    <w:rPr>
                      <w:color w:val="auto"/>
                      <w:kern w:val="24"/>
                      <w:sz w:val="21"/>
                      <w:szCs w:val="21"/>
                      <w:vertAlign w:val="superscript"/>
                    </w:rPr>
                    <w:t>3/</w:t>
                  </w:r>
                  <w:r>
                    <w:rPr>
                      <w:color w:val="auto"/>
                      <w:kern w:val="24"/>
                      <w:sz w:val="21"/>
                      <w:szCs w:val="21"/>
                    </w:rPr>
                    <w:t>d</w:t>
                  </w:r>
                </w:p>
                <w:p w14:paraId="63D61D74">
                  <w:pPr>
                    <w:pStyle w:val="8"/>
                    <w:spacing w:line="360" w:lineRule="exact"/>
                    <w:ind w:firstLine="0"/>
                    <w:jc w:val="center"/>
                    <w:rPr>
                      <w:color w:val="auto"/>
                      <w:sz w:val="21"/>
                      <w:szCs w:val="21"/>
                    </w:rPr>
                  </w:pPr>
                  <w:r>
                    <w:rPr>
                      <w:rFonts w:hint="eastAsia"/>
                      <w:color w:val="auto"/>
                      <w:kern w:val="24"/>
                      <w:sz w:val="21"/>
                      <w:szCs w:val="21"/>
                    </w:rPr>
                    <w:t>432</w:t>
                  </w:r>
                  <w:r>
                    <w:rPr>
                      <w:color w:val="auto"/>
                      <w:kern w:val="24"/>
                      <w:sz w:val="24"/>
                    </w:rPr>
                    <w:t xml:space="preserve"> </w:t>
                  </w:r>
                  <w:r>
                    <w:rPr>
                      <w:color w:val="auto"/>
                      <w:sz w:val="21"/>
                      <w:szCs w:val="21"/>
                    </w:rPr>
                    <w:t>m</w:t>
                  </w:r>
                  <w:r>
                    <w:rPr>
                      <w:color w:val="auto"/>
                      <w:sz w:val="21"/>
                      <w:szCs w:val="21"/>
                      <w:vertAlign w:val="superscript"/>
                    </w:rPr>
                    <w:t>3</w:t>
                  </w:r>
                  <w:r>
                    <w:rPr>
                      <w:color w:val="auto"/>
                      <w:sz w:val="21"/>
                      <w:szCs w:val="21"/>
                    </w:rPr>
                    <w:t>/a</w:t>
                  </w:r>
                </w:p>
              </w:tc>
              <w:tc>
                <w:tcPr>
                  <w:tcW w:w="1632" w:type="dxa"/>
                  <w:vAlign w:val="center"/>
                </w:tcPr>
                <w:p w14:paraId="2834C6EE">
                  <w:pPr>
                    <w:pStyle w:val="8"/>
                    <w:spacing w:line="360" w:lineRule="exact"/>
                    <w:ind w:firstLine="0"/>
                    <w:jc w:val="center"/>
                    <w:rPr>
                      <w:color w:val="auto"/>
                      <w:sz w:val="21"/>
                      <w:szCs w:val="21"/>
                    </w:rPr>
                  </w:pPr>
                  <w:r>
                    <w:rPr>
                      <w:rFonts w:hint="eastAsia"/>
                      <w:color w:val="auto"/>
                      <w:sz w:val="21"/>
                      <w:szCs w:val="21"/>
                    </w:rPr>
                    <w:t>产生</w:t>
                  </w:r>
                  <w:r>
                    <w:rPr>
                      <w:color w:val="auto"/>
                      <w:sz w:val="21"/>
                      <w:szCs w:val="21"/>
                    </w:rPr>
                    <w:t>浓度</w:t>
                  </w:r>
                </w:p>
              </w:tc>
              <w:tc>
                <w:tcPr>
                  <w:tcW w:w="759" w:type="dxa"/>
                  <w:vAlign w:val="center"/>
                </w:tcPr>
                <w:p w14:paraId="0BC05F7F">
                  <w:pPr>
                    <w:pStyle w:val="8"/>
                    <w:spacing w:line="360" w:lineRule="exact"/>
                    <w:ind w:firstLine="0"/>
                    <w:jc w:val="center"/>
                    <w:rPr>
                      <w:color w:val="auto"/>
                      <w:sz w:val="21"/>
                      <w:szCs w:val="21"/>
                    </w:rPr>
                  </w:pPr>
                  <w:r>
                    <w:rPr>
                      <w:color w:val="auto"/>
                      <w:sz w:val="21"/>
                      <w:szCs w:val="21"/>
                    </w:rPr>
                    <w:t>mg/L</w:t>
                  </w:r>
                </w:p>
              </w:tc>
              <w:tc>
                <w:tcPr>
                  <w:tcW w:w="913" w:type="dxa"/>
                  <w:vAlign w:val="center"/>
                </w:tcPr>
                <w:p w14:paraId="6E1C461A">
                  <w:pPr>
                    <w:pStyle w:val="8"/>
                    <w:spacing w:line="360" w:lineRule="exact"/>
                    <w:ind w:firstLine="0"/>
                    <w:jc w:val="center"/>
                    <w:rPr>
                      <w:color w:val="auto"/>
                      <w:sz w:val="21"/>
                      <w:szCs w:val="21"/>
                    </w:rPr>
                  </w:pPr>
                  <w:r>
                    <w:rPr>
                      <w:color w:val="auto"/>
                      <w:sz w:val="21"/>
                      <w:szCs w:val="21"/>
                    </w:rPr>
                    <w:t>300</w:t>
                  </w:r>
                </w:p>
              </w:tc>
              <w:tc>
                <w:tcPr>
                  <w:tcW w:w="1371" w:type="dxa"/>
                  <w:vAlign w:val="center"/>
                </w:tcPr>
                <w:p w14:paraId="4DBA51C6">
                  <w:pPr>
                    <w:pStyle w:val="8"/>
                    <w:spacing w:line="360" w:lineRule="exact"/>
                    <w:ind w:firstLine="0"/>
                    <w:jc w:val="center"/>
                    <w:rPr>
                      <w:color w:val="auto"/>
                      <w:sz w:val="21"/>
                      <w:szCs w:val="21"/>
                    </w:rPr>
                  </w:pPr>
                  <w:r>
                    <w:rPr>
                      <w:color w:val="auto"/>
                      <w:sz w:val="21"/>
                      <w:szCs w:val="21"/>
                    </w:rPr>
                    <w:t>150</w:t>
                  </w:r>
                </w:p>
              </w:tc>
              <w:tc>
                <w:tcPr>
                  <w:tcW w:w="1064" w:type="dxa"/>
                  <w:vAlign w:val="center"/>
                </w:tcPr>
                <w:p w14:paraId="7FDFFC5B">
                  <w:pPr>
                    <w:pStyle w:val="8"/>
                    <w:spacing w:line="360" w:lineRule="exact"/>
                    <w:ind w:firstLine="0"/>
                    <w:jc w:val="center"/>
                    <w:rPr>
                      <w:color w:val="auto"/>
                      <w:sz w:val="21"/>
                      <w:szCs w:val="21"/>
                    </w:rPr>
                  </w:pPr>
                  <w:r>
                    <w:rPr>
                      <w:color w:val="auto"/>
                      <w:sz w:val="21"/>
                      <w:szCs w:val="21"/>
                    </w:rPr>
                    <w:t>30</w:t>
                  </w:r>
                </w:p>
              </w:tc>
              <w:tc>
                <w:tcPr>
                  <w:tcW w:w="1216" w:type="dxa"/>
                  <w:vAlign w:val="center"/>
                </w:tcPr>
                <w:p w14:paraId="4EE130AF">
                  <w:pPr>
                    <w:pStyle w:val="8"/>
                    <w:spacing w:line="360" w:lineRule="exact"/>
                    <w:ind w:firstLine="0"/>
                    <w:jc w:val="center"/>
                    <w:rPr>
                      <w:color w:val="auto"/>
                      <w:sz w:val="21"/>
                      <w:szCs w:val="21"/>
                    </w:rPr>
                  </w:pPr>
                  <w:r>
                    <w:rPr>
                      <w:color w:val="auto"/>
                      <w:sz w:val="21"/>
                      <w:szCs w:val="21"/>
                    </w:rPr>
                    <w:t>200</w:t>
                  </w:r>
                </w:p>
              </w:tc>
              <w:tc>
                <w:tcPr>
                  <w:tcW w:w="1404" w:type="dxa"/>
                  <w:vAlign w:val="center"/>
                </w:tcPr>
                <w:p w14:paraId="45C3BB25">
                  <w:pPr>
                    <w:pStyle w:val="8"/>
                    <w:spacing w:line="360" w:lineRule="exact"/>
                    <w:ind w:firstLine="0"/>
                    <w:jc w:val="center"/>
                    <w:rPr>
                      <w:color w:val="auto"/>
                      <w:sz w:val="21"/>
                      <w:szCs w:val="21"/>
                    </w:rPr>
                  </w:pPr>
                  <w:r>
                    <w:rPr>
                      <w:color w:val="auto"/>
                      <w:sz w:val="21"/>
                      <w:szCs w:val="21"/>
                    </w:rPr>
                    <w:t>6</w:t>
                  </w:r>
                </w:p>
              </w:tc>
            </w:tr>
            <w:tr w14:paraId="58F1C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1175" w:type="dxa"/>
                  <w:vMerge w:val="continue"/>
                  <w:vAlign w:val="center"/>
                </w:tcPr>
                <w:p w14:paraId="769875CF">
                  <w:pPr>
                    <w:pStyle w:val="8"/>
                    <w:spacing w:line="360" w:lineRule="exact"/>
                    <w:ind w:firstLine="0"/>
                    <w:jc w:val="center"/>
                    <w:rPr>
                      <w:color w:val="auto"/>
                      <w:sz w:val="21"/>
                      <w:szCs w:val="21"/>
                    </w:rPr>
                  </w:pPr>
                </w:p>
              </w:tc>
              <w:tc>
                <w:tcPr>
                  <w:tcW w:w="1632" w:type="dxa"/>
                  <w:vAlign w:val="center"/>
                </w:tcPr>
                <w:p w14:paraId="51EC8FFE">
                  <w:pPr>
                    <w:pStyle w:val="8"/>
                    <w:spacing w:line="360" w:lineRule="exact"/>
                    <w:ind w:firstLine="0"/>
                    <w:jc w:val="center"/>
                    <w:rPr>
                      <w:color w:val="auto"/>
                      <w:sz w:val="21"/>
                      <w:szCs w:val="21"/>
                    </w:rPr>
                  </w:pPr>
                  <w:r>
                    <w:rPr>
                      <w:color w:val="auto"/>
                      <w:sz w:val="21"/>
                      <w:szCs w:val="21"/>
                    </w:rPr>
                    <w:t>污染物产生量</w:t>
                  </w:r>
                </w:p>
              </w:tc>
              <w:tc>
                <w:tcPr>
                  <w:tcW w:w="759" w:type="dxa"/>
                  <w:vAlign w:val="center"/>
                </w:tcPr>
                <w:p w14:paraId="7B5CEA26">
                  <w:pPr>
                    <w:pStyle w:val="8"/>
                    <w:spacing w:line="360" w:lineRule="exact"/>
                    <w:ind w:firstLine="0"/>
                    <w:jc w:val="center"/>
                    <w:rPr>
                      <w:color w:val="auto"/>
                      <w:sz w:val="21"/>
                      <w:szCs w:val="21"/>
                    </w:rPr>
                  </w:pPr>
                  <w:r>
                    <w:rPr>
                      <w:color w:val="auto"/>
                      <w:sz w:val="21"/>
                      <w:szCs w:val="21"/>
                    </w:rPr>
                    <w:t>t/a</w:t>
                  </w:r>
                </w:p>
              </w:tc>
              <w:tc>
                <w:tcPr>
                  <w:tcW w:w="913" w:type="dxa"/>
                  <w:vAlign w:val="center"/>
                </w:tcPr>
                <w:p w14:paraId="368F9CB5">
                  <w:pPr>
                    <w:pStyle w:val="8"/>
                    <w:spacing w:line="360" w:lineRule="exact"/>
                    <w:ind w:firstLine="0"/>
                    <w:jc w:val="center"/>
                    <w:rPr>
                      <w:color w:val="auto"/>
                      <w:sz w:val="21"/>
                      <w:szCs w:val="21"/>
                    </w:rPr>
                  </w:pPr>
                  <w:r>
                    <w:rPr>
                      <w:rFonts w:hint="eastAsia"/>
                      <w:color w:val="auto"/>
                      <w:sz w:val="21"/>
                      <w:szCs w:val="21"/>
                    </w:rPr>
                    <w:t>0.130</w:t>
                  </w:r>
                </w:p>
              </w:tc>
              <w:tc>
                <w:tcPr>
                  <w:tcW w:w="1371" w:type="dxa"/>
                  <w:vAlign w:val="center"/>
                </w:tcPr>
                <w:p w14:paraId="3E7B8A9F">
                  <w:pPr>
                    <w:pStyle w:val="8"/>
                    <w:spacing w:line="360" w:lineRule="exact"/>
                    <w:ind w:firstLine="0"/>
                    <w:jc w:val="center"/>
                    <w:rPr>
                      <w:color w:val="auto"/>
                      <w:sz w:val="21"/>
                      <w:szCs w:val="21"/>
                    </w:rPr>
                  </w:pPr>
                  <w:r>
                    <w:rPr>
                      <w:rFonts w:hint="eastAsia"/>
                      <w:color w:val="auto"/>
                      <w:sz w:val="21"/>
                      <w:szCs w:val="21"/>
                    </w:rPr>
                    <w:t>0.065</w:t>
                  </w:r>
                </w:p>
              </w:tc>
              <w:tc>
                <w:tcPr>
                  <w:tcW w:w="1064" w:type="dxa"/>
                  <w:vAlign w:val="center"/>
                </w:tcPr>
                <w:p w14:paraId="2481B873">
                  <w:pPr>
                    <w:pStyle w:val="8"/>
                    <w:spacing w:line="360" w:lineRule="exact"/>
                    <w:ind w:firstLine="0"/>
                    <w:jc w:val="center"/>
                    <w:rPr>
                      <w:color w:val="auto"/>
                      <w:sz w:val="21"/>
                      <w:szCs w:val="21"/>
                    </w:rPr>
                  </w:pPr>
                  <w:r>
                    <w:rPr>
                      <w:rFonts w:hint="eastAsia"/>
                      <w:color w:val="auto"/>
                      <w:sz w:val="21"/>
                      <w:szCs w:val="21"/>
                    </w:rPr>
                    <w:t>0.013</w:t>
                  </w:r>
                </w:p>
              </w:tc>
              <w:tc>
                <w:tcPr>
                  <w:tcW w:w="1216" w:type="dxa"/>
                  <w:vAlign w:val="center"/>
                </w:tcPr>
                <w:p w14:paraId="1F8DE095">
                  <w:pPr>
                    <w:pStyle w:val="8"/>
                    <w:spacing w:line="360" w:lineRule="exact"/>
                    <w:ind w:firstLine="0"/>
                    <w:jc w:val="center"/>
                    <w:rPr>
                      <w:color w:val="auto"/>
                      <w:sz w:val="21"/>
                      <w:szCs w:val="21"/>
                    </w:rPr>
                  </w:pPr>
                  <w:r>
                    <w:rPr>
                      <w:rFonts w:hint="eastAsia"/>
                      <w:color w:val="auto"/>
                      <w:sz w:val="21"/>
                      <w:szCs w:val="21"/>
                    </w:rPr>
                    <w:t>0.086</w:t>
                  </w:r>
                </w:p>
              </w:tc>
              <w:tc>
                <w:tcPr>
                  <w:tcW w:w="1404" w:type="dxa"/>
                  <w:vAlign w:val="center"/>
                </w:tcPr>
                <w:p w14:paraId="4FB7CAF4">
                  <w:pPr>
                    <w:pStyle w:val="8"/>
                    <w:spacing w:line="360" w:lineRule="exact"/>
                    <w:ind w:firstLine="0"/>
                    <w:jc w:val="center"/>
                    <w:rPr>
                      <w:color w:val="auto"/>
                      <w:sz w:val="21"/>
                      <w:szCs w:val="21"/>
                    </w:rPr>
                  </w:pPr>
                  <w:r>
                    <w:rPr>
                      <w:rFonts w:hint="eastAsia"/>
                      <w:color w:val="auto"/>
                      <w:sz w:val="21"/>
                      <w:szCs w:val="21"/>
                    </w:rPr>
                    <w:t>0.003</w:t>
                  </w:r>
                </w:p>
              </w:tc>
            </w:tr>
            <w:tr w14:paraId="76121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1175" w:type="dxa"/>
                  <w:vMerge w:val="continue"/>
                  <w:vAlign w:val="center"/>
                </w:tcPr>
                <w:p w14:paraId="027B40D1">
                  <w:pPr>
                    <w:pStyle w:val="8"/>
                    <w:spacing w:line="360" w:lineRule="exact"/>
                    <w:ind w:firstLine="0"/>
                    <w:jc w:val="center"/>
                    <w:rPr>
                      <w:color w:val="auto"/>
                      <w:sz w:val="21"/>
                      <w:szCs w:val="21"/>
                    </w:rPr>
                  </w:pPr>
                </w:p>
              </w:tc>
              <w:tc>
                <w:tcPr>
                  <w:tcW w:w="1632" w:type="dxa"/>
                  <w:vAlign w:val="center"/>
                </w:tcPr>
                <w:p w14:paraId="4D72343E">
                  <w:pPr>
                    <w:pStyle w:val="8"/>
                    <w:spacing w:line="360" w:lineRule="exact"/>
                    <w:ind w:firstLine="0"/>
                    <w:jc w:val="center"/>
                    <w:rPr>
                      <w:color w:val="auto"/>
                      <w:sz w:val="21"/>
                      <w:szCs w:val="21"/>
                    </w:rPr>
                  </w:pPr>
                  <w:r>
                    <w:rPr>
                      <w:rFonts w:hint="eastAsia"/>
                      <w:color w:val="auto"/>
                      <w:sz w:val="21"/>
                      <w:szCs w:val="21"/>
                    </w:rPr>
                    <w:t>排放</w:t>
                  </w:r>
                  <w:r>
                    <w:rPr>
                      <w:color w:val="auto"/>
                      <w:sz w:val="21"/>
                      <w:szCs w:val="21"/>
                    </w:rPr>
                    <w:t>浓度</w:t>
                  </w:r>
                </w:p>
              </w:tc>
              <w:tc>
                <w:tcPr>
                  <w:tcW w:w="759" w:type="dxa"/>
                  <w:vAlign w:val="center"/>
                </w:tcPr>
                <w:p w14:paraId="314B0FB6">
                  <w:pPr>
                    <w:pStyle w:val="8"/>
                    <w:spacing w:line="360" w:lineRule="exact"/>
                    <w:ind w:firstLine="0"/>
                    <w:jc w:val="center"/>
                    <w:rPr>
                      <w:color w:val="auto"/>
                      <w:sz w:val="21"/>
                      <w:szCs w:val="21"/>
                    </w:rPr>
                  </w:pPr>
                  <w:r>
                    <w:rPr>
                      <w:color w:val="auto"/>
                      <w:sz w:val="21"/>
                      <w:szCs w:val="21"/>
                    </w:rPr>
                    <w:t>mg/L</w:t>
                  </w:r>
                </w:p>
              </w:tc>
              <w:tc>
                <w:tcPr>
                  <w:tcW w:w="913" w:type="dxa"/>
                  <w:vAlign w:val="center"/>
                </w:tcPr>
                <w:p w14:paraId="27A673CA">
                  <w:pPr>
                    <w:pStyle w:val="8"/>
                    <w:spacing w:line="360" w:lineRule="exact"/>
                    <w:ind w:firstLine="0"/>
                    <w:jc w:val="center"/>
                    <w:rPr>
                      <w:color w:val="auto"/>
                      <w:sz w:val="21"/>
                      <w:szCs w:val="21"/>
                    </w:rPr>
                  </w:pPr>
                  <w:r>
                    <w:rPr>
                      <w:color w:val="auto"/>
                      <w:sz w:val="21"/>
                      <w:szCs w:val="21"/>
                    </w:rPr>
                    <w:t>300</w:t>
                  </w:r>
                </w:p>
              </w:tc>
              <w:tc>
                <w:tcPr>
                  <w:tcW w:w="1371" w:type="dxa"/>
                  <w:vAlign w:val="center"/>
                </w:tcPr>
                <w:p w14:paraId="37B4C87A">
                  <w:pPr>
                    <w:pStyle w:val="8"/>
                    <w:spacing w:line="360" w:lineRule="exact"/>
                    <w:ind w:firstLine="0"/>
                    <w:jc w:val="center"/>
                    <w:rPr>
                      <w:color w:val="auto"/>
                      <w:sz w:val="21"/>
                      <w:szCs w:val="21"/>
                    </w:rPr>
                  </w:pPr>
                  <w:r>
                    <w:rPr>
                      <w:color w:val="auto"/>
                      <w:sz w:val="21"/>
                      <w:szCs w:val="21"/>
                    </w:rPr>
                    <w:t>150</w:t>
                  </w:r>
                </w:p>
              </w:tc>
              <w:tc>
                <w:tcPr>
                  <w:tcW w:w="1064" w:type="dxa"/>
                  <w:vAlign w:val="center"/>
                </w:tcPr>
                <w:p w14:paraId="2D7BBDB9">
                  <w:pPr>
                    <w:pStyle w:val="8"/>
                    <w:spacing w:line="360" w:lineRule="exact"/>
                    <w:ind w:firstLine="0"/>
                    <w:jc w:val="center"/>
                    <w:rPr>
                      <w:color w:val="auto"/>
                      <w:sz w:val="21"/>
                      <w:szCs w:val="21"/>
                    </w:rPr>
                  </w:pPr>
                  <w:r>
                    <w:rPr>
                      <w:color w:val="auto"/>
                      <w:sz w:val="21"/>
                      <w:szCs w:val="21"/>
                    </w:rPr>
                    <w:t>30</w:t>
                  </w:r>
                </w:p>
              </w:tc>
              <w:tc>
                <w:tcPr>
                  <w:tcW w:w="1216" w:type="dxa"/>
                  <w:vAlign w:val="center"/>
                </w:tcPr>
                <w:p w14:paraId="7F2A2E08">
                  <w:pPr>
                    <w:pStyle w:val="8"/>
                    <w:spacing w:line="360" w:lineRule="exact"/>
                    <w:ind w:firstLine="0"/>
                    <w:jc w:val="center"/>
                    <w:rPr>
                      <w:color w:val="auto"/>
                      <w:sz w:val="21"/>
                      <w:szCs w:val="21"/>
                    </w:rPr>
                  </w:pPr>
                  <w:r>
                    <w:rPr>
                      <w:color w:val="auto"/>
                      <w:sz w:val="21"/>
                      <w:szCs w:val="21"/>
                    </w:rPr>
                    <w:t>200</w:t>
                  </w:r>
                </w:p>
              </w:tc>
              <w:tc>
                <w:tcPr>
                  <w:tcW w:w="1404" w:type="dxa"/>
                  <w:vAlign w:val="center"/>
                </w:tcPr>
                <w:p w14:paraId="57D734D1">
                  <w:pPr>
                    <w:pStyle w:val="8"/>
                    <w:spacing w:line="360" w:lineRule="exact"/>
                    <w:ind w:firstLine="0"/>
                    <w:jc w:val="center"/>
                    <w:rPr>
                      <w:color w:val="auto"/>
                      <w:sz w:val="21"/>
                      <w:szCs w:val="21"/>
                    </w:rPr>
                  </w:pPr>
                  <w:r>
                    <w:rPr>
                      <w:color w:val="auto"/>
                      <w:sz w:val="21"/>
                      <w:szCs w:val="21"/>
                    </w:rPr>
                    <w:t>6</w:t>
                  </w:r>
                </w:p>
              </w:tc>
            </w:tr>
            <w:tr w14:paraId="222A1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1175" w:type="dxa"/>
                  <w:vMerge w:val="continue"/>
                  <w:vAlign w:val="center"/>
                </w:tcPr>
                <w:p w14:paraId="2E414062">
                  <w:pPr>
                    <w:pStyle w:val="8"/>
                    <w:spacing w:line="360" w:lineRule="exact"/>
                    <w:ind w:firstLine="0"/>
                    <w:jc w:val="center"/>
                    <w:rPr>
                      <w:color w:val="auto"/>
                      <w:sz w:val="21"/>
                      <w:szCs w:val="21"/>
                    </w:rPr>
                  </w:pPr>
                </w:p>
              </w:tc>
              <w:tc>
                <w:tcPr>
                  <w:tcW w:w="1632" w:type="dxa"/>
                  <w:vAlign w:val="center"/>
                </w:tcPr>
                <w:p w14:paraId="184FCCE4">
                  <w:pPr>
                    <w:pStyle w:val="8"/>
                    <w:spacing w:line="360" w:lineRule="exact"/>
                    <w:ind w:firstLine="0"/>
                    <w:jc w:val="center"/>
                    <w:rPr>
                      <w:color w:val="auto"/>
                      <w:sz w:val="21"/>
                      <w:szCs w:val="21"/>
                    </w:rPr>
                  </w:pPr>
                  <w:r>
                    <w:rPr>
                      <w:color w:val="auto"/>
                      <w:sz w:val="21"/>
                      <w:szCs w:val="21"/>
                    </w:rPr>
                    <w:t>污染物排放量</w:t>
                  </w:r>
                </w:p>
              </w:tc>
              <w:tc>
                <w:tcPr>
                  <w:tcW w:w="759" w:type="dxa"/>
                  <w:vAlign w:val="center"/>
                </w:tcPr>
                <w:p w14:paraId="4873FFC6">
                  <w:pPr>
                    <w:pStyle w:val="8"/>
                    <w:spacing w:line="360" w:lineRule="exact"/>
                    <w:ind w:firstLine="0"/>
                    <w:jc w:val="center"/>
                    <w:rPr>
                      <w:color w:val="auto"/>
                      <w:sz w:val="21"/>
                      <w:szCs w:val="21"/>
                    </w:rPr>
                  </w:pPr>
                  <w:r>
                    <w:rPr>
                      <w:color w:val="auto"/>
                      <w:sz w:val="21"/>
                      <w:szCs w:val="21"/>
                    </w:rPr>
                    <w:t>t/a</w:t>
                  </w:r>
                </w:p>
              </w:tc>
              <w:tc>
                <w:tcPr>
                  <w:tcW w:w="913" w:type="dxa"/>
                  <w:vAlign w:val="center"/>
                </w:tcPr>
                <w:p w14:paraId="25282A92">
                  <w:pPr>
                    <w:pStyle w:val="8"/>
                    <w:spacing w:line="360" w:lineRule="exact"/>
                    <w:ind w:firstLine="0"/>
                    <w:jc w:val="center"/>
                    <w:rPr>
                      <w:color w:val="auto"/>
                      <w:sz w:val="21"/>
                      <w:szCs w:val="21"/>
                    </w:rPr>
                  </w:pPr>
                  <w:r>
                    <w:rPr>
                      <w:rFonts w:hint="eastAsia"/>
                      <w:color w:val="auto"/>
                      <w:sz w:val="21"/>
                      <w:szCs w:val="21"/>
                    </w:rPr>
                    <w:t>0.130</w:t>
                  </w:r>
                </w:p>
              </w:tc>
              <w:tc>
                <w:tcPr>
                  <w:tcW w:w="1371" w:type="dxa"/>
                  <w:vAlign w:val="center"/>
                </w:tcPr>
                <w:p w14:paraId="10F5DC23">
                  <w:pPr>
                    <w:pStyle w:val="8"/>
                    <w:spacing w:line="360" w:lineRule="exact"/>
                    <w:ind w:firstLine="0"/>
                    <w:jc w:val="center"/>
                    <w:rPr>
                      <w:color w:val="auto"/>
                      <w:sz w:val="21"/>
                      <w:szCs w:val="21"/>
                    </w:rPr>
                  </w:pPr>
                  <w:r>
                    <w:rPr>
                      <w:rFonts w:hint="eastAsia"/>
                      <w:color w:val="auto"/>
                      <w:sz w:val="21"/>
                      <w:szCs w:val="21"/>
                    </w:rPr>
                    <w:t>0.065</w:t>
                  </w:r>
                </w:p>
              </w:tc>
              <w:tc>
                <w:tcPr>
                  <w:tcW w:w="1064" w:type="dxa"/>
                  <w:vAlign w:val="center"/>
                </w:tcPr>
                <w:p w14:paraId="430AEDED">
                  <w:pPr>
                    <w:pStyle w:val="8"/>
                    <w:spacing w:line="360" w:lineRule="exact"/>
                    <w:ind w:firstLine="0"/>
                    <w:jc w:val="center"/>
                    <w:rPr>
                      <w:color w:val="auto"/>
                      <w:sz w:val="21"/>
                      <w:szCs w:val="21"/>
                    </w:rPr>
                  </w:pPr>
                  <w:r>
                    <w:rPr>
                      <w:rFonts w:hint="eastAsia"/>
                      <w:color w:val="auto"/>
                      <w:sz w:val="21"/>
                      <w:szCs w:val="21"/>
                    </w:rPr>
                    <w:t>0.013</w:t>
                  </w:r>
                </w:p>
              </w:tc>
              <w:tc>
                <w:tcPr>
                  <w:tcW w:w="1216" w:type="dxa"/>
                  <w:vAlign w:val="center"/>
                </w:tcPr>
                <w:p w14:paraId="15567451">
                  <w:pPr>
                    <w:pStyle w:val="8"/>
                    <w:spacing w:line="360" w:lineRule="exact"/>
                    <w:ind w:firstLine="0"/>
                    <w:jc w:val="center"/>
                    <w:rPr>
                      <w:color w:val="auto"/>
                      <w:sz w:val="21"/>
                      <w:szCs w:val="21"/>
                    </w:rPr>
                  </w:pPr>
                  <w:r>
                    <w:rPr>
                      <w:rFonts w:hint="eastAsia"/>
                      <w:color w:val="auto"/>
                      <w:sz w:val="21"/>
                      <w:szCs w:val="21"/>
                    </w:rPr>
                    <w:t>0.086</w:t>
                  </w:r>
                </w:p>
              </w:tc>
              <w:tc>
                <w:tcPr>
                  <w:tcW w:w="1404" w:type="dxa"/>
                  <w:vAlign w:val="center"/>
                </w:tcPr>
                <w:p w14:paraId="45F6A523">
                  <w:pPr>
                    <w:pStyle w:val="8"/>
                    <w:spacing w:line="360" w:lineRule="exact"/>
                    <w:ind w:firstLine="0"/>
                    <w:jc w:val="center"/>
                    <w:rPr>
                      <w:color w:val="auto"/>
                      <w:sz w:val="21"/>
                      <w:szCs w:val="21"/>
                    </w:rPr>
                  </w:pPr>
                  <w:r>
                    <w:rPr>
                      <w:rFonts w:hint="eastAsia"/>
                      <w:color w:val="auto"/>
                      <w:sz w:val="21"/>
                      <w:szCs w:val="21"/>
                    </w:rPr>
                    <w:t>0.003</w:t>
                  </w:r>
                </w:p>
              </w:tc>
            </w:tr>
            <w:tr w14:paraId="6D975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175" w:type="dxa"/>
                  <w:vMerge w:val="continue"/>
                  <w:vAlign w:val="center"/>
                </w:tcPr>
                <w:p w14:paraId="43C886B8">
                  <w:pPr>
                    <w:pStyle w:val="8"/>
                    <w:spacing w:line="360" w:lineRule="exact"/>
                    <w:ind w:firstLine="0"/>
                    <w:jc w:val="center"/>
                    <w:rPr>
                      <w:color w:val="auto"/>
                      <w:sz w:val="21"/>
                      <w:szCs w:val="21"/>
                    </w:rPr>
                  </w:pPr>
                </w:p>
              </w:tc>
              <w:tc>
                <w:tcPr>
                  <w:tcW w:w="1632" w:type="dxa"/>
                  <w:vAlign w:val="center"/>
                </w:tcPr>
                <w:p w14:paraId="7EE52B77">
                  <w:pPr>
                    <w:pStyle w:val="8"/>
                    <w:spacing w:line="360" w:lineRule="exact"/>
                    <w:ind w:firstLine="0"/>
                    <w:jc w:val="center"/>
                    <w:rPr>
                      <w:color w:val="auto"/>
                      <w:sz w:val="21"/>
                      <w:szCs w:val="21"/>
                    </w:rPr>
                  </w:pPr>
                  <w:r>
                    <w:rPr>
                      <w:color w:val="auto"/>
                      <w:sz w:val="21"/>
                      <w:szCs w:val="21"/>
                    </w:rPr>
                    <w:t>处理措施</w:t>
                  </w:r>
                </w:p>
              </w:tc>
              <w:tc>
                <w:tcPr>
                  <w:tcW w:w="6727" w:type="dxa"/>
                  <w:gridSpan w:val="6"/>
                  <w:vAlign w:val="center"/>
                </w:tcPr>
                <w:p w14:paraId="38C16047">
                  <w:pPr>
                    <w:pStyle w:val="8"/>
                    <w:spacing w:line="360" w:lineRule="exact"/>
                    <w:ind w:firstLine="0"/>
                    <w:jc w:val="center"/>
                    <w:rPr>
                      <w:color w:val="auto"/>
                      <w:sz w:val="21"/>
                      <w:szCs w:val="21"/>
                    </w:rPr>
                  </w:pPr>
                  <w:r>
                    <w:rPr>
                      <w:rFonts w:hint="eastAsia"/>
                      <w:color w:val="auto"/>
                      <w:sz w:val="21"/>
                      <w:szCs w:val="21"/>
                    </w:rPr>
                    <w:t>项目生活污水经化粪池预处理后，通过罐车运至纳古镇污水处理站处理。</w:t>
                  </w:r>
                </w:p>
              </w:tc>
            </w:tr>
            <w:tr w14:paraId="22C27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175" w:type="dxa"/>
                  <w:vMerge w:val="continue"/>
                  <w:vAlign w:val="center"/>
                </w:tcPr>
                <w:p w14:paraId="6288662D">
                  <w:pPr>
                    <w:pStyle w:val="8"/>
                    <w:spacing w:line="360" w:lineRule="exact"/>
                    <w:ind w:firstLine="0"/>
                    <w:jc w:val="center"/>
                    <w:rPr>
                      <w:color w:val="auto"/>
                      <w:sz w:val="21"/>
                      <w:szCs w:val="21"/>
                    </w:rPr>
                  </w:pPr>
                </w:p>
              </w:tc>
              <w:tc>
                <w:tcPr>
                  <w:tcW w:w="1632" w:type="dxa"/>
                  <w:vAlign w:val="center"/>
                </w:tcPr>
                <w:p w14:paraId="25C4C728">
                  <w:pPr>
                    <w:pStyle w:val="8"/>
                    <w:spacing w:line="360" w:lineRule="exact"/>
                    <w:ind w:firstLine="0"/>
                    <w:jc w:val="center"/>
                    <w:rPr>
                      <w:color w:val="auto"/>
                      <w:sz w:val="21"/>
                      <w:szCs w:val="21"/>
                    </w:rPr>
                  </w:pPr>
                  <w:r>
                    <w:rPr>
                      <w:rFonts w:hint="eastAsia"/>
                      <w:color w:val="auto"/>
                      <w:sz w:val="21"/>
                      <w:szCs w:val="21"/>
                    </w:rPr>
                    <w:t>排放方式</w:t>
                  </w:r>
                </w:p>
              </w:tc>
              <w:tc>
                <w:tcPr>
                  <w:tcW w:w="6727" w:type="dxa"/>
                  <w:gridSpan w:val="6"/>
                  <w:vAlign w:val="center"/>
                </w:tcPr>
                <w:p w14:paraId="09191836">
                  <w:pPr>
                    <w:pStyle w:val="8"/>
                    <w:spacing w:line="360" w:lineRule="exact"/>
                    <w:ind w:firstLine="0"/>
                    <w:jc w:val="center"/>
                    <w:rPr>
                      <w:color w:val="auto"/>
                      <w:sz w:val="21"/>
                      <w:szCs w:val="21"/>
                    </w:rPr>
                  </w:pPr>
                  <w:r>
                    <w:rPr>
                      <w:color w:val="auto"/>
                      <w:sz w:val="21"/>
                      <w:szCs w:val="21"/>
                    </w:rPr>
                    <w:t>间接排放</w:t>
                  </w:r>
                </w:p>
              </w:tc>
            </w:tr>
            <w:tr w14:paraId="45A88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175" w:type="dxa"/>
                  <w:vMerge w:val="continue"/>
                  <w:vAlign w:val="center"/>
                </w:tcPr>
                <w:p w14:paraId="1993D3C2">
                  <w:pPr>
                    <w:pStyle w:val="8"/>
                    <w:spacing w:line="360" w:lineRule="exact"/>
                    <w:ind w:firstLine="0"/>
                    <w:jc w:val="center"/>
                    <w:rPr>
                      <w:color w:val="auto"/>
                      <w:sz w:val="21"/>
                      <w:szCs w:val="21"/>
                    </w:rPr>
                  </w:pPr>
                </w:p>
              </w:tc>
              <w:tc>
                <w:tcPr>
                  <w:tcW w:w="1632" w:type="dxa"/>
                  <w:vAlign w:val="center"/>
                </w:tcPr>
                <w:p w14:paraId="572F763E">
                  <w:pPr>
                    <w:pStyle w:val="8"/>
                    <w:spacing w:line="360" w:lineRule="exact"/>
                    <w:ind w:firstLine="0"/>
                    <w:jc w:val="center"/>
                    <w:rPr>
                      <w:color w:val="auto"/>
                      <w:sz w:val="21"/>
                      <w:szCs w:val="21"/>
                    </w:rPr>
                  </w:pPr>
                  <w:r>
                    <w:rPr>
                      <w:color w:val="auto"/>
                      <w:sz w:val="21"/>
                      <w:szCs w:val="21"/>
                    </w:rPr>
                    <w:t>排放去向</w:t>
                  </w:r>
                </w:p>
              </w:tc>
              <w:tc>
                <w:tcPr>
                  <w:tcW w:w="6727" w:type="dxa"/>
                  <w:gridSpan w:val="6"/>
                  <w:vAlign w:val="center"/>
                </w:tcPr>
                <w:p w14:paraId="52D80E46">
                  <w:pPr>
                    <w:pStyle w:val="8"/>
                    <w:spacing w:line="360" w:lineRule="exact"/>
                    <w:ind w:firstLine="0"/>
                    <w:jc w:val="center"/>
                    <w:rPr>
                      <w:color w:val="auto"/>
                      <w:sz w:val="21"/>
                      <w:szCs w:val="21"/>
                    </w:rPr>
                  </w:pPr>
                  <w:r>
                    <w:rPr>
                      <w:rFonts w:hint="eastAsia"/>
                      <w:color w:val="auto"/>
                      <w:sz w:val="21"/>
                      <w:szCs w:val="21"/>
                    </w:rPr>
                    <w:t>经纳古镇污水处理站处理后排入杞麓湖环湖截污沟，进入环湖截污沟后经提升泵站用于周边农田浇灌。</w:t>
                  </w:r>
                </w:p>
              </w:tc>
            </w:tr>
            <w:tr w14:paraId="60CED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175" w:type="dxa"/>
                  <w:vMerge w:val="continue"/>
                  <w:vAlign w:val="center"/>
                </w:tcPr>
                <w:p w14:paraId="6D4BD582">
                  <w:pPr>
                    <w:pStyle w:val="8"/>
                    <w:spacing w:line="360" w:lineRule="exact"/>
                    <w:ind w:firstLine="0"/>
                    <w:jc w:val="center"/>
                    <w:rPr>
                      <w:color w:val="auto"/>
                      <w:sz w:val="21"/>
                      <w:szCs w:val="21"/>
                    </w:rPr>
                  </w:pPr>
                </w:p>
              </w:tc>
              <w:tc>
                <w:tcPr>
                  <w:tcW w:w="1632" w:type="dxa"/>
                  <w:vAlign w:val="center"/>
                </w:tcPr>
                <w:p w14:paraId="114ABFA9">
                  <w:pPr>
                    <w:pStyle w:val="8"/>
                    <w:spacing w:line="360" w:lineRule="exact"/>
                    <w:ind w:firstLine="0"/>
                    <w:jc w:val="center"/>
                    <w:rPr>
                      <w:color w:val="auto"/>
                      <w:sz w:val="21"/>
                      <w:szCs w:val="21"/>
                    </w:rPr>
                  </w:pPr>
                  <w:r>
                    <w:rPr>
                      <w:color w:val="auto"/>
                      <w:sz w:val="21"/>
                      <w:szCs w:val="21"/>
                    </w:rPr>
                    <w:t>排放标准</w:t>
                  </w:r>
                </w:p>
              </w:tc>
              <w:tc>
                <w:tcPr>
                  <w:tcW w:w="6727" w:type="dxa"/>
                  <w:gridSpan w:val="6"/>
                  <w:vAlign w:val="center"/>
                </w:tcPr>
                <w:p w14:paraId="7BA76B5E">
                  <w:pPr>
                    <w:pStyle w:val="8"/>
                    <w:spacing w:line="360" w:lineRule="exact"/>
                    <w:ind w:firstLine="0"/>
                    <w:jc w:val="center"/>
                    <w:rPr>
                      <w:color w:val="auto"/>
                      <w:sz w:val="21"/>
                      <w:szCs w:val="21"/>
                    </w:rPr>
                  </w:pPr>
                  <w:r>
                    <w:rPr>
                      <w:rFonts w:hint="eastAsia"/>
                      <w:color w:val="auto"/>
                      <w:sz w:val="21"/>
                      <w:szCs w:val="21"/>
                    </w:rPr>
                    <w:t>《污水综合排放标准》（GB8978-1996）表4三级标准和《污水排入城镇下水道水质标准》（GB/T31962-2015）表1B等级标准</w:t>
                  </w:r>
                </w:p>
              </w:tc>
            </w:tr>
          </w:tbl>
          <w:p w14:paraId="43B872ED">
            <w:pPr>
              <w:adjustRightInd w:val="0"/>
              <w:snapToGrid w:val="0"/>
              <w:spacing w:line="360" w:lineRule="auto"/>
              <w:ind w:firstLine="482" w:firstLineChars="200"/>
              <w:jc w:val="center"/>
              <w:rPr>
                <w:b/>
                <w:bCs/>
                <w:color w:val="auto"/>
                <w:kern w:val="24"/>
                <w:sz w:val="24"/>
              </w:rPr>
            </w:pPr>
          </w:p>
          <w:p w14:paraId="3AABFF34">
            <w:pPr>
              <w:adjustRightInd w:val="0"/>
              <w:snapToGrid w:val="0"/>
              <w:spacing w:line="360" w:lineRule="auto"/>
              <w:ind w:firstLine="480" w:firstLineChars="200"/>
              <w:rPr>
                <w:bCs/>
                <w:color w:val="auto"/>
              </w:rPr>
            </w:pPr>
            <w:r>
              <w:rPr>
                <w:rFonts w:hint="eastAsia"/>
                <w:color w:val="auto"/>
                <w:kern w:val="24"/>
                <w:sz w:val="24"/>
              </w:rPr>
              <w:t>（2）生产废水</w:t>
            </w:r>
          </w:p>
          <w:p w14:paraId="4D5C811B">
            <w:pPr>
              <w:pStyle w:val="70"/>
              <w:ind w:firstLine="480" w:firstLineChars="0"/>
              <w:rPr>
                <w:color w:val="auto"/>
              </w:rPr>
            </w:pPr>
            <w:r>
              <w:rPr>
                <w:rFonts w:hint="eastAsia"/>
                <w:color w:val="auto"/>
              </w:rPr>
              <w:t>产品直接冷却水主要是对焊管进行冷却，与物料直接接触，为直接冷却水，通过生产线下方排水沟引入循环水池，焊管直接冷却水经沉淀、冷却后循环利用，定期补充，不外排。</w:t>
            </w:r>
          </w:p>
          <w:p w14:paraId="3B52FE66">
            <w:pPr>
              <w:pStyle w:val="70"/>
              <w:ind w:firstLine="480" w:firstLineChars="0"/>
              <w:rPr>
                <w:color w:val="auto"/>
              </w:rPr>
            </w:pPr>
            <w:r>
              <w:rPr>
                <w:bCs/>
                <w:color w:val="auto"/>
              </w:rPr>
              <w:t>循环水池沉渣通过板框压滤脱水，每年项目沉渣压滤废水量约</w:t>
            </w:r>
            <w:r>
              <w:rPr>
                <w:rFonts w:hint="eastAsia"/>
                <w:bCs/>
                <w:color w:val="auto"/>
              </w:rPr>
              <w:t>15.54</w:t>
            </w:r>
            <w:r>
              <w:rPr>
                <w:bCs/>
                <w:color w:val="auto"/>
              </w:rPr>
              <w:t>t，返回循环水池进行循环使用，不外排。</w:t>
            </w:r>
          </w:p>
          <w:p w14:paraId="03F277DE">
            <w:pPr>
              <w:pStyle w:val="70"/>
              <w:ind w:firstLine="480" w:firstLineChars="0"/>
              <w:rPr>
                <w:color w:val="auto"/>
              </w:rPr>
            </w:pPr>
            <w:r>
              <w:rPr>
                <w:rFonts w:hint="eastAsia"/>
                <w:color w:val="auto"/>
              </w:rPr>
              <w:t>本项目共设置</w:t>
            </w:r>
            <w:r>
              <w:rPr>
                <w:color w:val="auto"/>
              </w:rPr>
              <w:t>2</w:t>
            </w:r>
            <w:r>
              <w:rPr>
                <w:rFonts w:hint="eastAsia"/>
                <w:color w:val="auto"/>
              </w:rPr>
              <w:t>个循环水池，总容积30</w:t>
            </w:r>
            <w:r>
              <w:rPr>
                <w:color w:val="auto"/>
              </w:rPr>
              <w:t>0</w:t>
            </w:r>
            <w:r>
              <w:rPr>
                <w:rFonts w:hint="eastAsia"/>
                <w:color w:val="auto"/>
              </w:rPr>
              <w:t xml:space="preserve"> m</w:t>
            </w:r>
            <w:r>
              <w:rPr>
                <w:rFonts w:hint="eastAsia"/>
                <w:color w:val="auto"/>
                <w:vertAlign w:val="superscript"/>
              </w:rPr>
              <w:t>3</w:t>
            </w:r>
            <w:r>
              <w:rPr>
                <w:rFonts w:hint="eastAsia"/>
                <w:color w:val="auto"/>
              </w:rPr>
              <w:t>。本项目直接冷却水设计总循环水量为20m</w:t>
            </w:r>
            <w:r>
              <w:rPr>
                <w:rFonts w:hint="eastAsia"/>
                <w:color w:val="auto"/>
                <w:vertAlign w:val="superscript"/>
              </w:rPr>
              <w:t>3</w:t>
            </w:r>
            <w:r>
              <w:rPr>
                <w:rFonts w:hint="eastAsia"/>
                <w:color w:val="auto"/>
              </w:rPr>
              <w:t>/h，60m</w:t>
            </w:r>
            <w:r>
              <w:rPr>
                <w:rFonts w:hint="eastAsia"/>
                <w:color w:val="auto"/>
                <w:vertAlign w:val="superscript"/>
              </w:rPr>
              <w:t>3</w:t>
            </w:r>
            <w:r>
              <w:rPr>
                <w:rFonts w:hint="eastAsia"/>
                <w:color w:val="auto"/>
              </w:rPr>
              <w:t>/d。</w:t>
            </w:r>
            <w:r>
              <w:rPr>
                <w:color w:val="auto"/>
              </w:rPr>
              <w:t>根据</w:t>
            </w:r>
            <w:r>
              <w:rPr>
                <w:rFonts w:hint="eastAsia"/>
                <w:color w:val="auto"/>
                <w:kern w:val="0"/>
              </w:rPr>
              <w:t>建设单位提供的资料</w:t>
            </w:r>
            <w:r>
              <w:rPr>
                <w:rFonts w:hint="eastAsia"/>
                <w:color w:val="auto"/>
              </w:rPr>
              <w:t>，</w:t>
            </w:r>
            <w:r>
              <w:rPr>
                <w:rFonts w:hint="eastAsia"/>
                <w:color w:val="auto"/>
                <w:kern w:val="0"/>
              </w:rPr>
              <w:t>本项目</w:t>
            </w:r>
            <w:r>
              <w:rPr>
                <w:rFonts w:hint="eastAsia"/>
                <w:color w:val="auto"/>
                <w:kern w:val="24"/>
              </w:rPr>
              <w:t>直接冷却水补水量约</w:t>
            </w:r>
            <w:r>
              <w:rPr>
                <w:color w:val="auto"/>
                <w:kern w:val="24"/>
              </w:rPr>
              <w:t>为361.26m</w:t>
            </w:r>
            <w:r>
              <w:rPr>
                <w:color w:val="auto"/>
                <w:kern w:val="24"/>
                <w:vertAlign w:val="superscript"/>
              </w:rPr>
              <w:t>3</w:t>
            </w:r>
            <w:r>
              <w:rPr>
                <w:color w:val="auto"/>
                <w:kern w:val="24"/>
              </w:rPr>
              <w:t>/a（</w:t>
            </w:r>
            <w:r>
              <w:rPr>
                <w:rFonts w:hint="eastAsia"/>
                <w:color w:val="auto"/>
                <w:kern w:val="24"/>
              </w:rPr>
              <w:t>1.</w:t>
            </w:r>
            <w:r>
              <w:rPr>
                <w:color w:val="auto"/>
                <w:kern w:val="24"/>
              </w:rPr>
              <w:t>2 m</w:t>
            </w:r>
            <w:r>
              <w:rPr>
                <w:color w:val="auto"/>
                <w:kern w:val="24"/>
                <w:vertAlign w:val="superscript"/>
              </w:rPr>
              <w:t>3</w:t>
            </w:r>
            <w:r>
              <w:rPr>
                <w:color w:val="auto"/>
                <w:kern w:val="24"/>
              </w:rPr>
              <w:t>/d）</w:t>
            </w:r>
            <w:r>
              <w:rPr>
                <w:rFonts w:hint="eastAsia"/>
                <w:color w:val="auto"/>
              </w:rPr>
              <w:t>。</w:t>
            </w:r>
          </w:p>
          <w:p w14:paraId="406987A8">
            <w:pPr>
              <w:adjustRightInd w:val="0"/>
              <w:snapToGrid w:val="0"/>
              <w:spacing w:line="360" w:lineRule="auto"/>
              <w:ind w:firstLine="482" w:firstLineChars="200"/>
              <w:jc w:val="center"/>
              <w:rPr>
                <w:b/>
                <w:bCs/>
                <w:color w:val="auto"/>
                <w:kern w:val="24"/>
                <w:sz w:val="24"/>
              </w:rPr>
            </w:pPr>
            <w:r>
              <w:rPr>
                <w:b/>
                <w:bCs/>
                <w:color w:val="auto"/>
                <w:kern w:val="24"/>
                <w:sz w:val="24"/>
              </w:rPr>
              <w:t>表</w:t>
            </w:r>
            <w:r>
              <w:rPr>
                <w:rFonts w:hint="eastAsia"/>
                <w:b/>
                <w:bCs/>
                <w:color w:val="auto"/>
                <w:kern w:val="24"/>
                <w:sz w:val="24"/>
              </w:rPr>
              <w:t>4</w:t>
            </w:r>
            <w:r>
              <w:rPr>
                <w:b/>
                <w:bCs/>
                <w:color w:val="auto"/>
                <w:kern w:val="24"/>
                <w:sz w:val="24"/>
              </w:rPr>
              <w:t xml:space="preserve">-10   </w:t>
            </w:r>
            <w:r>
              <w:rPr>
                <w:rFonts w:hint="eastAsia"/>
                <w:b/>
                <w:bCs/>
                <w:color w:val="auto"/>
                <w:kern w:val="24"/>
                <w:sz w:val="24"/>
              </w:rPr>
              <w:t>废水类别、污染物及污染治理设施信息表</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0"/>
              <w:gridCol w:w="826"/>
              <w:gridCol w:w="909"/>
              <w:gridCol w:w="707"/>
              <w:gridCol w:w="829"/>
              <w:gridCol w:w="1016"/>
              <w:gridCol w:w="790"/>
              <w:gridCol w:w="1062"/>
              <w:gridCol w:w="833"/>
              <w:gridCol w:w="754"/>
              <w:gridCol w:w="754"/>
            </w:tblGrid>
            <w:tr w14:paraId="7A7F4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dxa"/>
                  <w:vMerge w:val="restart"/>
                  <w:vAlign w:val="center"/>
                </w:tcPr>
                <w:p w14:paraId="33015EDC">
                  <w:pPr>
                    <w:adjustRightInd w:val="0"/>
                    <w:snapToGrid w:val="0"/>
                    <w:jc w:val="center"/>
                    <w:rPr>
                      <w:color w:val="auto"/>
                      <w:kern w:val="24"/>
                      <w:sz w:val="18"/>
                      <w:szCs w:val="18"/>
                    </w:rPr>
                  </w:pPr>
                  <w:r>
                    <w:rPr>
                      <w:rFonts w:hint="eastAsia"/>
                      <w:color w:val="auto"/>
                      <w:kern w:val="24"/>
                      <w:sz w:val="18"/>
                      <w:szCs w:val="18"/>
                    </w:rPr>
                    <w:t>序号</w:t>
                  </w:r>
                </w:p>
              </w:tc>
              <w:tc>
                <w:tcPr>
                  <w:tcW w:w="889" w:type="dxa"/>
                  <w:vMerge w:val="restart"/>
                  <w:vAlign w:val="center"/>
                </w:tcPr>
                <w:p w14:paraId="56A0F630">
                  <w:pPr>
                    <w:adjustRightInd w:val="0"/>
                    <w:snapToGrid w:val="0"/>
                    <w:jc w:val="center"/>
                    <w:rPr>
                      <w:color w:val="auto"/>
                      <w:kern w:val="24"/>
                      <w:sz w:val="18"/>
                      <w:szCs w:val="18"/>
                    </w:rPr>
                  </w:pPr>
                  <w:r>
                    <w:rPr>
                      <w:rFonts w:hint="eastAsia"/>
                      <w:color w:val="auto"/>
                      <w:kern w:val="24"/>
                      <w:sz w:val="18"/>
                      <w:szCs w:val="18"/>
                    </w:rPr>
                    <w:t>废水类别</w:t>
                  </w:r>
                </w:p>
              </w:tc>
              <w:tc>
                <w:tcPr>
                  <w:tcW w:w="910" w:type="dxa"/>
                  <w:vMerge w:val="restart"/>
                  <w:vAlign w:val="center"/>
                </w:tcPr>
                <w:p w14:paraId="78116839">
                  <w:pPr>
                    <w:adjustRightInd w:val="0"/>
                    <w:snapToGrid w:val="0"/>
                    <w:jc w:val="center"/>
                    <w:rPr>
                      <w:color w:val="auto"/>
                      <w:kern w:val="24"/>
                      <w:sz w:val="18"/>
                      <w:szCs w:val="18"/>
                    </w:rPr>
                  </w:pPr>
                  <w:r>
                    <w:rPr>
                      <w:rFonts w:hint="eastAsia"/>
                      <w:color w:val="auto"/>
                      <w:kern w:val="24"/>
                      <w:sz w:val="18"/>
                      <w:szCs w:val="18"/>
                    </w:rPr>
                    <w:t>污染物种类</w:t>
                  </w:r>
                </w:p>
              </w:tc>
              <w:tc>
                <w:tcPr>
                  <w:tcW w:w="740" w:type="dxa"/>
                  <w:vMerge w:val="restart"/>
                  <w:vAlign w:val="center"/>
                </w:tcPr>
                <w:p w14:paraId="4ED85C46">
                  <w:pPr>
                    <w:adjustRightInd w:val="0"/>
                    <w:snapToGrid w:val="0"/>
                    <w:jc w:val="center"/>
                    <w:rPr>
                      <w:color w:val="auto"/>
                      <w:kern w:val="24"/>
                      <w:sz w:val="18"/>
                      <w:szCs w:val="18"/>
                    </w:rPr>
                  </w:pPr>
                  <w:r>
                    <w:rPr>
                      <w:rFonts w:hint="eastAsia"/>
                      <w:color w:val="auto"/>
                      <w:kern w:val="24"/>
                      <w:sz w:val="18"/>
                      <w:szCs w:val="18"/>
                    </w:rPr>
                    <w:t>排放去向</w:t>
                  </w:r>
                </w:p>
              </w:tc>
              <w:tc>
                <w:tcPr>
                  <w:tcW w:w="893" w:type="dxa"/>
                  <w:vMerge w:val="restart"/>
                  <w:vAlign w:val="center"/>
                </w:tcPr>
                <w:p w14:paraId="5D58D626">
                  <w:pPr>
                    <w:adjustRightInd w:val="0"/>
                    <w:snapToGrid w:val="0"/>
                    <w:jc w:val="center"/>
                    <w:rPr>
                      <w:color w:val="auto"/>
                      <w:kern w:val="24"/>
                      <w:sz w:val="18"/>
                      <w:szCs w:val="18"/>
                    </w:rPr>
                  </w:pPr>
                  <w:r>
                    <w:rPr>
                      <w:rFonts w:hint="eastAsia"/>
                      <w:color w:val="auto"/>
                      <w:kern w:val="24"/>
                      <w:sz w:val="18"/>
                      <w:szCs w:val="18"/>
                    </w:rPr>
                    <w:t>排放规律</w:t>
                  </w:r>
                </w:p>
              </w:tc>
              <w:tc>
                <w:tcPr>
                  <w:tcW w:w="3154" w:type="dxa"/>
                  <w:gridSpan w:val="3"/>
                  <w:vAlign w:val="center"/>
                </w:tcPr>
                <w:p w14:paraId="341C5F26">
                  <w:pPr>
                    <w:adjustRightInd w:val="0"/>
                    <w:snapToGrid w:val="0"/>
                    <w:jc w:val="center"/>
                    <w:rPr>
                      <w:color w:val="auto"/>
                      <w:kern w:val="24"/>
                      <w:sz w:val="18"/>
                      <w:szCs w:val="18"/>
                    </w:rPr>
                  </w:pPr>
                  <w:r>
                    <w:rPr>
                      <w:rFonts w:hint="eastAsia"/>
                      <w:color w:val="auto"/>
                      <w:kern w:val="24"/>
                      <w:sz w:val="18"/>
                      <w:szCs w:val="18"/>
                    </w:rPr>
                    <w:t>污染治理设施</w:t>
                  </w:r>
                </w:p>
              </w:tc>
              <w:tc>
                <w:tcPr>
                  <w:tcW w:w="845" w:type="dxa"/>
                  <w:vMerge w:val="restart"/>
                  <w:vAlign w:val="center"/>
                </w:tcPr>
                <w:p w14:paraId="3F7B0B7F">
                  <w:pPr>
                    <w:adjustRightInd w:val="0"/>
                    <w:snapToGrid w:val="0"/>
                    <w:jc w:val="center"/>
                    <w:rPr>
                      <w:color w:val="auto"/>
                      <w:kern w:val="24"/>
                      <w:sz w:val="18"/>
                      <w:szCs w:val="18"/>
                    </w:rPr>
                  </w:pPr>
                  <w:r>
                    <w:rPr>
                      <w:rFonts w:hint="eastAsia"/>
                      <w:color w:val="auto"/>
                      <w:kern w:val="24"/>
                      <w:sz w:val="18"/>
                      <w:szCs w:val="18"/>
                    </w:rPr>
                    <w:t>排放口编号</w:t>
                  </w:r>
                </w:p>
              </w:tc>
              <w:tc>
                <w:tcPr>
                  <w:tcW w:w="845" w:type="dxa"/>
                  <w:vMerge w:val="restart"/>
                  <w:vAlign w:val="center"/>
                </w:tcPr>
                <w:p w14:paraId="6E74E70B">
                  <w:pPr>
                    <w:adjustRightInd w:val="0"/>
                    <w:snapToGrid w:val="0"/>
                    <w:jc w:val="center"/>
                    <w:rPr>
                      <w:color w:val="auto"/>
                      <w:kern w:val="24"/>
                      <w:sz w:val="18"/>
                      <w:szCs w:val="18"/>
                    </w:rPr>
                  </w:pPr>
                  <w:r>
                    <w:rPr>
                      <w:rFonts w:hint="eastAsia"/>
                      <w:color w:val="auto"/>
                      <w:kern w:val="24"/>
                      <w:sz w:val="18"/>
                      <w:szCs w:val="18"/>
                    </w:rPr>
                    <w:t>排放口设置是否符合要求</w:t>
                  </w:r>
                </w:p>
              </w:tc>
              <w:tc>
                <w:tcPr>
                  <w:tcW w:w="845" w:type="dxa"/>
                  <w:vMerge w:val="restart"/>
                  <w:vAlign w:val="center"/>
                </w:tcPr>
                <w:p w14:paraId="15D07E05">
                  <w:pPr>
                    <w:adjustRightInd w:val="0"/>
                    <w:snapToGrid w:val="0"/>
                    <w:jc w:val="center"/>
                    <w:rPr>
                      <w:color w:val="auto"/>
                      <w:kern w:val="24"/>
                      <w:sz w:val="18"/>
                      <w:szCs w:val="18"/>
                    </w:rPr>
                  </w:pPr>
                  <w:r>
                    <w:rPr>
                      <w:rFonts w:hint="eastAsia"/>
                      <w:color w:val="auto"/>
                      <w:kern w:val="24"/>
                      <w:sz w:val="18"/>
                      <w:szCs w:val="18"/>
                    </w:rPr>
                    <w:t>排放口类型</w:t>
                  </w:r>
                </w:p>
              </w:tc>
            </w:tr>
            <w:tr w14:paraId="1AD6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dxa"/>
                  <w:vMerge w:val="continue"/>
                  <w:vAlign w:val="center"/>
                </w:tcPr>
                <w:p w14:paraId="7F6F30C6">
                  <w:pPr>
                    <w:adjustRightInd w:val="0"/>
                    <w:snapToGrid w:val="0"/>
                    <w:jc w:val="center"/>
                    <w:rPr>
                      <w:color w:val="auto"/>
                      <w:kern w:val="24"/>
                      <w:sz w:val="18"/>
                      <w:szCs w:val="18"/>
                    </w:rPr>
                  </w:pPr>
                </w:p>
              </w:tc>
              <w:tc>
                <w:tcPr>
                  <w:tcW w:w="889" w:type="dxa"/>
                  <w:vMerge w:val="continue"/>
                  <w:vAlign w:val="center"/>
                </w:tcPr>
                <w:p w14:paraId="67AF1FBA">
                  <w:pPr>
                    <w:adjustRightInd w:val="0"/>
                    <w:snapToGrid w:val="0"/>
                    <w:jc w:val="center"/>
                    <w:rPr>
                      <w:color w:val="auto"/>
                      <w:kern w:val="24"/>
                      <w:sz w:val="18"/>
                      <w:szCs w:val="18"/>
                    </w:rPr>
                  </w:pPr>
                </w:p>
              </w:tc>
              <w:tc>
                <w:tcPr>
                  <w:tcW w:w="910" w:type="dxa"/>
                  <w:vMerge w:val="continue"/>
                  <w:vAlign w:val="center"/>
                </w:tcPr>
                <w:p w14:paraId="44610FE4">
                  <w:pPr>
                    <w:adjustRightInd w:val="0"/>
                    <w:snapToGrid w:val="0"/>
                    <w:jc w:val="center"/>
                    <w:rPr>
                      <w:color w:val="auto"/>
                      <w:kern w:val="24"/>
                      <w:sz w:val="18"/>
                      <w:szCs w:val="18"/>
                    </w:rPr>
                  </w:pPr>
                </w:p>
              </w:tc>
              <w:tc>
                <w:tcPr>
                  <w:tcW w:w="740" w:type="dxa"/>
                  <w:vMerge w:val="continue"/>
                  <w:vAlign w:val="center"/>
                </w:tcPr>
                <w:p w14:paraId="5AAB7831">
                  <w:pPr>
                    <w:adjustRightInd w:val="0"/>
                    <w:snapToGrid w:val="0"/>
                    <w:jc w:val="center"/>
                    <w:rPr>
                      <w:color w:val="auto"/>
                      <w:kern w:val="24"/>
                      <w:sz w:val="18"/>
                      <w:szCs w:val="18"/>
                    </w:rPr>
                  </w:pPr>
                </w:p>
              </w:tc>
              <w:tc>
                <w:tcPr>
                  <w:tcW w:w="893" w:type="dxa"/>
                  <w:vMerge w:val="continue"/>
                  <w:vAlign w:val="center"/>
                </w:tcPr>
                <w:p w14:paraId="7F2ECBE2">
                  <w:pPr>
                    <w:adjustRightInd w:val="0"/>
                    <w:snapToGrid w:val="0"/>
                    <w:jc w:val="center"/>
                    <w:rPr>
                      <w:color w:val="auto"/>
                      <w:kern w:val="24"/>
                      <w:sz w:val="18"/>
                      <w:szCs w:val="18"/>
                    </w:rPr>
                  </w:pPr>
                </w:p>
              </w:tc>
              <w:tc>
                <w:tcPr>
                  <w:tcW w:w="1034" w:type="dxa"/>
                  <w:vAlign w:val="center"/>
                </w:tcPr>
                <w:p w14:paraId="4150A65F">
                  <w:pPr>
                    <w:adjustRightInd w:val="0"/>
                    <w:snapToGrid w:val="0"/>
                    <w:jc w:val="center"/>
                    <w:rPr>
                      <w:color w:val="auto"/>
                      <w:kern w:val="24"/>
                      <w:sz w:val="18"/>
                      <w:szCs w:val="18"/>
                    </w:rPr>
                  </w:pPr>
                  <w:r>
                    <w:rPr>
                      <w:rFonts w:hint="eastAsia"/>
                      <w:color w:val="auto"/>
                      <w:kern w:val="24"/>
                      <w:sz w:val="18"/>
                      <w:szCs w:val="18"/>
                    </w:rPr>
                    <w:t>污染治理类型设施编号</w:t>
                  </w:r>
                </w:p>
              </w:tc>
              <w:tc>
                <w:tcPr>
                  <w:tcW w:w="890" w:type="dxa"/>
                  <w:vAlign w:val="center"/>
                </w:tcPr>
                <w:p w14:paraId="4E0B5B5C">
                  <w:pPr>
                    <w:adjustRightInd w:val="0"/>
                    <w:snapToGrid w:val="0"/>
                    <w:jc w:val="center"/>
                    <w:rPr>
                      <w:color w:val="auto"/>
                      <w:kern w:val="24"/>
                      <w:sz w:val="18"/>
                      <w:szCs w:val="18"/>
                    </w:rPr>
                  </w:pPr>
                  <w:r>
                    <w:rPr>
                      <w:rFonts w:hint="eastAsia"/>
                      <w:color w:val="auto"/>
                      <w:kern w:val="24"/>
                      <w:sz w:val="18"/>
                      <w:szCs w:val="18"/>
                    </w:rPr>
                    <w:t>污染治理设施名称</w:t>
                  </w:r>
                </w:p>
              </w:tc>
              <w:tc>
                <w:tcPr>
                  <w:tcW w:w="1230" w:type="dxa"/>
                  <w:vAlign w:val="center"/>
                </w:tcPr>
                <w:p w14:paraId="24BCB1E3">
                  <w:pPr>
                    <w:adjustRightInd w:val="0"/>
                    <w:snapToGrid w:val="0"/>
                    <w:jc w:val="center"/>
                    <w:rPr>
                      <w:color w:val="auto"/>
                      <w:kern w:val="24"/>
                      <w:sz w:val="18"/>
                      <w:szCs w:val="18"/>
                    </w:rPr>
                  </w:pPr>
                  <w:r>
                    <w:rPr>
                      <w:rFonts w:hint="eastAsia"/>
                      <w:color w:val="auto"/>
                      <w:kern w:val="24"/>
                      <w:sz w:val="18"/>
                      <w:szCs w:val="18"/>
                    </w:rPr>
                    <w:t>污染治理设施工艺</w:t>
                  </w:r>
                </w:p>
              </w:tc>
              <w:tc>
                <w:tcPr>
                  <w:tcW w:w="845" w:type="dxa"/>
                  <w:vMerge w:val="continue"/>
                  <w:vAlign w:val="center"/>
                </w:tcPr>
                <w:p w14:paraId="760126A8">
                  <w:pPr>
                    <w:adjustRightInd w:val="0"/>
                    <w:snapToGrid w:val="0"/>
                    <w:jc w:val="center"/>
                    <w:rPr>
                      <w:color w:val="auto"/>
                      <w:kern w:val="24"/>
                      <w:sz w:val="18"/>
                      <w:szCs w:val="18"/>
                    </w:rPr>
                  </w:pPr>
                </w:p>
              </w:tc>
              <w:tc>
                <w:tcPr>
                  <w:tcW w:w="845" w:type="dxa"/>
                  <w:vMerge w:val="continue"/>
                  <w:vAlign w:val="center"/>
                </w:tcPr>
                <w:p w14:paraId="2534E907">
                  <w:pPr>
                    <w:adjustRightInd w:val="0"/>
                    <w:snapToGrid w:val="0"/>
                    <w:jc w:val="center"/>
                    <w:rPr>
                      <w:color w:val="auto"/>
                      <w:kern w:val="24"/>
                      <w:sz w:val="18"/>
                      <w:szCs w:val="18"/>
                    </w:rPr>
                  </w:pPr>
                </w:p>
              </w:tc>
              <w:tc>
                <w:tcPr>
                  <w:tcW w:w="845" w:type="dxa"/>
                  <w:vMerge w:val="continue"/>
                  <w:vAlign w:val="center"/>
                </w:tcPr>
                <w:p w14:paraId="79DC7DE4">
                  <w:pPr>
                    <w:adjustRightInd w:val="0"/>
                    <w:snapToGrid w:val="0"/>
                    <w:jc w:val="center"/>
                    <w:rPr>
                      <w:color w:val="auto"/>
                      <w:kern w:val="24"/>
                      <w:sz w:val="18"/>
                      <w:szCs w:val="18"/>
                    </w:rPr>
                  </w:pPr>
                </w:p>
              </w:tc>
            </w:tr>
            <w:tr w14:paraId="66235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dxa"/>
                  <w:vAlign w:val="center"/>
                </w:tcPr>
                <w:p w14:paraId="3580E2A7">
                  <w:pPr>
                    <w:adjustRightInd w:val="0"/>
                    <w:snapToGrid w:val="0"/>
                    <w:jc w:val="center"/>
                    <w:rPr>
                      <w:color w:val="auto"/>
                      <w:kern w:val="24"/>
                      <w:sz w:val="18"/>
                      <w:szCs w:val="18"/>
                    </w:rPr>
                  </w:pPr>
                  <w:r>
                    <w:rPr>
                      <w:rFonts w:hint="eastAsia"/>
                      <w:color w:val="auto"/>
                      <w:kern w:val="24"/>
                      <w:sz w:val="18"/>
                      <w:szCs w:val="18"/>
                    </w:rPr>
                    <w:t>1</w:t>
                  </w:r>
                </w:p>
              </w:tc>
              <w:tc>
                <w:tcPr>
                  <w:tcW w:w="889" w:type="dxa"/>
                  <w:vAlign w:val="center"/>
                </w:tcPr>
                <w:p w14:paraId="2C83DFC2">
                  <w:pPr>
                    <w:adjustRightInd w:val="0"/>
                    <w:snapToGrid w:val="0"/>
                    <w:jc w:val="center"/>
                    <w:rPr>
                      <w:color w:val="auto"/>
                      <w:kern w:val="24"/>
                      <w:sz w:val="18"/>
                      <w:szCs w:val="18"/>
                    </w:rPr>
                  </w:pPr>
                  <w:r>
                    <w:rPr>
                      <w:rFonts w:hint="eastAsia"/>
                      <w:color w:val="auto"/>
                      <w:kern w:val="24"/>
                      <w:sz w:val="18"/>
                      <w:szCs w:val="18"/>
                    </w:rPr>
                    <w:t>生活污水</w:t>
                  </w:r>
                </w:p>
              </w:tc>
              <w:tc>
                <w:tcPr>
                  <w:tcW w:w="910" w:type="dxa"/>
                  <w:vAlign w:val="center"/>
                </w:tcPr>
                <w:p w14:paraId="5A2BED11">
                  <w:pPr>
                    <w:adjustRightInd w:val="0"/>
                    <w:snapToGrid w:val="0"/>
                    <w:jc w:val="center"/>
                    <w:rPr>
                      <w:color w:val="auto"/>
                      <w:kern w:val="24"/>
                      <w:sz w:val="18"/>
                      <w:szCs w:val="18"/>
                    </w:rPr>
                  </w:pPr>
                  <w:r>
                    <w:rPr>
                      <w:color w:val="auto"/>
                      <w:sz w:val="18"/>
                      <w:szCs w:val="18"/>
                    </w:rPr>
                    <w:t>COD</w:t>
                  </w:r>
                  <w:r>
                    <w:rPr>
                      <w:color w:val="auto"/>
                      <w:sz w:val="18"/>
                      <w:szCs w:val="18"/>
                      <w:vertAlign w:val="subscript"/>
                    </w:rPr>
                    <w:t>cr</w:t>
                  </w:r>
                  <w:r>
                    <w:rPr>
                      <w:rFonts w:hint="eastAsia"/>
                      <w:color w:val="auto"/>
                      <w:sz w:val="18"/>
                      <w:szCs w:val="18"/>
                    </w:rPr>
                    <w:t>、</w:t>
                  </w:r>
                  <w:r>
                    <w:rPr>
                      <w:color w:val="auto"/>
                      <w:sz w:val="18"/>
                      <w:szCs w:val="18"/>
                    </w:rPr>
                    <w:t>BOD</w:t>
                  </w:r>
                  <w:r>
                    <w:rPr>
                      <w:color w:val="auto"/>
                      <w:sz w:val="18"/>
                      <w:szCs w:val="18"/>
                      <w:vertAlign w:val="subscript"/>
                    </w:rPr>
                    <w:t>5</w:t>
                  </w:r>
                  <w:r>
                    <w:rPr>
                      <w:rFonts w:hint="eastAsia"/>
                      <w:color w:val="auto"/>
                      <w:sz w:val="18"/>
                      <w:szCs w:val="18"/>
                    </w:rPr>
                    <w:t>、</w:t>
                  </w:r>
                  <w:r>
                    <w:rPr>
                      <w:color w:val="auto"/>
                      <w:sz w:val="18"/>
                      <w:szCs w:val="18"/>
                    </w:rPr>
                    <w:t>NH</w:t>
                  </w:r>
                  <w:r>
                    <w:rPr>
                      <w:color w:val="auto"/>
                      <w:sz w:val="18"/>
                      <w:szCs w:val="18"/>
                      <w:vertAlign w:val="subscript"/>
                    </w:rPr>
                    <w:t>3</w:t>
                  </w:r>
                  <w:r>
                    <w:rPr>
                      <w:color w:val="auto"/>
                      <w:sz w:val="18"/>
                      <w:szCs w:val="18"/>
                    </w:rPr>
                    <w:t>-N</w:t>
                  </w:r>
                  <w:r>
                    <w:rPr>
                      <w:rFonts w:hint="eastAsia"/>
                      <w:color w:val="auto"/>
                      <w:sz w:val="18"/>
                      <w:szCs w:val="18"/>
                    </w:rPr>
                    <w:t>、LAS、</w:t>
                  </w:r>
                  <w:r>
                    <w:rPr>
                      <w:color w:val="auto"/>
                      <w:sz w:val="18"/>
                      <w:szCs w:val="18"/>
                    </w:rPr>
                    <w:t>SS</w:t>
                  </w:r>
                  <w:r>
                    <w:rPr>
                      <w:rFonts w:hint="eastAsia"/>
                      <w:color w:val="auto"/>
                      <w:sz w:val="18"/>
                      <w:szCs w:val="18"/>
                    </w:rPr>
                    <w:t>、</w:t>
                  </w:r>
                  <w:r>
                    <w:rPr>
                      <w:color w:val="auto"/>
                      <w:sz w:val="18"/>
                      <w:szCs w:val="18"/>
                    </w:rPr>
                    <w:t>T</w:t>
                  </w:r>
                  <w:r>
                    <w:rPr>
                      <w:rFonts w:hint="eastAsia"/>
                      <w:color w:val="auto"/>
                      <w:sz w:val="18"/>
                      <w:szCs w:val="18"/>
                    </w:rPr>
                    <w:t>P</w:t>
                  </w:r>
                  <w:r>
                    <w:rPr>
                      <w:color w:val="auto"/>
                      <w:kern w:val="24"/>
                      <w:sz w:val="18"/>
                      <w:szCs w:val="18"/>
                    </w:rPr>
                    <w:t xml:space="preserve"> </w:t>
                  </w:r>
                  <w:r>
                    <w:rPr>
                      <w:rFonts w:hint="eastAsia"/>
                      <w:color w:val="auto"/>
                      <w:kern w:val="24"/>
                      <w:sz w:val="18"/>
                      <w:szCs w:val="18"/>
                    </w:rPr>
                    <w:t>、动植物油</w:t>
                  </w:r>
                </w:p>
              </w:tc>
              <w:tc>
                <w:tcPr>
                  <w:tcW w:w="740" w:type="dxa"/>
                  <w:vAlign w:val="center"/>
                </w:tcPr>
                <w:p w14:paraId="62328BFA">
                  <w:pPr>
                    <w:adjustRightInd w:val="0"/>
                    <w:snapToGrid w:val="0"/>
                    <w:jc w:val="center"/>
                    <w:rPr>
                      <w:color w:val="auto"/>
                      <w:kern w:val="24"/>
                      <w:sz w:val="18"/>
                      <w:szCs w:val="18"/>
                    </w:rPr>
                  </w:pPr>
                  <w:r>
                    <w:rPr>
                      <w:rFonts w:hint="eastAsia"/>
                      <w:color w:val="auto"/>
                      <w:kern w:val="24"/>
                      <w:sz w:val="18"/>
                      <w:szCs w:val="18"/>
                    </w:rPr>
                    <w:t>槽车运至纳古镇污水处理站处理</w:t>
                  </w:r>
                </w:p>
              </w:tc>
              <w:tc>
                <w:tcPr>
                  <w:tcW w:w="893" w:type="dxa"/>
                  <w:vAlign w:val="center"/>
                </w:tcPr>
                <w:p w14:paraId="4830D7C0">
                  <w:pPr>
                    <w:adjustRightInd w:val="0"/>
                    <w:snapToGrid w:val="0"/>
                    <w:jc w:val="center"/>
                    <w:rPr>
                      <w:color w:val="auto"/>
                      <w:kern w:val="24"/>
                      <w:sz w:val="18"/>
                      <w:szCs w:val="18"/>
                    </w:rPr>
                  </w:pPr>
                  <w:r>
                    <w:rPr>
                      <w:rFonts w:hint="eastAsia"/>
                      <w:color w:val="auto"/>
                      <w:kern w:val="24"/>
                      <w:sz w:val="18"/>
                      <w:szCs w:val="18"/>
                    </w:rPr>
                    <w:t>间歇排放，流量不稳定，但有周期性规律</w:t>
                  </w:r>
                </w:p>
              </w:tc>
              <w:tc>
                <w:tcPr>
                  <w:tcW w:w="1034" w:type="dxa"/>
                  <w:vAlign w:val="center"/>
                </w:tcPr>
                <w:p w14:paraId="14D1CA1A">
                  <w:pPr>
                    <w:adjustRightInd w:val="0"/>
                    <w:snapToGrid w:val="0"/>
                    <w:jc w:val="center"/>
                    <w:rPr>
                      <w:color w:val="auto"/>
                      <w:kern w:val="24"/>
                      <w:sz w:val="18"/>
                      <w:szCs w:val="18"/>
                    </w:rPr>
                  </w:pPr>
                  <w:r>
                    <w:rPr>
                      <w:rFonts w:hint="eastAsia"/>
                      <w:color w:val="auto"/>
                      <w:kern w:val="24"/>
                      <w:sz w:val="18"/>
                      <w:szCs w:val="18"/>
                    </w:rPr>
                    <w:t>TW001</w:t>
                  </w:r>
                </w:p>
              </w:tc>
              <w:tc>
                <w:tcPr>
                  <w:tcW w:w="890" w:type="dxa"/>
                  <w:vAlign w:val="center"/>
                </w:tcPr>
                <w:p w14:paraId="4F4309C2">
                  <w:pPr>
                    <w:adjustRightInd w:val="0"/>
                    <w:snapToGrid w:val="0"/>
                    <w:jc w:val="center"/>
                    <w:rPr>
                      <w:color w:val="auto"/>
                      <w:kern w:val="24"/>
                      <w:sz w:val="18"/>
                      <w:szCs w:val="18"/>
                    </w:rPr>
                  </w:pPr>
                  <w:r>
                    <w:rPr>
                      <w:rFonts w:hint="eastAsia"/>
                      <w:color w:val="auto"/>
                      <w:kern w:val="24"/>
                      <w:sz w:val="18"/>
                      <w:szCs w:val="18"/>
                    </w:rPr>
                    <w:t>化粪池</w:t>
                  </w:r>
                </w:p>
              </w:tc>
              <w:tc>
                <w:tcPr>
                  <w:tcW w:w="1230" w:type="dxa"/>
                  <w:vAlign w:val="center"/>
                </w:tcPr>
                <w:p w14:paraId="59DA27CC">
                  <w:pPr>
                    <w:adjustRightInd w:val="0"/>
                    <w:snapToGrid w:val="0"/>
                    <w:jc w:val="center"/>
                    <w:rPr>
                      <w:color w:val="auto"/>
                      <w:kern w:val="24"/>
                      <w:sz w:val="18"/>
                      <w:szCs w:val="18"/>
                    </w:rPr>
                  </w:pPr>
                  <w:r>
                    <w:rPr>
                      <w:rFonts w:hint="eastAsia"/>
                      <w:color w:val="auto"/>
                      <w:kern w:val="24"/>
                      <w:sz w:val="18"/>
                      <w:szCs w:val="18"/>
                    </w:rPr>
                    <w:t>化粪池</w:t>
                  </w:r>
                </w:p>
              </w:tc>
              <w:tc>
                <w:tcPr>
                  <w:tcW w:w="845" w:type="dxa"/>
                  <w:vAlign w:val="center"/>
                </w:tcPr>
                <w:p w14:paraId="2135B286">
                  <w:pPr>
                    <w:adjustRightInd w:val="0"/>
                    <w:snapToGrid w:val="0"/>
                    <w:jc w:val="center"/>
                    <w:rPr>
                      <w:color w:val="auto"/>
                      <w:kern w:val="24"/>
                      <w:sz w:val="18"/>
                      <w:szCs w:val="18"/>
                    </w:rPr>
                  </w:pPr>
                  <w:r>
                    <w:rPr>
                      <w:color w:val="auto"/>
                      <w:kern w:val="24"/>
                      <w:sz w:val="18"/>
                      <w:szCs w:val="18"/>
                    </w:rPr>
                    <w:t>DW001</w:t>
                  </w:r>
                </w:p>
              </w:tc>
              <w:tc>
                <w:tcPr>
                  <w:tcW w:w="845" w:type="dxa"/>
                  <w:vAlign w:val="center"/>
                </w:tcPr>
                <w:p w14:paraId="240E8A5C">
                  <w:pPr>
                    <w:adjustRightInd w:val="0"/>
                    <w:snapToGrid w:val="0"/>
                    <w:jc w:val="center"/>
                    <w:rPr>
                      <w:color w:val="auto"/>
                      <w:kern w:val="24"/>
                      <w:sz w:val="18"/>
                      <w:szCs w:val="18"/>
                    </w:rPr>
                  </w:pPr>
                  <w:r>
                    <w:rPr>
                      <w:rFonts w:hint="eastAsia"/>
                      <w:color w:val="auto"/>
                      <w:kern w:val="24"/>
                      <w:sz w:val="18"/>
                      <w:szCs w:val="18"/>
                    </w:rPr>
                    <w:t>是</w:t>
                  </w:r>
                </w:p>
              </w:tc>
              <w:tc>
                <w:tcPr>
                  <w:tcW w:w="845" w:type="dxa"/>
                  <w:vAlign w:val="center"/>
                </w:tcPr>
                <w:p w14:paraId="5CDEB06E">
                  <w:pPr>
                    <w:adjustRightInd w:val="0"/>
                    <w:snapToGrid w:val="0"/>
                    <w:jc w:val="center"/>
                    <w:rPr>
                      <w:color w:val="auto"/>
                      <w:kern w:val="24"/>
                      <w:sz w:val="18"/>
                      <w:szCs w:val="18"/>
                    </w:rPr>
                  </w:pPr>
                  <w:r>
                    <w:rPr>
                      <w:rFonts w:hint="eastAsia"/>
                      <w:color w:val="auto"/>
                      <w:kern w:val="24"/>
                      <w:sz w:val="18"/>
                      <w:szCs w:val="18"/>
                    </w:rPr>
                    <w:t>企业总排</w:t>
                  </w:r>
                </w:p>
              </w:tc>
            </w:tr>
            <w:tr w14:paraId="1912A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dxa"/>
                  <w:vAlign w:val="center"/>
                </w:tcPr>
                <w:p w14:paraId="73E5E7DF">
                  <w:pPr>
                    <w:adjustRightInd w:val="0"/>
                    <w:snapToGrid w:val="0"/>
                    <w:jc w:val="center"/>
                    <w:rPr>
                      <w:color w:val="auto"/>
                      <w:kern w:val="24"/>
                      <w:sz w:val="18"/>
                      <w:szCs w:val="18"/>
                    </w:rPr>
                  </w:pPr>
                  <w:r>
                    <w:rPr>
                      <w:rFonts w:hint="eastAsia"/>
                      <w:color w:val="auto"/>
                      <w:kern w:val="24"/>
                      <w:sz w:val="18"/>
                      <w:szCs w:val="18"/>
                    </w:rPr>
                    <w:t>2</w:t>
                  </w:r>
                </w:p>
              </w:tc>
              <w:tc>
                <w:tcPr>
                  <w:tcW w:w="889" w:type="dxa"/>
                  <w:vAlign w:val="center"/>
                </w:tcPr>
                <w:p w14:paraId="55FD558A">
                  <w:pPr>
                    <w:adjustRightInd w:val="0"/>
                    <w:snapToGrid w:val="0"/>
                    <w:jc w:val="center"/>
                    <w:rPr>
                      <w:color w:val="auto"/>
                      <w:kern w:val="24"/>
                      <w:sz w:val="18"/>
                      <w:szCs w:val="18"/>
                    </w:rPr>
                  </w:pPr>
                  <w:r>
                    <w:rPr>
                      <w:rFonts w:hint="eastAsia"/>
                      <w:color w:val="auto"/>
                      <w:kern w:val="24"/>
                      <w:sz w:val="18"/>
                      <w:szCs w:val="18"/>
                    </w:rPr>
                    <w:t>直接冷却水、沉渣压滤废水</w:t>
                  </w:r>
                </w:p>
              </w:tc>
              <w:tc>
                <w:tcPr>
                  <w:tcW w:w="910" w:type="dxa"/>
                  <w:vAlign w:val="center"/>
                </w:tcPr>
                <w:p w14:paraId="72C76EF7">
                  <w:pPr>
                    <w:adjustRightInd w:val="0"/>
                    <w:snapToGrid w:val="0"/>
                    <w:jc w:val="center"/>
                    <w:rPr>
                      <w:color w:val="auto"/>
                      <w:kern w:val="24"/>
                      <w:sz w:val="18"/>
                      <w:szCs w:val="18"/>
                    </w:rPr>
                  </w:pPr>
                  <w:r>
                    <w:rPr>
                      <w:color w:val="auto"/>
                      <w:sz w:val="18"/>
                      <w:szCs w:val="18"/>
                    </w:rPr>
                    <w:t>COD</w:t>
                  </w:r>
                  <w:r>
                    <w:rPr>
                      <w:rFonts w:hint="eastAsia"/>
                      <w:color w:val="auto"/>
                      <w:sz w:val="18"/>
                      <w:szCs w:val="18"/>
                    </w:rPr>
                    <w:t>、</w:t>
                  </w:r>
                  <w:r>
                    <w:rPr>
                      <w:color w:val="auto"/>
                      <w:sz w:val="18"/>
                      <w:szCs w:val="18"/>
                    </w:rPr>
                    <w:t>SS</w:t>
                  </w:r>
                </w:p>
              </w:tc>
              <w:tc>
                <w:tcPr>
                  <w:tcW w:w="740" w:type="dxa"/>
                  <w:vAlign w:val="center"/>
                </w:tcPr>
                <w:p w14:paraId="67F8DFC8">
                  <w:pPr>
                    <w:adjustRightInd w:val="0"/>
                    <w:snapToGrid w:val="0"/>
                    <w:jc w:val="center"/>
                    <w:rPr>
                      <w:color w:val="auto"/>
                      <w:kern w:val="24"/>
                      <w:sz w:val="18"/>
                      <w:szCs w:val="18"/>
                    </w:rPr>
                  </w:pPr>
                  <w:r>
                    <w:rPr>
                      <w:rFonts w:hint="eastAsia"/>
                      <w:color w:val="auto"/>
                      <w:kern w:val="24"/>
                      <w:sz w:val="18"/>
                      <w:szCs w:val="18"/>
                    </w:rPr>
                    <w:t>沉淀后循环使用，不外排</w:t>
                  </w:r>
                </w:p>
              </w:tc>
              <w:tc>
                <w:tcPr>
                  <w:tcW w:w="893" w:type="dxa"/>
                  <w:vAlign w:val="center"/>
                </w:tcPr>
                <w:p w14:paraId="51ADE4C8">
                  <w:pPr>
                    <w:adjustRightInd w:val="0"/>
                    <w:snapToGrid w:val="0"/>
                    <w:jc w:val="center"/>
                    <w:rPr>
                      <w:color w:val="auto"/>
                      <w:kern w:val="24"/>
                      <w:sz w:val="18"/>
                      <w:szCs w:val="18"/>
                    </w:rPr>
                  </w:pPr>
                  <w:r>
                    <w:rPr>
                      <w:rFonts w:hint="eastAsia"/>
                      <w:color w:val="auto"/>
                      <w:kern w:val="24"/>
                      <w:sz w:val="18"/>
                      <w:szCs w:val="18"/>
                    </w:rPr>
                    <w:t>不排放，有周期性规律</w:t>
                  </w:r>
                </w:p>
              </w:tc>
              <w:tc>
                <w:tcPr>
                  <w:tcW w:w="1034" w:type="dxa"/>
                  <w:vAlign w:val="center"/>
                </w:tcPr>
                <w:p w14:paraId="172EA06E">
                  <w:pPr>
                    <w:adjustRightInd w:val="0"/>
                    <w:snapToGrid w:val="0"/>
                    <w:jc w:val="center"/>
                    <w:rPr>
                      <w:color w:val="auto"/>
                      <w:kern w:val="24"/>
                      <w:sz w:val="18"/>
                      <w:szCs w:val="18"/>
                    </w:rPr>
                  </w:pPr>
                  <w:r>
                    <w:rPr>
                      <w:rFonts w:hint="eastAsia"/>
                      <w:color w:val="auto"/>
                      <w:kern w:val="24"/>
                      <w:sz w:val="18"/>
                      <w:szCs w:val="18"/>
                    </w:rPr>
                    <w:t>TW002、TW003</w:t>
                  </w:r>
                </w:p>
              </w:tc>
              <w:tc>
                <w:tcPr>
                  <w:tcW w:w="890" w:type="dxa"/>
                  <w:vAlign w:val="center"/>
                </w:tcPr>
                <w:p w14:paraId="72CD5248">
                  <w:pPr>
                    <w:adjustRightInd w:val="0"/>
                    <w:snapToGrid w:val="0"/>
                    <w:jc w:val="center"/>
                    <w:rPr>
                      <w:color w:val="auto"/>
                      <w:kern w:val="24"/>
                      <w:sz w:val="18"/>
                      <w:szCs w:val="18"/>
                    </w:rPr>
                  </w:pPr>
                  <w:r>
                    <w:rPr>
                      <w:rFonts w:hint="eastAsia"/>
                      <w:color w:val="auto"/>
                      <w:kern w:val="24"/>
                      <w:sz w:val="18"/>
                      <w:szCs w:val="18"/>
                    </w:rPr>
                    <w:t>循环水池</w:t>
                  </w:r>
                </w:p>
              </w:tc>
              <w:tc>
                <w:tcPr>
                  <w:tcW w:w="1230" w:type="dxa"/>
                  <w:vAlign w:val="center"/>
                </w:tcPr>
                <w:p w14:paraId="49DA8872">
                  <w:pPr>
                    <w:adjustRightInd w:val="0"/>
                    <w:snapToGrid w:val="0"/>
                    <w:jc w:val="center"/>
                    <w:rPr>
                      <w:color w:val="auto"/>
                      <w:kern w:val="24"/>
                      <w:sz w:val="18"/>
                      <w:szCs w:val="18"/>
                    </w:rPr>
                  </w:pPr>
                  <w:r>
                    <w:rPr>
                      <w:color w:val="auto"/>
                      <w:kern w:val="24"/>
                      <w:sz w:val="18"/>
                      <w:szCs w:val="18"/>
                    </w:rPr>
                    <w:t>沉淀</w:t>
                  </w:r>
                </w:p>
              </w:tc>
              <w:tc>
                <w:tcPr>
                  <w:tcW w:w="845" w:type="dxa"/>
                  <w:vAlign w:val="center"/>
                </w:tcPr>
                <w:p w14:paraId="5FB153A8">
                  <w:pPr>
                    <w:adjustRightInd w:val="0"/>
                    <w:snapToGrid w:val="0"/>
                    <w:jc w:val="center"/>
                    <w:rPr>
                      <w:color w:val="auto"/>
                      <w:kern w:val="24"/>
                      <w:sz w:val="18"/>
                      <w:szCs w:val="18"/>
                    </w:rPr>
                  </w:pPr>
                  <w:r>
                    <w:rPr>
                      <w:color w:val="auto"/>
                      <w:kern w:val="24"/>
                      <w:sz w:val="18"/>
                      <w:szCs w:val="18"/>
                    </w:rPr>
                    <w:t>—</w:t>
                  </w:r>
                </w:p>
              </w:tc>
              <w:tc>
                <w:tcPr>
                  <w:tcW w:w="845" w:type="dxa"/>
                  <w:vAlign w:val="center"/>
                </w:tcPr>
                <w:p w14:paraId="30E3307E">
                  <w:pPr>
                    <w:adjustRightInd w:val="0"/>
                    <w:snapToGrid w:val="0"/>
                    <w:jc w:val="center"/>
                    <w:rPr>
                      <w:color w:val="auto"/>
                      <w:kern w:val="24"/>
                      <w:sz w:val="18"/>
                      <w:szCs w:val="18"/>
                    </w:rPr>
                  </w:pPr>
                  <w:r>
                    <w:rPr>
                      <w:color w:val="auto"/>
                      <w:kern w:val="24"/>
                      <w:sz w:val="18"/>
                      <w:szCs w:val="18"/>
                    </w:rPr>
                    <w:t>—</w:t>
                  </w:r>
                </w:p>
              </w:tc>
              <w:tc>
                <w:tcPr>
                  <w:tcW w:w="845" w:type="dxa"/>
                  <w:vAlign w:val="center"/>
                </w:tcPr>
                <w:p w14:paraId="16C83129">
                  <w:pPr>
                    <w:adjustRightInd w:val="0"/>
                    <w:snapToGrid w:val="0"/>
                    <w:jc w:val="center"/>
                    <w:rPr>
                      <w:color w:val="auto"/>
                      <w:kern w:val="24"/>
                      <w:sz w:val="18"/>
                      <w:szCs w:val="18"/>
                    </w:rPr>
                  </w:pPr>
                  <w:r>
                    <w:rPr>
                      <w:color w:val="auto"/>
                      <w:kern w:val="24"/>
                      <w:sz w:val="18"/>
                      <w:szCs w:val="18"/>
                    </w:rPr>
                    <w:t>—</w:t>
                  </w:r>
                </w:p>
              </w:tc>
            </w:tr>
          </w:tbl>
          <w:p w14:paraId="4942E364">
            <w:pPr>
              <w:adjustRightInd w:val="0"/>
              <w:snapToGrid w:val="0"/>
              <w:spacing w:line="360" w:lineRule="auto"/>
              <w:ind w:firstLine="482" w:firstLineChars="200"/>
              <w:jc w:val="center"/>
              <w:rPr>
                <w:b/>
                <w:bCs/>
                <w:color w:val="auto"/>
                <w:kern w:val="24"/>
                <w:sz w:val="24"/>
              </w:rPr>
            </w:pPr>
          </w:p>
          <w:p w14:paraId="5E4EF772">
            <w:pPr>
              <w:adjustRightInd w:val="0"/>
              <w:snapToGrid w:val="0"/>
              <w:spacing w:line="360" w:lineRule="auto"/>
              <w:ind w:firstLine="480" w:firstLineChars="200"/>
              <w:rPr>
                <w:color w:val="auto"/>
                <w:kern w:val="24"/>
                <w:sz w:val="24"/>
                <w:lang w:val="en-GB"/>
              </w:rPr>
            </w:pPr>
            <w:r>
              <w:rPr>
                <w:rFonts w:hint="eastAsia"/>
                <w:color w:val="auto"/>
                <w:kern w:val="24"/>
                <w:sz w:val="24"/>
                <w:lang w:val="en-GB"/>
              </w:rPr>
              <w:t>（3）初期雨水</w:t>
            </w:r>
          </w:p>
          <w:p w14:paraId="3D26491A">
            <w:pPr>
              <w:adjustRightInd w:val="0"/>
              <w:snapToGrid w:val="0"/>
              <w:spacing w:line="360" w:lineRule="auto"/>
              <w:ind w:firstLine="480" w:firstLineChars="200"/>
              <w:rPr>
                <w:color w:val="auto"/>
                <w:kern w:val="24"/>
                <w:sz w:val="24"/>
              </w:rPr>
            </w:pPr>
            <w:r>
              <w:rPr>
                <w:color w:val="auto"/>
                <w:kern w:val="24"/>
                <w:sz w:val="24"/>
              </w:rPr>
              <w:t>根据计算，本项目生产区</w:t>
            </w:r>
            <w:r>
              <w:rPr>
                <w:rFonts w:hint="eastAsia"/>
                <w:color w:val="auto"/>
                <w:kern w:val="24"/>
                <w:sz w:val="24"/>
              </w:rPr>
              <w:t>域裸露地面</w:t>
            </w:r>
            <w:r>
              <w:rPr>
                <w:color w:val="auto"/>
                <w:kern w:val="24"/>
                <w:sz w:val="24"/>
              </w:rPr>
              <w:t>初期雨水</w:t>
            </w:r>
            <w:r>
              <w:rPr>
                <w:rFonts w:hint="eastAsia"/>
                <w:color w:val="auto"/>
                <w:kern w:val="24"/>
                <w:sz w:val="24"/>
              </w:rPr>
              <w:t>产生</w:t>
            </w:r>
            <w:r>
              <w:rPr>
                <w:color w:val="auto"/>
                <w:kern w:val="24"/>
                <w:sz w:val="24"/>
              </w:rPr>
              <w:t>量为40.8m</w:t>
            </w:r>
            <w:r>
              <w:rPr>
                <w:color w:val="auto"/>
                <w:kern w:val="24"/>
                <w:sz w:val="24"/>
                <w:vertAlign w:val="superscript"/>
              </w:rPr>
              <w:t>3</w:t>
            </w:r>
            <w:r>
              <w:rPr>
                <w:color w:val="auto"/>
                <w:kern w:val="24"/>
                <w:sz w:val="24"/>
              </w:rPr>
              <w:t>/次，主要污染物为SS，本项目初期雨水经雨水沟收集后进入1个容积为</w:t>
            </w:r>
            <w:r>
              <w:rPr>
                <w:rFonts w:hint="eastAsia"/>
                <w:color w:val="auto"/>
                <w:kern w:val="24"/>
                <w:sz w:val="24"/>
              </w:rPr>
              <w:t>5</w:t>
            </w:r>
            <w:r>
              <w:rPr>
                <w:color w:val="auto"/>
                <w:kern w:val="24"/>
                <w:sz w:val="24"/>
              </w:rPr>
              <w:t>0m</w:t>
            </w:r>
            <w:r>
              <w:rPr>
                <w:color w:val="auto"/>
                <w:kern w:val="24"/>
                <w:sz w:val="24"/>
                <w:vertAlign w:val="superscript"/>
              </w:rPr>
              <w:t>3</w:t>
            </w:r>
            <w:r>
              <w:rPr>
                <w:color w:val="auto"/>
                <w:kern w:val="24"/>
                <w:sz w:val="24"/>
              </w:rPr>
              <w:t>的初期雨水收集池收集沉淀后回用于厂区洒水降尘，不外排。</w:t>
            </w:r>
          </w:p>
          <w:p w14:paraId="2BD43999">
            <w:pPr>
              <w:adjustRightInd w:val="0"/>
              <w:snapToGrid w:val="0"/>
              <w:spacing w:line="360" w:lineRule="auto"/>
              <w:jc w:val="left"/>
              <w:rPr>
                <w:b/>
                <w:bCs/>
                <w:color w:val="auto"/>
                <w:sz w:val="24"/>
              </w:rPr>
            </w:pPr>
            <w:r>
              <w:rPr>
                <w:rFonts w:hint="eastAsia"/>
                <w:b/>
                <w:bCs/>
                <w:color w:val="auto"/>
                <w:sz w:val="24"/>
              </w:rPr>
              <w:t>2.2 废水污染防治措施可行性分析</w:t>
            </w:r>
          </w:p>
          <w:p w14:paraId="07B275FB">
            <w:pPr>
              <w:adjustRightInd w:val="0"/>
              <w:snapToGrid w:val="0"/>
              <w:spacing w:line="360" w:lineRule="auto"/>
              <w:ind w:firstLine="480" w:firstLineChars="200"/>
              <w:rPr>
                <w:color w:val="auto"/>
                <w:kern w:val="24"/>
                <w:sz w:val="24"/>
                <w:lang w:val="en-GB"/>
              </w:rPr>
            </w:pPr>
            <w:r>
              <w:rPr>
                <w:color w:val="auto"/>
                <w:kern w:val="24"/>
                <w:sz w:val="24"/>
                <w:lang w:val="en-GB"/>
              </w:rPr>
              <w:t>（</w:t>
            </w:r>
            <w:r>
              <w:rPr>
                <w:rFonts w:hint="eastAsia"/>
                <w:color w:val="auto"/>
                <w:kern w:val="24"/>
                <w:sz w:val="24"/>
                <w:lang w:val="en-GB"/>
              </w:rPr>
              <w:t>1</w:t>
            </w:r>
            <w:r>
              <w:rPr>
                <w:color w:val="auto"/>
                <w:kern w:val="24"/>
                <w:sz w:val="24"/>
                <w:lang w:val="en-GB"/>
              </w:rPr>
              <w:t>）项目废（污）水处理设施情况</w:t>
            </w:r>
          </w:p>
          <w:p w14:paraId="0BC06714">
            <w:pPr>
              <w:spacing w:line="360" w:lineRule="auto"/>
              <w:ind w:firstLine="480" w:firstLineChars="200"/>
              <w:rPr>
                <w:color w:val="auto"/>
                <w:kern w:val="24"/>
                <w:sz w:val="24"/>
              </w:rPr>
            </w:pPr>
            <w:r>
              <w:rPr>
                <w:rFonts w:hint="eastAsia"/>
                <w:color w:val="auto"/>
                <w:kern w:val="24"/>
                <w:sz w:val="24"/>
              </w:rPr>
              <w:t>根据《建筑给水排水设计规范》（GB50015-2003）要求：化粪池有效停留时间取12～24h。污水的排放量变化大会影响化粪池的污水处理效果，预留污水有效停留时间有利于保证化粪池污水处理效果，因此本项目化粪池污水有效停留时间取12h。化粪池处理规模以项目运营期的污水产生量为基数并考虑20%的余量取定。项目在办公区建设1个5m</w:t>
            </w:r>
            <w:r>
              <w:rPr>
                <w:rFonts w:hint="eastAsia"/>
                <w:color w:val="auto"/>
                <w:kern w:val="24"/>
                <w:sz w:val="24"/>
                <w:vertAlign w:val="superscript"/>
              </w:rPr>
              <w:t>3</w:t>
            </w:r>
            <w:r>
              <w:rPr>
                <w:rFonts w:hint="eastAsia"/>
                <w:color w:val="auto"/>
                <w:kern w:val="24"/>
                <w:sz w:val="24"/>
              </w:rPr>
              <w:t>的化粪池，可容纳项目职工产生的生活污水量。</w:t>
            </w:r>
          </w:p>
          <w:p w14:paraId="683927D4">
            <w:pPr>
              <w:pStyle w:val="70"/>
              <w:ind w:firstLine="480"/>
              <w:rPr>
                <w:bCs/>
                <w:color w:val="auto"/>
              </w:rPr>
            </w:pPr>
            <w:r>
              <w:rPr>
                <w:rFonts w:hint="eastAsia"/>
                <w:bCs/>
                <w:color w:val="auto"/>
              </w:rPr>
              <w:t>（2）生活污水排入纳古镇污水处理站的可行性分析</w:t>
            </w:r>
          </w:p>
          <w:p w14:paraId="73B9E38D">
            <w:pPr>
              <w:adjustRightInd w:val="0"/>
              <w:snapToGrid w:val="0"/>
              <w:spacing w:line="360" w:lineRule="auto"/>
              <w:ind w:firstLine="480" w:firstLineChars="200"/>
              <w:rPr>
                <w:color w:val="auto"/>
                <w:sz w:val="24"/>
              </w:rPr>
            </w:pPr>
            <w:r>
              <w:rPr>
                <w:color w:val="auto"/>
                <w:sz w:val="24"/>
              </w:rPr>
              <w:t>根据调查，项目周边污水管网</w:t>
            </w:r>
            <w:r>
              <w:rPr>
                <w:rFonts w:hint="eastAsia"/>
                <w:color w:val="auto"/>
                <w:sz w:val="24"/>
              </w:rPr>
              <w:t>还不完善</w:t>
            </w:r>
            <w:r>
              <w:rPr>
                <w:color w:val="auto"/>
                <w:sz w:val="24"/>
              </w:rPr>
              <w:t>，项目</w:t>
            </w:r>
            <w:r>
              <w:rPr>
                <w:color w:val="auto"/>
                <w:kern w:val="24"/>
                <w:sz w:val="24"/>
              </w:rPr>
              <w:t>生活污水经化粪池处理</w:t>
            </w:r>
            <w:r>
              <w:rPr>
                <w:color w:val="auto"/>
                <w:sz w:val="24"/>
              </w:rPr>
              <w:t>达</w:t>
            </w:r>
            <w:r>
              <w:rPr>
                <w:rFonts w:hint="eastAsia"/>
                <w:color w:val="auto"/>
                <w:sz w:val="24"/>
              </w:rPr>
              <w:t>《污水综合排放标准》（GB8978-1996）表4三级标准和《污水排入城镇下水道水质标准》（GB/T31962-2015）表1B等级标准</w:t>
            </w:r>
            <w:r>
              <w:rPr>
                <w:color w:val="auto"/>
                <w:sz w:val="24"/>
              </w:rPr>
              <w:t>后，</w:t>
            </w:r>
            <w:r>
              <w:rPr>
                <w:rFonts w:hint="eastAsia"/>
                <w:color w:val="auto"/>
                <w:sz w:val="24"/>
              </w:rPr>
              <w:t>由槽罐车定期运至纳古镇污水处理站</w:t>
            </w:r>
            <w:r>
              <w:rPr>
                <w:color w:val="auto"/>
                <w:sz w:val="24"/>
              </w:rPr>
              <w:t>处理。</w:t>
            </w:r>
          </w:p>
          <w:p w14:paraId="6954B0C5">
            <w:pPr>
              <w:adjustRightInd w:val="0"/>
              <w:snapToGrid w:val="0"/>
              <w:spacing w:line="360" w:lineRule="auto"/>
              <w:ind w:firstLine="480" w:firstLineChars="200"/>
              <w:rPr>
                <w:color w:val="auto"/>
                <w:sz w:val="24"/>
              </w:rPr>
            </w:pPr>
            <w:r>
              <w:rPr>
                <w:color w:val="auto"/>
                <w:sz w:val="24"/>
              </w:rPr>
              <w:t>2024年3月通海县纳古镇人民政府委托玉溪瑞众环境咨询有限公司编制了《通海县纳古镇雨污分流及供水管网工程（一期）环境影响报告表》，于2020年5月25日取得玉溪市生态环境局通海分局《关于通海县纳古镇雨污分流及供水管网工程（一期）项目环境影响报告表的批复》（通环审〔2020〕15号）。2022年1月委托云南碧水清溪环境科技有限公司编制了《通海县纳古镇雨污分流及供水管网工程(一期)建设项目竣工环境保护验收调查表》，于2022年1月14日通过了《通海县纳古镇雨污分流及供水管网工程(一期)建设项目竣工环境保护验收意见》。通海县纳古镇于2019 年新建1 座处理规模为500m³/d 的污水处理站，污水处理工艺为：一体化生物处理+砂滤罐+紫外线消毒工艺。污泥处理工艺为：自然干化+外运填埋。原有500m³/d的污水处理站项目未办理过环保手续。</w:t>
            </w:r>
            <w:r>
              <w:rPr>
                <w:rFonts w:hint="eastAsia"/>
                <w:color w:val="auto"/>
                <w:sz w:val="24"/>
              </w:rPr>
              <w:t>2025年6月，</w:t>
            </w:r>
            <w:r>
              <w:rPr>
                <w:color w:val="auto"/>
                <w:sz w:val="24"/>
              </w:rPr>
              <w:t>通海县纳古镇人民政府</w:t>
            </w:r>
            <w:r>
              <w:rPr>
                <w:rFonts w:hint="eastAsia"/>
                <w:color w:val="auto"/>
                <w:sz w:val="24"/>
              </w:rPr>
              <w:t>委托云南远洁环保咨询有限公司编制了《</w:t>
            </w:r>
            <w:r>
              <w:rPr>
                <w:color w:val="auto"/>
                <w:sz w:val="24"/>
              </w:rPr>
              <w:t>通海县杞麓湖北岸纳古镇雨污分流及供水管网工程（二期）</w:t>
            </w:r>
            <w:r>
              <w:rPr>
                <w:rFonts w:hint="eastAsia"/>
                <w:color w:val="auto"/>
                <w:sz w:val="24"/>
              </w:rPr>
              <w:t>环境影响报告表》，于2025年7月25日取得</w:t>
            </w:r>
            <w:r>
              <w:rPr>
                <w:color w:val="auto"/>
                <w:sz w:val="24"/>
              </w:rPr>
              <w:t>玉溪市生态环境局通海分局《关于通海县杞麓湖北岸纳古镇雨污分流及供水管网工程（二期）环境影响报告表的批复》（通环审〔202</w:t>
            </w:r>
            <w:r>
              <w:rPr>
                <w:rFonts w:hint="eastAsia"/>
                <w:color w:val="auto"/>
                <w:sz w:val="24"/>
              </w:rPr>
              <w:t>5</w:t>
            </w:r>
            <w:r>
              <w:rPr>
                <w:color w:val="auto"/>
                <w:sz w:val="24"/>
              </w:rPr>
              <w:t>〕15号）。</w:t>
            </w:r>
          </w:p>
          <w:p w14:paraId="3D5B9BDF">
            <w:pPr>
              <w:adjustRightInd w:val="0"/>
              <w:snapToGrid w:val="0"/>
              <w:spacing w:line="360" w:lineRule="auto"/>
              <w:ind w:firstLine="480" w:firstLineChars="200"/>
              <w:rPr>
                <w:color w:val="auto"/>
                <w:sz w:val="24"/>
              </w:rPr>
            </w:pPr>
            <w:r>
              <w:rPr>
                <w:color w:val="auto"/>
                <w:sz w:val="24"/>
              </w:rPr>
              <w:t>根据现场调查，通海县</w:t>
            </w:r>
            <w:r>
              <w:rPr>
                <w:rFonts w:hint="eastAsia"/>
                <w:color w:val="auto"/>
                <w:sz w:val="24"/>
              </w:rPr>
              <w:t>纳古镇污水处理站位于纳家营，杞麓湖环湖截污沟二街调蓄带西侧</w:t>
            </w:r>
            <w:r>
              <w:rPr>
                <w:color w:val="auto"/>
                <w:sz w:val="24"/>
              </w:rPr>
              <w:t>，</w:t>
            </w:r>
            <w:r>
              <w:rPr>
                <w:rFonts w:hint="eastAsia"/>
                <w:color w:val="auto"/>
                <w:sz w:val="24"/>
              </w:rPr>
              <w:t>其设计</w:t>
            </w:r>
            <w:r>
              <w:rPr>
                <w:color w:val="auto"/>
                <w:sz w:val="24"/>
              </w:rPr>
              <w:t>处理规模</w:t>
            </w:r>
            <w:r>
              <w:rPr>
                <w:rFonts w:hint="eastAsia"/>
                <w:color w:val="auto"/>
                <w:sz w:val="24"/>
              </w:rPr>
              <w:t>1</w:t>
            </w:r>
            <w:r>
              <w:rPr>
                <w:color w:val="auto"/>
                <w:sz w:val="24"/>
              </w:rPr>
              <w:t>000m</w:t>
            </w:r>
            <w:r>
              <w:rPr>
                <w:color w:val="auto"/>
                <w:sz w:val="24"/>
                <w:vertAlign w:val="superscript"/>
              </w:rPr>
              <w:t>3</w:t>
            </w:r>
            <w:r>
              <w:rPr>
                <w:color w:val="auto"/>
                <w:sz w:val="24"/>
              </w:rPr>
              <w:t>/d</w:t>
            </w:r>
            <w:r>
              <w:rPr>
                <w:rFonts w:hint="eastAsia"/>
                <w:color w:val="auto"/>
                <w:sz w:val="24"/>
              </w:rPr>
              <w:t>。纳古镇、四街镇二街居民日常生产生活产生的污水</w:t>
            </w:r>
            <w:r>
              <w:rPr>
                <w:color w:val="auto"/>
                <w:sz w:val="24"/>
              </w:rPr>
              <w:t>经过自行预处理，达到污水处理厂接纳污水水质要求后，</w:t>
            </w:r>
            <w:r>
              <w:rPr>
                <w:rFonts w:hint="eastAsia"/>
                <w:color w:val="auto"/>
                <w:sz w:val="24"/>
              </w:rPr>
              <w:t>进入市政污水管网，</w:t>
            </w:r>
            <w:r>
              <w:rPr>
                <w:color w:val="auto"/>
                <w:sz w:val="24"/>
              </w:rPr>
              <w:t>进入</w:t>
            </w:r>
            <w:r>
              <w:rPr>
                <w:rFonts w:hint="eastAsia"/>
                <w:color w:val="auto"/>
                <w:sz w:val="24"/>
              </w:rPr>
              <w:t>纳古镇污水处理站</w:t>
            </w:r>
            <w:r>
              <w:rPr>
                <w:color w:val="auto"/>
                <w:sz w:val="24"/>
              </w:rPr>
              <w:t>，经统一处理后排入</w:t>
            </w:r>
            <w:r>
              <w:rPr>
                <w:rFonts w:hint="eastAsia"/>
                <w:color w:val="auto"/>
                <w:sz w:val="24"/>
              </w:rPr>
              <w:t>杞麓湖环湖截污沟二街调蓄带</w:t>
            </w:r>
            <w:r>
              <w:rPr>
                <w:color w:val="auto"/>
                <w:sz w:val="24"/>
              </w:rPr>
              <w:t>，</w:t>
            </w:r>
            <w:r>
              <w:rPr>
                <w:rFonts w:hint="eastAsia"/>
                <w:color w:val="auto"/>
                <w:sz w:val="24"/>
              </w:rPr>
              <w:t>后经提升泵站用于周边农田浇灌</w:t>
            </w:r>
            <w:r>
              <w:rPr>
                <w:color w:val="auto"/>
                <w:sz w:val="24"/>
              </w:rPr>
              <w:t>。</w:t>
            </w:r>
            <w:r>
              <w:rPr>
                <w:rFonts w:hint="eastAsia"/>
                <w:color w:val="auto"/>
                <w:kern w:val="0"/>
                <w:sz w:val="24"/>
                <w:lang w:val="zh-CN"/>
              </w:rPr>
              <w:t>污水处理工艺采取“格栅+调节池+</w:t>
            </w:r>
            <w:r>
              <w:rPr>
                <w:color w:val="auto"/>
                <w:sz w:val="24"/>
                <w:lang w:bidi="ar"/>
              </w:rPr>
              <w:t>A</w:t>
            </w:r>
            <w:r>
              <w:rPr>
                <w:color w:val="auto"/>
                <w:sz w:val="24"/>
                <w:vertAlign w:val="superscript"/>
                <w:lang w:bidi="ar"/>
              </w:rPr>
              <w:t>2</w:t>
            </w:r>
            <w:r>
              <w:rPr>
                <w:color w:val="auto"/>
                <w:sz w:val="24"/>
                <w:lang w:bidi="ar"/>
              </w:rPr>
              <w:t>/O复合生物反应器+混凝沉淀+</w:t>
            </w:r>
            <w:r>
              <w:rPr>
                <w:rFonts w:hint="eastAsia"/>
                <w:color w:val="auto"/>
                <w:sz w:val="24"/>
                <w:lang w:bidi="ar"/>
              </w:rPr>
              <w:t>斜管沉淀</w:t>
            </w:r>
            <w:r>
              <w:rPr>
                <w:color w:val="auto"/>
                <w:sz w:val="24"/>
                <w:lang w:bidi="ar"/>
              </w:rPr>
              <w:t>+紫外线消毒</w:t>
            </w:r>
            <w:r>
              <w:rPr>
                <w:rFonts w:hint="eastAsia"/>
                <w:color w:val="auto"/>
                <w:kern w:val="0"/>
                <w:sz w:val="24"/>
                <w:lang w:val="zh-CN"/>
              </w:rPr>
              <w:t>”，</w:t>
            </w:r>
            <w:r>
              <w:rPr>
                <w:rFonts w:hint="eastAsia"/>
                <w:color w:val="auto"/>
                <w:kern w:val="0"/>
                <w:sz w:val="24"/>
              </w:rPr>
              <w:t>入河排污口设置于项目南侧最近的农灌沟进入环湖截污沟处，出水经农灌沟进入杞麓湖环湖截污沟后经提升泵站用于周边农田浇灌。</w:t>
            </w:r>
            <w:r>
              <w:rPr>
                <w:color w:val="auto"/>
                <w:sz w:val="24"/>
              </w:rPr>
              <w:t>设计出水水质</w:t>
            </w:r>
            <w:r>
              <w:rPr>
                <w:rFonts w:hint="eastAsia"/>
                <w:color w:val="auto"/>
                <w:sz w:val="24"/>
              </w:rPr>
              <w:t>《城镇污水处理厂污染物排放标准》(GB18918-2002)一级A标准。</w:t>
            </w:r>
          </w:p>
          <w:p w14:paraId="7E779964">
            <w:pPr>
              <w:adjustRightInd w:val="0"/>
              <w:snapToGrid w:val="0"/>
              <w:spacing w:line="360" w:lineRule="auto"/>
              <w:ind w:firstLine="480" w:firstLineChars="200"/>
              <w:jc w:val="left"/>
              <w:rPr>
                <w:color w:val="auto"/>
                <w:sz w:val="24"/>
              </w:rPr>
            </w:pPr>
            <w:r>
              <w:rPr>
                <w:rFonts w:hint="eastAsia"/>
                <w:color w:val="auto"/>
                <w:sz w:val="24"/>
              </w:rPr>
              <w:t>纳古镇污水处理站于2024 年5月开始施工，2024年9月完成该项目的全部工程内容。2024 年9月中旬试运行稳定后正式投入使用。目前该污水处理站正常运行，</w:t>
            </w:r>
            <w:r>
              <w:rPr>
                <w:rFonts w:hint="eastAsia"/>
                <w:color w:val="auto"/>
                <w:kern w:val="24"/>
                <w:sz w:val="24"/>
              </w:rPr>
              <w:t>根据2024年11月12日《通海县纳古镇污水处理站出水监测报告》，纳古镇污水处理站的出水水质能够稳定达到《城镇污水处理厂污染物排放标准》（GB 18918-2002）一级A标准。</w:t>
            </w:r>
          </w:p>
          <w:p w14:paraId="4D449A4C">
            <w:pPr>
              <w:spacing w:line="360" w:lineRule="auto"/>
              <w:ind w:firstLine="482"/>
              <w:rPr>
                <w:color w:val="auto"/>
                <w:sz w:val="24"/>
              </w:rPr>
            </w:pPr>
            <w:r>
              <w:rPr>
                <w:rFonts w:hint="eastAsia"/>
                <w:color w:val="auto"/>
                <w:sz w:val="24"/>
              </w:rPr>
              <w:t>根据工程分析，项目废水排放量为</w:t>
            </w:r>
            <w:r>
              <w:rPr>
                <w:rFonts w:hint="eastAsia"/>
                <w:color w:val="auto"/>
                <w:kern w:val="24"/>
                <w:sz w:val="24"/>
              </w:rPr>
              <w:t>432</w:t>
            </w:r>
            <w:r>
              <w:rPr>
                <w:color w:val="auto"/>
                <w:kern w:val="24"/>
                <w:sz w:val="24"/>
              </w:rPr>
              <w:t>m</w:t>
            </w:r>
            <w:r>
              <w:rPr>
                <w:color w:val="auto"/>
                <w:kern w:val="24"/>
                <w:sz w:val="24"/>
                <w:vertAlign w:val="superscript"/>
              </w:rPr>
              <w:t>3</w:t>
            </w:r>
            <w:r>
              <w:rPr>
                <w:color w:val="auto"/>
                <w:kern w:val="24"/>
                <w:sz w:val="24"/>
              </w:rPr>
              <w:t>/a（</w:t>
            </w:r>
            <w:r>
              <w:rPr>
                <w:rFonts w:hint="eastAsia"/>
                <w:color w:val="auto"/>
                <w:kern w:val="24"/>
                <w:sz w:val="24"/>
              </w:rPr>
              <w:t>1.44</w:t>
            </w:r>
            <w:r>
              <w:rPr>
                <w:color w:val="auto"/>
                <w:kern w:val="24"/>
                <w:sz w:val="24"/>
              </w:rPr>
              <w:t>m</w:t>
            </w:r>
            <w:r>
              <w:rPr>
                <w:color w:val="auto"/>
                <w:kern w:val="24"/>
                <w:sz w:val="24"/>
                <w:vertAlign w:val="superscript"/>
              </w:rPr>
              <w:t>3</w:t>
            </w:r>
            <w:r>
              <w:rPr>
                <w:color w:val="auto"/>
                <w:kern w:val="24"/>
                <w:sz w:val="24"/>
              </w:rPr>
              <w:t>/d）</w:t>
            </w:r>
            <w:r>
              <w:rPr>
                <w:rFonts w:hint="eastAsia"/>
                <w:color w:val="auto"/>
                <w:sz w:val="24"/>
              </w:rPr>
              <w:t>，排放量很小，纳古镇污水处理站有余量接纳本项目污水，本项目污水进入纳古镇污水处理站是可行的。项目生活污水经预处理后污染物浓度能达到该污水处理站的进水水质要求。因此，本项目污水进入纳古镇污水处理站是可行的。</w:t>
            </w:r>
          </w:p>
          <w:p w14:paraId="59D664E2">
            <w:pPr>
              <w:spacing w:line="360" w:lineRule="auto"/>
              <w:ind w:firstLine="482"/>
              <w:rPr>
                <w:color w:val="auto"/>
                <w:sz w:val="24"/>
              </w:rPr>
            </w:pPr>
            <w:r>
              <w:rPr>
                <w:rFonts w:hint="eastAsia"/>
                <w:color w:val="auto"/>
                <w:sz w:val="24"/>
              </w:rPr>
              <w:t>项目生活污水采用</w:t>
            </w:r>
            <w:r>
              <w:rPr>
                <w:color w:val="auto"/>
                <w:sz w:val="24"/>
              </w:rPr>
              <w:t>罐车清运，</w:t>
            </w:r>
            <w:r>
              <w:rPr>
                <w:rFonts w:hint="eastAsia"/>
                <w:color w:val="auto"/>
                <w:sz w:val="24"/>
              </w:rPr>
              <w:t>应采取</w:t>
            </w:r>
            <w:r>
              <w:rPr>
                <w:color w:val="auto"/>
                <w:sz w:val="24"/>
              </w:rPr>
              <w:t>安装坐标定位器</w:t>
            </w:r>
            <w:r>
              <w:rPr>
                <w:rFonts w:hint="eastAsia"/>
                <w:color w:val="auto"/>
                <w:sz w:val="24"/>
              </w:rPr>
              <w:t>，并严格做好清运</w:t>
            </w:r>
            <w:r>
              <w:rPr>
                <w:color w:val="auto"/>
                <w:sz w:val="24"/>
              </w:rPr>
              <w:t>台账</w:t>
            </w:r>
            <w:r>
              <w:rPr>
                <w:rFonts w:hint="eastAsia"/>
                <w:color w:val="auto"/>
                <w:sz w:val="24"/>
              </w:rPr>
              <w:t>，</w:t>
            </w:r>
            <w:r>
              <w:rPr>
                <w:color w:val="auto"/>
                <w:sz w:val="24"/>
              </w:rPr>
              <w:t>拍摄接</w:t>
            </w:r>
            <w:r>
              <w:rPr>
                <w:rFonts w:hint="eastAsia"/>
                <w:color w:val="auto"/>
                <w:sz w:val="24"/>
              </w:rPr>
              <w:t>收</w:t>
            </w:r>
            <w:r>
              <w:rPr>
                <w:color w:val="auto"/>
                <w:sz w:val="24"/>
              </w:rPr>
              <w:t>及送达污水照片等</w:t>
            </w:r>
            <w:r>
              <w:rPr>
                <w:rFonts w:hint="eastAsia"/>
                <w:color w:val="auto"/>
                <w:sz w:val="24"/>
              </w:rPr>
              <w:t>措施</w:t>
            </w:r>
            <w:r>
              <w:rPr>
                <w:color w:val="auto"/>
                <w:sz w:val="24"/>
              </w:rPr>
              <w:t>，防</w:t>
            </w:r>
            <w:r>
              <w:rPr>
                <w:rFonts w:hint="eastAsia"/>
                <w:color w:val="auto"/>
                <w:sz w:val="24"/>
              </w:rPr>
              <w:t>止</w:t>
            </w:r>
            <w:r>
              <w:rPr>
                <w:color w:val="auto"/>
                <w:sz w:val="24"/>
              </w:rPr>
              <w:t>罐车清运至其它自然水体倾倒。</w:t>
            </w:r>
          </w:p>
          <w:p w14:paraId="1F90E752">
            <w:pPr>
              <w:pStyle w:val="70"/>
              <w:ind w:firstLine="480"/>
              <w:rPr>
                <w:color w:val="auto"/>
              </w:rPr>
            </w:pPr>
            <w:r>
              <w:rPr>
                <w:rFonts w:hint="eastAsia"/>
                <w:color w:val="auto"/>
              </w:rPr>
              <w:t>（3）项目生产废水不外排可行性分析</w:t>
            </w:r>
          </w:p>
          <w:p w14:paraId="6A4FD506">
            <w:pPr>
              <w:pStyle w:val="58"/>
              <w:spacing w:line="360" w:lineRule="auto"/>
              <w:ind w:firstLine="480" w:firstLineChars="200"/>
              <w:rPr>
                <w:rFonts w:hint="eastAsia" w:ascii="Times New Roman" w:cs="Times New Roman"/>
                <w:color w:val="auto"/>
                <w:sz w:val="24"/>
                <w:lang w:val="en-US"/>
              </w:rPr>
            </w:pPr>
            <w:r>
              <w:rPr>
                <w:rFonts w:hint="eastAsia" w:ascii="Times New Roman" w:hAnsi="Times New Roman" w:cs="Times New Roman"/>
                <w:color w:val="auto"/>
                <w:sz w:val="24"/>
                <w:lang w:val="en-US"/>
              </w:rPr>
              <w:t>项目</w:t>
            </w:r>
            <w:r>
              <w:rPr>
                <w:rFonts w:hint="eastAsia" w:ascii="Times New Roman" w:cs="Times New Roman"/>
                <w:color w:val="auto"/>
                <w:sz w:val="24"/>
                <w:lang w:val="en-US"/>
              </w:rPr>
              <w:t>直接冷却水主要是对焊管进行冷却，与物料直接接触，为直接冷却水，通过生产线下方排水管道引入循环水池，焊管直接冷却水经沉淀、冷却后循环利用，循环水对水质的要求不高，</w:t>
            </w:r>
            <w:r>
              <w:rPr>
                <w:rFonts w:hint="eastAsia" w:ascii="Times New Roman" w:hAnsi="Times New Roman" w:cs="Times New Roman"/>
                <w:color w:val="auto"/>
                <w:sz w:val="24"/>
                <w:lang w:val="en-US"/>
              </w:rPr>
              <w:t>定期补充自来水，</w:t>
            </w:r>
            <w:r>
              <w:rPr>
                <w:rFonts w:ascii="Times New Roman" w:hAnsi="Times New Roman" w:cs="Times New Roman"/>
                <w:color w:val="auto"/>
                <w:sz w:val="24"/>
                <w:lang w:val="en-US"/>
              </w:rPr>
              <w:t>不外排</w:t>
            </w:r>
            <w:r>
              <w:rPr>
                <w:rFonts w:hint="eastAsia" w:ascii="Times New Roman" w:cs="Times New Roman"/>
                <w:color w:val="auto"/>
                <w:sz w:val="24"/>
                <w:lang w:val="en-US"/>
              </w:rPr>
              <w:t>。</w:t>
            </w:r>
          </w:p>
          <w:p w14:paraId="34D85D8B">
            <w:pPr>
              <w:pStyle w:val="70"/>
              <w:ind w:firstLine="480"/>
              <w:rPr>
                <w:color w:val="auto"/>
              </w:rPr>
            </w:pPr>
            <w:r>
              <w:rPr>
                <w:color w:val="auto"/>
              </w:rPr>
              <w:t>为了保证</w:t>
            </w:r>
            <w:r>
              <w:rPr>
                <w:rFonts w:hint="eastAsia"/>
                <w:color w:val="auto"/>
              </w:rPr>
              <w:t>冷却水能稳定循环使用</w:t>
            </w:r>
            <w:r>
              <w:rPr>
                <w:color w:val="auto"/>
              </w:rPr>
              <w:t>，不产生污染事故，</w:t>
            </w:r>
            <w:r>
              <w:rPr>
                <w:rFonts w:hint="eastAsia"/>
                <w:color w:val="auto"/>
              </w:rPr>
              <w:t>本项目利用厂区内现有的两个池子清空完善防渗后封闭起来作为应急事故水池，</w:t>
            </w:r>
            <w:r>
              <w:rPr>
                <w:color w:val="auto"/>
              </w:rPr>
              <w:t>1个</w:t>
            </w:r>
            <w:r>
              <w:rPr>
                <w:rFonts w:hint="eastAsia"/>
                <w:color w:val="auto"/>
              </w:rPr>
              <w:t>池子</w:t>
            </w:r>
            <w:r>
              <w:rPr>
                <w:color w:val="auto"/>
              </w:rPr>
              <w:t>位于危废暂存间旁，容积30m</w:t>
            </w:r>
            <w:r>
              <w:rPr>
                <w:color w:val="auto"/>
                <w:vertAlign w:val="superscript"/>
              </w:rPr>
              <w:t>3</w:t>
            </w:r>
            <w:r>
              <w:rPr>
                <w:color w:val="auto"/>
              </w:rPr>
              <w:t>；1个</w:t>
            </w:r>
            <w:r>
              <w:rPr>
                <w:rFonts w:hint="eastAsia"/>
                <w:color w:val="auto"/>
              </w:rPr>
              <w:t>池子</w:t>
            </w:r>
            <w:r>
              <w:rPr>
                <w:color w:val="auto"/>
              </w:rPr>
              <w:t>位于生产车间1号的中段，容积30m</w:t>
            </w:r>
            <w:r>
              <w:rPr>
                <w:color w:val="auto"/>
                <w:vertAlign w:val="superscript"/>
              </w:rPr>
              <w:t>3</w:t>
            </w:r>
            <w:r>
              <w:rPr>
                <w:color w:val="auto"/>
              </w:rPr>
              <w:t>。本项目直接冷却水设计总循环水量为20m</w:t>
            </w:r>
            <w:r>
              <w:rPr>
                <w:color w:val="auto"/>
                <w:vertAlign w:val="superscript"/>
              </w:rPr>
              <w:t>3</w:t>
            </w:r>
            <w:r>
              <w:rPr>
                <w:color w:val="auto"/>
              </w:rPr>
              <w:t>/h，60m</w:t>
            </w:r>
            <w:r>
              <w:rPr>
                <w:color w:val="auto"/>
                <w:vertAlign w:val="superscript"/>
              </w:rPr>
              <w:t>3</w:t>
            </w:r>
            <w:r>
              <w:rPr>
                <w:color w:val="auto"/>
              </w:rPr>
              <w:t>/d</w:t>
            </w:r>
            <w:r>
              <w:rPr>
                <w:rFonts w:hint="eastAsia"/>
                <w:color w:val="auto"/>
              </w:rPr>
              <w:t>，应急事故水池总容积满足日循环最大水量，应急事故水池与循环水池之间通过管道联通，设计采取自流方式进入事故水池内。应急事故水池</w:t>
            </w:r>
            <w:r>
              <w:rPr>
                <w:color w:val="auto"/>
              </w:rPr>
              <w:t>用于暂时储存因</w:t>
            </w:r>
            <w:r>
              <w:rPr>
                <w:rFonts w:hint="eastAsia"/>
                <w:color w:val="auto"/>
              </w:rPr>
              <w:t>冷却水泵</w:t>
            </w:r>
            <w:r>
              <w:rPr>
                <w:color w:val="auto"/>
              </w:rPr>
              <w:t>故障不能</w:t>
            </w:r>
            <w:r>
              <w:rPr>
                <w:rFonts w:hint="eastAsia"/>
                <w:color w:val="auto"/>
              </w:rPr>
              <w:t>及时回用的冷却水</w:t>
            </w:r>
            <w:r>
              <w:rPr>
                <w:color w:val="auto"/>
              </w:rPr>
              <w:t>，防止其污水乱流</w:t>
            </w:r>
            <w:r>
              <w:rPr>
                <w:rFonts w:hint="eastAsia"/>
                <w:color w:val="auto"/>
              </w:rPr>
              <w:t>，应急事故水池正常情况保持空置状态</w:t>
            </w:r>
            <w:r>
              <w:rPr>
                <w:color w:val="auto"/>
              </w:rPr>
              <w:t>。</w:t>
            </w:r>
          </w:p>
          <w:p w14:paraId="528ED408">
            <w:pPr>
              <w:pStyle w:val="70"/>
              <w:ind w:firstLine="480"/>
              <w:rPr>
                <w:color w:val="auto"/>
              </w:rPr>
            </w:pPr>
            <w:r>
              <w:rPr>
                <w:color w:val="auto"/>
              </w:rPr>
              <w:t>因此，项目</w:t>
            </w:r>
            <w:r>
              <w:rPr>
                <w:rFonts w:hint="eastAsia"/>
                <w:color w:val="auto"/>
              </w:rPr>
              <w:t>生产废水</w:t>
            </w:r>
            <w:r>
              <w:rPr>
                <w:color w:val="auto"/>
              </w:rPr>
              <w:t>不外排是可行的。</w:t>
            </w:r>
          </w:p>
          <w:p w14:paraId="4C4A5C1E">
            <w:pPr>
              <w:adjustRightInd w:val="0"/>
              <w:snapToGrid w:val="0"/>
              <w:spacing w:line="360" w:lineRule="auto"/>
              <w:jc w:val="left"/>
              <w:rPr>
                <w:b/>
                <w:bCs/>
                <w:color w:val="auto"/>
                <w:sz w:val="24"/>
              </w:rPr>
            </w:pPr>
            <w:r>
              <w:rPr>
                <w:rFonts w:hint="eastAsia"/>
                <w:b/>
                <w:bCs/>
                <w:color w:val="auto"/>
                <w:sz w:val="24"/>
              </w:rPr>
              <w:t>2.</w:t>
            </w:r>
            <w:r>
              <w:rPr>
                <w:b/>
                <w:bCs/>
                <w:color w:val="auto"/>
                <w:sz w:val="24"/>
              </w:rPr>
              <w:t>3</w:t>
            </w:r>
            <w:r>
              <w:rPr>
                <w:rFonts w:hint="eastAsia"/>
                <w:b/>
                <w:bCs/>
                <w:color w:val="auto"/>
                <w:sz w:val="24"/>
              </w:rPr>
              <w:t xml:space="preserve"> 地表水环境影响分析</w:t>
            </w:r>
          </w:p>
          <w:p w14:paraId="51A538C2">
            <w:pPr>
              <w:adjustRightInd w:val="0"/>
              <w:snapToGrid w:val="0"/>
              <w:spacing w:line="360" w:lineRule="auto"/>
              <w:ind w:firstLine="555"/>
              <w:rPr>
                <w:color w:val="auto"/>
                <w:kern w:val="24"/>
                <w:sz w:val="24"/>
              </w:rPr>
            </w:pPr>
            <w:r>
              <w:rPr>
                <w:rFonts w:hint="eastAsia"/>
                <w:bCs/>
                <w:color w:val="auto"/>
                <w:sz w:val="24"/>
              </w:rPr>
              <w:t>本项目废水主要为生活污水、生产废水。项目生产废水主要为焊管生产产品直接冷却水，</w:t>
            </w:r>
            <w:r>
              <w:rPr>
                <w:rFonts w:hint="eastAsia"/>
                <w:color w:val="auto"/>
                <w:kern w:val="24"/>
                <w:sz w:val="24"/>
              </w:rPr>
              <w:t>经车间循环水池冷却后循环使用，不外排；项目生活污水经化粪池预处理后，通过罐车运至纳古镇污水处理站处理。</w:t>
            </w:r>
          </w:p>
          <w:p w14:paraId="04BBDB43">
            <w:pPr>
              <w:pStyle w:val="70"/>
              <w:ind w:firstLine="480"/>
              <w:rPr>
                <w:color w:val="auto"/>
              </w:rPr>
            </w:pPr>
            <w:r>
              <w:rPr>
                <w:rFonts w:hint="eastAsia"/>
                <w:color w:val="auto"/>
                <w:kern w:val="24"/>
              </w:rPr>
              <w:t>经分析评价，</w:t>
            </w:r>
            <w:r>
              <w:rPr>
                <w:rFonts w:hint="eastAsia"/>
                <w:color w:val="auto"/>
              </w:rPr>
              <w:t>本项目</w:t>
            </w:r>
            <w:r>
              <w:rPr>
                <w:rFonts w:hint="eastAsia"/>
                <w:color w:val="auto"/>
                <w:kern w:val="24"/>
              </w:rPr>
              <w:t>进入纳古镇污水处理站处理</w:t>
            </w:r>
            <w:r>
              <w:rPr>
                <w:rFonts w:hint="eastAsia"/>
                <w:color w:val="auto"/>
              </w:rPr>
              <w:t>可行。</w:t>
            </w:r>
            <w:r>
              <w:rPr>
                <w:rFonts w:hint="eastAsia"/>
                <w:bCs/>
                <w:color w:val="auto"/>
              </w:rPr>
              <w:t>项目生产废水</w:t>
            </w:r>
            <w:r>
              <w:rPr>
                <w:rFonts w:hint="eastAsia"/>
                <w:color w:val="auto"/>
                <w:kern w:val="24"/>
              </w:rPr>
              <w:t>循环使用不外排可行。</w:t>
            </w:r>
            <w:r>
              <w:rPr>
                <w:rFonts w:hint="eastAsia"/>
                <w:bCs/>
                <w:color w:val="auto"/>
              </w:rPr>
              <w:t>因此，本项目废水</w:t>
            </w:r>
            <w:r>
              <w:rPr>
                <w:rFonts w:hint="eastAsia"/>
                <w:color w:val="auto"/>
              </w:rPr>
              <w:t>对地表水环境影响较小，</w:t>
            </w:r>
            <w:r>
              <w:rPr>
                <w:color w:val="auto"/>
              </w:rPr>
              <w:t>地表水</w:t>
            </w:r>
            <w:r>
              <w:rPr>
                <w:rFonts w:hint="eastAsia"/>
                <w:color w:val="auto"/>
              </w:rPr>
              <w:t>环境</w:t>
            </w:r>
            <w:r>
              <w:rPr>
                <w:color w:val="auto"/>
              </w:rPr>
              <w:t>影响</w:t>
            </w:r>
            <w:r>
              <w:rPr>
                <w:rFonts w:hint="eastAsia"/>
                <w:color w:val="auto"/>
              </w:rPr>
              <w:t>可接受。</w:t>
            </w:r>
          </w:p>
          <w:p w14:paraId="6178EF99">
            <w:pPr>
              <w:adjustRightInd w:val="0"/>
              <w:snapToGrid w:val="0"/>
              <w:spacing w:line="360" w:lineRule="auto"/>
              <w:jc w:val="left"/>
              <w:rPr>
                <w:color w:val="auto"/>
                <w:kern w:val="24"/>
              </w:rPr>
            </w:pPr>
            <w:r>
              <w:rPr>
                <w:rFonts w:hint="eastAsia"/>
                <w:b/>
                <w:bCs/>
                <w:color w:val="auto"/>
                <w:sz w:val="24"/>
              </w:rPr>
              <w:t>2.4监测要求</w:t>
            </w:r>
          </w:p>
          <w:p w14:paraId="6FD1472D">
            <w:pPr>
              <w:adjustRightInd w:val="0"/>
              <w:snapToGrid w:val="0"/>
              <w:spacing w:line="360" w:lineRule="auto"/>
              <w:ind w:firstLine="480" w:firstLineChars="200"/>
              <w:rPr>
                <w:color w:val="auto"/>
                <w:kern w:val="24"/>
                <w:sz w:val="24"/>
              </w:rPr>
            </w:pPr>
            <w:r>
              <w:rPr>
                <w:rFonts w:hint="eastAsia"/>
                <w:color w:val="auto"/>
                <w:kern w:val="24"/>
                <w:sz w:val="24"/>
              </w:rPr>
              <w:t>本项目生活污水经化粪池预处理后，经罐车运至纳古镇污水处理站处理，不设置废水自行监测要求。</w:t>
            </w:r>
          </w:p>
          <w:p w14:paraId="71A6B16B">
            <w:pPr>
              <w:adjustRightInd w:val="0"/>
              <w:snapToGrid w:val="0"/>
              <w:spacing w:line="360" w:lineRule="auto"/>
              <w:jc w:val="left"/>
              <w:rPr>
                <w:b/>
                <w:bCs/>
                <w:color w:val="auto"/>
                <w:sz w:val="24"/>
              </w:rPr>
            </w:pPr>
            <w:r>
              <w:rPr>
                <w:rFonts w:hint="eastAsia"/>
                <w:b/>
                <w:bCs/>
                <w:color w:val="auto"/>
                <w:sz w:val="24"/>
              </w:rPr>
              <w:t>3、运营期</w:t>
            </w:r>
            <w:r>
              <w:rPr>
                <w:rFonts w:hint="eastAsia"/>
                <w:b/>
                <w:color w:val="auto"/>
                <w:kern w:val="24"/>
                <w:sz w:val="24"/>
              </w:rPr>
              <w:t>噪声</w:t>
            </w:r>
            <w:r>
              <w:rPr>
                <w:rFonts w:hint="eastAsia"/>
                <w:b/>
                <w:bCs/>
                <w:color w:val="auto"/>
                <w:sz w:val="24"/>
              </w:rPr>
              <w:t>环境影响和保护措施</w:t>
            </w:r>
          </w:p>
          <w:p w14:paraId="22F14F7B">
            <w:pPr>
              <w:adjustRightInd w:val="0"/>
              <w:snapToGrid w:val="0"/>
              <w:spacing w:line="360" w:lineRule="auto"/>
              <w:jc w:val="left"/>
              <w:rPr>
                <w:b/>
                <w:bCs/>
                <w:color w:val="auto"/>
                <w:sz w:val="24"/>
              </w:rPr>
            </w:pPr>
            <w:r>
              <w:rPr>
                <w:rFonts w:hint="eastAsia"/>
                <w:b/>
                <w:bCs/>
                <w:color w:val="auto"/>
                <w:sz w:val="24"/>
              </w:rPr>
              <w:t>3.1</w:t>
            </w:r>
            <w:r>
              <w:rPr>
                <w:rFonts w:hint="eastAsia"/>
                <w:b/>
                <w:color w:val="auto"/>
                <w:kern w:val="24"/>
                <w:sz w:val="24"/>
              </w:rPr>
              <w:t>噪声</w:t>
            </w:r>
            <w:r>
              <w:rPr>
                <w:rFonts w:hint="eastAsia"/>
                <w:b/>
                <w:bCs/>
                <w:color w:val="auto"/>
                <w:sz w:val="24"/>
              </w:rPr>
              <w:t>源强</w:t>
            </w:r>
          </w:p>
          <w:p w14:paraId="286E2B11">
            <w:pPr>
              <w:adjustRightInd w:val="0"/>
              <w:snapToGrid w:val="0"/>
              <w:spacing w:line="360" w:lineRule="auto"/>
              <w:ind w:firstLine="480" w:firstLineChars="200"/>
              <w:rPr>
                <w:color w:val="auto"/>
                <w:kern w:val="24"/>
                <w:sz w:val="24"/>
              </w:rPr>
            </w:pPr>
            <w:r>
              <w:rPr>
                <w:rFonts w:hint="eastAsia"/>
                <w:color w:val="auto"/>
                <w:sz w:val="24"/>
              </w:rPr>
              <w:t>本项目</w:t>
            </w:r>
            <w:r>
              <w:rPr>
                <w:color w:val="auto"/>
                <w:sz w:val="24"/>
              </w:rPr>
              <w:t>噪声源</w:t>
            </w:r>
            <w:r>
              <w:rPr>
                <w:rFonts w:hint="eastAsia"/>
                <w:color w:val="auto"/>
                <w:sz w:val="24"/>
              </w:rPr>
              <w:t>主要为</w:t>
            </w:r>
            <w:r>
              <w:rPr>
                <w:rFonts w:hint="eastAsia"/>
                <w:color w:val="auto"/>
                <w:kern w:val="24"/>
                <w:sz w:val="24"/>
              </w:rPr>
              <w:t>生产设备噪声，本项设备噪声源强约85~90dB（A），通过</w:t>
            </w:r>
            <w:bookmarkStart w:id="78" w:name="OLE_LINK58"/>
            <w:r>
              <w:rPr>
                <w:rFonts w:hint="eastAsia"/>
                <w:color w:val="auto"/>
                <w:kern w:val="24"/>
                <w:sz w:val="24"/>
              </w:rPr>
              <w:t>选用低噪声设备、合理布局、基础减震，</w:t>
            </w:r>
            <w:r>
              <w:rPr>
                <w:rFonts w:hint="eastAsia"/>
                <w:color w:val="auto"/>
                <w:sz w:val="24"/>
              </w:rPr>
              <w:t>厂房隔声、消声器、合理安排生产作息时间</w:t>
            </w:r>
            <w:bookmarkEnd w:id="78"/>
            <w:r>
              <w:rPr>
                <w:rFonts w:hint="eastAsia"/>
                <w:color w:val="auto"/>
                <w:sz w:val="24"/>
              </w:rPr>
              <w:t>等措施</w:t>
            </w:r>
            <w:r>
              <w:rPr>
                <w:rFonts w:hint="eastAsia"/>
                <w:color w:val="auto"/>
                <w:kern w:val="24"/>
                <w:sz w:val="24"/>
              </w:rPr>
              <w:t>，噪声值可降低10~20dB（A）。各主要噪声源的见表</w:t>
            </w:r>
            <w:r>
              <w:rPr>
                <w:color w:val="auto"/>
                <w:kern w:val="24"/>
                <w:sz w:val="24"/>
              </w:rPr>
              <w:t>4-11和</w:t>
            </w:r>
            <w:r>
              <w:rPr>
                <w:rFonts w:hint="eastAsia"/>
                <w:color w:val="auto"/>
                <w:kern w:val="24"/>
                <w:sz w:val="24"/>
              </w:rPr>
              <w:t>4-13。</w:t>
            </w:r>
          </w:p>
          <w:p w14:paraId="668C76D8">
            <w:pPr>
              <w:adjustRightInd w:val="0"/>
              <w:snapToGrid w:val="0"/>
              <w:spacing w:line="360" w:lineRule="auto"/>
              <w:ind w:firstLine="482" w:firstLineChars="200"/>
              <w:jc w:val="center"/>
              <w:rPr>
                <w:b/>
                <w:color w:val="auto"/>
                <w:kern w:val="24"/>
                <w:sz w:val="24"/>
              </w:rPr>
            </w:pPr>
            <w:r>
              <w:rPr>
                <w:rFonts w:hint="eastAsia"/>
                <w:b/>
                <w:color w:val="auto"/>
                <w:kern w:val="24"/>
                <w:sz w:val="24"/>
              </w:rPr>
              <w:t>表4-</w:t>
            </w:r>
            <w:r>
              <w:rPr>
                <w:b/>
                <w:color w:val="auto"/>
                <w:kern w:val="24"/>
                <w:sz w:val="24"/>
              </w:rPr>
              <w:t>11</w:t>
            </w:r>
            <w:r>
              <w:rPr>
                <w:rFonts w:hint="eastAsia"/>
                <w:b/>
                <w:color w:val="auto"/>
                <w:kern w:val="24"/>
                <w:sz w:val="24"/>
              </w:rPr>
              <w:t xml:space="preserve">  项目已有主要设备及噪声源强一览表</w:t>
            </w:r>
          </w:p>
          <w:tbl>
            <w:tblPr>
              <w:tblStyle w:val="32"/>
              <w:tblW w:w="48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25"/>
              <w:gridCol w:w="1313"/>
              <w:gridCol w:w="751"/>
              <w:gridCol w:w="1175"/>
              <w:gridCol w:w="991"/>
              <w:gridCol w:w="1664"/>
              <w:gridCol w:w="1075"/>
              <w:gridCol w:w="636"/>
            </w:tblGrid>
            <w:tr w14:paraId="2022A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94" w:type="pct"/>
                  <w:vMerge w:val="restart"/>
                  <w:vAlign w:val="center"/>
                </w:tcPr>
                <w:p w14:paraId="315EE50D">
                  <w:pPr>
                    <w:adjustRightInd w:val="0"/>
                    <w:jc w:val="center"/>
                    <w:rPr>
                      <w:color w:val="auto"/>
                      <w:szCs w:val="21"/>
                    </w:rPr>
                  </w:pPr>
                  <w:r>
                    <w:rPr>
                      <w:rFonts w:hint="eastAsia"/>
                      <w:color w:val="auto"/>
                      <w:szCs w:val="21"/>
                    </w:rPr>
                    <w:t>工序</w:t>
                  </w:r>
                </w:p>
              </w:tc>
              <w:tc>
                <w:tcPr>
                  <w:tcW w:w="761" w:type="pct"/>
                  <w:vMerge w:val="restart"/>
                  <w:vAlign w:val="center"/>
                </w:tcPr>
                <w:p w14:paraId="2085F147">
                  <w:pPr>
                    <w:adjustRightInd w:val="0"/>
                    <w:jc w:val="center"/>
                    <w:rPr>
                      <w:color w:val="auto"/>
                      <w:szCs w:val="21"/>
                    </w:rPr>
                  </w:pPr>
                  <w:r>
                    <w:rPr>
                      <w:color w:val="auto"/>
                      <w:szCs w:val="21"/>
                    </w:rPr>
                    <w:t>噪声源</w:t>
                  </w:r>
                </w:p>
              </w:tc>
              <w:tc>
                <w:tcPr>
                  <w:tcW w:w="435" w:type="pct"/>
                  <w:vMerge w:val="restart"/>
                  <w:vAlign w:val="center"/>
                </w:tcPr>
                <w:p w14:paraId="4D85E431">
                  <w:pPr>
                    <w:adjustRightInd w:val="0"/>
                    <w:jc w:val="center"/>
                    <w:rPr>
                      <w:color w:val="auto"/>
                      <w:szCs w:val="21"/>
                    </w:rPr>
                  </w:pPr>
                  <w:r>
                    <w:rPr>
                      <w:rFonts w:hint="eastAsia"/>
                      <w:color w:val="auto"/>
                      <w:szCs w:val="21"/>
                    </w:rPr>
                    <w:t>数量</w:t>
                  </w:r>
                </w:p>
              </w:tc>
              <w:tc>
                <w:tcPr>
                  <w:tcW w:w="681" w:type="pct"/>
                  <w:vMerge w:val="restart"/>
                  <w:vAlign w:val="center"/>
                </w:tcPr>
                <w:p w14:paraId="24901CDF">
                  <w:pPr>
                    <w:adjustRightInd w:val="0"/>
                    <w:jc w:val="center"/>
                    <w:rPr>
                      <w:color w:val="auto"/>
                      <w:szCs w:val="21"/>
                    </w:rPr>
                  </w:pPr>
                  <w:r>
                    <w:rPr>
                      <w:rFonts w:hint="eastAsia"/>
                      <w:color w:val="auto"/>
                      <w:szCs w:val="21"/>
                    </w:rPr>
                    <w:t>声源位置</w:t>
                  </w:r>
                </w:p>
              </w:tc>
              <w:tc>
                <w:tcPr>
                  <w:tcW w:w="574" w:type="pct"/>
                  <w:vMerge w:val="restart"/>
                  <w:vAlign w:val="center"/>
                </w:tcPr>
                <w:p w14:paraId="47B04E29">
                  <w:pPr>
                    <w:adjustRightInd w:val="0"/>
                    <w:jc w:val="center"/>
                    <w:rPr>
                      <w:color w:val="auto"/>
                      <w:szCs w:val="21"/>
                    </w:rPr>
                  </w:pPr>
                  <w:r>
                    <w:rPr>
                      <w:rFonts w:hint="eastAsia"/>
                      <w:color w:val="auto"/>
                      <w:szCs w:val="21"/>
                    </w:rPr>
                    <w:t>排放特征</w:t>
                  </w:r>
                </w:p>
              </w:tc>
              <w:tc>
                <w:tcPr>
                  <w:tcW w:w="964" w:type="pct"/>
                  <w:vAlign w:val="center"/>
                </w:tcPr>
                <w:p w14:paraId="51B348BF">
                  <w:pPr>
                    <w:adjustRightInd w:val="0"/>
                    <w:jc w:val="center"/>
                    <w:rPr>
                      <w:color w:val="auto"/>
                      <w:szCs w:val="21"/>
                    </w:rPr>
                  </w:pPr>
                  <w:r>
                    <w:rPr>
                      <w:rFonts w:hint="eastAsia"/>
                      <w:color w:val="auto"/>
                      <w:szCs w:val="21"/>
                    </w:rPr>
                    <w:t>声源源强</w:t>
                  </w:r>
                </w:p>
              </w:tc>
              <w:tc>
                <w:tcPr>
                  <w:tcW w:w="623" w:type="pct"/>
                  <w:vMerge w:val="restart"/>
                  <w:vAlign w:val="center"/>
                </w:tcPr>
                <w:p w14:paraId="65FA96A9">
                  <w:pPr>
                    <w:adjustRightInd w:val="0"/>
                    <w:jc w:val="center"/>
                    <w:rPr>
                      <w:color w:val="auto"/>
                      <w:szCs w:val="21"/>
                    </w:rPr>
                  </w:pPr>
                  <w:r>
                    <w:rPr>
                      <w:rFonts w:hint="eastAsia"/>
                      <w:color w:val="auto"/>
                      <w:szCs w:val="21"/>
                    </w:rPr>
                    <w:t>源强数据来源</w:t>
                  </w:r>
                </w:p>
              </w:tc>
              <w:tc>
                <w:tcPr>
                  <w:tcW w:w="368" w:type="pct"/>
                  <w:vMerge w:val="restart"/>
                  <w:vAlign w:val="center"/>
                </w:tcPr>
                <w:p w14:paraId="5972B1FA">
                  <w:pPr>
                    <w:adjustRightInd w:val="0"/>
                    <w:jc w:val="center"/>
                    <w:rPr>
                      <w:color w:val="auto"/>
                      <w:szCs w:val="21"/>
                    </w:rPr>
                  </w:pPr>
                  <w:r>
                    <w:rPr>
                      <w:rFonts w:hint="eastAsia"/>
                      <w:color w:val="auto"/>
                      <w:szCs w:val="21"/>
                    </w:rPr>
                    <w:t>运行时间</w:t>
                  </w:r>
                  <w:r>
                    <w:rPr>
                      <w:color w:val="auto"/>
                      <w:szCs w:val="21"/>
                    </w:rPr>
                    <w:t>/h</w:t>
                  </w:r>
                </w:p>
              </w:tc>
            </w:tr>
            <w:tr w14:paraId="249EF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94" w:type="pct"/>
                  <w:vMerge w:val="continue"/>
                  <w:vAlign w:val="center"/>
                </w:tcPr>
                <w:p w14:paraId="6BCD8524">
                  <w:pPr>
                    <w:adjustRightInd w:val="0"/>
                    <w:jc w:val="center"/>
                    <w:rPr>
                      <w:color w:val="auto"/>
                      <w:szCs w:val="21"/>
                    </w:rPr>
                  </w:pPr>
                </w:p>
              </w:tc>
              <w:tc>
                <w:tcPr>
                  <w:tcW w:w="761" w:type="pct"/>
                  <w:vMerge w:val="continue"/>
                  <w:vAlign w:val="center"/>
                </w:tcPr>
                <w:p w14:paraId="4679A605">
                  <w:pPr>
                    <w:adjustRightInd w:val="0"/>
                    <w:jc w:val="center"/>
                    <w:rPr>
                      <w:color w:val="auto"/>
                      <w:szCs w:val="21"/>
                    </w:rPr>
                  </w:pPr>
                </w:p>
              </w:tc>
              <w:tc>
                <w:tcPr>
                  <w:tcW w:w="435" w:type="pct"/>
                  <w:vMerge w:val="continue"/>
                  <w:vAlign w:val="center"/>
                </w:tcPr>
                <w:p w14:paraId="43E2F60B">
                  <w:pPr>
                    <w:adjustRightInd w:val="0"/>
                    <w:jc w:val="center"/>
                    <w:rPr>
                      <w:color w:val="auto"/>
                      <w:szCs w:val="21"/>
                    </w:rPr>
                  </w:pPr>
                </w:p>
              </w:tc>
              <w:tc>
                <w:tcPr>
                  <w:tcW w:w="681" w:type="pct"/>
                  <w:vMerge w:val="continue"/>
                  <w:vAlign w:val="center"/>
                </w:tcPr>
                <w:p w14:paraId="7505D0DF">
                  <w:pPr>
                    <w:adjustRightInd w:val="0"/>
                    <w:jc w:val="center"/>
                    <w:rPr>
                      <w:color w:val="auto"/>
                      <w:szCs w:val="21"/>
                    </w:rPr>
                  </w:pPr>
                </w:p>
              </w:tc>
              <w:tc>
                <w:tcPr>
                  <w:tcW w:w="574" w:type="pct"/>
                  <w:vMerge w:val="continue"/>
                  <w:vAlign w:val="center"/>
                </w:tcPr>
                <w:p w14:paraId="7B2AE2C9">
                  <w:pPr>
                    <w:adjustRightInd w:val="0"/>
                    <w:jc w:val="center"/>
                    <w:rPr>
                      <w:color w:val="auto"/>
                      <w:szCs w:val="21"/>
                    </w:rPr>
                  </w:pPr>
                </w:p>
              </w:tc>
              <w:tc>
                <w:tcPr>
                  <w:tcW w:w="964" w:type="pct"/>
                  <w:vAlign w:val="center"/>
                </w:tcPr>
                <w:p w14:paraId="374B28E3">
                  <w:pPr>
                    <w:adjustRightInd w:val="0"/>
                    <w:jc w:val="center"/>
                    <w:rPr>
                      <w:color w:val="auto"/>
                      <w:szCs w:val="21"/>
                    </w:rPr>
                  </w:pPr>
                  <w:r>
                    <w:rPr>
                      <w:rFonts w:hint="eastAsia"/>
                      <w:color w:val="auto"/>
                      <w:szCs w:val="21"/>
                    </w:rPr>
                    <w:t>(声压级/距声源距离)/(dB(A)/1m)</w:t>
                  </w:r>
                </w:p>
              </w:tc>
              <w:tc>
                <w:tcPr>
                  <w:tcW w:w="623" w:type="pct"/>
                  <w:vMerge w:val="continue"/>
                  <w:vAlign w:val="center"/>
                </w:tcPr>
                <w:p w14:paraId="596C6DA5">
                  <w:pPr>
                    <w:adjustRightInd w:val="0"/>
                    <w:jc w:val="center"/>
                    <w:rPr>
                      <w:color w:val="auto"/>
                      <w:szCs w:val="21"/>
                    </w:rPr>
                  </w:pPr>
                </w:p>
              </w:tc>
              <w:tc>
                <w:tcPr>
                  <w:tcW w:w="368" w:type="pct"/>
                  <w:vMerge w:val="continue"/>
                  <w:vAlign w:val="center"/>
                </w:tcPr>
                <w:p w14:paraId="2FB74356">
                  <w:pPr>
                    <w:adjustRightInd w:val="0"/>
                    <w:jc w:val="center"/>
                    <w:rPr>
                      <w:color w:val="auto"/>
                      <w:szCs w:val="21"/>
                    </w:rPr>
                  </w:pPr>
                </w:p>
              </w:tc>
            </w:tr>
            <w:tr w14:paraId="7B7F4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94" w:type="pct"/>
                  <w:vMerge w:val="restart"/>
                  <w:vAlign w:val="center"/>
                </w:tcPr>
                <w:p w14:paraId="02B8DF00">
                  <w:pPr>
                    <w:adjustRightInd w:val="0"/>
                    <w:jc w:val="center"/>
                    <w:rPr>
                      <w:color w:val="auto"/>
                      <w:szCs w:val="21"/>
                    </w:rPr>
                  </w:pPr>
                  <w:r>
                    <w:rPr>
                      <w:rFonts w:hint="eastAsia"/>
                      <w:color w:val="auto"/>
                      <w:szCs w:val="21"/>
                    </w:rPr>
                    <w:t>生产车间</w:t>
                  </w:r>
                </w:p>
              </w:tc>
              <w:tc>
                <w:tcPr>
                  <w:tcW w:w="761" w:type="pct"/>
                  <w:vAlign w:val="center"/>
                </w:tcPr>
                <w:p w14:paraId="094FA88B">
                  <w:pPr>
                    <w:adjustRightInd w:val="0"/>
                    <w:jc w:val="center"/>
                    <w:rPr>
                      <w:color w:val="auto"/>
                      <w:szCs w:val="21"/>
                    </w:rPr>
                  </w:pPr>
                  <w:r>
                    <w:rPr>
                      <w:rFonts w:hint="eastAsia"/>
                      <w:color w:val="auto"/>
                      <w:szCs w:val="21"/>
                    </w:rPr>
                    <w:t>高频直缝焊管机组（已有）</w:t>
                  </w:r>
                </w:p>
              </w:tc>
              <w:tc>
                <w:tcPr>
                  <w:tcW w:w="435" w:type="pct"/>
                  <w:vAlign w:val="center"/>
                </w:tcPr>
                <w:p w14:paraId="5001900C">
                  <w:pPr>
                    <w:adjustRightInd w:val="0"/>
                    <w:jc w:val="center"/>
                    <w:rPr>
                      <w:color w:val="auto"/>
                      <w:szCs w:val="21"/>
                    </w:rPr>
                  </w:pPr>
                  <w:r>
                    <w:rPr>
                      <w:rFonts w:hint="eastAsia"/>
                      <w:color w:val="auto"/>
                      <w:szCs w:val="21"/>
                    </w:rPr>
                    <w:t>4台</w:t>
                  </w:r>
                </w:p>
              </w:tc>
              <w:tc>
                <w:tcPr>
                  <w:tcW w:w="681" w:type="pct"/>
                  <w:vAlign w:val="center"/>
                </w:tcPr>
                <w:p w14:paraId="67000BFE">
                  <w:pPr>
                    <w:adjustRightInd w:val="0"/>
                    <w:jc w:val="center"/>
                    <w:rPr>
                      <w:color w:val="auto"/>
                      <w:szCs w:val="21"/>
                    </w:rPr>
                  </w:pPr>
                  <w:r>
                    <w:rPr>
                      <w:rFonts w:hint="eastAsia"/>
                      <w:color w:val="auto"/>
                      <w:szCs w:val="21"/>
                    </w:rPr>
                    <w:t>室内</w:t>
                  </w:r>
                </w:p>
              </w:tc>
              <w:tc>
                <w:tcPr>
                  <w:tcW w:w="574" w:type="pct"/>
                  <w:vAlign w:val="center"/>
                </w:tcPr>
                <w:p w14:paraId="07D8F28F">
                  <w:pPr>
                    <w:adjustRightInd w:val="0"/>
                    <w:jc w:val="center"/>
                    <w:rPr>
                      <w:color w:val="auto"/>
                      <w:szCs w:val="21"/>
                    </w:rPr>
                  </w:pPr>
                  <w:r>
                    <w:rPr>
                      <w:color w:val="auto"/>
                      <w:szCs w:val="21"/>
                    </w:rPr>
                    <w:t>频发</w:t>
                  </w:r>
                </w:p>
              </w:tc>
              <w:tc>
                <w:tcPr>
                  <w:tcW w:w="964" w:type="pct"/>
                  <w:vAlign w:val="center"/>
                </w:tcPr>
                <w:p w14:paraId="28DDFEEA">
                  <w:pPr>
                    <w:adjustRightInd w:val="0"/>
                    <w:jc w:val="center"/>
                    <w:rPr>
                      <w:color w:val="auto"/>
                      <w:szCs w:val="21"/>
                    </w:rPr>
                  </w:pPr>
                  <w:r>
                    <w:rPr>
                      <w:color w:val="auto"/>
                      <w:szCs w:val="21"/>
                    </w:rPr>
                    <w:t>85</w:t>
                  </w:r>
                </w:p>
              </w:tc>
              <w:tc>
                <w:tcPr>
                  <w:tcW w:w="623" w:type="pct"/>
                  <w:vMerge w:val="restart"/>
                  <w:vAlign w:val="center"/>
                </w:tcPr>
                <w:p w14:paraId="67891BDD">
                  <w:pPr>
                    <w:adjustRightInd w:val="0"/>
                    <w:jc w:val="center"/>
                    <w:rPr>
                      <w:color w:val="auto"/>
                      <w:szCs w:val="21"/>
                    </w:rPr>
                  </w:pPr>
                  <w:bookmarkStart w:id="79" w:name="OLE_LINK55"/>
                  <w:r>
                    <w:rPr>
                      <w:rFonts w:hint="eastAsia"/>
                      <w:color w:val="auto"/>
                      <w:szCs w:val="21"/>
                    </w:rPr>
                    <w:t>参考《污染源源强核算技术指南》各行业技术指南附录中相关设备声源源强资料</w:t>
                  </w:r>
                  <w:bookmarkEnd w:id="79"/>
                </w:p>
              </w:tc>
              <w:tc>
                <w:tcPr>
                  <w:tcW w:w="368" w:type="pct"/>
                  <w:vAlign w:val="center"/>
                </w:tcPr>
                <w:p w14:paraId="11FEEAB8">
                  <w:pPr>
                    <w:adjustRightInd w:val="0"/>
                    <w:jc w:val="center"/>
                    <w:rPr>
                      <w:color w:val="auto"/>
                      <w:szCs w:val="21"/>
                    </w:rPr>
                  </w:pPr>
                  <w:r>
                    <w:rPr>
                      <w:rFonts w:hint="eastAsia"/>
                      <w:color w:val="auto"/>
                      <w:szCs w:val="21"/>
                    </w:rPr>
                    <w:t>900</w:t>
                  </w:r>
                </w:p>
              </w:tc>
            </w:tr>
            <w:tr w14:paraId="03D1A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94" w:type="pct"/>
                  <w:vMerge w:val="continue"/>
                  <w:vAlign w:val="center"/>
                </w:tcPr>
                <w:p w14:paraId="5D67FF10">
                  <w:pPr>
                    <w:adjustRightInd w:val="0"/>
                    <w:jc w:val="center"/>
                    <w:rPr>
                      <w:color w:val="auto"/>
                      <w:szCs w:val="21"/>
                    </w:rPr>
                  </w:pPr>
                </w:p>
              </w:tc>
              <w:tc>
                <w:tcPr>
                  <w:tcW w:w="761" w:type="pct"/>
                  <w:vAlign w:val="center"/>
                </w:tcPr>
                <w:p w14:paraId="79B0EF89">
                  <w:pPr>
                    <w:adjustRightInd w:val="0"/>
                    <w:jc w:val="center"/>
                    <w:rPr>
                      <w:color w:val="auto"/>
                      <w:szCs w:val="21"/>
                    </w:rPr>
                  </w:pPr>
                  <w:r>
                    <w:rPr>
                      <w:rFonts w:hint="eastAsia"/>
                      <w:color w:val="auto"/>
                      <w:szCs w:val="21"/>
                    </w:rPr>
                    <w:t>高频直缝焊管机组（未批先建）</w:t>
                  </w:r>
                </w:p>
              </w:tc>
              <w:tc>
                <w:tcPr>
                  <w:tcW w:w="435" w:type="pct"/>
                  <w:vAlign w:val="center"/>
                </w:tcPr>
                <w:p w14:paraId="13E25C19">
                  <w:pPr>
                    <w:adjustRightInd w:val="0"/>
                    <w:jc w:val="center"/>
                    <w:rPr>
                      <w:color w:val="auto"/>
                      <w:szCs w:val="21"/>
                    </w:rPr>
                  </w:pPr>
                  <w:r>
                    <w:rPr>
                      <w:rFonts w:hint="eastAsia"/>
                      <w:color w:val="auto"/>
                      <w:szCs w:val="21"/>
                    </w:rPr>
                    <w:t>2台</w:t>
                  </w:r>
                </w:p>
              </w:tc>
              <w:tc>
                <w:tcPr>
                  <w:tcW w:w="681" w:type="pct"/>
                  <w:vAlign w:val="center"/>
                </w:tcPr>
                <w:p w14:paraId="6DF3F256">
                  <w:pPr>
                    <w:adjustRightInd w:val="0"/>
                    <w:jc w:val="center"/>
                    <w:rPr>
                      <w:color w:val="auto"/>
                      <w:szCs w:val="21"/>
                    </w:rPr>
                  </w:pPr>
                  <w:r>
                    <w:rPr>
                      <w:rFonts w:hint="eastAsia"/>
                      <w:color w:val="auto"/>
                      <w:szCs w:val="21"/>
                    </w:rPr>
                    <w:t>室内</w:t>
                  </w:r>
                </w:p>
              </w:tc>
              <w:tc>
                <w:tcPr>
                  <w:tcW w:w="574" w:type="pct"/>
                  <w:vAlign w:val="center"/>
                </w:tcPr>
                <w:p w14:paraId="42A4C37B">
                  <w:pPr>
                    <w:adjustRightInd w:val="0"/>
                    <w:jc w:val="center"/>
                    <w:rPr>
                      <w:color w:val="auto"/>
                      <w:szCs w:val="21"/>
                    </w:rPr>
                  </w:pPr>
                  <w:r>
                    <w:rPr>
                      <w:color w:val="auto"/>
                      <w:szCs w:val="21"/>
                    </w:rPr>
                    <w:t>频发</w:t>
                  </w:r>
                </w:p>
              </w:tc>
              <w:tc>
                <w:tcPr>
                  <w:tcW w:w="964" w:type="pct"/>
                  <w:vAlign w:val="center"/>
                </w:tcPr>
                <w:p w14:paraId="45EC1170">
                  <w:pPr>
                    <w:adjustRightInd w:val="0"/>
                    <w:jc w:val="center"/>
                    <w:rPr>
                      <w:color w:val="auto"/>
                      <w:szCs w:val="21"/>
                    </w:rPr>
                  </w:pPr>
                  <w:r>
                    <w:rPr>
                      <w:color w:val="auto"/>
                      <w:szCs w:val="21"/>
                    </w:rPr>
                    <w:t>85</w:t>
                  </w:r>
                </w:p>
              </w:tc>
              <w:tc>
                <w:tcPr>
                  <w:tcW w:w="623" w:type="pct"/>
                  <w:vMerge w:val="continue"/>
                  <w:vAlign w:val="center"/>
                </w:tcPr>
                <w:p w14:paraId="0C65C1AB">
                  <w:pPr>
                    <w:adjustRightInd w:val="0"/>
                    <w:jc w:val="center"/>
                    <w:rPr>
                      <w:color w:val="auto"/>
                      <w:szCs w:val="21"/>
                    </w:rPr>
                  </w:pPr>
                </w:p>
              </w:tc>
              <w:tc>
                <w:tcPr>
                  <w:tcW w:w="368" w:type="pct"/>
                  <w:vAlign w:val="center"/>
                </w:tcPr>
                <w:p w14:paraId="36C377A4">
                  <w:pPr>
                    <w:adjustRightInd w:val="0"/>
                    <w:jc w:val="center"/>
                    <w:rPr>
                      <w:color w:val="auto"/>
                      <w:szCs w:val="21"/>
                    </w:rPr>
                  </w:pPr>
                  <w:r>
                    <w:rPr>
                      <w:rFonts w:hint="eastAsia"/>
                      <w:color w:val="auto"/>
                      <w:szCs w:val="21"/>
                    </w:rPr>
                    <w:t>900</w:t>
                  </w:r>
                </w:p>
              </w:tc>
            </w:tr>
            <w:tr w14:paraId="5E492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94" w:type="pct"/>
                  <w:vMerge w:val="continue"/>
                  <w:vAlign w:val="center"/>
                </w:tcPr>
                <w:p w14:paraId="1461E0C5">
                  <w:pPr>
                    <w:adjustRightInd w:val="0"/>
                    <w:jc w:val="center"/>
                    <w:rPr>
                      <w:color w:val="auto"/>
                      <w:szCs w:val="21"/>
                    </w:rPr>
                  </w:pPr>
                </w:p>
              </w:tc>
              <w:tc>
                <w:tcPr>
                  <w:tcW w:w="761" w:type="pct"/>
                  <w:vAlign w:val="center"/>
                </w:tcPr>
                <w:p w14:paraId="09F8ACE7">
                  <w:pPr>
                    <w:adjustRightInd w:val="0"/>
                    <w:jc w:val="center"/>
                    <w:rPr>
                      <w:color w:val="auto"/>
                      <w:szCs w:val="21"/>
                    </w:rPr>
                  </w:pPr>
                  <w:r>
                    <w:rPr>
                      <w:rFonts w:hint="eastAsia"/>
                      <w:color w:val="auto"/>
                      <w:szCs w:val="21"/>
                    </w:rPr>
                    <w:t>气动开卷机（已有）</w:t>
                  </w:r>
                </w:p>
              </w:tc>
              <w:tc>
                <w:tcPr>
                  <w:tcW w:w="435" w:type="pct"/>
                  <w:vAlign w:val="center"/>
                </w:tcPr>
                <w:p w14:paraId="240DCA66">
                  <w:pPr>
                    <w:adjustRightInd w:val="0"/>
                    <w:jc w:val="center"/>
                    <w:rPr>
                      <w:color w:val="auto"/>
                      <w:szCs w:val="21"/>
                    </w:rPr>
                  </w:pPr>
                  <w:r>
                    <w:rPr>
                      <w:rFonts w:hint="eastAsia"/>
                      <w:color w:val="auto"/>
                      <w:szCs w:val="21"/>
                    </w:rPr>
                    <w:t>4台</w:t>
                  </w:r>
                </w:p>
              </w:tc>
              <w:tc>
                <w:tcPr>
                  <w:tcW w:w="681" w:type="pct"/>
                  <w:vAlign w:val="center"/>
                </w:tcPr>
                <w:p w14:paraId="401A7289">
                  <w:pPr>
                    <w:adjustRightInd w:val="0"/>
                    <w:jc w:val="center"/>
                    <w:rPr>
                      <w:color w:val="auto"/>
                      <w:szCs w:val="21"/>
                    </w:rPr>
                  </w:pPr>
                  <w:r>
                    <w:rPr>
                      <w:rFonts w:hint="eastAsia"/>
                      <w:color w:val="auto"/>
                      <w:szCs w:val="21"/>
                    </w:rPr>
                    <w:t>室内</w:t>
                  </w:r>
                </w:p>
              </w:tc>
              <w:tc>
                <w:tcPr>
                  <w:tcW w:w="574" w:type="pct"/>
                  <w:vAlign w:val="center"/>
                </w:tcPr>
                <w:p w14:paraId="51A8D68C">
                  <w:pPr>
                    <w:adjustRightInd w:val="0"/>
                    <w:jc w:val="center"/>
                    <w:rPr>
                      <w:color w:val="auto"/>
                      <w:szCs w:val="21"/>
                    </w:rPr>
                  </w:pPr>
                  <w:r>
                    <w:rPr>
                      <w:color w:val="auto"/>
                      <w:szCs w:val="21"/>
                    </w:rPr>
                    <w:t>频发</w:t>
                  </w:r>
                </w:p>
              </w:tc>
              <w:tc>
                <w:tcPr>
                  <w:tcW w:w="964" w:type="pct"/>
                  <w:vAlign w:val="center"/>
                </w:tcPr>
                <w:p w14:paraId="553B9E76">
                  <w:pPr>
                    <w:adjustRightInd w:val="0"/>
                    <w:jc w:val="center"/>
                    <w:rPr>
                      <w:color w:val="auto"/>
                      <w:szCs w:val="21"/>
                    </w:rPr>
                  </w:pPr>
                  <w:r>
                    <w:rPr>
                      <w:rFonts w:hint="eastAsia"/>
                      <w:color w:val="auto"/>
                      <w:szCs w:val="21"/>
                    </w:rPr>
                    <w:t>75</w:t>
                  </w:r>
                </w:p>
              </w:tc>
              <w:tc>
                <w:tcPr>
                  <w:tcW w:w="623" w:type="pct"/>
                  <w:vMerge w:val="continue"/>
                  <w:vAlign w:val="center"/>
                </w:tcPr>
                <w:p w14:paraId="6B3AFA65">
                  <w:pPr>
                    <w:adjustRightInd w:val="0"/>
                    <w:jc w:val="center"/>
                    <w:rPr>
                      <w:color w:val="auto"/>
                      <w:szCs w:val="21"/>
                    </w:rPr>
                  </w:pPr>
                </w:p>
              </w:tc>
              <w:tc>
                <w:tcPr>
                  <w:tcW w:w="368" w:type="pct"/>
                  <w:vAlign w:val="center"/>
                </w:tcPr>
                <w:p w14:paraId="50A4D340">
                  <w:pPr>
                    <w:adjustRightInd w:val="0"/>
                    <w:jc w:val="center"/>
                    <w:rPr>
                      <w:color w:val="auto"/>
                      <w:szCs w:val="21"/>
                    </w:rPr>
                  </w:pPr>
                  <w:r>
                    <w:rPr>
                      <w:rFonts w:hint="eastAsia"/>
                      <w:color w:val="auto"/>
                      <w:szCs w:val="21"/>
                    </w:rPr>
                    <w:t>2400</w:t>
                  </w:r>
                </w:p>
              </w:tc>
            </w:tr>
            <w:tr w14:paraId="14A80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94" w:type="pct"/>
                  <w:vMerge w:val="continue"/>
                  <w:vAlign w:val="center"/>
                </w:tcPr>
                <w:p w14:paraId="3686EC82">
                  <w:pPr>
                    <w:adjustRightInd w:val="0"/>
                    <w:jc w:val="center"/>
                    <w:rPr>
                      <w:color w:val="auto"/>
                      <w:szCs w:val="21"/>
                    </w:rPr>
                  </w:pPr>
                </w:p>
              </w:tc>
              <w:tc>
                <w:tcPr>
                  <w:tcW w:w="761" w:type="pct"/>
                  <w:vAlign w:val="center"/>
                </w:tcPr>
                <w:p w14:paraId="712C14CF">
                  <w:pPr>
                    <w:adjustRightInd w:val="0"/>
                    <w:jc w:val="center"/>
                    <w:rPr>
                      <w:color w:val="auto"/>
                      <w:szCs w:val="21"/>
                    </w:rPr>
                  </w:pPr>
                  <w:r>
                    <w:rPr>
                      <w:rFonts w:hint="eastAsia"/>
                      <w:color w:val="auto"/>
                      <w:szCs w:val="21"/>
                    </w:rPr>
                    <w:t>气动开卷机（未批先建）</w:t>
                  </w:r>
                </w:p>
              </w:tc>
              <w:tc>
                <w:tcPr>
                  <w:tcW w:w="435" w:type="pct"/>
                  <w:vAlign w:val="center"/>
                </w:tcPr>
                <w:p w14:paraId="43274462">
                  <w:pPr>
                    <w:adjustRightInd w:val="0"/>
                    <w:jc w:val="center"/>
                    <w:rPr>
                      <w:color w:val="auto"/>
                      <w:szCs w:val="21"/>
                    </w:rPr>
                  </w:pPr>
                  <w:r>
                    <w:rPr>
                      <w:rFonts w:hint="eastAsia"/>
                      <w:color w:val="auto"/>
                      <w:szCs w:val="21"/>
                    </w:rPr>
                    <w:t>2台</w:t>
                  </w:r>
                </w:p>
              </w:tc>
              <w:tc>
                <w:tcPr>
                  <w:tcW w:w="681" w:type="pct"/>
                  <w:vAlign w:val="center"/>
                </w:tcPr>
                <w:p w14:paraId="54772EC1">
                  <w:pPr>
                    <w:adjustRightInd w:val="0"/>
                    <w:jc w:val="center"/>
                    <w:rPr>
                      <w:color w:val="auto"/>
                      <w:szCs w:val="21"/>
                    </w:rPr>
                  </w:pPr>
                  <w:r>
                    <w:rPr>
                      <w:rFonts w:hint="eastAsia"/>
                      <w:color w:val="auto"/>
                      <w:szCs w:val="21"/>
                    </w:rPr>
                    <w:t>室内</w:t>
                  </w:r>
                </w:p>
              </w:tc>
              <w:tc>
                <w:tcPr>
                  <w:tcW w:w="574" w:type="pct"/>
                  <w:vAlign w:val="center"/>
                </w:tcPr>
                <w:p w14:paraId="7B498311">
                  <w:pPr>
                    <w:adjustRightInd w:val="0"/>
                    <w:jc w:val="center"/>
                    <w:rPr>
                      <w:color w:val="auto"/>
                      <w:szCs w:val="21"/>
                    </w:rPr>
                  </w:pPr>
                  <w:r>
                    <w:rPr>
                      <w:color w:val="auto"/>
                      <w:szCs w:val="21"/>
                    </w:rPr>
                    <w:t>频发</w:t>
                  </w:r>
                </w:p>
              </w:tc>
              <w:tc>
                <w:tcPr>
                  <w:tcW w:w="964" w:type="pct"/>
                  <w:vAlign w:val="center"/>
                </w:tcPr>
                <w:p w14:paraId="4E362507">
                  <w:pPr>
                    <w:adjustRightInd w:val="0"/>
                    <w:jc w:val="center"/>
                    <w:rPr>
                      <w:color w:val="auto"/>
                      <w:szCs w:val="21"/>
                    </w:rPr>
                  </w:pPr>
                  <w:r>
                    <w:rPr>
                      <w:rFonts w:hint="eastAsia"/>
                      <w:color w:val="auto"/>
                      <w:szCs w:val="21"/>
                    </w:rPr>
                    <w:t>75</w:t>
                  </w:r>
                </w:p>
              </w:tc>
              <w:tc>
                <w:tcPr>
                  <w:tcW w:w="623" w:type="pct"/>
                  <w:vMerge w:val="continue"/>
                  <w:vAlign w:val="center"/>
                </w:tcPr>
                <w:p w14:paraId="0E374F25">
                  <w:pPr>
                    <w:adjustRightInd w:val="0"/>
                    <w:jc w:val="center"/>
                    <w:rPr>
                      <w:color w:val="auto"/>
                      <w:szCs w:val="21"/>
                    </w:rPr>
                  </w:pPr>
                </w:p>
              </w:tc>
              <w:tc>
                <w:tcPr>
                  <w:tcW w:w="368" w:type="pct"/>
                  <w:vAlign w:val="center"/>
                </w:tcPr>
                <w:p w14:paraId="7AE3EA7F">
                  <w:pPr>
                    <w:adjustRightInd w:val="0"/>
                    <w:jc w:val="center"/>
                    <w:rPr>
                      <w:color w:val="auto"/>
                      <w:szCs w:val="21"/>
                    </w:rPr>
                  </w:pPr>
                  <w:r>
                    <w:rPr>
                      <w:rFonts w:hint="eastAsia"/>
                      <w:color w:val="auto"/>
                      <w:szCs w:val="21"/>
                    </w:rPr>
                    <w:t>2400</w:t>
                  </w:r>
                </w:p>
              </w:tc>
            </w:tr>
            <w:tr w14:paraId="08E8F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94" w:type="pct"/>
                  <w:vMerge w:val="continue"/>
                  <w:vAlign w:val="center"/>
                </w:tcPr>
                <w:p w14:paraId="7AE9E588">
                  <w:pPr>
                    <w:adjustRightInd w:val="0"/>
                    <w:jc w:val="center"/>
                    <w:rPr>
                      <w:color w:val="auto"/>
                      <w:szCs w:val="21"/>
                    </w:rPr>
                  </w:pPr>
                </w:p>
              </w:tc>
              <w:tc>
                <w:tcPr>
                  <w:tcW w:w="761" w:type="pct"/>
                  <w:vAlign w:val="center"/>
                </w:tcPr>
                <w:p w14:paraId="7A179933">
                  <w:pPr>
                    <w:adjustRightInd w:val="0"/>
                    <w:jc w:val="center"/>
                    <w:rPr>
                      <w:color w:val="auto"/>
                      <w:szCs w:val="21"/>
                    </w:rPr>
                  </w:pPr>
                  <w:r>
                    <w:rPr>
                      <w:rFonts w:hint="eastAsia"/>
                      <w:color w:val="auto"/>
                      <w:kern w:val="24"/>
                      <w:szCs w:val="21"/>
                    </w:rPr>
                    <w:t>飞锯（已有）</w:t>
                  </w:r>
                </w:p>
              </w:tc>
              <w:tc>
                <w:tcPr>
                  <w:tcW w:w="435" w:type="pct"/>
                  <w:vAlign w:val="center"/>
                </w:tcPr>
                <w:p w14:paraId="765D3109">
                  <w:pPr>
                    <w:adjustRightInd w:val="0"/>
                    <w:jc w:val="center"/>
                    <w:rPr>
                      <w:color w:val="auto"/>
                      <w:szCs w:val="21"/>
                    </w:rPr>
                  </w:pPr>
                  <w:r>
                    <w:rPr>
                      <w:rFonts w:hint="eastAsia"/>
                      <w:color w:val="auto"/>
                      <w:szCs w:val="21"/>
                    </w:rPr>
                    <w:t>4台</w:t>
                  </w:r>
                </w:p>
              </w:tc>
              <w:tc>
                <w:tcPr>
                  <w:tcW w:w="681" w:type="pct"/>
                  <w:vAlign w:val="center"/>
                </w:tcPr>
                <w:p w14:paraId="702F1BAE">
                  <w:pPr>
                    <w:adjustRightInd w:val="0"/>
                    <w:jc w:val="center"/>
                    <w:rPr>
                      <w:color w:val="auto"/>
                      <w:szCs w:val="21"/>
                    </w:rPr>
                  </w:pPr>
                  <w:r>
                    <w:rPr>
                      <w:rFonts w:hint="eastAsia"/>
                      <w:color w:val="auto"/>
                      <w:szCs w:val="21"/>
                    </w:rPr>
                    <w:t>室内</w:t>
                  </w:r>
                </w:p>
              </w:tc>
              <w:tc>
                <w:tcPr>
                  <w:tcW w:w="574" w:type="pct"/>
                  <w:vAlign w:val="center"/>
                </w:tcPr>
                <w:p w14:paraId="5A45D453">
                  <w:pPr>
                    <w:adjustRightInd w:val="0"/>
                    <w:jc w:val="center"/>
                    <w:rPr>
                      <w:color w:val="auto"/>
                      <w:szCs w:val="21"/>
                    </w:rPr>
                  </w:pPr>
                  <w:r>
                    <w:rPr>
                      <w:color w:val="auto"/>
                      <w:szCs w:val="21"/>
                    </w:rPr>
                    <w:t>频发</w:t>
                  </w:r>
                </w:p>
              </w:tc>
              <w:tc>
                <w:tcPr>
                  <w:tcW w:w="964" w:type="pct"/>
                  <w:vAlign w:val="center"/>
                </w:tcPr>
                <w:p w14:paraId="43EF6691">
                  <w:pPr>
                    <w:adjustRightInd w:val="0"/>
                    <w:jc w:val="center"/>
                    <w:rPr>
                      <w:color w:val="auto"/>
                      <w:szCs w:val="21"/>
                    </w:rPr>
                  </w:pPr>
                  <w:r>
                    <w:rPr>
                      <w:rFonts w:hint="eastAsia"/>
                      <w:color w:val="auto"/>
                      <w:szCs w:val="21"/>
                    </w:rPr>
                    <w:t>90</w:t>
                  </w:r>
                </w:p>
              </w:tc>
              <w:tc>
                <w:tcPr>
                  <w:tcW w:w="623" w:type="pct"/>
                  <w:vMerge w:val="continue"/>
                  <w:vAlign w:val="center"/>
                </w:tcPr>
                <w:p w14:paraId="523EB087">
                  <w:pPr>
                    <w:adjustRightInd w:val="0"/>
                    <w:jc w:val="center"/>
                    <w:rPr>
                      <w:color w:val="auto"/>
                      <w:szCs w:val="21"/>
                    </w:rPr>
                  </w:pPr>
                </w:p>
              </w:tc>
              <w:tc>
                <w:tcPr>
                  <w:tcW w:w="368" w:type="pct"/>
                  <w:vAlign w:val="center"/>
                </w:tcPr>
                <w:p w14:paraId="4A06FB71">
                  <w:pPr>
                    <w:adjustRightInd w:val="0"/>
                    <w:jc w:val="center"/>
                    <w:rPr>
                      <w:color w:val="auto"/>
                      <w:szCs w:val="21"/>
                    </w:rPr>
                  </w:pPr>
                  <w:r>
                    <w:rPr>
                      <w:rFonts w:hint="eastAsia"/>
                      <w:color w:val="auto"/>
                      <w:szCs w:val="21"/>
                    </w:rPr>
                    <w:t>2</w:t>
                  </w:r>
                  <w:r>
                    <w:rPr>
                      <w:color w:val="auto"/>
                      <w:szCs w:val="21"/>
                    </w:rPr>
                    <w:t>400</w:t>
                  </w:r>
                </w:p>
              </w:tc>
            </w:tr>
            <w:tr w14:paraId="023A8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94" w:type="pct"/>
                  <w:vMerge w:val="continue"/>
                  <w:vAlign w:val="center"/>
                </w:tcPr>
                <w:p w14:paraId="6BE81E18">
                  <w:pPr>
                    <w:adjustRightInd w:val="0"/>
                    <w:jc w:val="center"/>
                    <w:rPr>
                      <w:color w:val="auto"/>
                      <w:szCs w:val="21"/>
                    </w:rPr>
                  </w:pPr>
                </w:p>
              </w:tc>
              <w:tc>
                <w:tcPr>
                  <w:tcW w:w="761" w:type="pct"/>
                  <w:vAlign w:val="center"/>
                </w:tcPr>
                <w:p w14:paraId="42D76A77">
                  <w:pPr>
                    <w:adjustRightInd w:val="0"/>
                    <w:jc w:val="center"/>
                    <w:rPr>
                      <w:color w:val="auto"/>
                      <w:kern w:val="24"/>
                      <w:szCs w:val="21"/>
                    </w:rPr>
                  </w:pPr>
                  <w:r>
                    <w:rPr>
                      <w:rFonts w:hint="eastAsia"/>
                      <w:color w:val="auto"/>
                      <w:kern w:val="24"/>
                      <w:szCs w:val="21"/>
                    </w:rPr>
                    <w:t>飞锯（未批先建）</w:t>
                  </w:r>
                </w:p>
              </w:tc>
              <w:tc>
                <w:tcPr>
                  <w:tcW w:w="435" w:type="pct"/>
                  <w:vAlign w:val="center"/>
                </w:tcPr>
                <w:p w14:paraId="5D1C38DC">
                  <w:pPr>
                    <w:adjustRightInd w:val="0"/>
                    <w:jc w:val="center"/>
                    <w:rPr>
                      <w:color w:val="auto"/>
                      <w:szCs w:val="21"/>
                    </w:rPr>
                  </w:pPr>
                  <w:r>
                    <w:rPr>
                      <w:rFonts w:hint="eastAsia"/>
                      <w:color w:val="auto"/>
                      <w:szCs w:val="21"/>
                    </w:rPr>
                    <w:t>2台</w:t>
                  </w:r>
                </w:p>
              </w:tc>
              <w:tc>
                <w:tcPr>
                  <w:tcW w:w="681" w:type="pct"/>
                  <w:vAlign w:val="center"/>
                </w:tcPr>
                <w:p w14:paraId="1EBE43C3">
                  <w:pPr>
                    <w:adjustRightInd w:val="0"/>
                    <w:jc w:val="center"/>
                    <w:rPr>
                      <w:color w:val="auto"/>
                      <w:szCs w:val="21"/>
                    </w:rPr>
                  </w:pPr>
                  <w:r>
                    <w:rPr>
                      <w:rFonts w:hint="eastAsia"/>
                      <w:color w:val="auto"/>
                      <w:szCs w:val="21"/>
                    </w:rPr>
                    <w:t>室内</w:t>
                  </w:r>
                </w:p>
              </w:tc>
              <w:tc>
                <w:tcPr>
                  <w:tcW w:w="574" w:type="pct"/>
                  <w:vAlign w:val="center"/>
                </w:tcPr>
                <w:p w14:paraId="043A62A4">
                  <w:pPr>
                    <w:adjustRightInd w:val="0"/>
                    <w:jc w:val="center"/>
                    <w:rPr>
                      <w:color w:val="auto"/>
                      <w:szCs w:val="21"/>
                    </w:rPr>
                  </w:pPr>
                  <w:r>
                    <w:rPr>
                      <w:color w:val="auto"/>
                      <w:szCs w:val="21"/>
                    </w:rPr>
                    <w:t>频发</w:t>
                  </w:r>
                </w:p>
              </w:tc>
              <w:tc>
                <w:tcPr>
                  <w:tcW w:w="964" w:type="pct"/>
                  <w:vAlign w:val="center"/>
                </w:tcPr>
                <w:p w14:paraId="4EE6D60A">
                  <w:pPr>
                    <w:adjustRightInd w:val="0"/>
                    <w:jc w:val="center"/>
                    <w:rPr>
                      <w:color w:val="auto"/>
                      <w:szCs w:val="21"/>
                    </w:rPr>
                  </w:pPr>
                  <w:r>
                    <w:rPr>
                      <w:rFonts w:hint="eastAsia"/>
                      <w:color w:val="auto"/>
                      <w:szCs w:val="21"/>
                    </w:rPr>
                    <w:t>90</w:t>
                  </w:r>
                </w:p>
              </w:tc>
              <w:tc>
                <w:tcPr>
                  <w:tcW w:w="623" w:type="pct"/>
                  <w:vMerge w:val="continue"/>
                  <w:vAlign w:val="center"/>
                </w:tcPr>
                <w:p w14:paraId="08AE1AC6">
                  <w:pPr>
                    <w:adjustRightInd w:val="0"/>
                    <w:jc w:val="center"/>
                    <w:rPr>
                      <w:color w:val="auto"/>
                      <w:szCs w:val="21"/>
                    </w:rPr>
                  </w:pPr>
                </w:p>
              </w:tc>
              <w:tc>
                <w:tcPr>
                  <w:tcW w:w="368" w:type="pct"/>
                  <w:vAlign w:val="center"/>
                </w:tcPr>
                <w:p w14:paraId="1A45C8F1">
                  <w:pPr>
                    <w:adjustRightInd w:val="0"/>
                    <w:jc w:val="center"/>
                    <w:rPr>
                      <w:color w:val="auto"/>
                      <w:szCs w:val="21"/>
                    </w:rPr>
                  </w:pPr>
                  <w:r>
                    <w:rPr>
                      <w:rFonts w:hint="eastAsia"/>
                      <w:color w:val="auto"/>
                      <w:szCs w:val="21"/>
                    </w:rPr>
                    <w:t>2400</w:t>
                  </w:r>
                </w:p>
              </w:tc>
            </w:tr>
            <w:tr w14:paraId="4F909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94" w:type="pct"/>
                  <w:vMerge w:val="continue"/>
                  <w:vAlign w:val="center"/>
                </w:tcPr>
                <w:p w14:paraId="2D5589ED">
                  <w:pPr>
                    <w:adjustRightInd w:val="0"/>
                    <w:jc w:val="center"/>
                    <w:rPr>
                      <w:color w:val="auto"/>
                      <w:szCs w:val="21"/>
                    </w:rPr>
                  </w:pPr>
                </w:p>
              </w:tc>
              <w:tc>
                <w:tcPr>
                  <w:tcW w:w="761" w:type="pct"/>
                  <w:vAlign w:val="center"/>
                </w:tcPr>
                <w:p w14:paraId="45990ACF">
                  <w:pPr>
                    <w:adjustRightInd w:val="0"/>
                    <w:jc w:val="center"/>
                    <w:rPr>
                      <w:color w:val="auto"/>
                      <w:kern w:val="0"/>
                      <w:szCs w:val="21"/>
                    </w:rPr>
                  </w:pPr>
                  <w:r>
                    <w:rPr>
                      <w:rFonts w:hint="eastAsia"/>
                      <w:color w:val="auto"/>
                      <w:kern w:val="24"/>
                      <w:szCs w:val="21"/>
                    </w:rPr>
                    <w:t>分剪机（已有）</w:t>
                  </w:r>
                </w:p>
              </w:tc>
              <w:tc>
                <w:tcPr>
                  <w:tcW w:w="435" w:type="pct"/>
                  <w:vAlign w:val="center"/>
                </w:tcPr>
                <w:p w14:paraId="1B408C81">
                  <w:pPr>
                    <w:adjustRightInd w:val="0"/>
                    <w:jc w:val="center"/>
                    <w:rPr>
                      <w:color w:val="auto"/>
                      <w:szCs w:val="21"/>
                    </w:rPr>
                  </w:pPr>
                  <w:r>
                    <w:rPr>
                      <w:rFonts w:hint="eastAsia"/>
                      <w:color w:val="auto"/>
                      <w:szCs w:val="21"/>
                    </w:rPr>
                    <w:t>2台</w:t>
                  </w:r>
                </w:p>
              </w:tc>
              <w:tc>
                <w:tcPr>
                  <w:tcW w:w="681" w:type="pct"/>
                  <w:vAlign w:val="center"/>
                </w:tcPr>
                <w:p w14:paraId="165AFA85">
                  <w:pPr>
                    <w:adjustRightInd w:val="0"/>
                    <w:jc w:val="center"/>
                    <w:rPr>
                      <w:color w:val="auto"/>
                      <w:szCs w:val="21"/>
                    </w:rPr>
                  </w:pPr>
                  <w:r>
                    <w:rPr>
                      <w:rFonts w:hint="eastAsia"/>
                      <w:color w:val="auto"/>
                      <w:szCs w:val="21"/>
                    </w:rPr>
                    <w:t>室内</w:t>
                  </w:r>
                </w:p>
              </w:tc>
              <w:tc>
                <w:tcPr>
                  <w:tcW w:w="574" w:type="pct"/>
                  <w:vAlign w:val="center"/>
                </w:tcPr>
                <w:p w14:paraId="3B4988FF">
                  <w:pPr>
                    <w:adjustRightInd w:val="0"/>
                    <w:jc w:val="center"/>
                    <w:rPr>
                      <w:color w:val="auto"/>
                      <w:szCs w:val="21"/>
                    </w:rPr>
                  </w:pPr>
                  <w:r>
                    <w:rPr>
                      <w:color w:val="auto"/>
                      <w:szCs w:val="21"/>
                    </w:rPr>
                    <w:t>频发</w:t>
                  </w:r>
                </w:p>
              </w:tc>
              <w:tc>
                <w:tcPr>
                  <w:tcW w:w="964" w:type="pct"/>
                  <w:vAlign w:val="center"/>
                </w:tcPr>
                <w:p w14:paraId="0F197FD2">
                  <w:pPr>
                    <w:adjustRightInd w:val="0"/>
                    <w:jc w:val="center"/>
                    <w:rPr>
                      <w:color w:val="auto"/>
                      <w:szCs w:val="21"/>
                    </w:rPr>
                  </w:pPr>
                  <w:r>
                    <w:rPr>
                      <w:rFonts w:hint="eastAsia"/>
                      <w:color w:val="auto"/>
                      <w:szCs w:val="21"/>
                    </w:rPr>
                    <w:t>90</w:t>
                  </w:r>
                </w:p>
              </w:tc>
              <w:tc>
                <w:tcPr>
                  <w:tcW w:w="623" w:type="pct"/>
                  <w:vMerge w:val="continue"/>
                  <w:vAlign w:val="center"/>
                </w:tcPr>
                <w:p w14:paraId="60496551">
                  <w:pPr>
                    <w:adjustRightInd w:val="0"/>
                    <w:jc w:val="center"/>
                    <w:rPr>
                      <w:color w:val="auto"/>
                      <w:szCs w:val="21"/>
                    </w:rPr>
                  </w:pPr>
                </w:p>
              </w:tc>
              <w:tc>
                <w:tcPr>
                  <w:tcW w:w="368" w:type="pct"/>
                  <w:vAlign w:val="center"/>
                </w:tcPr>
                <w:p w14:paraId="7AC0BFF2">
                  <w:pPr>
                    <w:adjustRightInd w:val="0"/>
                    <w:jc w:val="center"/>
                    <w:rPr>
                      <w:color w:val="auto"/>
                      <w:szCs w:val="21"/>
                    </w:rPr>
                  </w:pPr>
                  <w:r>
                    <w:rPr>
                      <w:rFonts w:hint="eastAsia"/>
                      <w:color w:val="auto"/>
                      <w:szCs w:val="21"/>
                    </w:rPr>
                    <w:t>2</w:t>
                  </w:r>
                  <w:r>
                    <w:rPr>
                      <w:color w:val="auto"/>
                      <w:szCs w:val="21"/>
                    </w:rPr>
                    <w:t>400</w:t>
                  </w:r>
                </w:p>
              </w:tc>
            </w:tr>
            <w:tr w14:paraId="5C7C1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94" w:type="pct"/>
                  <w:vMerge w:val="continue"/>
                  <w:vAlign w:val="center"/>
                </w:tcPr>
                <w:p w14:paraId="4363702A">
                  <w:pPr>
                    <w:adjustRightInd w:val="0"/>
                    <w:jc w:val="center"/>
                    <w:rPr>
                      <w:color w:val="auto"/>
                      <w:szCs w:val="21"/>
                    </w:rPr>
                  </w:pPr>
                </w:p>
              </w:tc>
              <w:tc>
                <w:tcPr>
                  <w:tcW w:w="761" w:type="pct"/>
                  <w:vAlign w:val="center"/>
                </w:tcPr>
                <w:p w14:paraId="58D2E5E1">
                  <w:pPr>
                    <w:adjustRightInd w:val="0"/>
                    <w:jc w:val="center"/>
                    <w:rPr>
                      <w:color w:val="auto"/>
                      <w:kern w:val="24"/>
                      <w:szCs w:val="21"/>
                    </w:rPr>
                  </w:pPr>
                  <w:r>
                    <w:rPr>
                      <w:rFonts w:hint="eastAsia"/>
                      <w:color w:val="auto"/>
                      <w:kern w:val="24"/>
                      <w:szCs w:val="21"/>
                    </w:rPr>
                    <w:t>码垛机（已有）</w:t>
                  </w:r>
                </w:p>
              </w:tc>
              <w:tc>
                <w:tcPr>
                  <w:tcW w:w="435" w:type="pct"/>
                  <w:vAlign w:val="center"/>
                </w:tcPr>
                <w:p w14:paraId="2DC9D4C9">
                  <w:pPr>
                    <w:adjustRightInd w:val="0"/>
                    <w:jc w:val="center"/>
                    <w:rPr>
                      <w:color w:val="auto"/>
                      <w:szCs w:val="21"/>
                    </w:rPr>
                  </w:pPr>
                  <w:r>
                    <w:rPr>
                      <w:rFonts w:hint="eastAsia"/>
                      <w:color w:val="auto"/>
                      <w:szCs w:val="21"/>
                    </w:rPr>
                    <w:t>4台</w:t>
                  </w:r>
                </w:p>
              </w:tc>
              <w:tc>
                <w:tcPr>
                  <w:tcW w:w="681" w:type="pct"/>
                  <w:vAlign w:val="center"/>
                </w:tcPr>
                <w:p w14:paraId="32F4FA03">
                  <w:pPr>
                    <w:adjustRightInd w:val="0"/>
                    <w:jc w:val="center"/>
                    <w:rPr>
                      <w:color w:val="auto"/>
                      <w:szCs w:val="21"/>
                    </w:rPr>
                  </w:pPr>
                  <w:r>
                    <w:rPr>
                      <w:rFonts w:hint="eastAsia"/>
                      <w:color w:val="auto"/>
                      <w:szCs w:val="21"/>
                    </w:rPr>
                    <w:t>室内</w:t>
                  </w:r>
                </w:p>
              </w:tc>
              <w:tc>
                <w:tcPr>
                  <w:tcW w:w="574" w:type="pct"/>
                  <w:vAlign w:val="center"/>
                </w:tcPr>
                <w:p w14:paraId="7B281A81">
                  <w:pPr>
                    <w:adjustRightInd w:val="0"/>
                    <w:jc w:val="center"/>
                    <w:rPr>
                      <w:color w:val="auto"/>
                      <w:szCs w:val="21"/>
                    </w:rPr>
                  </w:pPr>
                  <w:r>
                    <w:rPr>
                      <w:rFonts w:hint="eastAsia"/>
                      <w:color w:val="auto"/>
                      <w:szCs w:val="21"/>
                    </w:rPr>
                    <w:t>频发</w:t>
                  </w:r>
                </w:p>
              </w:tc>
              <w:tc>
                <w:tcPr>
                  <w:tcW w:w="964" w:type="pct"/>
                  <w:vAlign w:val="center"/>
                </w:tcPr>
                <w:p w14:paraId="4C8DC9C3">
                  <w:pPr>
                    <w:adjustRightInd w:val="0"/>
                    <w:jc w:val="center"/>
                    <w:rPr>
                      <w:color w:val="auto"/>
                      <w:szCs w:val="21"/>
                    </w:rPr>
                  </w:pPr>
                  <w:r>
                    <w:rPr>
                      <w:rFonts w:hint="eastAsia"/>
                      <w:color w:val="auto"/>
                      <w:szCs w:val="21"/>
                    </w:rPr>
                    <w:t>75</w:t>
                  </w:r>
                </w:p>
              </w:tc>
              <w:tc>
                <w:tcPr>
                  <w:tcW w:w="623" w:type="pct"/>
                  <w:vMerge w:val="continue"/>
                  <w:vAlign w:val="center"/>
                </w:tcPr>
                <w:p w14:paraId="76822444">
                  <w:pPr>
                    <w:adjustRightInd w:val="0"/>
                    <w:jc w:val="center"/>
                    <w:rPr>
                      <w:color w:val="auto"/>
                      <w:szCs w:val="21"/>
                    </w:rPr>
                  </w:pPr>
                </w:p>
              </w:tc>
              <w:tc>
                <w:tcPr>
                  <w:tcW w:w="368" w:type="pct"/>
                  <w:vAlign w:val="center"/>
                </w:tcPr>
                <w:p w14:paraId="79B62A27">
                  <w:pPr>
                    <w:adjustRightInd w:val="0"/>
                    <w:jc w:val="center"/>
                    <w:rPr>
                      <w:color w:val="auto"/>
                      <w:szCs w:val="21"/>
                    </w:rPr>
                  </w:pPr>
                  <w:r>
                    <w:rPr>
                      <w:rFonts w:hint="eastAsia"/>
                      <w:color w:val="auto"/>
                      <w:szCs w:val="21"/>
                    </w:rPr>
                    <w:t>2400</w:t>
                  </w:r>
                </w:p>
              </w:tc>
            </w:tr>
            <w:tr w14:paraId="43072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94" w:type="pct"/>
                  <w:vMerge w:val="continue"/>
                  <w:vAlign w:val="center"/>
                </w:tcPr>
                <w:p w14:paraId="1FBC03E2">
                  <w:pPr>
                    <w:adjustRightInd w:val="0"/>
                    <w:jc w:val="center"/>
                    <w:rPr>
                      <w:color w:val="auto"/>
                      <w:szCs w:val="21"/>
                    </w:rPr>
                  </w:pPr>
                </w:p>
              </w:tc>
              <w:tc>
                <w:tcPr>
                  <w:tcW w:w="761" w:type="pct"/>
                  <w:vAlign w:val="center"/>
                </w:tcPr>
                <w:p w14:paraId="0AEDAF66">
                  <w:pPr>
                    <w:adjustRightInd w:val="0"/>
                    <w:jc w:val="center"/>
                    <w:rPr>
                      <w:color w:val="auto"/>
                      <w:kern w:val="24"/>
                      <w:szCs w:val="21"/>
                    </w:rPr>
                  </w:pPr>
                  <w:r>
                    <w:rPr>
                      <w:rFonts w:hint="eastAsia"/>
                      <w:color w:val="auto"/>
                      <w:kern w:val="24"/>
                      <w:szCs w:val="21"/>
                    </w:rPr>
                    <w:t>码垛机（未批先建）</w:t>
                  </w:r>
                </w:p>
              </w:tc>
              <w:tc>
                <w:tcPr>
                  <w:tcW w:w="435" w:type="pct"/>
                  <w:vAlign w:val="center"/>
                </w:tcPr>
                <w:p w14:paraId="5B6E9BAB">
                  <w:pPr>
                    <w:adjustRightInd w:val="0"/>
                    <w:jc w:val="center"/>
                    <w:rPr>
                      <w:color w:val="auto"/>
                      <w:szCs w:val="21"/>
                    </w:rPr>
                  </w:pPr>
                  <w:r>
                    <w:rPr>
                      <w:rFonts w:hint="eastAsia"/>
                      <w:color w:val="auto"/>
                      <w:szCs w:val="21"/>
                    </w:rPr>
                    <w:t>2台</w:t>
                  </w:r>
                </w:p>
              </w:tc>
              <w:tc>
                <w:tcPr>
                  <w:tcW w:w="681" w:type="pct"/>
                  <w:vAlign w:val="center"/>
                </w:tcPr>
                <w:p w14:paraId="3D56D121">
                  <w:pPr>
                    <w:adjustRightInd w:val="0"/>
                    <w:jc w:val="center"/>
                    <w:rPr>
                      <w:color w:val="auto"/>
                      <w:szCs w:val="21"/>
                    </w:rPr>
                  </w:pPr>
                  <w:r>
                    <w:rPr>
                      <w:rFonts w:hint="eastAsia"/>
                      <w:color w:val="auto"/>
                      <w:szCs w:val="21"/>
                    </w:rPr>
                    <w:t>室内</w:t>
                  </w:r>
                </w:p>
              </w:tc>
              <w:tc>
                <w:tcPr>
                  <w:tcW w:w="574" w:type="pct"/>
                  <w:vAlign w:val="center"/>
                </w:tcPr>
                <w:p w14:paraId="46A1A8F1">
                  <w:pPr>
                    <w:adjustRightInd w:val="0"/>
                    <w:jc w:val="center"/>
                    <w:rPr>
                      <w:color w:val="auto"/>
                      <w:szCs w:val="21"/>
                    </w:rPr>
                  </w:pPr>
                  <w:r>
                    <w:rPr>
                      <w:rFonts w:hint="eastAsia"/>
                      <w:color w:val="auto"/>
                      <w:szCs w:val="21"/>
                    </w:rPr>
                    <w:t>频发</w:t>
                  </w:r>
                </w:p>
              </w:tc>
              <w:tc>
                <w:tcPr>
                  <w:tcW w:w="964" w:type="pct"/>
                  <w:vAlign w:val="center"/>
                </w:tcPr>
                <w:p w14:paraId="42DB0A1B">
                  <w:pPr>
                    <w:adjustRightInd w:val="0"/>
                    <w:jc w:val="center"/>
                    <w:rPr>
                      <w:color w:val="auto"/>
                      <w:szCs w:val="21"/>
                    </w:rPr>
                  </w:pPr>
                  <w:r>
                    <w:rPr>
                      <w:rFonts w:hint="eastAsia"/>
                      <w:color w:val="auto"/>
                      <w:szCs w:val="21"/>
                    </w:rPr>
                    <w:t>75</w:t>
                  </w:r>
                </w:p>
              </w:tc>
              <w:tc>
                <w:tcPr>
                  <w:tcW w:w="623" w:type="pct"/>
                  <w:vMerge w:val="continue"/>
                  <w:vAlign w:val="center"/>
                </w:tcPr>
                <w:p w14:paraId="681F7E81">
                  <w:pPr>
                    <w:adjustRightInd w:val="0"/>
                    <w:jc w:val="center"/>
                    <w:rPr>
                      <w:color w:val="auto"/>
                      <w:szCs w:val="21"/>
                    </w:rPr>
                  </w:pPr>
                </w:p>
              </w:tc>
              <w:tc>
                <w:tcPr>
                  <w:tcW w:w="368" w:type="pct"/>
                  <w:vAlign w:val="center"/>
                </w:tcPr>
                <w:p w14:paraId="1B450CC2">
                  <w:pPr>
                    <w:adjustRightInd w:val="0"/>
                    <w:jc w:val="center"/>
                    <w:rPr>
                      <w:color w:val="auto"/>
                      <w:szCs w:val="21"/>
                    </w:rPr>
                  </w:pPr>
                  <w:r>
                    <w:rPr>
                      <w:rFonts w:hint="eastAsia"/>
                      <w:color w:val="auto"/>
                      <w:szCs w:val="21"/>
                    </w:rPr>
                    <w:t>2400</w:t>
                  </w:r>
                </w:p>
              </w:tc>
            </w:tr>
          </w:tbl>
          <w:p w14:paraId="4B82B293">
            <w:pPr>
              <w:adjustRightInd w:val="0"/>
              <w:snapToGrid w:val="0"/>
              <w:spacing w:line="360" w:lineRule="auto"/>
              <w:ind w:firstLine="480" w:firstLineChars="200"/>
              <w:jc w:val="center"/>
              <w:rPr>
                <w:color w:val="auto"/>
                <w:kern w:val="24"/>
                <w:sz w:val="24"/>
              </w:rPr>
            </w:pPr>
          </w:p>
          <w:p w14:paraId="33F14A55">
            <w:pPr>
              <w:adjustRightInd w:val="0"/>
              <w:snapToGrid w:val="0"/>
              <w:spacing w:line="360" w:lineRule="auto"/>
              <w:ind w:firstLine="480" w:firstLineChars="200"/>
              <w:rPr>
                <w:b/>
                <w:color w:val="auto"/>
                <w:kern w:val="24"/>
                <w:sz w:val="24"/>
              </w:rPr>
            </w:pPr>
            <w:r>
              <w:rPr>
                <w:color w:val="auto"/>
                <w:kern w:val="24"/>
                <w:sz w:val="24"/>
              </w:rPr>
              <w:t>为了解本厂现有噪声对环</w:t>
            </w:r>
            <w:r>
              <w:rPr>
                <w:rFonts w:hint="eastAsia"/>
                <w:color w:val="auto"/>
                <w:kern w:val="24"/>
                <w:sz w:val="24"/>
              </w:rPr>
              <w:t>境</w:t>
            </w:r>
            <w:r>
              <w:rPr>
                <w:color w:val="auto"/>
                <w:kern w:val="24"/>
                <w:sz w:val="24"/>
              </w:rPr>
              <w:t>的影响，建设单位临时启动现有设备，</w:t>
            </w:r>
            <w:r>
              <w:rPr>
                <w:rFonts w:hint="eastAsia"/>
                <w:color w:val="auto"/>
                <w:kern w:val="24"/>
                <w:sz w:val="24"/>
              </w:rPr>
              <w:t>并</w:t>
            </w:r>
            <w:r>
              <w:rPr>
                <w:color w:val="auto"/>
                <w:kern w:val="24"/>
                <w:sz w:val="24"/>
              </w:rPr>
              <w:t>于2026年7月17日委托玉溪华恒环境科技有限公司在项目临时启动运行的情况下，</w:t>
            </w:r>
            <w:r>
              <w:rPr>
                <w:color w:val="auto"/>
                <w:sz w:val="24"/>
              </w:rPr>
              <w:t>对项目地四周厂界噪声现状进行了监测</w:t>
            </w:r>
            <w:r>
              <w:rPr>
                <w:rFonts w:hint="eastAsia"/>
                <w:color w:val="auto"/>
                <w:sz w:val="24"/>
              </w:rPr>
              <w:t>，</w:t>
            </w:r>
            <w:r>
              <w:rPr>
                <w:rFonts w:hint="eastAsia"/>
                <w:color w:val="auto"/>
                <w:sz w:val="24"/>
                <w:lang w:eastAsia="zh-CN"/>
              </w:rPr>
              <w:t>经监测</w:t>
            </w:r>
            <w:r>
              <w:rPr>
                <w:color w:val="auto"/>
                <w:sz w:val="24"/>
              </w:rPr>
              <w:t>项目地现有噪声厂界值为55~58dB（A），</w:t>
            </w:r>
            <w:r>
              <w:rPr>
                <w:rFonts w:hint="eastAsia"/>
                <w:color w:val="auto"/>
                <w:sz w:val="24"/>
              </w:rPr>
              <w:t>详细</w:t>
            </w:r>
            <w:r>
              <w:rPr>
                <w:color w:val="auto"/>
                <w:sz w:val="24"/>
              </w:rPr>
              <w:t>监测结果见</w:t>
            </w:r>
            <w:r>
              <w:rPr>
                <w:rFonts w:hint="eastAsia"/>
                <w:color w:val="auto"/>
                <w:sz w:val="24"/>
                <w:lang w:eastAsia="zh-CN"/>
              </w:rPr>
              <w:t>本报告第三章节</w:t>
            </w:r>
            <w:r>
              <w:rPr>
                <w:color w:val="auto"/>
                <w:sz w:val="24"/>
              </w:rPr>
              <w:t>表3-</w:t>
            </w:r>
            <w:r>
              <w:rPr>
                <w:rFonts w:hint="eastAsia"/>
                <w:color w:val="auto"/>
                <w:sz w:val="24"/>
                <w:lang w:val="en-US" w:eastAsia="zh-CN"/>
              </w:rPr>
              <w:t>6</w:t>
            </w:r>
            <w:r>
              <w:rPr>
                <w:color w:val="auto"/>
                <w:sz w:val="24"/>
              </w:rPr>
              <w:t>。</w:t>
            </w:r>
          </w:p>
          <w:p w14:paraId="7F3B7FF1">
            <w:pPr>
              <w:adjustRightInd w:val="0"/>
              <w:snapToGrid w:val="0"/>
              <w:spacing w:line="360" w:lineRule="auto"/>
              <w:ind w:firstLine="482" w:firstLineChars="200"/>
              <w:jc w:val="center"/>
              <w:rPr>
                <w:b/>
                <w:color w:val="auto"/>
                <w:kern w:val="24"/>
                <w:sz w:val="24"/>
              </w:rPr>
            </w:pPr>
            <w:r>
              <w:rPr>
                <w:rFonts w:hint="eastAsia"/>
                <w:b/>
                <w:color w:val="auto"/>
                <w:kern w:val="24"/>
                <w:sz w:val="24"/>
              </w:rPr>
              <w:t>表4-12   项目新增主要设备及噪声源强一览表</w:t>
            </w:r>
          </w:p>
          <w:tbl>
            <w:tblPr>
              <w:tblStyle w:val="32"/>
              <w:tblW w:w="48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25"/>
              <w:gridCol w:w="1313"/>
              <w:gridCol w:w="751"/>
              <w:gridCol w:w="1175"/>
              <w:gridCol w:w="991"/>
              <w:gridCol w:w="1664"/>
              <w:gridCol w:w="1075"/>
              <w:gridCol w:w="636"/>
            </w:tblGrid>
            <w:tr w14:paraId="0602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94" w:type="pct"/>
                  <w:vMerge w:val="restart"/>
                  <w:vAlign w:val="center"/>
                </w:tcPr>
                <w:p w14:paraId="28A84793">
                  <w:pPr>
                    <w:adjustRightInd w:val="0"/>
                    <w:jc w:val="center"/>
                    <w:rPr>
                      <w:color w:val="auto"/>
                      <w:szCs w:val="21"/>
                    </w:rPr>
                  </w:pPr>
                  <w:bookmarkStart w:id="80" w:name="OLE_LINK52"/>
                  <w:r>
                    <w:rPr>
                      <w:rFonts w:hint="eastAsia"/>
                      <w:color w:val="auto"/>
                      <w:szCs w:val="21"/>
                    </w:rPr>
                    <w:t>工序</w:t>
                  </w:r>
                </w:p>
              </w:tc>
              <w:tc>
                <w:tcPr>
                  <w:tcW w:w="761" w:type="pct"/>
                  <w:vMerge w:val="restart"/>
                  <w:vAlign w:val="center"/>
                </w:tcPr>
                <w:p w14:paraId="5ACE922A">
                  <w:pPr>
                    <w:adjustRightInd w:val="0"/>
                    <w:jc w:val="center"/>
                    <w:rPr>
                      <w:color w:val="auto"/>
                      <w:szCs w:val="21"/>
                    </w:rPr>
                  </w:pPr>
                  <w:r>
                    <w:rPr>
                      <w:color w:val="auto"/>
                      <w:szCs w:val="21"/>
                    </w:rPr>
                    <w:t>噪声源</w:t>
                  </w:r>
                </w:p>
              </w:tc>
              <w:tc>
                <w:tcPr>
                  <w:tcW w:w="435" w:type="pct"/>
                  <w:vMerge w:val="restart"/>
                  <w:vAlign w:val="center"/>
                </w:tcPr>
                <w:p w14:paraId="41CA4533">
                  <w:pPr>
                    <w:adjustRightInd w:val="0"/>
                    <w:jc w:val="center"/>
                    <w:rPr>
                      <w:color w:val="auto"/>
                      <w:szCs w:val="21"/>
                    </w:rPr>
                  </w:pPr>
                  <w:r>
                    <w:rPr>
                      <w:rFonts w:hint="eastAsia"/>
                      <w:color w:val="auto"/>
                      <w:szCs w:val="21"/>
                    </w:rPr>
                    <w:t>数量</w:t>
                  </w:r>
                </w:p>
              </w:tc>
              <w:tc>
                <w:tcPr>
                  <w:tcW w:w="681" w:type="pct"/>
                  <w:vMerge w:val="restart"/>
                  <w:vAlign w:val="center"/>
                </w:tcPr>
                <w:p w14:paraId="07CD9D9B">
                  <w:pPr>
                    <w:adjustRightInd w:val="0"/>
                    <w:jc w:val="center"/>
                    <w:rPr>
                      <w:color w:val="auto"/>
                      <w:szCs w:val="21"/>
                    </w:rPr>
                  </w:pPr>
                  <w:r>
                    <w:rPr>
                      <w:rFonts w:hint="eastAsia"/>
                      <w:color w:val="auto"/>
                      <w:szCs w:val="21"/>
                    </w:rPr>
                    <w:t>声源位置</w:t>
                  </w:r>
                </w:p>
              </w:tc>
              <w:tc>
                <w:tcPr>
                  <w:tcW w:w="574" w:type="pct"/>
                  <w:vMerge w:val="restart"/>
                  <w:vAlign w:val="center"/>
                </w:tcPr>
                <w:p w14:paraId="7624023F">
                  <w:pPr>
                    <w:adjustRightInd w:val="0"/>
                    <w:jc w:val="center"/>
                    <w:rPr>
                      <w:color w:val="auto"/>
                      <w:szCs w:val="21"/>
                    </w:rPr>
                  </w:pPr>
                  <w:r>
                    <w:rPr>
                      <w:rFonts w:hint="eastAsia"/>
                      <w:color w:val="auto"/>
                      <w:szCs w:val="21"/>
                    </w:rPr>
                    <w:t>排放特征</w:t>
                  </w:r>
                </w:p>
              </w:tc>
              <w:tc>
                <w:tcPr>
                  <w:tcW w:w="964" w:type="pct"/>
                  <w:vAlign w:val="center"/>
                </w:tcPr>
                <w:p w14:paraId="5E771AE7">
                  <w:pPr>
                    <w:adjustRightInd w:val="0"/>
                    <w:jc w:val="center"/>
                    <w:rPr>
                      <w:color w:val="auto"/>
                      <w:szCs w:val="21"/>
                    </w:rPr>
                  </w:pPr>
                  <w:r>
                    <w:rPr>
                      <w:rFonts w:hint="eastAsia"/>
                      <w:color w:val="auto"/>
                      <w:szCs w:val="21"/>
                    </w:rPr>
                    <w:t>声源源强</w:t>
                  </w:r>
                </w:p>
              </w:tc>
              <w:tc>
                <w:tcPr>
                  <w:tcW w:w="623" w:type="pct"/>
                  <w:vMerge w:val="restart"/>
                  <w:vAlign w:val="center"/>
                </w:tcPr>
                <w:p w14:paraId="1A4FFF0A">
                  <w:pPr>
                    <w:adjustRightInd w:val="0"/>
                    <w:jc w:val="center"/>
                    <w:rPr>
                      <w:color w:val="auto"/>
                      <w:szCs w:val="21"/>
                    </w:rPr>
                  </w:pPr>
                  <w:r>
                    <w:rPr>
                      <w:rFonts w:hint="eastAsia"/>
                      <w:color w:val="auto"/>
                      <w:szCs w:val="21"/>
                    </w:rPr>
                    <w:t>源强数据来源</w:t>
                  </w:r>
                </w:p>
              </w:tc>
              <w:tc>
                <w:tcPr>
                  <w:tcW w:w="368" w:type="pct"/>
                  <w:vMerge w:val="restart"/>
                  <w:vAlign w:val="center"/>
                </w:tcPr>
                <w:p w14:paraId="09F7E46C">
                  <w:pPr>
                    <w:adjustRightInd w:val="0"/>
                    <w:jc w:val="center"/>
                    <w:rPr>
                      <w:color w:val="auto"/>
                      <w:szCs w:val="21"/>
                    </w:rPr>
                  </w:pPr>
                  <w:r>
                    <w:rPr>
                      <w:rFonts w:hint="eastAsia"/>
                      <w:color w:val="auto"/>
                      <w:szCs w:val="21"/>
                    </w:rPr>
                    <w:t>运行时间</w:t>
                  </w:r>
                  <w:r>
                    <w:rPr>
                      <w:color w:val="auto"/>
                      <w:szCs w:val="21"/>
                    </w:rPr>
                    <w:t>/h</w:t>
                  </w:r>
                </w:p>
              </w:tc>
            </w:tr>
            <w:tr w14:paraId="17761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94" w:type="pct"/>
                  <w:vMerge w:val="continue"/>
                  <w:vAlign w:val="center"/>
                </w:tcPr>
                <w:p w14:paraId="33EB55FA">
                  <w:pPr>
                    <w:adjustRightInd w:val="0"/>
                    <w:jc w:val="center"/>
                    <w:rPr>
                      <w:color w:val="auto"/>
                      <w:szCs w:val="21"/>
                    </w:rPr>
                  </w:pPr>
                </w:p>
              </w:tc>
              <w:tc>
                <w:tcPr>
                  <w:tcW w:w="761" w:type="pct"/>
                  <w:vMerge w:val="continue"/>
                  <w:vAlign w:val="center"/>
                </w:tcPr>
                <w:p w14:paraId="664E20E0">
                  <w:pPr>
                    <w:adjustRightInd w:val="0"/>
                    <w:jc w:val="center"/>
                    <w:rPr>
                      <w:color w:val="auto"/>
                      <w:szCs w:val="21"/>
                    </w:rPr>
                  </w:pPr>
                </w:p>
              </w:tc>
              <w:tc>
                <w:tcPr>
                  <w:tcW w:w="435" w:type="pct"/>
                  <w:vMerge w:val="continue"/>
                  <w:vAlign w:val="center"/>
                </w:tcPr>
                <w:p w14:paraId="5E500F09">
                  <w:pPr>
                    <w:adjustRightInd w:val="0"/>
                    <w:jc w:val="center"/>
                    <w:rPr>
                      <w:color w:val="auto"/>
                      <w:szCs w:val="21"/>
                    </w:rPr>
                  </w:pPr>
                </w:p>
              </w:tc>
              <w:tc>
                <w:tcPr>
                  <w:tcW w:w="681" w:type="pct"/>
                  <w:vMerge w:val="continue"/>
                  <w:vAlign w:val="center"/>
                </w:tcPr>
                <w:p w14:paraId="405DA80F">
                  <w:pPr>
                    <w:adjustRightInd w:val="0"/>
                    <w:jc w:val="center"/>
                    <w:rPr>
                      <w:color w:val="auto"/>
                      <w:szCs w:val="21"/>
                    </w:rPr>
                  </w:pPr>
                </w:p>
              </w:tc>
              <w:tc>
                <w:tcPr>
                  <w:tcW w:w="574" w:type="pct"/>
                  <w:vMerge w:val="continue"/>
                  <w:vAlign w:val="center"/>
                </w:tcPr>
                <w:p w14:paraId="64050E7B">
                  <w:pPr>
                    <w:adjustRightInd w:val="0"/>
                    <w:jc w:val="center"/>
                    <w:rPr>
                      <w:color w:val="auto"/>
                      <w:szCs w:val="21"/>
                    </w:rPr>
                  </w:pPr>
                </w:p>
              </w:tc>
              <w:tc>
                <w:tcPr>
                  <w:tcW w:w="964" w:type="pct"/>
                  <w:vAlign w:val="center"/>
                </w:tcPr>
                <w:p w14:paraId="31096604">
                  <w:pPr>
                    <w:adjustRightInd w:val="0"/>
                    <w:jc w:val="center"/>
                    <w:rPr>
                      <w:color w:val="auto"/>
                      <w:szCs w:val="21"/>
                    </w:rPr>
                  </w:pPr>
                  <w:r>
                    <w:rPr>
                      <w:rFonts w:hint="eastAsia"/>
                      <w:color w:val="auto"/>
                      <w:szCs w:val="21"/>
                    </w:rPr>
                    <w:t>(声压级/距声源距离)/(dB(A)/1m)</w:t>
                  </w:r>
                </w:p>
              </w:tc>
              <w:tc>
                <w:tcPr>
                  <w:tcW w:w="623" w:type="pct"/>
                  <w:vMerge w:val="continue"/>
                  <w:vAlign w:val="center"/>
                </w:tcPr>
                <w:p w14:paraId="509B7F6B">
                  <w:pPr>
                    <w:adjustRightInd w:val="0"/>
                    <w:jc w:val="center"/>
                    <w:rPr>
                      <w:color w:val="auto"/>
                      <w:szCs w:val="21"/>
                    </w:rPr>
                  </w:pPr>
                </w:p>
              </w:tc>
              <w:tc>
                <w:tcPr>
                  <w:tcW w:w="368" w:type="pct"/>
                  <w:vMerge w:val="continue"/>
                  <w:vAlign w:val="center"/>
                </w:tcPr>
                <w:p w14:paraId="78740F26">
                  <w:pPr>
                    <w:adjustRightInd w:val="0"/>
                    <w:jc w:val="center"/>
                    <w:rPr>
                      <w:color w:val="auto"/>
                      <w:szCs w:val="21"/>
                    </w:rPr>
                  </w:pPr>
                </w:p>
              </w:tc>
            </w:tr>
            <w:tr w14:paraId="2EFE1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94" w:type="pct"/>
                  <w:vMerge w:val="restart"/>
                  <w:vAlign w:val="center"/>
                </w:tcPr>
                <w:p w14:paraId="289684FF">
                  <w:pPr>
                    <w:adjustRightInd w:val="0"/>
                    <w:jc w:val="center"/>
                    <w:rPr>
                      <w:color w:val="auto"/>
                      <w:szCs w:val="21"/>
                    </w:rPr>
                  </w:pPr>
                  <w:r>
                    <w:rPr>
                      <w:rFonts w:hint="eastAsia"/>
                      <w:color w:val="auto"/>
                      <w:szCs w:val="21"/>
                    </w:rPr>
                    <w:t>生产车间</w:t>
                  </w:r>
                </w:p>
              </w:tc>
              <w:tc>
                <w:tcPr>
                  <w:tcW w:w="761" w:type="pct"/>
                  <w:vAlign w:val="center"/>
                </w:tcPr>
                <w:p w14:paraId="317901B4">
                  <w:pPr>
                    <w:adjustRightInd w:val="0"/>
                    <w:jc w:val="center"/>
                    <w:rPr>
                      <w:color w:val="auto"/>
                      <w:szCs w:val="21"/>
                    </w:rPr>
                  </w:pPr>
                  <w:r>
                    <w:rPr>
                      <w:rFonts w:hint="eastAsia"/>
                      <w:color w:val="auto"/>
                      <w:szCs w:val="21"/>
                    </w:rPr>
                    <w:t>高频直缝焊管机组（新增）</w:t>
                  </w:r>
                </w:p>
              </w:tc>
              <w:tc>
                <w:tcPr>
                  <w:tcW w:w="435" w:type="pct"/>
                  <w:vAlign w:val="center"/>
                </w:tcPr>
                <w:p w14:paraId="0A4332C8">
                  <w:pPr>
                    <w:adjustRightInd w:val="0"/>
                    <w:jc w:val="center"/>
                    <w:rPr>
                      <w:color w:val="auto"/>
                      <w:szCs w:val="21"/>
                    </w:rPr>
                  </w:pPr>
                  <w:r>
                    <w:rPr>
                      <w:rFonts w:hint="eastAsia"/>
                      <w:color w:val="auto"/>
                      <w:szCs w:val="21"/>
                    </w:rPr>
                    <w:t>3台</w:t>
                  </w:r>
                </w:p>
              </w:tc>
              <w:tc>
                <w:tcPr>
                  <w:tcW w:w="681" w:type="pct"/>
                  <w:vAlign w:val="center"/>
                </w:tcPr>
                <w:p w14:paraId="4EFFD4B5">
                  <w:pPr>
                    <w:adjustRightInd w:val="0"/>
                    <w:jc w:val="center"/>
                    <w:rPr>
                      <w:color w:val="auto"/>
                      <w:szCs w:val="21"/>
                    </w:rPr>
                  </w:pPr>
                  <w:r>
                    <w:rPr>
                      <w:rFonts w:hint="eastAsia"/>
                      <w:color w:val="auto"/>
                      <w:szCs w:val="21"/>
                    </w:rPr>
                    <w:t>室内</w:t>
                  </w:r>
                </w:p>
              </w:tc>
              <w:tc>
                <w:tcPr>
                  <w:tcW w:w="574" w:type="pct"/>
                  <w:vAlign w:val="center"/>
                </w:tcPr>
                <w:p w14:paraId="47900A7B">
                  <w:pPr>
                    <w:adjustRightInd w:val="0"/>
                    <w:jc w:val="center"/>
                    <w:rPr>
                      <w:color w:val="auto"/>
                      <w:szCs w:val="21"/>
                    </w:rPr>
                  </w:pPr>
                  <w:r>
                    <w:rPr>
                      <w:color w:val="auto"/>
                      <w:szCs w:val="21"/>
                    </w:rPr>
                    <w:t>频发</w:t>
                  </w:r>
                </w:p>
              </w:tc>
              <w:tc>
                <w:tcPr>
                  <w:tcW w:w="964" w:type="pct"/>
                  <w:vAlign w:val="center"/>
                </w:tcPr>
                <w:p w14:paraId="7BEEEBA5">
                  <w:pPr>
                    <w:adjustRightInd w:val="0"/>
                    <w:jc w:val="center"/>
                    <w:rPr>
                      <w:color w:val="auto"/>
                      <w:szCs w:val="21"/>
                    </w:rPr>
                  </w:pPr>
                  <w:r>
                    <w:rPr>
                      <w:color w:val="auto"/>
                      <w:szCs w:val="21"/>
                    </w:rPr>
                    <w:t>85</w:t>
                  </w:r>
                </w:p>
              </w:tc>
              <w:tc>
                <w:tcPr>
                  <w:tcW w:w="623" w:type="pct"/>
                  <w:vMerge w:val="restart"/>
                  <w:vAlign w:val="center"/>
                </w:tcPr>
                <w:p w14:paraId="17D3066A">
                  <w:pPr>
                    <w:adjustRightInd w:val="0"/>
                    <w:jc w:val="center"/>
                    <w:rPr>
                      <w:color w:val="auto"/>
                      <w:szCs w:val="21"/>
                    </w:rPr>
                  </w:pPr>
                  <w:r>
                    <w:rPr>
                      <w:color w:val="auto"/>
                      <w:szCs w:val="21"/>
                    </w:rPr>
                    <w:t>参考《污染源源强核算技术指南》各行业技术指南附录中相关设备声源源强资料</w:t>
                  </w:r>
                </w:p>
              </w:tc>
              <w:tc>
                <w:tcPr>
                  <w:tcW w:w="368" w:type="pct"/>
                  <w:vAlign w:val="center"/>
                </w:tcPr>
                <w:p w14:paraId="15A9D286">
                  <w:pPr>
                    <w:adjustRightInd w:val="0"/>
                    <w:jc w:val="center"/>
                    <w:rPr>
                      <w:color w:val="auto"/>
                      <w:szCs w:val="21"/>
                    </w:rPr>
                  </w:pPr>
                  <w:r>
                    <w:rPr>
                      <w:rFonts w:hint="eastAsia"/>
                      <w:color w:val="auto"/>
                      <w:szCs w:val="21"/>
                    </w:rPr>
                    <w:t>900</w:t>
                  </w:r>
                </w:p>
              </w:tc>
            </w:tr>
            <w:tr w14:paraId="4FEA0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94" w:type="pct"/>
                  <w:vMerge w:val="continue"/>
                  <w:vAlign w:val="center"/>
                </w:tcPr>
                <w:p w14:paraId="4C96F26A">
                  <w:pPr>
                    <w:adjustRightInd w:val="0"/>
                    <w:jc w:val="center"/>
                    <w:rPr>
                      <w:color w:val="auto"/>
                      <w:szCs w:val="21"/>
                    </w:rPr>
                  </w:pPr>
                </w:p>
              </w:tc>
              <w:tc>
                <w:tcPr>
                  <w:tcW w:w="761" w:type="pct"/>
                  <w:vAlign w:val="center"/>
                </w:tcPr>
                <w:p w14:paraId="55DEA9DE">
                  <w:pPr>
                    <w:adjustRightInd w:val="0"/>
                    <w:jc w:val="center"/>
                    <w:rPr>
                      <w:color w:val="auto"/>
                      <w:szCs w:val="21"/>
                    </w:rPr>
                  </w:pPr>
                  <w:r>
                    <w:rPr>
                      <w:rFonts w:hint="eastAsia"/>
                      <w:color w:val="auto"/>
                      <w:szCs w:val="21"/>
                    </w:rPr>
                    <w:t>气动开卷机（新增）</w:t>
                  </w:r>
                </w:p>
              </w:tc>
              <w:tc>
                <w:tcPr>
                  <w:tcW w:w="435" w:type="pct"/>
                  <w:vAlign w:val="center"/>
                </w:tcPr>
                <w:p w14:paraId="5A278FED">
                  <w:pPr>
                    <w:adjustRightInd w:val="0"/>
                    <w:jc w:val="center"/>
                    <w:rPr>
                      <w:color w:val="auto"/>
                      <w:szCs w:val="21"/>
                    </w:rPr>
                  </w:pPr>
                  <w:r>
                    <w:rPr>
                      <w:rFonts w:hint="eastAsia"/>
                      <w:color w:val="auto"/>
                      <w:szCs w:val="21"/>
                    </w:rPr>
                    <w:t>3台</w:t>
                  </w:r>
                </w:p>
              </w:tc>
              <w:tc>
                <w:tcPr>
                  <w:tcW w:w="681" w:type="pct"/>
                  <w:vAlign w:val="center"/>
                </w:tcPr>
                <w:p w14:paraId="3AC94E9D">
                  <w:pPr>
                    <w:adjustRightInd w:val="0"/>
                    <w:jc w:val="center"/>
                    <w:rPr>
                      <w:color w:val="auto"/>
                      <w:szCs w:val="21"/>
                    </w:rPr>
                  </w:pPr>
                  <w:r>
                    <w:rPr>
                      <w:rFonts w:hint="eastAsia"/>
                      <w:color w:val="auto"/>
                      <w:szCs w:val="21"/>
                    </w:rPr>
                    <w:t>室内</w:t>
                  </w:r>
                </w:p>
              </w:tc>
              <w:tc>
                <w:tcPr>
                  <w:tcW w:w="574" w:type="pct"/>
                  <w:vAlign w:val="center"/>
                </w:tcPr>
                <w:p w14:paraId="57D9BCDE">
                  <w:pPr>
                    <w:adjustRightInd w:val="0"/>
                    <w:jc w:val="center"/>
                    <w:rPr>
                      <w:color w:val="auto"/>
                      <w:szCs w:val="21"/>
                    </w:rPr>
                  </w:pPr>
                  <w:r>
                    <w:rPr>
                      <w:color w:val="auto"/>
                      <w:szCs w:val="21"/>
                    </w:rPr>
                    <w:t>频发</w:t>
                  </w:r>
                </w:p>
              </w:tc>
              <w:tc>
                <w:tcPr>
                  <w:tcW w:w="964" w:type="pct"/>
                  <w:vAlign w:val="center"/>
                </w:tcPr>
                <w:p w14:paraId="572F76B3">
                  <w:pPr>
                    <w:adjustRightInd w:val="0"/>
                    <w:jc w:val="center"/>
                    <w:rPr>
                      <w:color w:val="auto"/>
                      <w:szCs w:val="21"/>
                    </w:rPr>
                  </w:pPr>
                  <w:r>
                    <w:rPr>
                      <w:rFonts w:hint="eastAsia"/>
                      <w:color w:val="auto"/>
                      <w:szCs w:val="21"/>
                    </w:rPr>
                    <w:t>75</w:t>
                  </w:r>
                </w:p>
              </w:tc>
              <w:tc>
                <w:tcPr>
                  <w:tcW w:w="623" w:type="pct"/>
                  <w:vMerge w:val="continue"/>
                  <w:vAlign w:val="center"/>
                </w:tcPr>
                <w:p w14:paraId="52E99A00">
                  <w:pPr>
                    <w:adjustRightInd w:val="0"/>
                    <w:jc w:val="center"/>
                    <w:rPr>
                      <w:color w:val="auto"/>
                      <w:szCs w:val="21"/>
                    </w:rPr>
                  </w:pPr>
                </w:p>
              </w:tc>
              <w:tc>
                <w:tcPr>
                  <w:tcW w:w="368" w:type="pct"/>
                  <w:vAlign w:val="center"/>
                </w:tcPr>
                <w:p w14:paraId="66C5DE32">
                  <w:pPr>
                    <w:adjustRightInd w:val="0"/>
                    <w:jc w:val="center"/>
                    <w:rPr>
                      <w:color w:val="auto"/>
                      <w:szCs w:val="21"/>
                    </w:rPr>
                  </w:pPr>
                  <w:r>
                    <w:rPr>
                      <w:rFonts w:hint="eastAsia"/>
                      <w:color w:val="auto"/>
                      <w:szCs w:val="21"/>
                    </w:rPr>
                    <w:t>2400</w:t>
                  </w:r>
                </w:p>
              </w:tc>
            </w:tr>
            <w:tr w14:paraId="5EC6D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94" w:type="pct"/>
                  <w:vMerge w:val="continue"/>
                  <w:vAlign w:val="center"/>
                </w:tcPr>
                <w:p w14:paraId="0ED3137F">
                  <w:pPr>
                    <w:adjustRightInd w:val="0"/>
                    <w:jc w:val="center"/>
                    <w:rPr>
                      <w:color w:val="auto"/>
                      <w:szCs w:val="21"/>
                    </w:rPr>
                  </w:pPr>
                </w:p>
              </w:tc>
              <w:tc>
                <w:tcPr>
                  <w:tcW w:w="761" w:type="pct"/>
                  <w:vAlign w:val="center"/>
                </w:tcPr>
                <w:p w14:paraId="529FAA08">
                  <w:pPr>
                    <w:adjustRightInd w:val="0"/>
                    <w:jc w:val="center"/>
                    <w:rPr>
                      <w:color w:val="auto"/>
                      <w:kern w:val="24"/>
                      <w:szCs w:val="21"/>
                    </w:rPr>
                  </w:pPr>
                  <w:r>
                    <w:rPr>
                      <w:rFonts w:hint="eastAsia"/>
                      <w:color w:val="auto"/>
                      <w:kern w:val="24"/>
                      <w:szCs w:val="21"/>
                    </w:rPr>
                    <w:t>飞锯（新增）</w:t>
                  </w:r>
                </w:p>
              </w:tc>
              <w:tc>
                <w:tcPr>
                  <w:tcW w:w="435" w:type="pct"/>
                  <w:vAlign w:val="center"/>
                </w:tcPr>
                <w:p w14:paraId="524AC5E7">
                  <w:pPr>
                    <w:adjustRightInd w:val="0"/>
                    <w:jc w:val="center"/>
                    <w:rPr>
                      <w:color w:val="auto"/>
                      <w:szCs w:val="21"/>
                    </w:rPr>
                  </w:pPr>
                  <w:r>
                    <w:rPr>
                      <w:rFonts w:hint="eastAsia"/>
                      <w:color w:val="auto"/>
                      <w:szCs w:val="21"/>
                    </w:rPr>
                    <w:t>3台</w:t>
                  </w:r>
                </w:p>
              </w:tc>
              <w:tc>
                <w:tcPr>
                  <w:tcW w:w="681" w:type="pct"/>
                  <w:vAlign w:val="center"/>
                </w:tcPr>
                <w:p w14:paraId="19971652">
                  <w:pPr>
                    <w:adjustRightInd w:val="0"/>
                    <w:jc w:val="center"/>
                    <w:rPr>
                      <w:color w:val="auto"/>
                      <w:szCs w:val="21"/>
                    </w:rPr>
                  </w:pPr>
                  <w:r>
                    <w:rPr>
                      <w:rFonts w:hint="eastAsia"/>
                      <w:color w:val="auto"/>
                      <w:szCs w:val="21"/>
                    </w:rPr>
                    <w:t>室内</w:t>
                  </w:r>
                </w:p>
              </w:tc>
              <w:tc>
                <w:tcPr>
                  <w:tcW w:w="574" w:type="pct"/>
                  <w:vAlign w:val="center"/>
                </w:tcPr>
                <w:p w14:paraId="544014BD">
                  <w:pPr>
                    <w:adjustRightInd w:val="0"/>
                    <w:jc w:val="center"/>
                    <w:rPr>
                      <w:color w:val="auto"/>
                      <w:szCs w:val="21"/>
                    </w:rPr>
                  </w:pPr>
                  <w:r>
                    <w:rPr>
                      <w:color w:val="auto"/>
                      <w:szCs w:val="21"/>
                    </w:rPr>
                    <w:t>频发</w:t>
                  </w:r>
                </w:p>
              </w:tc>
              <w:tc>
                <w:tcPr>
                  <w:tcW w:w="964" w:type="pct"/>
                  <w:vAlign w:val="center"/>
                </w:tcPr>
                <w:p w14:paraId="39688568">
                  <w:pPr>
                    <w:adjustRightInd w:val="0"/>
                    <w:jc w:val="center"/>
                    <w:rPr>
                      <w:color w:val="auto"/>
                      <w:szCs w:val="21"/>
                    </w:rPr>
                  </w:pPr>
                  <w:r>
                    <w:rPr>
                      <w:rFonts w:hint="eastAsia"/>
                      <w:color w:val="auto"/>
                      <w:szCs w:val="21"/>
                    </w:rPr>
                    <w:t>90</w:t>
                  </w:r>
                </w:p>
              </w:tc>
              <w:tc>
                <w:tcPr>
                  <w:tcW w:w="623" w:type="pct"/>
                  <w:vMerge w:val="continue"/>
                  <w:vAlign w:val="center"/>
                </w:tcPr>
                <w:p w14:paraId="79D2AC16">
                  <w:pPr>
                    <w:adjustRightInd w:val="0"/>
                    <w:jc w:val="center"/>
                    <w:rPr>
                      <w:color w:val="auto"/>
                      <w:szCs w:val="21"/>
                    </w:rPr>
                  </w:pPr>
                </w:p>
              </w:tc>
              <w:tc>
                <w:tcPr>
                  <w:tcW w:w="368" w:type="pct"/>
                  <w:vAlign w:val="center"/>
                </w:tcPr>
                <w:p w14:paraId="2220C8DF">
                  <w:pPr>
                    <w:adjustRightInd w:val="0"/>
                    <w:jc w:val="center"/>
                    <w:rPr>
                      <w:color w:val="auto"/>
                      <w:szCs w:val="21"/>
                    </w:rPr>
                  </w:pPr>
                  <w:r>
                    <w:rPr>
                      <w:rFonts w:hint="eastAsia"/>
                      <w:color w:val="auto"/>
                      <w:szCs w:val="21"/>
                    </w:rPr>
                    <w:t>2400</w:t>
                  </w:r>
                </w:p>
              </w:tc>
            </w:tr>
            <w:tr w14:paraId="7C166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94" w:type="pct"/>
                  <w:vMerge w:val="continue"/>
                  <w:vAlign w:val="center"/>
                </w:tcPr>
                <w:p w14:paraId="68583FA1">
                  <w:pPr>
                    <w:adjustRightInd w:val="0"/>
                    <w:jc w:val="center"/>
                    <w:rPr>
                      <w:color w:val="auto"/>
                      <w:szCs w:val="21"/>
                    </w:rPr>
                  </w:pPr>
                </w:p>
              </w:tc>
              <w:tc>
                <w:tcPr>
                  <w:tcW w:w="761" w:type="pct"/>
                  <w:vAlign w:val="center"/>
                </w:tcPr>
                <w:p w14:paraId="1C8DFB73">
                  <w:pPr>
                    <w:adjustRightInd w:val="0"/>
                    <w:jc w:val="center"/>
                    <w:rPr>
                      <w:color w:val="auto"/>
                      <w:kern w:val="0"/>
                      <w:szCs w:val="21"/>
                      <w:lang w:bidi="ar"/>
                    </w:rPr>
                  </w:pPr>
                  <w:r>
                    <w:rPr>
                      <w:rFonts w:hint="eastAsia"/>
                      <w:color w:val="auto"/>
                      <w:kern w:val="0"/>
                      <w:szCs w:val="21"/>
                      <w:lang w:bidi="ar"/>
                    </w:rPr>
                    <w:t>除尘器风机（新增）</w:t>
                  </w:r>
                </w:p>
              </w:tc>
              <w:tc>
                <w:tcPr>
                  <w:tcW w:w="435" w:type="pct"/>
                  <w:vAlign w:val="center"/>
                </w:tcPr>
                <w:p w14:paraId="0DF43D34">
                  <w:pPr>
                    <w:adjustRightInd w:val="0"/>
                    <w:jc w:val="center"/>
                    <w:rPr>
                      <w:color w:val="auto"/>
                      <w:szCs w:val="21"/>
                    </w:rPr>
                  </w:pPr>
                  <w:r>
                    <w:rPr>
                      <w:rFonts w:hint="eastAsia"/>
                      <w:color w:val="auto"/>
                      <w:szCs w:val="21"/>
                    </w:rPr>
                    <w:t>9台</w:t>
                  </w:r>
                </w:p>
              </w:tc>
              <w:tc>
                <w:tcPr>
                  <w:tcW w:w="681" w:type="pct"/>
                  <w:vAlign w:val="center"/>
                </w:tcPr>
                <w:p w14:paraId="6DDC9FDF">
                  <w:pPr>
                    <w:adjustRightInd w:val="0"/>
                    <w:jc w:val="center"/>
                    <w:rPr>
                      <w:color w:val="auto"/>
                      <w:szCs w:val="21"/>
                    </w:rPr>
                  </w:pPr>
                  <w:r>
                    <w:rPr>
                      <w:rFonts w:hint="eastAsia"/>
                      <w:color w:val="auto"/>
                      <w:szCs w:val="21"/>
                    </w:rPr>
                    <w:t>室内</w:t>
                  </w:r>
                </w:p>
              </w:tc>
              <w:tc>
                <w:tcPr>
                  <w:tcW w:w="574" w:type="pct"/>
                  <w:vAlign w:val="center"/>
                </w:tcPr>
                <w:p w14:paraId="43EE1FC1">
                  <w:pPr>
                    <w:adjustRightInd w:val="0"/>
                    <w:jc w:val="center"/>
                    <w:rPr>
                      <w:color w:val="auto"/>
                      <w:szCs w:val="21"/>
                    </w:rPr>
                  </w:pPr>
                  <w:r>
                    <w:rPr>
                      <w:color w:val="auto"/>
                      <w:szCs w:val="21"/>
                    </w:rPr>
                    <w:t>频发</w:t>
                  </w:r>
                </w:p>
              </w:tc>
              <w:tc>
                <w:tcPr>
                  <w:tcW w:w="964" w:type="pct"/>
                  <w:vAlign w:val="center"/>
                </w:tcPr>
                <w:p w14:paraId="2144FEC4">
                  <w:pPr>
                    <w:adjustRightInd w:val="0"/>
                    <w:jc w:val="center"/>
                    <w:rPr>
                      <w:color w:val="auto"/>
                      <w:szCs w:val="21"/>
                    </w:rPr>
                  </w:pPr>
                  <w:r>
                    <w:rPr>
                      <w:color w:val="auto"/>
                      <w:szCs w:val="21"/>
                    </w:rPr>
                    <w:t>85</w:t>
                  </w:r>
                </w:p>
              </w:tc>
              <w:tc>
                <w:tcPr>
                  <w:tcW w:w="623" w:type="pct"/>
                  <w:vMerge w:val="continue"/>
                  <w:vAlign w:val="center"/>
                </w:tcPr>
                <w:p w14:paraId="6EEE5BE6">
                  <w:pPr>
                    <w:adjustRightInd w:val="0"/>
                    <w:jc w:val="center"/>
                    <w:rPr>
                      <w:color w:val="auto"/>
                      <w:szCs w:val="21"/>
                    </w:rPr>
                  </w:pPr>
                </w:p>
              </w:tc>
              <w:tc>
                <w:tcPr>
                  <w:tcW w:w="368" w:type="pct"/>
                  <w:vAlign w:val="center"/>
                </w:tcPr>
                <w:p w14:paraId="49487752">
                  <w:pPr>
                    <w:adjustRightInd w:val="0"/>
                    <w:jc w:val="center"/>
                    <w:rPr>
                      <w:color w:val="auto"/>
                      <w:szCs w:val="21"/>
                    </w:rPr>
                  </w:pPr>
                  <w:r>
                    <w:rPr>
                      <w:rFonts w:hint="eastAsia"/>
                      <w:color w:val="auto"/>
                      <w:szCs w:val="21"/>
                    </w:rPr>
                    <w:t>900</w:t>
                  </w:r>
                </w:p>
              </w:tc>
            </w:tr>
            <w:bookmarkEnd w:id="80"/>
          </w:tbl>
          <w:p w14:paraId="55E8D681">
            <w:pPr>
              <w:pStyle w:val="58"/>
              <w:spacing w:before="1" w:line="364" w:lineRule="auto"/>
              <w:ind w:right="106"/>
              <w:rPr>
                <w:rFonts w:ascii="Times New Roman" w:hAnsi="Times New Roman" w:cs="Times New Roman"/>
                <w:b/>
                <w:color w:val="auto"/>
                <w:kern w:val="24"/>
                <w:sz w:val="24"/>
                <w:lang w:val="en-US"/>
              </w:rPr>
            </w:pPr>
          </w:p>
          <w:p w14:paraId="40E012E7">
            <w:pPr>
              <w:pStyle w:val="58"/>
              <w:spacing w:before="1" w:line="364" w:lineRule="auto"/>
              <w:ind w:right="106"/>
              <w:rPr>
                <w:rFonts w:hint="eastAsia"/>
                <w:b/>
                <w:color w:val="auto"/>
                <w:kern w:val="24"/>
                <w:sz w:val="24"/>
              </w:rPr>
            </w:pPr>
            <w:r>
              <w:rPr>
                <w:rFonts w:hint="eastAsia" w:ascii="Times New Roman" w:hAnsi="Times New Roman" w:cs="Times New Roman"/>
                <w:b/>
                <w:color w:val="auto"/>
                <w:kern w:val="24"/>
                <w:sz w:val="24"/>
                <w:lang w:val="en-US"/>
              </w:rPr>
              <w:t>3</w:t>
            </w:r>
            <w:r>
              <w:rPr>
                <w:rFonts w:ascii="Times New Roman" w:hAnsi="Times New Roman" w:cs="Times New Roman"/>
                <w:b/>
                <w:color w:val="auto"/>
                <w:kern w:val="24"/>
                <w:sz w:val="24"/>
                <w:lang w:val="en-US"/>
              </w:rPr>
              <w:t>.</w:t>
            </w:r>
            <w:r>
              <w:rPr>
                <w:rFonts w:hint="eastAsia" w:ascii="Times New Roman" w:hAnsi="Times New Roman" w:cs="Times New Roman"/>
                <w:b/>
                <w:color w:val="auto"/>
                <w:kern w:val="24"/>
                <w:sz w:val="24"/>
                <w:lang w:val="en-US"/>
              </w:rPr>
              <w:t>2</w:t>
            </w:r>
            <w:r>
              <w:rPr>
                <w:rFonts w:hint="eastAsia"/>
                <w:b/>
                <w:bCs/>
                <w:color w:val="auto"/>
                <w:sz w:val="24"/>
              </w:rPr>
              <w:t>声环境影响分析</w:t>
            </w:r>
          </w:p>
          <w:p w14:paraId="76714FD9">
            <w:pPr>
              <w:adjustRightInd w:val="0"/>
              <w:snapToGrid w:val="0"/>
              <w:spacing w:line="360" w:lineRule="auto"/>
              <w:ind w:firstLine="480" w:firstLineChars="200"/>
              <w:rPr>
                <w:color w:val="auto"/>
                <w:sz w:val="24"/>
              </w:rPr>
            </w:pPr>
            <w:r>
              <w:rPr>
                <w:color w:val="auto"/>
                <w:sz w:val="24"/>
              </w:rPr>
              <w:t>（</w:t>
            </w:r>
            <w:r>
              <w:rPr>
                <w:rFonts w:hint="eastAsia"/>
                <w:color w:val="auto"/>
                <w:sz w:val="24"/>
              </w:rPr>
              <w:t>1</w:t>
            </w:r>
            <w:r>
              <w:rPr>
                <w:color w:val="auto"/>
                <w:sz w:val="24"/>
              </w:rPr>
              <w:t>）预测模式</w:t>
            </w:r>
          </w:p>
          <w:p w14:paraId="74112C91">
            <w:pPr>
              <w:adjustRightInd w:val="0"/>
              <w:snapToGrid w:val="0"/>
              <w:spacing w:line="360" w:lineRule="auto"/>
              <w:ind w:firstLine="480" w:firstLineChars="200"/>
              <w:rPr>
                <w:color w:val="auto"/>
                <w:sz w:val="24"/>
              </w:rPr>
            </w:pPr>
            <w:r>
              <w:rPr>
                <w:rFonts w:hint="eastAsia"/>
                <w:color w:val="auto"/>
                <w:sz w:val="24"/>
              </w:rPr>
              <w:t>根据项目建设内容及《环境影响评价技术导则 声环境》（HJ2.4-2021）的要求，项目声环境预测采用的模型为《环境影响评价技术导则 声环境》(HJ2.4.2021)附录A（规范性附录）户外声传播的衰减和附录B（规范性附录）中“B.1工业噪声预测计算模型”。</w:t>
            </w:r>
          </w:p>
          <w:p w14:paraId="51E7B6E1">
            <w:pPr>
              <w:adjustRightInd w:val="0"/>
              <w:snapToGrid w:val="0"/>
              <w:spacing w:line="360" w:lineRule="auto"/>
              <w:ind w:firstLine="480" w:firstLineChars="200"/>
              <w:rPr>
                <w:color w:val="auto"/>
                <w:sz w:val="24"/>
              </w:rPr>
            </w:pPr>
            <w:r>
              <w:rPr>
                <w:rFonts w:hint="eastAsia"/>
                <w:color w:val="auto"/>
                <w:sz w:val="24"/>
              </w:rPr>
              <w:t>（2）声源数据</w:t>
            </w:r>
          </w:p>
          <w:p w14:paraId="415FA77C">
            <w:pPr>
              <w:adjustRightInd w:val="0"/>
              <w:snapToGrid w:val="0"/>
              <w:spacing w:line="360" w:lineRule="auto"/>
              <w:ind w:firstLine="480" w:firstLineChars="200"/>
              <w:rPr>
                <w:color w:val="auto"/>
                <w:sz w:val="24"/>
              </w:rPr>
            </w:pPr>
            <w:r>
              <w:rPr>
                <w:rFonts w:hint="eastAsia"/>
                <w:color w:val="auto"/>
                <w:sz w:val="24"/>
              </w:rPr>
              <w:t>本项目</w:t>
            </w:r>
            <w:r>
              <w:rPr>
                <w:color w:val="auto"/>
                <w:sz w:val="24"/>
              </w:rPr>
              <w:t>噪声源</w:t>
            </w:r>
            <w:r>
              <w:rPr>
                <w:rFonts w:hint="eastAsia"/>
                <w:color w:val="auto"/>
                <w:sz w:val="24"/>
              </w:rPr>
              <w:t>主要为</w:t>
            </w:r>
            <w:r>
              <w:rPr>
                <w:rFonts w:hint="eastAsia"/>
                <w:color w:val="auto"/>
                <w:kern w:val="24"/>
                <w:sz w:val="24"/>
              </w:rPr>
              <w:t>设备噪声，噪声源主要为</w:t>
            </w:r>
            <w:r>
              <w:rPr>
                <w:rFonts w:hint="eastAsia"/>
                <w:color w:val="auto"/>
                <w:sz w:val="24"/>
              </w:rPr>
              <w:t>工艺设备、风机</w:t>
            </w:r>
            <w:r>
              <w:rPr>
                <w:rFonts w:hint="eastAsia"/>
                <w:color w:val="auto"/>
                <w:kern w:val="24"/>
                <w:sz w:val="24"/>
              </w:rPr>
              <w:t>。</w:t>
            </w:r>
            <w:r>
              <w:rPr>
                <w:rFonts w:hint="eastAsia"/>
                <w:color w:val="auto"/>
                <w:sz w:val="24"/>
              </w:rPr>
              <w:t>项目产生噪声仅针对新增设备部分，其噪声源强调查清单见表4-</w:t>
            </w:r>
            <w:r>
              <w:rPr>
                <w:color w:val="auto"/>
                <w:sz w:val="24"/>
              </w:rPr>
              <w:t>12</w:t>
            </w:r>
            <w:r>
              <w:rPr>
                <w:rFonts w:hint="eastAsia"/>
                <w:color w:val="auto"/>
                <w:sz w:val="24"/>
              </w:rPr>
              <w:t>。</w:t>
            </w:r>
          </w:p>
          <w:p w14:paraId="0DA92068">
            <w:pPr>
              <w:adjustRightInd w:val="0"/>
              <w:snapToGrid w:val="0"/>
              <w:spacing w:line="360" w:lineRule="auto"/>
              <w:ind w:firstLine="480" w:firstLineChars="200"/>
              <w:rPr>
                <w:color w:val="auto"/>
                <w:sz w:val="24"/>
              </w:rPr>
            </w:pPr>
            <w:r>
              <w:rPr>
                <w:rFonts w:hint="eastAsia"/>
                <w:color w:val="auto"/>
                <w:sz w:val="24"/>
              </w:rPr>
              <w:t>本项目取平面图中厂界南的顶点作为坐标原点（0，0，0）。</w:t>
            </w:r>
          </w:p>
          <w:p w14:paraId="46085843">
            <w:pPr>
              <w:jc w:val="center"/>
              <w:rPr>
                <w:b/>
                <w:color w:val="auto"/>
                <w:kern w:val="24"/>
                <w:sz w:val="24"/>
              </w:rPr>
            </w:pPr>
            <w:r>
              <w:rPr>
                <w:rFonts w:hint="eastAsia"/>
                <w:b/>
                <w:color w:val="auto"/>
                <w:kern w:val="24"/>
                <w:sz w:val="24"/>
              </w:rPr>
              <w:t>表4-</w:t>
            </w:r>
            <w:r>
              <w:rPr>
                <w:b/>
                <w:color w:val="auto"/>
                <w:kern w:val="24"/>
                <w:sz w:val="24"/>
              </w:rPr>
              <w:t>12</w:t>
            </w:r>
            <w:r>
              <w:rPr>
                <w:rFonts w:hint="eastAsia"/>
                <w:b/>
                <w:color w:val="auto"/>
                <w:kern w:val="24"/>
                <w:sz w:val="24"/>
              </w:rPr>
              <w:t xml:space="preserve">  工业企业噪声源强调查清单（室内声源）</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
              <w:gridCol w:w="699"/>
              <w:gridCol w:w="1316"/>
              <w:gridCol w:w="516"/>
              <w:gridCol w:w="629"/>
              <w:gridCol w:w="629"/>
              <w:gridCol w:w="326"/>
              <w:gridCol w:w="576"/>
              <w:gridCol w:w="726"/>
              <w:gridCol w:w="1094"/>
              <w:gridCol w:w="676"/>
              <w:gridCol w:w="726"/>
              <w:gridCol w:w="581"/>
            </w:tblGrid>
            <w:tr w14:paraId="068E3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vAlign w:val="center"/>
                </w:tcPr>
                <w:p w14:paraId="086F4106">
                  <w:pPr>
                    <w:pStyle w:val="12"/>
                    <w:adjustRightInd w:val="0"/>
                    <w:spacing w:before="0" w:after="0" w:line="240" w:lineRule="auto"/>
                    <w:ind w:right="0"/>
                    <w:jc w:val="center"/>
                    <w:rPr>
                      <w:rFonts w:eastAsiaTheme="minorEastAsia"/>
                      <w:color w:val="auto"/>
                      <w:szCs w:val="18"/>
                    </w:rPr>
                  </w:pPr>
                  <w:r>
                    <w:rPr>
                      <w:rFonts w:eastAsiaTheme="minorEastAsia"/>
                      <w:color w:val="auto"/>
                      <w:szCs w:val="18"/>
                    </w:rPr>
                    <w:t>建筑物名称</w:t>
                  </w:r>
                </w:p>
              </w:tc>
              <w:tc>
                <w:tcPr>
                  <w:tcW w:w="699" w:type="dxa"/>
                  <w:vMerge w:val="restart"/>
                  <w:vAlign w:val="center"/>
                </w:tcPr>
                <w:p w14:paraId="2F1E42F2">
                  <w:pPr>
                    <w:pStyle w:val="12"/>
                    <w:adjustRightInd w:val="0"/>
                    <w:spacing w:before="0" w:after="0" w:line="240" w:lineRule="auto"/>
                    <w:ind w:right="0"/>
                    <w:jc w:val="center"/>
                    <w:rPr>
                      <w:rFonts w:eastAsiaTheme="minorEastAsia"/>
                      <w:color w:val="auto"/>
                      <w:szCs w:val="18"/>
                    </w:rPr>
                  </w:pPr>
                  <w:r>
                    <w:rPr>
                      <w:rFonts w:eastAsiaTheme="minorEastAsia"/>
                      <w:color w:val="auto"/>
                      <w:szCs w:val="18"/>
                    </w:rPr>
                    <w:t>声源名称</w:t>
                  </w:r>
                </w:p>
              </w:tc>
              <w:tc>
                <w:tcPr>
                  <w:tcW w:w="1316" w:type="dxa"/>
                  <w:vAlign w:val="center"/>
                </w:tcPr>
                <w:p w14:paraId="575B54D9">
                  <w:pPr>
                    <w:pStyle w:val="12"/>
                    <w:adjustRightInd w:val="0"/>
                    <w:spacing w:before="0" w:after="0" w:line="240" w:lineRule="auto"/>
                    <w:ind w:right="0"/>
                    <w:jc w:val="center"/>
                    <w:rPr>
                      <w:rFonts w:eastAsiaTheme="minorEastAsia"/>
                      <w:color w:val="auto"/>
                      <w:szCs w:val="18"/>
                    </w:rPr>
                  </w:pPr>
                  <w:r>
                    <w:rPr>
                      <w:rFonts w:eastAsiaTheme="minorEastAsia"/>
                      <w:color w:val="auto"/>
                      <w:szCs w:val="18"/>
                    </w:rPr>
                    <w:t>声源源强</w:t>
                  </w:r>
                </w:p>
              </w:tc>
              <w:tc>
                <w:tcPr>
                  <w:tcW w:w="0" w:type="auto"/>
                  <w:vMerge w:val="restart"/>
                  <w:vAlign w:val="center"/>
                </w:tcPr>
                <w:p w14:paraId="65D2EE22">
                  <w:pPr>
                    <w:pStyle w:val="12"/>
                    <w:adjustRightInd w:val="0"/>
                    <w:spacing w:before="0" w:after="0" w:line="240" w:lineRule="auto"/>
                    <w:ind w:right="0"/>
                    <w:jc w:val="center"/>
                    <w:rPr>
                      <w:rFonts w:eastAsiaTheme="minorEastAsia"/>
                      <w:color w:val="auto"/>
                      <w:szCs w:val="18"/>
                    </w:rPr>
                  </w:pPr>
                  <w:r>
                    <w:rPr>
                      <w:rFonts w:eastAsiaTheme="minorEastAsia"/>
                      <w:color w:val="auto"/>
                      <w:szCs w:val="18"/>
                    </w:rPr>
                    <w:t>声源控制措施</w:t>
                  </w:r>
                </w:p>
              </w:tc>
              <w:tc>
                <w:tcPr>
                  <w:tcW w:w="0" w:type="auto"/>
                  <w:gridSpan w:val="3"/>
                  <w:vAlign w:val="center"/>
                </w:tcPr>
                <w:p w14:paraId="68067E5E">
                  <w:pPr>
                    <w:pStyle w:val="12"/>
                    <w:adjustRightInd w:val="0"/>
                    <w:spacing w:before="0" w:after="0" w:line="240" w:lineRule="auto"/>
                    <w:ind w:right="0"/>
                    <w:jc w:val="center"/>
                    <w:rPr>
                      <w:rFonts w:eastAsiaTheme="minorEastAsia"/>
                      <w:color w:val="auto"/>
                      <w:szCs w:val="18"/>
                    </w:rPr>
                  </w:pPr>
                  <w:r>
                    <w:rPr>
                      <w:rFonts w:eastAsiaTheme="minorEastAsia"/>
                      <w:color w:val="auto"/>
                      <w:szCs w:val="18"/>
                    </w:rPr>
                    <w:t>空间相对位置/m</w:t>
                  </w:r>
                </w:p>
              </w:tc>
              <w:tc>
                <w:tcPr>
                  <w:tcW w:w="576" w:type="dxa"/>
                  <w:vMerge w:val="restart"/>
                  <w:vAlign w:val="center"/>
                </w:tcPr>
                <w:p w14:paraId="5C2ACB31">
                  <w:pPr>
                    <w:pStyle w:val="12"/>
                    <w:adjustRightInd w:val="0"/>
                    <w:spacing w:before="0" w:after="0" w:line="240" w:lineRule="auto"/>
                    <w:ind w:right="0"/>
                    <w:jc w:val="center"/>
                    <w:rPr>
                      <w:rFonts w:eastAsiaTheme="minorEastAsia"/>
                      <w:color w:val="auto"/>
                      <w:szCs w:val="18"/>
                    </w:rPr>
                  </w:pPr>
                  <w:r>
                    <w:rPr>
                      <w:rFonts w:eastAsiaTheme="minorEastAsia"/>
                      <w:color w:val="auto"/>
                      <w:szCs w:val="18"/>
                    </w:rPr>
                    <w:t>距室内边界距离/m</w:t>
                  </w:r>
                </w:p>
              </w:tc>
              <w:tc>
                <w:tcPr>
                  <w:tcW w:w="726" w:type="dxa"/>
                  <w:vMerge w:val="restart"/>
                  <w:vAlign w:val="center"/>
                </w:tcPr>
                <w:p w14:paraId="70C1F7FB">
                  <w:pPr>
                    <w:pStyle w:val="12"/>
                    <w:adjustRightInd w:val="0"/>
                    <w:spacing w:before="0" w:after="0" w:line="240" w:lineRule="auto"/>
                    <w:ind w:right="0"/>
                    <w:jc w:val="center"/>
                    <w:rPr>
                      <w:rFonts w:eastAsiaTheme="minorEastAsia"/>
                      <w:color w:val="auto"/>
                      <w:szCs w:val="18"/>
                    </w:rPr>
                  </w:pPr>
                  <w:r>
                    <w:rPr>
                      <w:rFonts w:eastAsiaTheme="minorEastAsia"/>
                      <w:color w:val="auto"/>
                      <w:szCs w:val="18"/>
                    </w:rPr>
                    <w:t>室内边界声级/dB(A)</w:t>
                  </w:r>
                </w:p>
              </w:tc>
              <w:tc>
                <w:tcPr>
                  <w:tcW w:w="0" w:type="auto"/>
                  <w:vMerge w:val="restart"/>
                  <w:vAlign w:val="center"/>
                </w:tcPr>
                <w:p w14:paraId="5C534893">
                  <w:pPr>
                    <w:pStyle w:val="12"/>
                    <w:adjustRightInd w:val="0"/>
                    <w:spacing w:before="0" w:after="0" w:line="240" w:lineRule="auto"/>
                    <w:ind w:right="0"/>
                    <w:jc w:val="center"/>
                    <w:rPr>
                      <w:rFonts w:eastAsiaTheme="minorEastAsia"/>
                      <w:color w:val="auto"/>
                      <w:szCs w:val="18"/>
                    </w:rPr>
                  </w:pPr>
                  <w:r>
                    <w:rPr>
                      <w:rFonts w:eastAsiaTheme="minorEastAsia"/>
                      <w:color w:val="auto"/>
                      <w:szCs w:val="18"/>
                    </w:rPr>
                    <w:t>运行时段</w:t>
                  </w:r>
                </w:p>
              </w:tc>
              <w:tc>
                <w:tcPr>
                  <w:tcW w:w="0" w:type="auto"/>
                  <w:vMerge w:val="restart"/>
                  <w:vAlign w:val="center"/>
                </w:tcPr>
                <w:p w14:paraId="02141AEE">
                  <w:pPr>
                    <w:pStyle w:val="12"/>
                    <w:adjustRightInd w:val="0"/>
                    <w:spacing w:before="0" w:after="0" w:line="240" w:lineRule="auto"/>
                    <w:ind w:right="0"/>
                    <w:jc w:val="center"/>
                    <w:rPr>
                      <w:rFonts w:eastAsiaTheme="minorEastAsia"/>
                      <w:color w:val="auto"/>
                      <w:szCs w:val="18"/>
                    </w:rPr>
                  </w:pPr>
                  <w:r>
                    <w:rPr>
                      <w:rFonts w:eastAsiaTheme="minorEastAsia"/>
                      <w:color w:val="auto"/>
                      <w:szCs w:val="18"/>
                    </w:rPr>
                    <w:t>建筑物插入损失/ dB(A)</w:t>
                  </w:r>
                </w:p>
              </w:tc>
              <w:tc>
                <w:tcPr>
                  <w:tcW w:w="0" w:type="auto"/>
                  <w:gridSpan w:val="2"/>
                  <w:vAlign w:val="center"/>
                </w:tcPr>
                <w:p w14:paraId="5859C2AC">
                  <w:pPr>
                    <w:pStyle w:val="12"/>
                    <w:adjustRightInd w:val="0"/>
                    <w:spacing w:before="0" w:after="0" w:line="240" w:lineRule="auto"/>
                    <w:ind w:right="0"/>
                    <w:jc w:val="center"/>
                    <w:rPr>
                      <w:rFonts w:eastAsiaTheme="minorEastAsia"/>
                      <w:color w:val="auto"/>
                      <w:szCs w:val="18"/>
                    </w:rPr>
                  </w:pPr>
                  <w:r>
                    <w:rPr>
                      <w:rFonts w:eastAsiaTheme="minorEastAsia"/>
                      <w:color w:val="auto"/>
                      <w:szCs w:val="18"/>
                    </w:rPr>
                    <w:t>建筑物外噪声</w:t>
                  </w:r>
                </w:p>
              </w:tc>
            </w:tr>
            <w:tr w14:paraId="6CD7C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183DE0AB">
                  <w:pPr>
                    <w:pStyle w:val="12"/>
                    <w:adjustRightInd w:val="0"/>
                    <w:spacing w:before="0" w:after="0" w:line="240" w:lineRule="auto"/>
                    <w:ind w:right="0"/>
                    <w:jc w:val="center"/>
                    <w:rPr>
                      <w:rFonts w:eastAsiaTheme="minorEastAsia"/>
                      <w:color w:val="auto"/>
                      <w:szCs w:val="18"/>
                    </w:rPr>
                  </w:pPr>
                </w:p>
              </w:tc>
              <w:tc>
                <w:tcPr>
                  <w:tcW w:w="699" w:type="dxa"/>
                  <w:vMerge w:val="continue"/>
                  <w:vAlign w:val="center"/>
                </w:tcPr>
                <w:p w14:paraId="18E0CFB3">
                  <w:pPr>
                    <w:pStyle w:val="12"/>
                    <w:adjustRightInd w:val="0"/>
                    <w:spacing w:before="0" w:after="0" w:line="240" w:lineRule="auto"/>
                    <w:ind w:right="0"/>
                    <w:jc w:val="center"/>
                    <w:rPr>
                      <w:rFonts w:eastAsiaTheme="minorEastAsia"/>
                      <w:color w:val="auto"/>
                      <w:szCs w:val="18"/>
                    </w:rPr>
                  </w:pPr>
                </w:p>
              </w:tc>
              <w:tc>
                <w:tcPr>
                  <w:tcW w:w="1316" w:type="dxa"/>
                  <w:vAlign w:val="center"/>
                </w:tcPr>
                <w:p w14:paraId="4825A200">
                  <w:pPr>
                    <w:pStyle w:val="12"/>
                    <w:adjustRightInd w:val="0"/>
                    <w:spacing w:before="0" w:after="0" w:line="240" w:lineRule="auto"/>
                    <w:ind w:right="0"/>
                    <w:jc w:val="center"/>
                    <w:rPr>
                      <w:rFonts w:eastAsiaTheme="minorEastAsia"/>
                      <w:color w:val="auto"/>
                      <w:szCs w:val="18"/>
                    </w:rPr>
                  </w:pPr>
                  <w:r>
                    <w:rPr>
                      <w:rFonts w:eastAsiaTheme="minorEastAsia"/>
                      <w:color w:val="auto"/>
                      <w:szCs w:val="18"/>
                    </w:rPr>
                    <w:t>（声压级/距声源距离）/（dB(A)/</w:t>
                  </w:r>
                  <w:r>
                    <w:rPr>
                      <w:rFonts w:hint="eastAsia" w:eastAsiaTheme="minorEastAsia"/>
                      <w:color w:val="auto"/>
                      <w:szCs w:val="18"/>
                    </w:rPr>
                    <w:t>1</w:t>
                  </w:r>
                  <w:r>
                    <w:rPr>
                      <w:rFonts w:eastAsiaTheme="minorEastAsia"/>
                      <w:color w:val="auto"/>
                      <w:szCs w:val="18"/>
                    </w:rPr>
                    <w:t>m）</w:t>
                  </w:r>
                </w:p>
              </w:tc>
              <w:tc>
                <w:tcPr>
                  <w:tcW w:w="0" w:type="auto"/>
                  <w:vMerge w:val="continue"/>
                  <w:vAlign w:val="center"/>
                </w:tcPr>
                <w:p w14:paraId="66C4C1A0">
                  <w:pPr>
                    <w:pStyle w:val="12"/>
                    <w:adjustRightInd w:val="0"/>
                    <w:spacing w:before="0" w:after="0" w:line="240" w:lineRule="auto"/>
                    <w:ind w:right="0"/>
                    <w:jc w:val="center"/>
                    <w:rPr>
                      <w:rFonts w:eastAsiaTheme="minorEastAsia"/>
                      <w:color w:val="auto"/>
                      <w:szCs w:val="18"/>
                    </w:rPr>
                  </w:pPr>
                </w:p>
              </w:tc>
              <w:tc>
                <w:tcPr>
                  <w:tcW w:w="0" w:type="auto"/>
                  <w:vAlign w:val="center"/>
                </w:tcPr>
                <w:p w14:paraId="2544F8FC">
                  <w:pPr>
                    <w:pStyle w:val="12"/>
                    <w:adjustRightInd w:val="0"/>
                    <w:spacing w:before="0" w:after="0" w:line="240" w:lineRule="auto"/>
                    <w:ind w:right="0"/>
                    <w:jc w:val="center"/>
                    <w:rPr>
                      <w:rFonts w:eastAsiaTheme="minorEastAsia"/>
                      <w:color w:val="auto"/>
                      <w:szCs w:val="18"/>
                    </w:rPr>
                  </w:pPr>
                  <w:r>
                    <w:rPr>
                      <w:rFonts w:eastAsiaTheme="minorEastAsia"/>
                      <w:color w:val="auto"/>
                      <w:szCs w:val="18"/>
                    </w:rPr>
                    <w:t>X</w:t>
                  </w:r>
                </w:p>
              </w:tc>
              <w:tc>
                <w:tcPr>
                  <w:tcW w:w="0" w:type="auto"/>
                  <w:vAlign w:val="center"/>
                </w:tcPr>
                <w:p w14:paraId="62109790">
                  <w:pPr>
                    <w:pStyle w:val="12"/>
                    <w:adjustRightInd w:val="0"/>
                    <w:spacing w:before="0" w:after="0" w:line="240" w:lineRule="auto"/>
                    <w:ind w:right="0"/>
                    <w:jc w:val="center"/>
                    <w:rPr>
                      <w:rFonts w:eastAsiaTheme="minorEastAsia"/>
                      <w:color w:val="auto"/>
                      <w:szCs w:val="18"/>
                    </w:rPr>
                  </w:pPr>
                  <w:r>
                    <w:rPr>
                      <w:rFonts w:eastAsiaTheme="minorEastAsia"/>
                      <w:color w:val="auto"/>
                      <w:szCs w:val="18"/>
                    </w:rPr>
                    <w:t>Y</w:t>
                  </w:r>
                </w:p>
              </w:tc>
              <w:tc>
                <w:tcPr>
                  <w:tcW w:w="0" w:type="auto"/>
                  <w:vAlign w:val="center"/>
                </w:tcPr>
                <w:p w14:paraId="31935C1C">
                  <w:pPr>
                    <w:pStyle w:val="12"/>
                    <w:adjustRightInd w:val="0"/>
                    <w:spacing w:before="0" w:after="0" w:line="240" w:lineRule="auto"/>
                    <w:ind w:right="0"/>
                    <w:jc w:val="center"/>
                    <w:rPr>
                      <w:rFonts w:eastAsiaTheme="minorEastAsia"/>
                      <w:color w:val="auto"/>
                      <w:szCs w:val="18"/>
                    </w:rPr>
                  </w:pPr>
                  <w:r>
                    <w:rPr>
                      <w:rFonts w:eastAsiaTheme="minorEastAsia"/>
                      <w:color w:val="auto"/>
                      <w:szCs w:val="18"/>
                    </w:rPr>
                    <w:t>Z</w:t>
                  </w:r>
                </w:p>
              </w:tc>
              <w:tc>
                <w:tcPr>
                  <w:tcW w:w="576" w:type="dxa"/>
                  <w:vMerge w:val="continue"/>
                  <w:vAlign w:val="center"/>
                </w:tcPr>
                <w:p w14:paraId="7D416E1E">
                  <w:pPr>
                    <w:pStyle w:val="12"/>
                    <w:adjustRightInd w:val="0"/>
                    <w:spacing w:before="0" w:after="0" w:line="240" w:lineRule="auto"/>
                    <w:ind w:right="0"/>
                    <w:jc w:val="center"/>
                    <w:rPr>
                      <w:rFonts w:eastAsiaTheme="minorEastAsia"/>
                      <w:color w:val="auto"/>
                      <w:szCs w:val="18"/>
                    </w:rPr>
                  </w:pPr>
                </w:p>
              </w:tc>
              <w:tc>
                <w:tcPr>
                  <w:tcW w:w="726" w:type="dxa"/>
                  <w:vMerge w:val="continue"/>
                  <w:vAlign w:val="center"/>
                </w:tcPr>
                <w:p w14:paraId="522A6DD5">
                  <w:pPr>
                    <w:pStyle w:val="12"/>
                    <w:adjustRightInd w:val="0"/>
                    <w:spacing w:before="0" w:after="0" w:line="240" w:lineRule="auto"/>
                    <w:ind w:right="0"/>
                    <w:jc w:val="center"/>
                    <w:rPr>
                      <w:rFonts w:eastAsiaTheme="minorEastAsia"/>
                      <w:color w:val="auto"/>
                      <w:szCs w:val="18"/>
                    </w:rPr>
                  </w:pPr>
                </w:p>
              </w:tc>
              <w:tc>
                <w:tcPr>
                  <w:tcW w:w="0" w:type="auto"/>
                  <w:vMerge w:val="continue"/>
                  <w:vAlign w:val="center"/>
                </w:tcPr>
                <w:p w14:paraId="40C464D0">
                  <w:pPr>
                    <w:pStyle w:val="12"/>
                    <w:adjustRightInd w:val="0"/>
                    <w:spacing w:before="0" w:after="0" w:line="240" w:lineRule="auto"/>
                    <w:ind w:right="0"/>
                    <w:jc w:val="center"/>
                    <w:rPr>
                      <w:rFonts w:eastAsiaTheme="minorEastAsia"/>
                      <w:color w:val="auto"/>
                      <w:szCs w:val="18"/>
                    </w:rPr>
                  </w:pPr>
                </w:p>
              </w:tc>
              <w:tc>
                <w:tcPr>
                  <w:tcW w:w="0" w:type="auto"/>
                  <w:vMerge w:val="continue"/>
                  <w:vAlign w:val="center"/>
                </w:tcPr>
                <w:p w14:paraId="495C50A2">
                  <w:pPr>
                    <w:pStyle w:val="12"/>
                    <w:adjustRightInd w:val="0"/>
                    <w:spacing w:before="0" w:after="0" w:line="240" w:lineRule="auto"/>
                    <w:ind w:right="0"/>
                    <w:jc w:val="center"/>
                    <w:rPr>
                      <w:rFonts w:eastAsiaTheme="minorEastAsia"/>
                      <w:color w:val="auto"/>
                      <w:szCs w:val="18"/>
                    </w:rPr>
                  </w:pPr>
                </w:p>
              </w:tc>
              <w:tc>
                <w:tcPr>
                  <w:tcW w:w="726" w:type="dxa"/>
                  <w:vAlign w:val="center"/>
                </w:tcPr>
                <w:p w14:paraId="758E4538">
                  <w:pPr>
                    <w:pStyle w:val="12"/>
                    <w:adjustRightInd w:val="0"/>
                    <w:spacing w:before="0" w:after="0" w:line="240" w:lineRule="auto"/>
                    <w:ind w:right="0"/>
                    <w:jc w:val="center"/>
                    <w:rPr>
                      <w:rFonts w:eastAsiaTheme="minorEastAsia"/>
                      <w:color w:val="auto"/>
                      <w:szCs w:val="18"/>
                    </w:rPr>
                  </w:pPr>
                  <w:r>
                    <w:rPr>
                      <w:rFonts w:eastAsiaTheme="minorEastAsia"/>
                      <w:color w:val="auto"/>
                      <w:szCs w:val="18"/>
                    </w:rPr>
                    <w:t>声压级/dB(A)</w:t>
                  </w:r>
                </w:p>
              </w:tc>
              <w:tc>
                <w:tcPr>
                  <w:tcW w:w="581" w:type="dxa"/>
                  <w:vAlign w:val="center"/>
                </w:tcPr>
                <w:p w14:paraId="6E026489">
                  <w:pPr>
                    <w:pStyle w:val="12"/>
                    <w:adjustRightInd w:val="0"/>
                    <w:spacing w:before="0" w:after="0" w:line="240" w:lineRule="auto"/>
                    <w:ind w:right="0"/>
                    <w:jc w:val="center"/>
                    <w:rPr>
                      <w:rFonts w:eastAsiaTheme="minorEastAsia"/>
                      <w:color w:val="auto"/>
                      <w:szCs w:val="18"/>
                    </w:rPr>
                  </w:pPr>
                  <w:r>
                    <w:rPr>
                      <w:rFonts w:eastAsiaTheme="minorEastAsia"/>
                      <w:color w:val="auto"/>
                      <w:szCs w:val="18"/>
                    </w:rPr>
                    <w:t>建筑物外距离</w:t>
                  </w:r>
                  <w:r>
                    <w:rPr>
                      <w:rFonts w:hint="eastAsia" w:eastAsiaTheme="minorEastAsia"/>
                      <w:color w:val="auto"/>
                      <w:szCs w:val="18"/>
                    </w:rPr>
                    <w:t>/m</w:t>
                  </w:r>
                </w:p>
              </w:tc>
            </w:tr>
            <w:tr w14:paraId="648C4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vAlign w:val="center"/>
                </w:tcPr>
                <w:p w14:paraId="3E12C469">
                  <w:pPr>
                    <w:pStyle w:val="12"/>
                    <w:adjustRightInd w:val="0"/>
                    <w:spacing w:before="0" w:after="0" w:line="240" w:lineRule="auto"/>
                    <w:ind w:right="0"/>
                    <w:jc w:val="center"/>
                    <w:rPr>
                      <w:color w:val="auto"/>
                      <w:szCs w:val="18"/>
                    </w:rPr>
                  </w:pPr>
                  <w:r>
                    <w:rPr>
                      <w:rFonts w:hint="eastAsia"/>
                      <w:color w:val="auto"/>
                      <w:szCs w:val="21"/>
                    </w:rPr>
                    <w:t>生产车间</w:t>
                  </w:r>
                </w:p>
              </w:tc>
              <w:tc>
                <w:tcPr>
                  <w:tcW w:w="699" w:type="dxa"/>
                  <w:vAlign w:val="center"/>
                </w:tcPr>
                <w:p w14:paraId="7105C051">
                  <w:pPr>
                    <w:pStyle w:val="12"/>
                    <w:adjustRightInd w:val="0"/>
                    <w:spacing w:before="0" w:after="0" w:line="240" w:lineRule="auto"/>
                    <w:ind w:right="0"/>
                    <w:jc w:val="center"/>
                    <w:rPr>
                      <w:rFonts w:eastAsiaTheme="minorEastAsia"/>
                      <w:color w:val="auto"/>
                      <w:szCs w:val="18"/>
                    </w:rPr>
                  </w:pPr>
                  <w:r>
                    <w:rPr>
                      <w:rFonts w:hint="eastAsia"/>
                      <w:color w:val="auto"/>
                      <w:szCs w:val="21"/>
                    </w:rPr>
                    <w:t>焊管机组7</w:t>
                  </w:r>
                </w:p>
              </w:tc>
              <w:tc>
                <w:tcPr>
                  <w:tcW w:w="1316" w:type="dxa"/>
                  <w:vAlign w:val="center"/>
                </w:tcPr>
                <w:p w14:paraId="6707D3E9">
                  <w:pPr>
                    <w:pStyle w:val="12"/>
                    <w:adjustRightInd w:val="0"/>
                    <w:spacing w:before="0" w:after="0" w:line="240" w:lineRule="auto"/>
                    <w:ind w:right="0"/>
                    <w:jc w:val="center"/>
                    <w:rPr>
                      <w:color w:val="auto"/>
                      <w:kern w:val="24"/>
                      <w:szCs w:val="18"/>
                    </w:rPr>
                  </w:pPr>
                  <w:r>
                    <w:rPr>
                      <w:color w:val="auto"/>
                      <w:szCs w:val="21"/>
                    </w:rPr>
                    <w:t>85</w:t>
                  </w:r>
                </w:p>
              </w:tc>
              <w:tc>
                <w:tcPr>
                  <w:tcW w:w="0" w:type="auto"/>
                  <w:vMerge w:val="restart"/>
                  <w:vAlign w:val="center"/>
                </w:tcPr>
                <w:p w14:paraId="3259833D">
                  <w:pPr>
                    <w:pStyle w:val="12"/>
                    <w:adjustRightInd w:val="0"/>
                    <w:spacing w:before="0" w:after="0" w:line="240" w:lineRule="auto"/>
                    <w:ind w:right="0"/>
                    <w:jc w:val="center"/>
                    <w:rPr>
                      <w:rFonts w:eastAsiaTheme="minorEastAsia"/>
                      <w:color w:val="auto"/>
                      <w:sz w:val="15"/>
                      <w:szCs w:val="15"/>
                    </w:rPr>
                  </w:pPr>
                  <w:r>
                    <w:rPr>
                      <w:rFonts w:eastAsiaTheme="minorEastAsia"/>
                      <w:color w:val="auto"/>
                      <w:sz w:val="15"/>
                      <w:szCs w:val="15"/>
                    </w:rPr>
                    <w:t>基础</w:t>
                  </w:r>
                  <w:r>
                    <w:rPr>
                      <w:rFonts w:hint="eastAsia" w:eastAsiaTheme="minorEastAsia"/>
                      <w:color w:val="auto"/>
                      <w:sz w:val="15"/>
                      <w:szCs w:val="15"/>
                    </w:rPr>
                    <w:t>减振、</w:t>
                  </w:r>
                  <w:r>
                    <w:rPr>
                      <w:rFonts w:eastAsiaTheme="minorEastAsia"/>
                      <w:color w:val="auto"/>
                      <w:sz w:val="15"/>
                      <w:szCs w:val="15"/>
                    </w:rPr>
                    <w:t>厂房隔声</w:t>
                  </w:r>
                </w:p>
              </w:tc>
              <w:tc>
                <w:tcPr>
                  <w:tcW w:w="0" w:type="auto"/>
                  <w:vAlign w:val="center"/>
                </w:tcPr>
                <w:p w14:paraId="2F0C7CB9">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125.97</w:t>
                  </w:r>
                </w:p>
              </w:tc>
              <w:tc>
                <w:tcPr>
                  <w:tcW w:w="0" w:type="auto"/>
                  <w:vAlign w:val="center"/>
                </w:tcPr>
                <w:p w14:paraId="0D199C94">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117.29</w:t>
                  </w:r>
                </w:p>
              </w:tc>
              <w:tc>
                <w:tcPr>
                  <w:tcW w:w="0" w:type="auto"/>
                  <w:vAlign w:val="center"/>
                </w:tcPr>
                <w:p w14:paraId="2A98854D">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c>
                <w:tcPr>
                  <w:tcW w:w="576" w:type="dxa"/>
                  <w:vAlign w:val="center"/>
                </w:tcPr>
                <w:p w14:paraId="383EA2E8">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8</w:t>
                  </w:r>
                </w:p>
              </w:tc>
              <w:tc>
                <w:tcPr>
                  <w:tcW w:w="726" w:type="dxa"/>
                  <w:vAlign w:val="center"/>
                </w:tcPr>
                <w:p w14:paraId="55FC6024">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6</w:t>
                  </w:r>
                  <w:r>
                    <w:rPr>
                      <w:rFonts w:eastAsiaTheme="minorEastAsia"/>
                      <w:color w:val="auto"/>
                      <w:sz w:val="15"/>
                      <w:szCs w:val="15"/>
                    </w:rPr>
                    <w:t>6.9</w:t>
                  </w:r>
                </w:p>
              </w:tc>
              <w:tc>
                <w:tcPr>
                  <w:tcW w:w="0" w:type="auto"/>
                  <w:vMerge w:val="restart"/>
                  <w:vAlign w:val="center"/>
                </w:tcPr>
                <w:p w14:paraId="1BBABA81">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0</w:t>
                  </w:r>
                  <w:r>
                    <w:rPr>
                      <w:rFonts w:eastAsiaTheme="minorEastAsia"/>
                      <w:color w:val="auto"/>
                      <w:sz w:val="15"/>
                      <w:szCs w:val="15"/>
                    </w:rPr>
                    <w:t>9:</w:t>
                  </w:r>
                  <w:r>
                    <w:rPr>
                      <w:rFonts w:hint="eastAsia" w:eastAsiaTheme="minorEastAsia"/>
                      <w:color w:val="auto"/>
                      <w:sz w:val="15"/>
                      <w:szCs w:val="15"/>
                    </w:rPr>
                    <w:t>0</w:t>
                  </w:r>
                  <w:r>
                    <w:rPr>
                      <w:rFonts w:eastAsiaTheme="minorEastAsia"/>
                      <w:color w:val="auto"/>
                      <w:sz w:val="15"/>
                      <w:szCs w:val="15"/>
                    </w:rPr>
                    <w:t>0~10:00</w:t>
                  </w:r>
                </w:p>
                <w:p w14:paraId="4E013851">
                  <w:pPr>
                    <w:pStyle w:val="12"/>
                    <w:adjustRightInd w:val="0"/>
                    <w:spacing w:before="0" w:after="0" w:line="240" w:lineRule="auto"/>
                    <w:ind w:right="0"/>
                    <w:jc w:val="center"/>
                    <w:rPr>
                      <w:rFonts w:eastAsiaTheme="minorEastAsia"/>
                      <w:color w:val="auto"/>
                      <w:sz w:val="15"/>
                      <w:szCs w:val="15"/>
                    </w:rPr>
                  </w:pPr>
                  <w:r>
                    <w:rPr>
                      <w:rFonts w:eastAsiaTheme="minorEastAsia"/>
                      <w:color w:val="auto"/>
                      <w:sz w:val="15"/>
                      <w:szCs w:val="15"/>
                    </w:rPr>
                    <w:t>14:</w:t>
                  </w:r>
                  <w:r>
                    <w:rPr>
                      <w:rFonts w:hint="eastAsia" w:eastAsiaTheme="minorEastAsia"/>
                      <w:color w:val="auto"/>
                      <w:sz w:val="15"/>
                      <w:szCs w:val="15"/>
                    </w:rPr>
                    <w:t>0</w:t>
                  </w:r>
                  <w:r>
                    <w:rPr>
                      <w:rFonts w:eastAsiaTheme="minorEastAsia"/>
                      <w:color w:val="auto"/>
                      <w:sz w:val="15"/>
                      <w:szCs w:val="15"/>
                    </w:rPr>
                    <w:t>0~13:00</w:t>
                  </w:r>
                </w:p>
              </w:tc>
              <w:tc>
                <w:tcPr>
                  <w:tcW w:w="0" w:type="auto"/>
                  <w:vAlign w:val="center"/>
                </w:tcPr>
                <w:p w14:paraId="1FDA6334">
                  <w:pPr>
                    <w:pStyle w:val="12"/>
                    <w:adjustRightInd w:val="0"/>
                    <w:spacing w:before="0" w:after="0" w:line="240" w:lineRule="auto"/>
                    <w:ind w:right="0"/>
                    <w:jc w:val="center"/>
                    <w:rPr>
                      <w:rFonts w:eastAsiaTheme="minorEastAsia"/>
                      <w:color w:val="auto"/>
                      <w:sz w:val="15"/>
                      <w:szCs w:val="15"/>
                    </w:rPr>
                  </w:pPr>
                  <w:r>
                    <w:rPr>
                      <w:rFonts w:eastAsiaTheme="minorEastAsia"/>
                      <w:color w:val="auto"/>
                      <w:sz w:val="15"/>
                      <w:szCs w:val="15"/>
                    </w:rPr>
                    <w:t>21</w:t>
                  </w:r>
                </w:p>
              </w:tc>
              <w:tc>
                <w:tcPr>
                  <w:tcW w:w="726" w:type="dxa"/>
                  <w:vAlign w:val="center"/>
                </w:tcPr>
                <w:p w14:paraId="181C8B53">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4</w:t>
                  </w:r>
                  <w:r>
                    <w:rPr>
                      <w:rFonts w:eastAsiaTheme="minorEastAsia"/>
                      <w:color w:val="auto"/>
                      <w:sz w:val="15"/>
                      <w:szCs w:val="15"/>
                    </w:rPr>
                    <w:t>5.9</w:t>
                  </w:r>
                </w:p>
              </w:tc>
              <w:tc>
                <w:tcPr>
                  <w:tcW w:w="581" w:type="dxa"/>
                  <w:vAlign w:val="center"/>
                </w:tcPr>
                <w:p w14:paraId="1A19A2EE">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r>
            <w:tr w14:paraId="49246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3F1607CA">
                  <w:pPr>
                    <w:pStyle w:val="12"/>
                    <w:adjustRightInd w:val="0"/>
                    <w:spacing w:before="0" w:after="0" w:line="240" w:lineRule="auto"/>
                    <w:ind w:right="0"/>
                    <w:jc w:val="center"/>
                    <w:rPr>
                      <w:color w:val="auto"/>
                      <w:szCs w:val="21"/>
                    </w:rPr>
                  </w:pPr>
                </w:p>
              </w:tc>
              <w:tc>
                <w:tcPr>
                  <w:tcW w:w="699" w:type="dxa"/>
                  <w:vAlign w:val="center"/>
                </w:tcPr>
                <w:p w14:paraId="4B35B0D1">
                  <w:pPr>
                    <w:pStyle w:val="12"/>
                    <w:adjustRightInd w:val="0"/>
                    <w:spacing w:before="0" w:after="0" w:line="240" w:lineRule="auto"/>
                    <w:ind w:right="0"/>
                    <w:jc w:val="center"/>
                    <w:rPr>
                      <w:color w:val="auto"/>
                      <w:szCs w:val="21"/>
                    </w:rPr>
                  </w:pPr>
                  <w:r>
                    <w:rPr>
                      <w:rFonts w:hint="eastAsia"/>
                      <w:color w:val="auto"/>
                      <w:szCs w:val="21"/>
                    </w:rPr>
                    <w:t>焊管机组8</w:t>
                  </w:r>
                </w:p>
              </w:tc>
              <w:tc>
                <w:tcPr>
                  <w:tcW w:w="1316" w:type="dxa"/>
                  <w:vAlign w:val="center"/>
                </w:tcPr>
                <w:p w14:paraId="65CD12FF">
                  <w:pPr>
                    <w:pStyle w:val="12"/>
                    <w:adjustRightInd w:val="0"/>
                    <w:spacing w:before="0" w:after="0" w:line="240" w:lineRule="auto"/>
                    <w:ind w:right="0"/>
                    <w:jc w:val="center"/>
                    <w:rPr>
                      <w:color w:val="auto"/>
                      <w:szCs w:val="21"/>
                    </w:rPr>
                  </w:pPr>
                  <w:r>
                    <w:rPr>
                      <w:color w:val="auto"/>
                      <w:szCs w:val="21"/>
                    </w:rPr>
                    <w:t>85</w:t>
                  </w:r>
                </w:p>
              </w:tc>
              <w:tc>
                <w:tcPr>
                  <w:tcW w:w="0" w:type="auto"/>
                  <w:vMerge w:val="continue"/>
                  <w:vAlign w:val="center"/>
                </w:tcPr>
                <w:p w14:paraId="075EAF03">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566CA88E">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48.18</w:t>
                  </w:r>
                </w:p>
              </w:tc>
              <w:tc>
                <w:tcPr>
                  <w:tcW w:w="0" w:type="auto"/>
                  <w:vAlign w:val="center"/>
                </w:tcPr>
                <w:p w14:paraId="218B3EB5">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62.78</w:t>
                  </w:r>
                </w:p>
              </w:tc>
              <w:tc>
                <w:tcPr>
                  <w:tcW w:w="0" w:type="auto"/>
                  <w:vAlign w:val="center"/>
                </w:tcPr>
                <w:p w14:paraId="75F1678A">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c>
                <w:tcPr>
                  <w:tcW w:w="576" w:type="dxa"/>
                  <w:vAlign w:val="center"/>
                </w:tcPr>
                <w:p w14:paraId="491E0567">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8</w:t>
                  </w:r>
                </w:p>
              </w:tc>
              <w:tc>
                <w:tcPr>
                  <w:tcW w:w="726" w:type="dxa"/>
                  <w:vAlign w:val="center"/>
                </w:tcPr>
                <w:p w14:paraId="1FC22C64">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6</w:t>
                  </w:r>
                  <w:r>
                    <w:rPr>
                      <w:rFonts w:eastAsiaTheme="minorEastAsia"/>
                      <w:color w:val="auto"/>
                      <w:sz w:val="15"/>
                      <w:szCs w:val="15"/>
                    </w:rPr>
                    <w:t>6.9</w:t>
                  </w:r>
                </w:p>
              </w:tc>
              <w:tc>
                <w:tcPr>
                  <w:tcW w:w="0" w:type="auto"/>
                  <w:vMerge w:val="continue"/>
                  <w:vAlign w:val="center"/>
                </w:tcPr>
                <w:p w14:paraId="772DC859">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326BFE3C">
                  <w:pPr>
                    <w:pStyle w:val="12"/>
                    <w:adjustRightInd w:val="0"/>
                    <w:spacing w:before="0" w:after="0" w:line="240" w:lineRule="auto"/>
                    <w:ind w:right="0"/>
                    <w:jc w:val="center"/>
                    <w:rPr>
                      <w:rFonts w:eastAsiaTheme="minorEastAsia"/>
                      <w:color w:val="auto"/>
                      <w:sz w:val="15"/>
                      <w:szCs w:val="15"/>
                    </w:rPr>
                  </w:pPr>
                  <w:r>
                    <w:rPr>
                      <w:rFonts w:eastAsiaTheme="minorEastAsia"/>
                      <w:color w:val="auto"/>
                      <w:sz w:val="15"/>
                      <w:szCs w:val="15"/>
                    </w:rPr>
                    <w:t>21</w:t>
                  </w:r>
                </w:p>
              </w:tc>
              <w:tc>
                <w:tcPr>
                  <w:tcW w:w="726" w:type="dxa"/>
                  <w:vAlign w:val="center"/>
                </w:tcPr>
                <w:p w14:paraId="74052008">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4</w:t>
                  </w:r>
                  <w:r>
                    <w:rPr>
                      <w:rFonts w:eastAsiaTheme="minorEastAsia"/>
                      <w:color w:val="auto"/>
                      <w:sz w:val="15"/>
                      <w:szCs w:val="15"/>
                    </w:rPr>
                    <w:t>5.9</w:t>
                  </w:r>
                </w:p>
              </w:tc>
              <w:tc>
                <w:tcPr>
                  <w:tcW w:w="581" w:type="dxa"/>
                  <w:vAlign w:val="center"/>
                </w:tcPr>
                <w:p w14:paraId="03AAC3C1">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r>
            <w:tr w14:paraId="6A43F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781EA3DA">
                  <w:pPr>
                    <w:pStyle w:val="12"/>
                    <w:adjustRightInd w:val="0"/>
                    <w:spacing w:before="0" w:after="0" w:line="240" w:lineRule="auto"/>
                    <w:ind w:right="0"/>
                    <w:jc w:val="center"/>
                    <w:rPr>
                      <w:color w:val="auto"/>
                      <w:szCs w:val="21"/>
                    </w:rPr>
                  </w:pPr>
                </w:p>
              </w:tc>
              <w:tc>
                <w:tcPr>
                  <w:tcW w:w="699" w:type="dxa"/>
                  <w:vAlign w:val="center"/>
                </w:tcPr>
                <w:p w14:paraId="4A80D50F">
                  <w:pPr>
                    <w:pStyle w:val="12"/>
                    <w:adjustRightInd w:val="0"/>
                    <w:spacing w:before="0" w:after="0" w:line="240" w:lineRule="auto"/>
                    <w:ind w:right="0"/>
                    <w:jc w:val="center"/>
                    <w:rPr>
                      <w:color w:val="auto"/>
                      <w:szCs w:val="21"/>
                    </w:rPr>
                  </w:pPr>
                  <w:r>
                    <w:rPr>
                      <w:rFonts w:hint="eastAsia"/>
                      <w:color w:val="auto"/>
                      <w:szCs w:val="21"/>
                    </w:rPr>
                    <w:t>焊管机组9</w:t>
                  </w:r>
                </w:p>
              </w:tc>
              <w:tc>
                <w:tcPr>
                  <w:tcW w:w="1316" w:type="dxa"/>
                  <w:vAlign w:val="center"/>
                </w:tcPr>
                <w:p w14:paraId="3752DC4B">
                  <w:pPr>
                    <w:pStyle w:val="12"/>
                    <w:adjustRightInd w:val="0"/>
                    <w:spacing w:before="0" w:after="0" w:line="240" w:lineRule="auto"/>
                    <w:ind w:right="0"/>
                    <w:jc w:val="center"/>
                    <w:rPr>
                      <w:color w:val="auto"/>
                      <w:szCs w:val="21"/>
                    </w:rPr>
                  </w:pPr>
                  <w:r>
                    <w:rPr>
                      <w:color w:val="auto"/>
                      <w:szCs w:val="21"/>
                    </w:rPr>
                    <w:t>85</w:t>
                  </w:r>
                </w:p>
              </w:tc>
              <w:tc>
                <w:tcPr>
                  <w:tcW w:w="0" w:type="auto"/>
                  <w:vMerge w:val="continue"/>
                  <w:vAlign w:val="center"/>
                </w:tcPr>
                <w:p w14:paraId="00D9FD65">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45DABE7E">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30.58</w:t>
                  </w:r>
                </w:p>
              </w:tc>
              <w:tc>
                <w:tcPr>
                  <w:tcW w:w="0" w:type="auto"/>
                  <w:vAlign w:val="center"/>
                </w:tcPr>
                <w:p w14:paraId="73CAC775">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28.71</w:t>
                  </w:r>
                </w:p>
              </w:tc>
              <w:tc>
                <w:tcPr>
                  <w:tcW w:w="0" w:type="auto"/>
                  <w:vAlign w:val="center"/>
                </w:tcPr>
                <w:p w14:paraId="4552B715">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c>
                <w:tcPr>
                  <w:tcW w:w="576" w:type="dxa"/>
                  <w:vAlign w:val="center"/>
                </w:tcPr>
                <w:p w14:paraId="114689E8">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8</w:t>
                  </w:r>
                </w:p>
              </w:tc>
              <w:tc>
                <w:tcPr>
                  <w:tcW w:w="726" w:type="dxa"/>
                  <w:vAlign w:val="center"/>
                </w:tcPr>
                <w:p w14:paraId="5A2544A0">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6</w:t>
                  </w:r>
                  <w:r>
                    <w:rPr>
                      <w:rFonts w:eastAsiaTheme="minorEastAsia"/>
                      <w:color w:val="auto"/>
                      <w:sz w:val="15"/>
                      <w:szCs w:val="15"/>
                    </w:rPr>
                    <w:t>6.9</w:t>
                  </w:r>
                </w:p>
              </w:tc>
              <w:tc>
                <w:tcPr>
                  <w:tcW w:w="0" w:type="auto"/>
                  <w:vMerge w:val="continue"/>
                  <w:vAlign w:val="center"/>
                </w:tcPr>
                <w:p w14:paraId="62C68291">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748BE9B6">
                  <w:pPr>
                    <w:pStyle w:val="12"/>
                    <w:adjustRightInd w:val="0"/>
                    <w:spacing w:before="0" w:after="0" w:line="240" w:lineRule="auto"/>
                    <w:ind w:right="0"/>
                    <w:jc w:val="center"/>
                    <w:rPr>
                      <w:rFonts w:eastAsiaTheme="minorEastAsia"/>
                      <w:color w:val="auto"/>
                      <w:sz w:val="15"/>
                      <w:szCs w:val="15"/>
                    </w:rPr>
                  </w:pPr>
                  <w:r>
                    <w:rPr>
                      <w:rFonts w:eastAsiaTheme="minorEastAsia"/>
                      <w:color w:val="auto"/>
                      <w:sz w:val="15"/>
                      <w:szCs w:val="15"/>
                    </w:rPr>
                    <w:t>21</w:t>
                  </w:r>
                </w:p>
              </w:tc>
              <w:tc>
                <w:tcPr>
                  <w:tcW w:w="726" w:type="dxa"/>
                  <w:vAlign w:val="center"/>
                </w:tcPr>
                <w:p w14:paraId="3691E0AE">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4</w:t>
                  </w:r>
                  <w:r>
                    <w:rPr>
                      <w:rFonts w:eastAsiaTheme="minorEastAsia"/>
                      <w:color w:val="auto"/>
                      <w:sz w:val="15"/>
                      <w:szCs w:val="15"/>
                    </w:rPr>
                    <w:t>5.9</w:t>
                  </w:r>
                </w:p>
              </w:tc>
              <w:tc>
                <w:tcPr>
                  <w:tcW w:w="581" w:type="dxa"/>
                  <w:vAlign w:val="center"/>
                </w:tcPr>
                <w:p w14:paraId="15654CE7">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r>
            <w:tr w14:paraId="5C62F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742D15CC">
                  <w:pPr>
                    <w:pStyle w:val="12"/>
                    <w:adjustRightInd w:val="0"/>
                    <w:spacing w:before="0" w:after="0" w:line="240" w:lineRule="auto"/>
                    <w:ind w:right="0"/>
                    <w:jc w:val="center"/>
                    <w:rPr>
                      <w:color w:val="auto"/>
                      <w:szCs w:val="21"/>
                    </w:rPr>
                  </w:pPr>
                </w:p>
              </w:tc>
              <w:tc>
                <w:tcPr>
                  <w:tcW w:w="699" w:type="dxa"/>
                  <w:vAlign w:val="center"/>
                </w:tcPr>
                <w:p w14:paraId="00AA2DB2">
                  <w:pPr>
                    <w:pStyle w:val="12"/>
                    <w:adjustRightInd w:val="0"/>
                    <w:spacing w:before="0" w:after="0" w:line="240" w:lineRule="auto"/>
                    <w:ind w:right="0"/>
                    <w:jc w:val="center"/>
                    <w:rPr>
                      <w:color w:val="auto"/>
                      <w:szCs w:val="21"/>
                    </w:rPr>
                  </w:pPr>
                  <w:r>
                    <w:rPr>
                      <w:rFonts w:hint="eastAsia"/>
                      <w:color w:val="auto"/>
                      <w:szCs w:val="21"/>
                    </w:rPr>
                    <w:t>分剪机3</w:t>
                  </w:r>
                </w:p>
              </w:tc>
              <w:tc>
                <w:tcPr>
                  <w:tcW w:w="1316" w:type="dxa"/>
                  <w:vAlign w:val="center"/>
                </w:tcPr>
                <w:p w14:paraId="1BA7BF70">
                  <w:pPr>
                    <w:pStyle w:val="12"/>
                    <w:adjustRightInd w:val="0"/>
                    <w:spacing w:before="0" w:after="0" w:line="240" w:lineRule="auto"/>
                    <w:ind w:right="0"/>
                    <w:jc w:val="center"/>
                    <w:rPr>
                      <w:color w:val="auto"/>
                      <w:szCs w:val="21"/>
                    </w:rPr>
                  </w:pPr>
                  <w:r>
                    <w:rPr>
                      <w:rFonts w:hint="eastAsia"/>
                      <w:color w:val="auto"/>
                      <w:szCs w:val="21"/>
                    </w:rPr>
                    <w:t>90</w:t>
                  </w:r>
                </w:p>
              </w:tc>
              <w:tc>
                <w:tcPr>
                  <w:tcW w:w="0" w:type="auto"/>
                  <w:vMerge w:val="continue"/>
                  <w:vAlign w:val="center"/>
                </w:tcPr>
                <w:p w14:paraId="0D67E0E4">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652B4874">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95.87</w:t>
                  </w:r>
                </w:p>
              </w:tc>
              <w:tc>
                <w:tcPr>
                  <w:tcW w:w="0" w:type="auto"/>
                  <w:vAlign w:val="center"/>
                </w:tcPr>
                <w:p w14:paraId="4887867C">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149.65</w:t>
                  </w:r>
                </w:p>
              </w:tc>
              <w:tc>
                <w:tcPr>
                  <w:tcW w:w="0" w:type="auto"/>
                  <w:vAlign w:val="center"/>
                </w:tcPr>
                <w:p w14:paraId="123F1A44">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c>
                <w:tcPr>
                  <w:tcW w:w="576" w:type="dxa"/>
                  <w:vAlign w:val="center"/>
                </w:tcPr>
                <w:p w14:paraId="19DF66AA">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8</w:t>
                  </w:r>
                </w:p>
              </w:tc>
              <w:tc>
                <w:tcPr>
                  <w:tcW w:w="726" w:type="dxa"/>
                  <w:vAlign w:val="center"/>
                </w:tcPr>
                <w:p w14:paraId="2A7257EF">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64.8</w:t>
                  </w:r>
                </w:p>
              </w:tc>
              <w:tc>
                <w:tcPr>
                  <w:tcW w:w="0" w:type="auto"/>
                  <w:vMerge w:val="continue"/>
                  <w:vAlign w:val="center"/>
                </w:tcPr>
                <w:p w14:paraId="7FA42CEF">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585CC71B">
                  <w:pPr>
                    <w:pStyle w:val="12"/>
                    <w:adjustRightInd w:val="0"/>
                    <w:spacing w:before="0" w:after="0" w:line="240" w:lineRule="auto"/>
                    <w:ind w:right="0"/>
                    <w:jc w:val="center"/>
                    <w:rPr>
                      <w:rFonts w:eastAsiaTheme="minorEastAsia"/>
                      <w:color w:val="auto"/>
                      <w:sz w:val="15"/>
                      <w:szCs w:val="15"/>
                    </w:rPr>
                  </w:pPr>
                  <w:r>
                    <w:rPr>
                      <w:rFonts w:eastAsiaTheme="minorEastAsia"/>
                      <w:color w:val="auto"/>
                      <w:sz w:val="15"/>
                      <w:szCs w:val="15"/>
                    </w:rPr>
                    <w:t>21</w:t>
                  </w:r>
                </w:p>
              </w:tc>
              <w:tc>
                <w:tcPr>
                  <w:tcW w:w="726" w:type="dxa"/>
                  <w:vAlign w:val="center"/>
                </w:tcPr>
                <w:p w14:paraId="7A4F416E">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44.6</w:t>
                  </w:r>
                </w:p>
              </w:tc>
              <w:tc>
                <w:tcPr>
                  <w:tcW w:w="581" w:type="dxa"/>
                  <w:vAlign w:val="center"/>
                </w:tcPr>
                <w:p w14:paraId="4D8E0502">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r>
            <w:tr w14:paraId="6C27C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4CB5BF17">
                  <w:pPr>
                    <w:pStyle w:val="12"/>
                    <w:adjustRightInd w:val="0"/>
                    <w:spacing w:before="0" w:after="0" w:line="240" w:lineRule="auto"/>
                    <w:ind w:right="0"/>
                    <w:jc w:val="center"/>
                    <w:rPr>
                      <w:color w:val="auto"/>
                      <w:szCs w:val="21"/>
                    </w:rPr>
                  </w:pPr>
                </w:p>
              </w:tc>
              <w:tc>
                <w:tcPr>
                  <w:tcW w:w="699" w:type="dxa"/>
                  <w:vAlign w:val="center"/>
                </w:tcPr>
                <w:p w14:paraId="7370C31F">
                  <w:pPr>
                    <w:pStyle w:val="12"/>
                    <w:adjustRightInd w:val="0"/>
                    <w:spacing w:before="0" w:after="0" w:line="240" w:lineRule="auto"/>
                    <w:ind w:right="0"/>
                    <w:jc w:val="center"/>
                    <w:rPr>
                      <w:color w:val="auto"/>
                      <w:szCs w:val="21"/>
                    </w:rPr>
                  </w:pPr>
                  <w:r>
                    <w:rPr>
                      <w:rFonts w:hint="eastAsia"/>
                      <w:color w:val="auto"/>
                      <w:szCs w:val="21"/>
                    </w:rPr>
                    <w:t>分剪机4</w:t>
                  </w:r>
                </w:p>
              </w:tc>
              <w:tc>
                <w:tcPr>
                  <w:tcW w:w="1316" w:type="dxa"/>
                  <w:vAlign w:val="center"/>
                </w:tcPr>
                <w:p w14:paraId="47FA806F">
                  <w:pPr>
                    <w:pStyle w:val="12"/>
                    <w:adjustRightInd w:val="0"/>
                    <w:spacing w:before="0" w:after="0" w:line="240" w:lineRule="auto"/>
                    <w:ind w:right="0"/>
                    <w:jc w:val="center"/>
                    <w:rPr>
                      <w:color w:val="auto"/>
                      <w:szCs w:val="21"/>
                    </w:rPr>
                  </w:pPr>
                  <w:r>
                    <w:rPr>
                      <w:rFonts w:hint="eastAsia"/>
                      <w:color w:val="auto"/>
                      <w:szCs w:val="21"/>
                    </w:rPr>
                    <w:t>90</w:t>
                  </w:r>
                </w:p>
              </w:tc>
              <w:tc>
                <w:tcPr>
                  <w:tcW w:w="0" w:type="auto"/>
                  <w:vMerge w:val="continue"/>
                  <w:vAlign w:val="center"/>
                </w:tcPr>
                <w:p w14:paraId="701E0C0C">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4BC10D83">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90.77</w:t>
                  </w:r>
                </w:p>
              </w:tc>
              <w:tc>
                <w:tcPr>
                  <w:tcW w:w="0" w:type="auto"/>
                  <w:vAlign w:val="center"/>
                </w:tcPr>
                <w:p w14:paraId="48303CD2">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155.32</w:t>
                  </w:r>
                </w:p>
              </w:tc>
              <w:tc>
                <w:tcPr>
                  <w:tcW w:w="0" w:type="auto"/>
                  <w:vAlign w:val="center"/>
                </w:tcPr>
                <w:p w14:paraId="7D9A2325">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c>
                <w:tcPr>
                  <w:tcW w:w="576" w:type="dxa"/>
                  <w:vAlign w:val="center"/>
                </w:tcPr>
                <w:p w14:paraId="1D4340FF">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8</w:t>
                  </w:r>
                </w:p>
              </w:tc>
              <w:tc>
                <w:tcPr>
                  <w:tcW w:w="726" w:type="dxa"/>
                  <w:vAlign w:val="center"/>
                </w:tcPr>
                <w:p w14:paraId="38214889">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64.8</w:t>
                  </w:r>
                </w:p>
              </w:tc>
              <w:tc>
                <w:tcPr>
                  <w:tcW w:w="0" w:type="auto"/>
                  <w:vMerge w:val="continue"/>
                  <w:vAlign w:val="center"/>
                </w:tcPr>
                <w:p w14:paraId="6FE877B3">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4444F641">
                  <w:pPr>
                    <w:pStyle w:val="12"/>
                    <w:adjustRightInd w:val="0"/>
                    <w:spacing w:before="0" w:after="0" w:line="240" w:lineRule="auto"/>
                    <w:ind w:right="0"/>
                    <w:jc w:val="center"/>
                    <w:rPr>
                      <w:rFonts w:eastAsiaTheme="minorEastAsia"/>
                      <w:color w:val="auto"/>
                      <w:sz w:val="15"/>
                      <w:szCs w:val="15"/>
                    </w:rPr>
                  </w:pPr>
                  <w:r>
                    <w:rPr>
                      <w:rFonts w:eastAsiaTheme="minorEastAsia"/>
                      <w:color w:val="auto"/>
                      <w:sz w:val="15"/>
                      <w:szCs w:val="15"/>
                    </w:rPr>
                    <w:t>21</w:t>
                  </w:r>
                </w:p>
              </w:tc>
              <w:tc>
                <w:tcPr>
                  <w:tcW w:w="726" w:type="dxa"/>
                  <w:vAlign w:val="center"/>
                </w:tcPr>
                <w:p w14:paraId="24A7E891">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44.6</w:t>
                  </w:r>
                </w:p>
              </w:tc>
              <w:tc>
                <w:tcPr>
                  <w:tcW w:w="581" w:type="dxa"/>
                  <w:vAlign w:val="center"/>
                </w:tcPr>
                <w:p w14:paraId="5891CB0E">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r>
            <w:tr w14:paraId="654EA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1EDEF5E2">
                  <w:pPr>
                    <w:pStyle w:val="12"/>
                    <w:adjustRightInd w:val="0"/>
                    <w:spacing w:before="0" w:after="0" w:line="240" w:lineRule="auto"/>
                    <w:ind w:right="0"/>
                    <w:jc w:val="center"/>
                    <w:rPr>
                      <w:color w:val="auto"/>
                      <w:szCs w:val="18"/>
                    </w:rPr>
                  </w:pPr>
                </w:p>
              </w:tc>
              <w:tc>
                <w:tcPr>
                  <w:tcW w:w="699" w:type="dxa"/>
                  <w:vAlign w:val="center"/>
                </w:tcPr>
                <w:p w14:paraId="6A8BB15F">
                  <w:pPr>
                    <w:pStyle w:val="12"/>
                    <w:adjustRightInd w:val="0"/>
                    <w:spacing w:before="0" w:after="0" w:line="240" w:lineRule="auto"/>
                    <w:ind w:right="0"/>
                    <w:jc w:val="center"/>
                    <w:rPr>
                      <w:color w:val="auto"/>
                      <w:kern w:val="24"/>
                      <w:szCs w:val="21"/>
                    </w:rPr>
                  </w:pPr>
                  <w:r>
                    <w:rPr>
                      <w:rFonts w:hint="eastAsia" w:eastAsiaTheme="minorEastAsia"/>
                      <w:color w:val="auto"/>
                      <w:szCs w:val="18"/>
                    </w:rPr>
                    <w:t>开卷机7</w:t>
                  </w:r>
                </w:p>
              </w:tc>
              <w:tc>
                <w:tcPr>
                  <w:tcW w:w="1316" w:type="dxa"/>
                  <w:vAlign w:val="center"/>
                </w:tcPr>
                <w:p w14:paraId="0C20744A">
                  <w:pPr>
                    <w:pStyle w:val="12"/>
                    <w:adjustRightInd w:val="0"/>
                    <w:spacing w:before="0" w:after="0" w:line="240" w:lineRule="auto"/>
                    <w:ind w:right="0"/>
                    <w:jc w:val="center"/>
                    <w:rPr>
                      <w:color w:val="auto"/>
                      <w:szCs w:val="21"/>
                    </w:rPr>
                  </w:pPr>
                  <w:r>
                    <w:rPr>
                      <w:rFonts w:hint="eastAsia"/>
                      <w:color w:val="auto"/>
                      <w:szCs w:val="21"/>
                    </w:rPr>
                    <w:t>75</w:t>
                  </w:r>
                </w:p>
              </w:tc>
              <w:tc>
                <w:tcPr>
                  <w:tcW w:w="0" w:type="auto"/>
                  <w:vMerge w:val="continue"/>
                  <w:vAlign w:val="center"/>
                </w:tcPr>
                <w:p w14:paraId="5419E823">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00EB7BD5">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55</w:t>
                  </w:r>
                </w:p>
              </w:tc>
              <w:tc>
                <w:tcPr>
                  <w:tcW w:w="0" w:type="auto"/>
                  <w:vAlign w:val="center"/>
                </w:tcPr>
                <w:p w14:paraId="64FA4A2E">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66.19</w:t>
                  </w:r>
                </w:p>
              </w:tc>
              <w:tc>
                <w:tcPr>
                  <w:tcW w:w="0" w:type="auto"/>
                  <w:vAlign w:val="center"/>
                </w:tcPr>
                <w:p w14:paraId="70FCC291">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c>
                <w:tcPr>
                  <w:tcW w:w="576" w:type="dxa"/>
                  <w:vAlign w:val="center"/>
                </w:tcPr>
                <w:p w14:paraId="2BC123A5">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8</w:t>
                  </w:r>
                </w:p>
              </w:tc>
              <w:tc>
                <w:tcPr>
                  <w:tcW w:w="726" w:type="dxa"/>
                  <w:vAlign w:val="center"/>
                </w:tcPr>
                <w:p w14:paraId="2B814B3B">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54.8</w:t>
                  </w:r>
                </w:p>
              </w:tc>
              <w:tc>
                <w:tcPr>
                  <w:tcW w:w="0" w:type="auto"/>
                  <w:vMerge w:val="continue"/>
                  <w:vAlign w:val="center"/>
                </w:tcPr>
                <w:p w14:paraId="1A2FEB8E">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3B6C6740">
                  <w:pPr>
                    <w:pStyle w:val="12"/>
                    <w:adjustRightInd w:val="0"/>
                    <w:spacing w:before="0" w:after="0" w:line="240" w:lineRule="auto"/>
                    <w:ind w:right="0"/>
                    <w:jc w:val="center"/>
                    <w:rPr>
                      <w:rFonts w:eastAsiaTheme="minorEastAsia"/>
                      <w:color w:val="auto"/>
                      <w:sz w:val="15"/>
                      <w:szCs w:val="15"/>
                    </w:rPr>
                  </w:pPr>
                  <w:r>
                    <w:rPr>
                      <w:rFonts w:eastAsiaTheme="minorEastAsia"/>
                      <w:color w:val="auto"/>
                      <w:sz w:val="15"/>
                      <w:szCs w:val="15"/>
                    </w:rPr>
                    <w:t>21</w:t>
                  </w:r>
                </w:p>
              </w:tc>
              <w:tc>
                <w:tcPr>
                  <w:tcW w:w="726" w:type="dxa"/>
                  <w:vAlign w:val="center"/>
                </w:tcPr>
                <w:p w14:paraId="48C1D2B9">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44.6</w:t>
                  </w:r>
                </w:p>
              </w:tc>
              <w:tc>
                <w:tcPr>
                  <w:tcW w:w="581" w:type="dxa"/>
                  <w:vAlign w:val="center"/>
                </w:tcPr>
                <w:p w14:paraId="4EBDE031">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r>
            <w:tr w14:paraId="5380D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367BE497">
                  <w:pPr>
                    <w:pStyle w:val="12"/>
                    <w:adjustRightInd w:val="0"/>
                    <w:spacing w:before="0" w:after="0" w:line="240" w:lineRule="auto"/>
                    <w:ind w:right="0"/>
                    <w:jc w:val="center"/>
                    <w:rPr>
                      <w:color w:val="auto"/>
                      <w:szCs w:val="18"/>
                    </w:rPr>
                  </w:pPr>
                </w:p>
              </w:tc>
              <w:tc>
                <w:tcPr>
                  <w:tcW w:w="699" w:type="dxa"/>
                  <w:vAlign w:val="center"/>
                </w:tcPr>
                <w:p w14:paraId="49FD464D">
                  <w:pPr>
                    <w:pStyle w:val="12"/>
                    <w:adjustRightInd w:val="0"/>
                    <w:spacing w:before="0" w:after="0" w:line="240" w:lineRule="auto"/>
                    <w:ind w:right="0"/>
                    <w:jc w:val="center"/>
                    <w:rPr>
                      <w:rFonts w:eastAsiaTheme="minorEastAsia"/>
                      <w:color w:val="auto"/>
                      <w:szCs w:val="18"/>
                    </w:rPr>
                  </w:pPr>
                  <w:r>
                    <w:rPr>
                      <w:rFonts w:hint="eastAsia" w:eastAsiaTheme="minorEastAsia"/>
                      <w:color w:val="auto"/>
                      <w:szCs w:val="18"/>
                    </w:rPr>
                    <w:t>开卷机8</w:t>
                  </w:r>
                </w:p>
              </w:tc>
              <w:tc>
                <w:tcPr>
                  <w:tcW w:w="1316" w:type="dxa"/>
                  <w:vAlign w:val="center"/>
                </w:tcPr>
                <w:p w14:paraId="147EE2D3">
                  <w:pPr>
                    <w:pStyle w:val="12"/>
                    <w:adjustRightInd w:val="0"/>
                    <w:spacing w:before="0" w:after="0" w:line="240" w:lineRule="auto"/>
                    <w:ind w:right="0"/>
                    <w:jc w:val="center"/>
                    <w:rPr>
                      <w:color w:val="auto"/>
                      <w:szCs w:val="21"/>
                    </w:rPr>
                  </w:pPr>
                  <w:r>
                    <w:rPr>
                      <w:rFonts w:hint="eastAsia"/>
                      <w:color w:val="auto"/>
                      <w:szCs w:val="21"/>
                    </w:rPr>
                    <w:t>75</w:t>
                  </w:r>
                </w:p>
              </w:tc>
              <w:tc>
                <w:tcPr>
                  <w:tcW w:w="0" w:type="auto"/>
                  <w:vMerge w:val="continue"/>
                  <w:vAlign w:val="center"/>
                </w:tcPr>
                <w:p w14:paraId="62D06CE0">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70EDBE5D">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120.28</w:t>
                  </w:r>
                </w:p>
              </w:tc>
              <w:tc>
                <w:tcPr>
                  <w:tcW w:w="0" w:type="auto"/>
                  <w:vAlign w:val="center"/>
                </w:tcPr>
                <w:p w14:paraId="6BACF2B0">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120.12</w:t>
                  </w:r>
                </w:p>
              </w:tc>
              <w:tc>
                <w:tcPr>
                  <w:tcW w:w="0" w:type="auto"/>
                  <w:vAlign w:val="center"/>
                </w:tcPr>
                <w:p w14:paraId="64E74258">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c>
                <w:tcPr>
                  <w:tcW w:w="576" w:type="dxa"/>
                  <w:vAlign w:val="center"/>
                </w:tcPr>
                <w:p w14:paraId="16E92647">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8</w:t>
                  </w:r>
                </w:p>
              </w:tc>
              <w:tc>
                <w:tcPr>
                  <w:tcW w:w="726" w:type="dxa"/>
                  <w:vAlign w:val="center"/>
                </w:tcPr>
                <w:p w14:paraId="096E3263">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54.8</w:t>
                  </w:r>
                </w:p>
              </w:tc>
              <w:tc>
                <w:tcPr>
                  <w:tcW w:w="0" w:type="auto"/>
                  <w:vMerge w:val="continue"/>
                  <w:vAlign w:val="center"/>
                </w:tcPr>
                <w:p w14:paraId="638FA31B">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187123EB">
                  <w:pPr>
                    <w:pStyle w:val="12"/>
                    <w:adjustRightInd w:val="0"/>
                    <w:spacing w:before="0" w:after="0" w:line="240" w:lineRule="auto"/>
                    <w:ind w:right="0"/>
                    <w:jc w:val="center"/>
                    <w:rPr>
                      <w:rFonts w:eastAsiaTheme="minorEastAsia"/>
                      <w:color w:val="auto"/>
                      <w:sz w:val="15"/>
                      <w:szCs w:val="15"/>
                    </w:rPr>
                  </w:pPr>
                  <w:r>
                    <w:rPr>
                      <w:rFonts w:eastAsiaTheme="minorEastAsia"/>
                      <w:color w:val="auto"/>
                      <w:sz w:val="15"/>
                      <w:szCs w:val="15"/>
                    </w:rPr>
                    <w:t>21</w:t>
                  </w:r>
                </w:p>
              </w:tc>
              <w:tc>
                <w:tcPr>
                  <w:tcW w:w="726" w:type="dxa"/>
                  <w:vAlign w:val="center"/>
                </w:tcPr>
                <w:p w14:paraId="477BB16F">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44.6</w:t>
                  </w:r>
                </w:p>
              </w:tc>
              <w:tc>
                <w:tcPr>
                  <w:tcW w:w="581" w:type="dxa"/>
                  <w:vAlign w:val="center"/>
                </w:tcPr>
                <w:p w14:paraId="6F52B89A">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r>
            <w:tr w14:paraId="3C949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0B1B224D">
                  <w:pPr>
                    <w:pStyle w:val="12"/>
                    <w:adjustRightInd w:val="0"/>
                    <w:spacing w:before="0" w:after="0" w:line="240" w:lineRule="auto"/>
                    <w:ind w:right="0"/>
                    <w:jc w:val="center"/>
                    <w:rPr>
                      <w:color w:val="auto"/>
                      <w:szCs w:val="18"/>
                    </w:rPr>
                  </w:pPr>
                </w:p>
              </w:tc>
              <w:tc>
                <w:tcPr>
                  <w:tcW w:w="699" w:type="dxa"/>
                  <w:vAlign w:val="center"/>
                </w:tcPr>
                <w:p w14:paraId="2AFFA037">
                  <w:pPr>
                    <w:pStyle w:val="12"/>
                    <w:adjustRightInd w:val="0"/>
                    <w:spacing w:before="0" w:after="0" w:line="240" w:lineRule="auto"/>
                    <w:ind w:right="0"/>
                    <w:jc w:val="center"/>
                    <w:rPr>
                      <w:color w:val="auto"/>
                      <w:kern w:val="24"/>
                      <w:szCs w:val="21"/>
                    </w:rPr>
                  </w:pPr>
                  <w:r>
                    <w:rPr>
                      <w:rFonts w:hint="eastAsia" w:eastAsiaTheme="minorEastAsia"/>
                      <w:color w:val="auto"/>
                      <w:szCs w:val="18"/>
                    </w:rPr>
                    <w:t>开卷机9</w:t>
                  </w:r>
                </w:p>
              </w:tc>
              <w:tc>
                <w:tcPr>
                  <w:tcW w:w="1316" w:type="dxa"/>
                  <w:vAlign w:val="center"/>
                </w:tcPr>
                <w:p w14:paraId="2BB23952">
                  <w:pPr>
                    <w:pStyle w:val="12"/>
                    <w:adjustRightInd w:val="0"/>
                    <w:spacing w:before="0" w:after="0" w:line="240" w:lineRule="auto"/>
                    <w:ind w:right="0"/>
                    <w:jc w:val="center"/>
                    <w:rPr>
                      <w:color w:val="auto"/>
                      <w:szCs w:val="21"/>
                    </w:rPr>
                  </w:pPr>
                  <w:r>
                    <w:rPr>
                      <w:rFonts w:hint="eastAsia"/>
                      <w:color w:val="auto"/>
                      <w:szCs w:val="21"/>
                    </w:rPr>
                    <w:t>75</w:t>
                  </w:r>
                </w:p>
              </w:tc>
              <w:tc>
                <w:tcPr>
                  <w:tcW w:w="0" w:type="auto"/>
                  <w:vMerge w:val="continue"/>
                  <w:vAlign w:val="center"/>
                </w:tcPr>
                <w:p w14:paraId="6F4DC25F">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1526B093">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35.69</w:t>
                  </w:r>
                </w:p>
              </w:tc>
              <w:tc>
                <w:tcPr>
                  <w:tcW w:w="0" w:type="auto"/>
                  <w:vAlign w:val="center"/>
                </w:tcPr>
                <w:p w14:paraId="0850A6D6">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28.15</w:t>
                  </w:r>
                </w:p>
              </w:tc>
              <w:tc>
                <w:tcPr>
                  <w:tcW w:w="0" w:type="auto"/>
                  <w:vAlign w:val="center"/>
                </w:tcPr>
                <w:p w14:paraId="191D1265">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c>
                <w:tcPr>
                  <w:tcW w:w="576" w:type="dxa"/>
                  <w:vAlign w:val="center"/>
                </w:tcPr>
                <w:p w14:paraId="0B577E71">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8</w:t>
                  </w:r>
                </w:p>
              </w:tc>
              <w:tc>
                <w:tcPr>
                  <w:tcW w:w="726" w:type="dxa"/>
                  <w:vAlign w:val="center"/>
                </w:tcPr>
                <w:p w14:paraId="369A6F0C">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54.8</w:t>
                  </w:r>
                </w:p>
              </w:tc>
              <w:tc>
                <w:tcPr>
                  <w:tcW w:w="0" w:type="auto"/>
                  <w:vMerge w:val="continue"/>
                  <w:vAlign w:val="center"/>
                </w:tcPr>
                <w:p w14:paraId="5DA2E976">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4DE3465B">
                  <w:pPr>
                    <w:pStyle w:val="12"/>
                    <w:adjustRightInd w:val="0"/>
                    <w:spacing w:before="0" w:after="0" w:line="240" w:lineRule="auto"/>
                    <w:ind w:right="0"/>
                    <w:jc w:val="center"/>
                    <w:rPr>
                      <w:rFonts w:eastAsiaTheme="minorEastAsia"/>
                      <w:color w:val="auto"/>
                      <w:sz w:val="15"/>
                      <w:szCs w:val="15"/>
                    </w:rPr>
                  </w:pPr>
                  <w:r>
                    <w:rPr>
                      <w:rFonts w:eastAsiaTheme="minorEastAsia"/>
                      <w:color w:val="auto"/>
                      <w:sz w:val="15"/>
                      <w:szCs w:val="15"/>
                    </w:rPr>
                    <w:t>21</w:t>
                  </w:r>
                </w:p>
              </w:tc>
              <w:tc>
                <w:tcPr>
                  <w:tcW w:w="726" w:type="dxa"/>
                  <w:vAlign w:val="center"/>
                </w:tcPr>
                <w:p w14:paraId="230EFFE1">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44.6</w:t>
                  </w:r>
                </w:p>
              </w:tc>
              <w:tc>
                <w:tcPr>
                  <w:tcW w:w="581" w:type="dxa"/>
                  <w:vAlign w:val="center"/>
                </w:tcPr>
                <w:p w14:paraId="117B2705">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r>
            <w:tr w14:paraId="3CDBE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2231F0EB">
                  <w:pPr>
                    <w:pStyle w:val="12"/>
                    <w:adjustRightInd w:val="0"/>
                    <w:spacing w:before="0" w:after="0" w:line="240" w:lineRule="auto"/>
                    <w:ind w:right="0"/>
                    <w:jc w:val="center"/>
                    <w:rPr>
                      <w:color w:val="auto"/>
                      <w:szCs w:val="18"/>
                    </w:rPr>
                  </w:pPr>
                </w:p>
              </w:tc>
              <w:tc>
                <w:tcPr>
                  <w:tcW w:w="699" w:type="dxa"/>
                  <w:vAlign w:val="center"/>
                </w:tcPr>
                <w:p w14:paraId="70F42F3A">
                  <w:pPr>
                    <w:pStyle w:val="12"/>
                    <w:adjustRightInd w:val="0"/>
                    <w:spacing w:before="0" w:after="0" w:line="240" w:lineRule="auto"/>
                    <w:ind w:right="0"/>
                    <w:jc w:val="center"/>
                    <w:rPr>
                      <w:color w:val="auto"/>
                      <w:szCs w:val="21"/>
                    </w:rPr>
                  </w:pPr>
                  <w:r>
                    <w:rPr>
                      <w:color w:val="auto"/>
                      <w:szCs w:val="21"/>
                    </w:rPr>
                    <w:t>飞锯</w:t>
                  </w:r>
                  <w:r>
                    <w:rPr>
                      <w:rFonts w:hint="eastAsia"/>
                      <w:color w:val="auto"/>
                      <w:szCs w:val="21"/>
                    </w:rPr>
                    <w:t>7</w:t>
                  </w:r>
                </w:p>
              </w:tc>
              <w:tc>
                <w:tcPr>
                  <w:tcW w:w="1316" w:type="dxa"/>
                  <w:vAlign w:val="center"/>
                </w:tcPr>
                <w:p w14:paraId="62C4A553">
                  <w:pPr>
                    <w:pStyle w:val="12"/>
                    <w:adjustRightInd w:val="0"/>
                    <w:spacing w:before="0" w:after="0" w:line="240" w:lineRule="auto"/>
                    <w:ind w:right="0"/>
                    <w:jc w:val="center"/>
                    <w:rPr>
                      <w:color w:val="auto"/>
                      <w:szCs w:val="21"/>
                    </w:rPr>
                  </w:pPr>
                  <w:r>
                    <w:rPr>
                      <w:rFonts w:hint="eastAsia"/>
                      <w:color w:val="auto"/>
                      <w:szCs w:val="21"/>
                    </w:rPr>
                    <w:t>90</w:t>
                  </w:r>
                </w:p>
              </w:tc>
              <w:tc>
                <w:tcPr>
                  <w:tcW w:w="0" w:type="auto"/>
                  <w:vMerge w:val="continue"/>
                  <w:vAlign w:val="center"/>
                </w:tcPr>
                <w:p w14:paraId="2D0758AA">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0DE140BC">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52.24</w:t>
                  </w:r>
                </w:p>
              </w:tc>
              <w:tc>
                <w:tcPr>
                  <w:tcW w:w="0" w:type="auto"/>
                  <w:vAlign w:val="center"/>
                </w:tcPr>
                <w:p w14:paraId="157D3102">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59.62</w:t>
                  </w:r>
                </w:p>
              </w:tc>
              <w:tc>
                <w:tcPr>
                  <w:tcW w:w="0" w:type="auto"/>
                  <w:vAlign w:val="center"/>
                </w:tcPr>
                <w:p w14:paraId="7ECDE2DA">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c>
                <w:tcPr>
                  <w:tcW w:w="576" w:type="dxa"/>
                  <w:vAlign w:val="center"/>
                </w:tcPr>
                <w:p w14:paraId="3B84D030">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7</w:t>
                  </w:r>
                </w:p>
              </w:tc>
              <w:tc>
                <w:tcPr>
                  <w:tcW w:w="726" w:type="dxa"/>
                  <w:vAlign w:val="center"/>
                </w:tcPr>
                <w:p w14:paraId="7133992D">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6</w:t>
                  </w:r>
                  <w:r>
                    <w:rPr>
                      <w:rFonts w:eastAsiaTheme="minorEastAsia"/>
                      <w:color w:val="auto"/>
                      <w:sz w:val="15"/>
                      <w:szCs w:val="15"/>
                    </w:rPr>
                    <w:t>8.1</w:t>
                  </w:r>
                </w:p>
              </w:tc>
              <w:tc>
                <w:tcPr>
                  <w:tcW w:w="0" w:type="auto"/>
                  <w:vMerge w:val="continue"/>
                  <w:vAlign w:val="center"/>
                </w:tcPr>
                <w:p w14:paraId="63884816">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7E424DD4">
                  <w:pPr>
                    <w:pStyle w:val="12"/>
                    <w:adjustRightInd w:val="0"/>
                    <w:spacing w:before="0" w:after="0" w:line="240" w:lineRule="auto"/>
                    <w:ind w:right="0"/>
                    <w:jc w:val="center"/>
                    <w:rPr>
                      <w:rFonts w:eastAsiaTheme="minorEastAsia"/>
                      <w:color w:val="auto"/>
                      <w:sz w:val="15"/>
                      <w:szCs w:val="15"/>
                    </w:rPr>
                  </w:pPr>
                  <w:r>
                    <w:rPr>
                      <w:rFonts w:eastAsiaTheme="minorEastAsia"/>
                      <w:color w:val="auto"/>
                      <w:sz w:val="15"/>
                      <w:szCs w:val="15"/>
                    </w:rPr>
                    <w:t>21</w:t>
                  </w:r>
                </w:p>
              </w:tc>
              <w:tc>
                <w:tcPr>
                  <w:tcW w:w="726" w:type="dxa"/>
                  <w:vAlign w:val="center"/>
                </w:tcPr>
                <w:p w14:paraId="50B0B60D">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4</w:t>
                  </w:r>
                  <w:r>
                    <w:rPr>
                      <w:rFonts w:eastAsiaTheme="minorEastAsia"/>
                      <w:color w:val="auto"/>
                      <w:sz w:val="15"/>
                      <w:szCs w:val="15"/>
                    </w:rPr>
                    <w:t>7.1</w:t>
                  </w:r>
                </w:p>
              </w:tc>
              <w:tc>
                <w:tcPr>
                  <w:tcW w:w="581" w:type="dxa"/>
                  <w:vAlign w:val="center"/>
                </w:tcPr>
                <w:p w14:paraId="2644EA44">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r>
            <w:tr w14:paraId="698CE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45AA8C8E">
                  <w:pPr>
                    <w:pStyle w:val="12"/>
                    <w:adjustRightInd w:val="0"/>
                    <w:spacing w:before="0" w:after="0" w:line="240" w:lineRule="auto"/>
                    <w:ind w:right="0"/>
                    <w:jc w:val="center"/>
                    <w:rPr>
                      <w:color w:val="auto"/>
                      <w:szCs w:val="18"/>
                    </w:rPr>
                  </w:pPr>
                </w:p>
              </w:tc>
              <w:tc>
                <w:tcPr>
                  <w:tcW w:w="699" w:type="dxa"/>
                  <w:vAlign w:val="center"/>
                </w:tcPr>
                <w:p w14:paraId="3ADEED17">
                  <w:pPr>
                    <w:pStyle w:val="12"/>
                    <w:adjustRightInd w:val="0"/>
                    <w:spacing w:before="0" w:after="0" w:line="240" w:lineRule="auto"/>
                    <w:ind w:right="0"/>
                    <w:jc w:val="center"/>
                    <w:rPr>
                      <w:color w:val="auto"/>
                      <w:szCs w:val="21"/>
                    </w:rPr>
                  </w:pPr>
                  <w:r>
                    <w:rPr>
                      <w:color w:val="auto"/>
                      <w:szCs w:val="21"/>
                    </w:rPr>
                    <w:t>飞锯</w:t>
                  </w:r>
                  <w:r>
                    <w:rPr>
                      <w:rFonts w:hint="eastAsia"/>
                      <w:color w:val="auto"/>
                      <w:szCs w:val="21"/>
                    </w:rPr>
                    <w:t>8</w:t>
                  </w:r>
                </w:p>
              </w:tc>
              <w:tc>
                <w:tcPr>
                  <w:tcW w:w="1316" w:type="dxa"/>
                  <w:vAlign w:val="center"/>
                </w:tcPr>
                <w:p w14:paraId="153A6C77">
                  <w:pPr>
                    <w:pStyle w:val="12"/>
                    <w:adjustRightInd w:val="0"/>
                    <w:spacing w:before="0" w:after="0" w:line="240" w:lineRule="auto"/>
                    <w:ind w:right="0"/>
                    <w:jc w:val="center"/>
                    <w:rPr>
                      <w:color w:val="auto"/>
                      <w:szCs w:val="21"/>
                    </w:rPr>
                  </w:pPr>
                  <w:r>
                    <w:rPr>
                      <w:rFonts w:hint="eastAsia"/>
                      <w:color w:val="auto"/>
                      <w:szCs w:val="21"/>
                    </w:rPr>
                    <w:t>90</w:t>
                  </w:r>
                </w:p>
              </w:tc>
              <w:tc>
                <w:tcPr>
                  <w:tcW w:w="0" w:type="auto"/>
                  <w:vMerge w:val="continue"/>
                  <w:vAlign w:val="center"/>
                </w:tcPr>
                <w:p w14:paraId="7D5FD44A">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60600A86">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34.63</w:t>
                  </w:r>
                </w:p>
              </w:tc>
              <w:tc>
                <w:tcPr>
                  <w:tcW w:w="0" w:type="auto"/>
                  <w:vAlign w:val="center"/>
                </w:tcPr>
                <w:p w14:paraId="5F80A965">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31.8</w:t>
                  </w:r>
                </w:p>
              </w:tc>
              <w:tc>
                <w:tcPr>
                  <w:tcW w:w="0" w:type="auto"/>
                  <w:vAlign w:val="center"/>
                </w:tcPr>
                <w:p w14:paraId="65EF650D">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c>
                <w:tcPr>
                  <w:tcW w:w="576" w:type="dxa"/>
                  <w:vAlign w:val="center"/>
                </w:tcPr>
                <w:p w14:paraId="2C048A00">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7</w:t>
                  </w:r>
                </w:p>
              </w:tc>
              <w:tc>
                <w:tcPr>
                  <w:tcW w:w="726" w:type="dxa"/>
                  <w:vAlign w:val="center"/>
                </w:tcPr>
                <w:p w14:paraId="452EF984">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6</w:t>
                  </w:r>
                  <w:r>
                    <w:rPr>
                      <w:rFonts w:eastAsiaTheme="minorEastAsia"/>
                      <w:color w:val="auto"/>
                      <w:sz w:val="15"/>
                      <w:szCs w:val="15"/>
                    </w:rPr>
                    <w:t>8.1</w:t>
                  </w:r>
                </w:p>
              </w:tc>
              <w:tc>
                <w:tcPr>
                  <w:tcW w:w="0" w:type="auto"/>
                  <w:vMerge w:val="continue"/>
                  <w:vAlign w:val="center"/>
                </w:tcPr>
                <w:p w14:paraId="36271CCA">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15883113">
                  <w:pPr>
                    <w:pStyle w:val="12"/>
                    <w:adjustRightInd w:val="0"/>
                    <w:spacing w:before="0" w:after="0" w:line="240" w:lineRule="auto"/>
                    <w:ind w:right="0"/>
                    <w:jc w:val="center"/>
                    <w:rPr>
                      <w:rFonts w:eastAsiaTheme="minorEastAsia"/>
                      <w:color w:val="auto"/>
                      <w:sz w:val="15"/>
                      <w:szCs w:val="15"/>
                    </w:rPr>
                  </w:pPr>
                  <w:r>
                    <w:rPr>
                      <w:rFonts w:eastAsiaTheme="minorEastAsia"/>
                      <w:color w:val="auto"/>
                      <w:sz w:val="15"/>
                      <w:szCs w:val="15"/>
                    </w:rPr>
                    <w:t>21</w:t>
                  </w:r>
                </w:p>
              </w:tc>
              <w:tc>
                <w:tcPr>
                  <w:tcW w:w="726" w:type="dxa"/>
                  <w:vAlign w:val="center"/>
                </w:tcPr>
                <w:p w14:paraId="24CF6884">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4</w:t>
                  </w:r>
                  <w:r>
                    <w:rPr>
                      <w:rFonts w:eastAsiaTheme="minorEastAsia"/>
                      <w:color w:val="auto"/>
                      <w:sz w:val="15"/>
                      <w:szCs w:val="15"/>
                    </w:rPr>
                    <w:t>7.1</w:t>
                  </w:r>
                </w:p>
              </w:tc>
              <w:tc>
                <w:tcPr>
                  <w:tcW w:w="581" w:type="dxa"/>
                  <w:vAlign w:val="center"/>
                </w:tcPr>
                <w:p w14:paraId="43E955C9">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r>
            <w:tr w14:paraId="570CC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496C4DBB">
                  <w:pPr>
                    <w:pStyle w:val="12"/>
                    <w:adjustRightInd w:val="0"/>
                    <w:spacing w:before="0" w:after="0" w:line="240" w:lineRule="auto"/>
                    <w:ind w:right="0"/>
                    <w:jc w:val="center"/>
                    <w:rPr>
                      <w:color w:val="auto"/>
                      <w:szCs w:val="18"/>
                    </w:rPr>
                  </w:pPr>
                </w:p>
              </w:tc>
              <w:tc>
                <w:tcPr>
                  <w:tcW w:w="699" w:type="dxa"/>
                  <w:vAlign w:val="center"/>
                </w:tcPr>
                <w:p w14:paraId="5AEEDFF7">
                  <w:pPr>
                    <w:pStyle w:val="12"/>
                    <w:adjustRightInd w:val="0"/>
                    <w:spacing w:before="0" w:after="0" w:line="240" w:lineRule="auto"/>
                    <w:ind w:right="0"/>
                    <w:jc w:val="center"/>
                    <w:rPr>
                      <w:color w:val="auto"/>
                      <w:szCs w:val="21"/>
                    </w:rPr>
                  </w:pPr>
                  <w:r>
                    <w:rPr>
                      <w:color w:val="auto"/>
                      <w:szCs w:val="21"/>
                    </w:rPr>
                    <w:t>飞锯</w:t>
                  </w:r>
                  <w:r>
                    <w:rPr>
                      <w:rFonts w:hint="eastAsia"/>
                      <w:color w:val="auto"/>
                      <w:szCs w:val="21"/>
                    </w:rPr>
                    <w:t>9</w:t>
                  </w:r>
                </w:p>
              </w:tc>
              <w:tc>
                <w:tcPr>
                  <w:tcW w:w="1316" w:type="dxa"/>
                  <w:vAlign w:val="center"/>
                </w:tcPr>
                <w:p w14:paraId="1912E930">
                  <w:pPr>
                    <w:pStyle w:val="12"/>
                    <w:adjustRightInd w:val="0"/>
                    <w:spacing w:before="0" w:after="0" w:line="240" w:lineRule="auto"/>
                    <w:ind w:right="0"/>
                    <w:jc w:val="center"/>
                    <w:rPr>
                      <w:color w:val="auto"/>
                      <w:szCs w:val="21"/>
                    </w:rPr>
                  </w:pPr>
                  <w:r>
                    <w:rPr>
                      <w:rFonts w:hint="eastAsia"/>
                      <w:color w:val="auto"/>
                      <w:szCs w:val="21"/>
                    </w:rPr>
                    <w:t>90</w:t>
                  </w:r>
                </w:p>
              </w:tc>
              <w:tc>
                <w:tcPr>
                  <w:tcW w:w="0" w:type="auto"/>
                  <w:vMerge w:val="continue"/>
                  <w:vAlign w:val="center"/>
                </w:tcPr>
                <w:p w14:paraId="0588A3D8">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66023AEE">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120.93</w:t>
                  </w:r>
                </w:p>
              </w:tc>
              <w:tc>
                <w:tcPr>
                  <w:tcW w:w="0" w:type="auto"/>
                  <w:vAlign w:val="center"/>
                </w:tcPr>
                <w:p w14:paraId="7E9BB5C4">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115.26</w:t>
                  </w:r>
                </w:p>
              </w:tc>
              <w:tc>
                <w:tcPr>
                  <w:tcW w:w="0" w:type="auto"/>
                  <w:vAlign w:val="center"/>
                </w:tcPr>
                <w:p w14:paraId="36992354">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c>
                <w:tcPr>
                  <w:tcW w:w="576" w:type="dxa"/>
                  <w:vAlign w:val="center"/>
                </w:tcPr>
                <w:p w14:paraId="2BED2290">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7</w:t>
                  </w:r>
                </w:p>
              </w:tc>
              <w:tc>
                <w:tcPr>
                  <w:tcW w:w="726" w:type="dxa"/>
                  <w:vAlign w:val="center"/>
                </w:tcPr>
                <w:p w14:paraId="4353A802">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6</w:t>
                  </w:r>
                  <w:r>
                    <w:rPr>
                      <w:rFonts w:eastAsiaTheme="minorEastAsia"/>
                      <w:color w:val="auto"/>
                      <w:sz w:val="15"/>
                      <w:szCs w:val="15"/>
                    </w:rPr>
                    <w:t>8.1</w:t>
                  </w:r>
                </w:p>
              </w:tc>
              <w:tc>
                <w:tcPr>
                  <w:tcW w:w="0" w:type="auto"/>
                  <w:vMerge w:val="continue"/>
                  <w:vAlign w:val="center"/>
                </w:tcPr>
                <w:p w14:paraId="7B612951">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597B0B66">
                  <w:pPr>
                    <w:pStyle w:val="12"/>
                    <w:adjustRightInd w:val="0"/>
                    <w:spacing w:before="0" w:after="0" w:line="240" w:lineRule="auto"/>
                    <w:ind w:right="0"/>
                    <w:jc w:val="center"/>
                    <w:rPr>
                      <w:rFonts w:eastAsiaTheme="minorEastAsia"/>
                      <w:color w:val="auto"/>
                      <w:sz w:val="15"/>
                      <w:szCs w:val="15"/>
                    </w:rPr>
                  </w:pPr>
                  <w:r>
                    <w:rPr>
                      <w:rFonts w:eastAsiaTheme="minorEastAsia"/>
                      <w:color w:val="auto"/>
                      <w:sz w:val="15"/>
                      <w:szCs w:val="15"/>
                    </w:rPr>
                    <w:t>21</w:t>
                  </w:r>
                </w:p>
              </w:tc>
              <w:tc>
                <w:tcPr>
                  <w:tcW w:w="726" w:type="dxa"/>
                  <w:vAlign w:val="center"/>
                </w:tcPr>
                <w:p w14:paraId="60713560">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4</w:t>
                  </w:r>
                  <w:r>
                    <w:rPr>
                      <w:rFonts w:eastAsiaTheme="minorEastAsia"/>
                      <w:color w:val="auto"/>
                      <w:sz w:val="15"/>
                      <w:szCs w:val="15"/>
                    </w:rPr>
                    <w:t>7.1</w:t>
                  </w:r>
                </w:p>
              </w:tc>
              <w:tc>
                <w:tcPr>
                  <w:tcW w:w="581" w:type="dxa"/>
                  <w:vAlign w:val="center"/>
                </w:tcPr>
                <w:p w14:paraId="72197E3C">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r>
            <w:tr w14:paraId="7FAD4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7E0B54AF">
                  <w:pPr>
                    <w:pStyle w:val="12"/>
                    <w:adjustRightInd w:val="0"/>
                    <w:spacing w:before="0" w:after="0" w:line="240" w:lineRule="auto"/>
                    <w:ind w:right="0"/>
                    <w:jc w:val="center"/>
                    <w:rPr>
                      <w:color w:val="auto"/>
                      <w:szCs w:val="18"/>
                    </w:rPr>
                  </w:pPr>
                </w:p>
              </w:tc>
              <w:tc>
                <w:tcPr>
                  <w:tcW w:w="699" w:type="dxa"/>
                  <w:vAlign w:val="center"/>
                </w:tcPr>
                <w:p w14:paraId="13BCC5A6">
                  <w:pPr>
                    <w:pStyle w:val="12"/>
                    <w:adjustRightInd w:val="0"/>
                    <w:spacing w:before="0" w:after="0" w:line="240" w:lineRule="auto"/>
                    <w:ind w:right="0"/>
                    <w:jc w:val="center"/>
                    <w:rPr>
                      <w:color w:val="auto"/>
                      <w:szCs w:val="21"/>
                      <w:lang w:bidi="ar"/>
                    </w:rPr>
                  </w:pPr>
                  <w:r>
                    <w:rPr>
                      <w:rFonts w:hint="eastAsia"/>
                      <w:color w:val="auto"/>
                      <w:szCs w:val="21"/>
                      <w:lang w:bidi="ar"/>
                    </w:rPr>
                    <w:t>风机</w:t>
                  </w:r>
                  <w:r>
                    <w:rPr>
                      <w:color w:val="auto"/>
                      <w:szCs w:val="21"/>
                    </w:rPr>
                    <w:t>1</w:t>
                  </w:r>
                </w:p>
              </w:tc>
              <w:tc>
                <w:tcPr>
                  <w:tcW w:w="1316" w:type="dxa"/>
                  <w:vAlign w:val="center"/>
                </w:tcPr>
                <w:p w14:paraId="627BE7A3">
                  <w:pPr>
                    <w:pStyle w:val="12"/>
                    <w:adjustRightInd w:val="0"/>
                    <w:spacing w:before="0" w:after="0" w:line="240" w:lineRule="auto"/>
                    <w:ind w:right="0"/>
                    <w:jc w:val="center"/>
                    <w:rPr>
                      <w:color w:val="auto"/>
                      <w:kern w:val="24"/>
                      <w:szCs w:val="18"/>
                    </w:rPr>
                  </w:pPr>
                  <w:r>
                    <w:rPr>
                      <w:color w:val="auto"/>
                      <w:szCs w:val="21"/>
                    </w:rPr>
                    <w:t>85</w:t>
                  </w:r>
                </w:p>
              </w:tc>
              <w:tc>
                <w:tcPr>
                  <w:tcW w:w="0" w:type="auto"/>
                  <w:vMerge w:val="restart"/>
                  <w:vAlign w:val="center"/>
                </w:tcPr>
                <w:p w14:paraId="46724DC7">
                  <w:pPr>
                    <w:pStyle w:val="12"/>
                    <w:adjustRightInd w:val="0"/>
                    <w:spacing w:before="0" w:after="0" w:line="240" w:lineRule="auto"/>
                    <w:ind w:right="0"/>
                    <w:jc w:val="center"/>
                    <w:rPr>
                      <w:rFonts w:eastAsiaTheme="minorEastAsia"/>
                      <w:color w:val="auto"/>
                      <w:sz w:val="15"/>
                      <w:szCs w:val="15"/>
                    </w:rPr>
                  </w:pPr>
                  <w:r>
                    <w:rPr>
                      <w:rFonts w:eastAsiaTheme="minorEastAsia"/>
                      <w:color w:val="auto"/>
                      <w:sz w:val="15"/>
                      <w:szCs w:val="15"/>
                    </w:rPr>
                    <w:t>基础减震</w:t>
                  </w:r>
                  <w:r>
                    <w:rPr>
                      <w:rFonts w:hint="eastAsia" w:eastAsiaTheme="minorEastAsia"/>
                      <w:color w:val="auto"/>
                      <w:sz w:val="15"/>
                      <w:szCs w:val="15"/>
                    </w:rPr>
                    <w:t>、</w:t>
                  </w:r>
                  <w:r>
                    <w:rPr>
                      <w:rFonts w:eastAsiaTheme="minorEastAsia"/>
                      <w:color w:val="auto"/>
                      <w:sz w:val="15"/>
                      <w:szCs w:val="15"/>
                    </w:rPr>
                    <w:t>厂房隔声、进风口消</w:t>
                  </w:r>
                  <w:r>
                    <w:rPr>
                      <w:rFonts w:hint="eastAsia" w:eastAsiaTheme="minorEastAsia"/>
                      <w:color w:val="auto"/>
                      <w:sz w:val="15"/>
                      <w:szCs w:val="15"/>
                    </w:rPr>
                    <w:t>声</w:t>
                  </w:r>
                  <w:r>
                    <w:rPr>
                      <w:rFonts w:eastAsiaTheme="minorEastAsia"/>
                      <w:color w:val="auto"/>
                      <w:sz w:val="15"/>
                      <w:szCs w:val="15"/>
                    </w:rPr>
                    <w:t>器</w:t>
                  </w:r>
                </w:p>
              </w:tc>
              <w:tc>
                <w:tcPr>
                  <w:tcW w:w="0" w:type="auto"/>
                  <w:vAlign w:val="center"/>
                </w:tcPr>
                <w:p w14:paraId="2A1EA4E9">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74.37</w:t>
                  </w:r>
                </w:p>
              </w:tc>
              <w:tc>
                <w:tcPr>
                  <w:tcW w:w="0" w:type="auto"/>
                  <w:vAlign w:val="center"/>
                </w:tcPr>
                <w:p w14:paraId="74A93B69">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119.23</w:t>
                  </w:r>
                </w:p>
              </w:tc>
              <w:tc>
                <w:tcPr>
                  <w:tcW w:w="0" w:type="auto"/>
                  <w:vAlign w:val="center"/>
                </w:tcPr>
                <w:p w14:paraId="1B5910E6">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c>
                <w:tcPr>
                  <w:tcW w:w="576" w:type="dxa"/>
                  <w:vAlign w:val="center"/>
                </w:tcPr>
                <w:p w14:paraId="42EA14CE">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7</w:t>
                  </w:r>
                </w:p>
              </w:tc>
              <w:tc>
                <w:tcPr>
                  <w:tcW w:w="726" w:type="dxa"/>
                  <w:vAlign w:val="center"/>
                </w:tcPr>
                <w:p w14:paraId="292D0717">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6</w:t>
                  </w:r>
                  <w:r>
                    <w:rPr>
                      <w:rFonts w:eastAsiaTheme="minorEastAsia"/>
                      <w:color w:val="auto"/>
                      <w:sz w:val="15"/>
                      <w:szCs w:val="15"/>
                    </w:rPr>
                    <w:t>8.1</w:t>
                  </w:r>
                </w:p>
              </w:tc>
              <w:tc>
                <w:tcPr>
                  <w:tcW w:w="0" w:type="auto"/>
                  <w:vMerge w:val="restart"/>
                  <w:vAlign w:val="center"/>
                </w:tcPr>
                <w:p w14:paraId="13842D33">
                  <w:pPr>
                    <w:pStyle w:val="12"/>
                    <w:adjustRightInd w:val="0"/>
                    <w:jc w:val="center"/>
                    <w:rPr>
                      <w:rFonts w:eastAsiaTheme="minorEastAsia"/>
                      <w:color w:val="auto"/>
                      <w:sz w:val="15"/>
                      <w:szCs w:val="15"/>
                    </w:rPr>
                  </w:pPr>
                  <w:r>
                    <w:rPr>
                      <w:rFonts w:eastAsiaTheme="minorEastAsia"/>
                      <w:color w:val="auto"/>
                      <w:sz w:val="15"/>
                      <w:szCs w:val="15"/>
                    </w:rPr>
                    <w:t>09:00~10:00</w:t>
                  </w:r>
                </w:p>
                <w:p w14:paraId="3F75D88B">
                  <w:pPr>
                    <w:pStyle w:val="12"/>
                    <w:adjustRightInd w:val="0"/>
                    <w:spacing w:before="0" w:after="0" w:line="240" w:lineRule="auto"/>
                    <w:ind w:right="0"/>
                    <w:jc w:val="center"/>
                    <w:rPr>
                      <w:rFonts w:eastAsiaTheme="minorEastAsia"/>
                      <w:color w:val="auto"/>
                      <w:sz w:val="15"/>
                      <w:szCs w:val="15"/>
                    </w:rPr>
                  </w:pPr>
                  <w:r>
                    <w:rPr>
                      <w:rFonts w:eastAsiaTheme="minorEastAsia"/>
                      <w:color w:val="auto"/>
                      <w:sz w:val="15"/>
                      <w:szCs w:val="15"/>
                    </w:rPr>
                    <w:t>14:00~13:00</w:t>
                  </w:r>
                </w:p>
              </w:tc>
              <w:tc>
                <w:tcPr>
                  <w:tcW w:w="0" w:type="auto"/>
                  <w:vAlign w:val="center"/>
                </w:tcPr>
                <w:p w14:paraId="27012883">
                  <w:pPr>
                    <w:pStyle w:val="12"/>
                    <w:adjustRightInd w:val="0"/>
                    <w:spacing w:before="0" w:after="0" w:line="240" w:lineRule="auto"/>
                    <w:ind w:right="0"/>
                    <w:jc w:val="center"/>
                    <w:rPr>
                      <w:rFonts w:eastAsiaTheme="minorEastAsia"/>
                      <w:color w:val="auto"/>
                      <w:sz w:val="15"/>
                      <w:szCs w:val="15"/>
                    </w:rPr>
                  </w:pPr>
                  <w:r>
                    <w:rPr>
                      <w:rFonts w:eastAsiaTheme="minorEastAsia"/>
                      <w:color w:val="auto"/>
                      <w:sz w:val="15"/>
                      <w:szCs w:val="15"/>
                    </w:rPr>
                    <w:t>21</w:t>
                  </w:r>
                </w:p>
              </w:tc>
              <w:tc>
                <w:tcPr>
                  <w:tcW w:w="726" w:type="dxa"/>
                  <w:vAlign w:val="center"/>
                </w:tcPr>
                <w:p w14:paraId="727BDF29">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4</w:t>
                  </w:r>
                  <w:r>
                    <w:rPr>
                      <w:rFonts w:eastAsiaTheme="minorEastAsia"/>
                      <w:color w:val="auto"/>
                      <w:sz w:val="15"/>
                      <w:szCs w:val="15"/>
                    </w:rPr>
                    <w:t>7.1</w:t>
                  </w:r>
                </w:p>
              </w:tc>
              <w:tc>
                <w:tcPr>
                  <w:tcW w:w="581" w:type="dxa"/>
                  <w:vAlign w:val="center"/>
                </w:tcPr>
                <w:p w14:paraId="152D233B">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r>
            <w:tr w14:paraId="651F8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253695E5">
                  <w:pPr>
                    <w:pStyle w:val="12"/>
                    <w:adjustRightInd w:val="0"/>
                    <w:spacing w:before="0" w:after="0" w:line="240" w:lineRule="auto"/>
                    <w:ind w:right="0"/>
                    <w:jc w:val="center"/>
                    <w:rPr>
                      <w:color w:val="auto"/>
                      <w:szCs w:val="18"/>
                    </w:rPr>
                  </w:pPr>
                </w:p>
              </w:tc>
              <w:tc>
                <w:tcPr>
                  <w:tcW w:w="699" w:type="dxa"/>
                  <w:vAlign w:val="center"/>
                </w:tcPr>
                <w:p w14:paraId="3A21284A">
                  <w:pPr>
                    <w:pStyle w:val="12"/>
                    <w:adjustRightInd w:val="0"/>
                    <w:spacing w:before="0" w:after="0" w:line="240" w:lineRule="auto"/>
                    <w:ind w:right="0"/>
                    <w:jc w:val="center"/>
                    <w:rPr>
                      <w:color w:val="auto"/>
                      <w:szCs w:val="21"/>
                      <w:lang w:bidi="ar"/>
                    </w:rPr>
                  </w:pPr>
                  <w:r>
                    <w:rPr>
                      <w:rFonts w:hint="eastAsia"/>
                      <w:color w:val="auto"/>
                      <w:szCs w:val="21"/>
                      <w:lang w:bidi="ar"/>
                    </w:rPr>
                    <w:t>风机</w:t>
                  </w:r>
                  <w:r>
                    <w:rPr>
                      <w:color w:val="auto"/>
                      <w:szCs w:val="21"/>
                    </w:rPr>
                    <w:t>2</w:t>
                  </w:r>
                </w:p>
              </w:tc>
              <w:tc>
                <w:tcPr>
                  <w:tcW w:w="1316" w:type="dxa"/>
                  <w:vAlign w:val="center"/>
                </w:tcPr>
                <w:p w14:paraId="77DFD94E">
                  <w:pPr>
                    <w:pStyle w:val="12"/>
                    <w:adjustRightInd w:val="0"/>
                    <w:spacing w:before="0" w:after="0" w:line="240" w:lineRule="auto"/>
                    <w:ind w:right="0"/>
                    <w:jc w:val="center"/>
                    <w:rPr>
                      <w:color w:val="auto"/>
                      <w:kern w:val="24"/>
                      <w:szCs w:val="18"/>
                    </w:rPr>
                  </w:pPr>
                  <w:r>
                    <w:rPr>
                      <w:color w:val="auto"/>
                      <w:szCs w:val="21"/>
                    </w:rPr>
                    <w:t>85</w:t>
                  </w:r>
                </w:p>
              </w:tc>
              <w:tc>
                <w:tcPr>
                  <w:tcW w:w="0" w:type="auto"/>
                  <w:vMerge w:val="continue"/>
                  <w:vAlign w:val="center"/>
                </w:tcPr>
                <w:p w14:paraId="61A08709">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66694E4B">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106.18</w:t>
                  </w:r>
                </w:p>
              </w:tc>
              <w:tc>
                <w:tcPr>
                  <w:tcW w:w="0" w:type="auto"/>
                  <w:vAlign w:val="center"/>
                </w:tcPr>
                <w:p w14:paraId="70ED6DE8">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82.9</w:t>
                  </w:r>
                </w:p>
              </w:tc>
              <w:tc>
                <w:tcPr>
                  <w:tcW w:w="0" w:type="auto"/>
                  <w:vAlign w:val="center"/>
                </w:tcPr>
                <w:p w14:paraId="5F9E553D">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c>
                <w:tcPr>
                  <w:tcW w:w="576" w:type="dxa"/>
                  <w:vAlign w:val="center"/>
                </w:tcPr>
                <w:p w14:paraId="5838FE05">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7</w:t>
                  </w:r>
                </w:p>
              </w:tc>
              <w:tc>
                <w:tcPr>
                  <w:tcW w:w="726" w:type="dxa"/>
                  <w:vAlign w:val="center"/>
                </w:tcPr>
                <w:p w14:paraId="1D75DF22">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6</w:t>
                  </w:r>
                  <w:r>
                    <w:rPr>
                      <w:rFonts w:eastAsiaTheme="minorEastAsia"/>
                      <w:color w:val="auto"/>
                      <w:sz w:val="15"/>
                      <w:szCs w:val="15"/>
                    </w:rPr>
                    <w:t>8.1</w:t>
                  </w:r>
                </w:p>
              </w:tc>
              <w:tc>
                <w:tcPr>
                  <w:tcW w:w="0" w:type="auto"/>
                  <w:vMerge w:val="continue"/>
                  <w:vAlign w:val="center"/>
                </w:tcPr>
                <w:p w14:paraId="4DFDE29C">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1FEB4A8C">
                  <w:pPr>
                    <w:pStyle w:val="12"/>
                    <w:adjustRightInd w:val="0"/>
                    <w:spacing w:before="0" w:after="0" w:line="240" w:lineRule="auto"/>
                    <w:ind w:right="0"/>
                    <w:jc w:val="center"/>
                    <w:rPr>
                      <w:rFonts w:eastAsiaTheme="minorEastAsia"/>
                      <w:color w:val="auto"/>
                      <w:sz w:val="15"/>
                      <w:szCs w:val="15"/>
                    </w:rPr>
                  </w:pPr>
                  <w:r>
                    <w:rPr>
                      <w:rFonts w:eastAsiaTheme="minorEastAsia"/>
                      <w:color w:val="auto"/>
                      <w:sz w:val="15"/>
                      <w:szCs w:val="15"/>
                    </w:rPr>
                    <w:t>21</w:t>
                  </w:r>
                </w:p>
              </w:tc>
              <w:tc>
                <w:tcPr>
                  <w:tcW w:w="726" w:type="dxa"/>
                  <w:vAlign w:val="center"/>
                </w:tcPr>
                <w:p w14:paraId="2097A877">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4</w:t>
                  </w:r>
                  <w:r>
                    <w:rPr>
                      <w:rFonts w:eastAsiaTheme="minorEastAsia"/>
                      <w:color w:val="auto"/>
                      <w:sz w:val="15"/>
                      <w:szCs w:val="15"/>
                    </w:rPr>
                    <w:t>7.1</w:t>
                  </w:r>
                </w:p>
              </w:tc>
              <w:tc>
                <w:tcPr>
                  <w:tcW w:w="581" w:type="dxa"/>
                  <w:vAlign w:val="center"/>
                </w:tcPr>
                <w:p w14:paraId="75269B45">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r>
            <w:tr w14:paraId="3D90D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279E76A9">
                  <w:pPr>
                    <w:pStyle w:val="12"/>
                    <w:adjustRightInd w:val="0"/>
                    <w:spacing w:before="0" w:after="0" w:line="240" w:lineRule="auto"/>
                    <w:ind w:right="0"/>
                    <w:jc w:val="center"/>
                    <w:rPr>
                      <w:color w:val="auto"/>
                      <w:szCs w:val="18"/>
                    </w:rPr>
                  </w:pPr>
                </w:p>
              </w:tc>
              <w:tc>
                <w:tcPr>
                  <w:tcW w:w="699" w:type="dxa"/>
                  <w:vAlign w:val="center"/>
                </w:tcPr>
                <w:p w14:paraId="053AE865">
                  <w:pPr>
                    <w:pStyle w:val="12"/>
                    <w:adjustRightInd w:val="0"/>
                    <w:spacing w:before="0" w:after="0" w:line="240" w:lineRule="auto"/>
                    <w:ind w:right="0"/>
                    <w:jc w:val="center"/>
                    <w:rPr>
                      <w:color w:val="auto"/>
                      <w:szCs w:val="21"/>
                      <w:lang w:bidi="ar"/>
                    </w:rPr>
                  </w:pPr>
                  <w:r>
                    <w:rPr>
                      <w:rFonts w:hint="eastAsia"/>
                      <w:color w:val="auto"/>
                      <w:szCs w:val="21"/>
                      <w:lang w:bidi="ar"/>
                    </w:rPr>
                    <w:t>风机</w:t>
                  </w:r>
                  <w:r>
                    <w:rPr>
                      <w:rFonts w:hint="eastAsia"/>
                      <w:color w:val="auto"/>
                      <w:szCs w:val="21"/>
                    </w:rPr>
                    <w:t>3</w:t>
                  </w:r>
                </w:p>
              </w:tc>
              <w:tc>
                <w:tcPr>
                  <w:tcW w:w="1316" w:type="dxa"/>
                  <w:vAlign w:val="center"/>
                </w:tcPr>
                <w:p w14:paraId="485953D3">
                  <w:pPr>
                    <w:pStyle w:val="12"/>
                    <w:adjustRightInd w:val="0"/>
                    <w:spacing w:before="0" w:after="0" w:line="240" w:lineRule="auto"/>
                    <w:ind w:right="0"/>
                    <w:jc w:val="center"/>
                    <w:rPr>
                      <w:color w:val="auto"/>
                      <w:szCs w:val="21"/>
                    </w:rPr>
                  </w:pPr>
                  <w:r>
                    <w:rPr>
                      <w:rFonts w:hint="eastAsia"/>
                      <w:color w:val="auto"/>
                      <w:szCs w:val="21"/>
                    </w:rPr>
                    <w:t>85</w:t>
                  </w:r>
                </w:p>
              </w:tc>
              <w:tc>
                <w:tcPr>
                  <w:tcW w:w="0" w:type="auto"/>
                  <w:vMerge w:val="continue"/>
                  <w:vAlign w:val="center"/>
                </w:tcPr>
                <w:p w14:paraId="25F1A57D">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42666C19">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80.06</w:t>
                  </w:r>
                </w:p>
              </w:tc>
              <w:tc>
                <w:tcPr>
                  <w:tcW w:w="0" w:type="auto"/>
                  <w:vAlign w:val="center"/>
                </w:tcPr>
                <w:p w14:paraId="6E4DE40E">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133.99</w:t>
                  </w:r>
                </w:p>
              </w:tc>
              <w:tc>
                <w:tcPr>
                  <w:tcW w:w="0" w:type="auto"/>
                  <w:vAlign w:val="center"/>
                </w:tcPr>
                <w:p w14:paraId="3D32D948">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c>
                <w:tcPr>
                  <w:tcW w:w="576" w:type="dxa"/>
                  <w:vAlign w:val="center"/>
                </w:tcPr>
                <w:p w14:paraId="62C68415">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7</w:t>
                  </w:r>
                </w:p>
              </w:tc>
              <w:tc>
                <w:tcPr>
                  <w:tcW w:w="726" w:type="dxa"/>
                  <w:vAlign w:val="center"/>
                </w:tcPr>
                <w:p w14:paraId="74C60D2A">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6</w:t>
                  </w:r>
                  <w:r>
                    <w:rPr>
                      <w:rFonts w:eastAsiaTheme="minorEastAsia"/>
                      <w:color w:val="auto"/>
                      <w:sz w:val="15"/>
                      <w:szCs w:val="15"/>
                    </w:rPr>
                    <w:t>8.1</w:t>
                  </w:r>
                </w:p>
              </w:tc>
              <w:tc>
                <w:tcPr>
                  <w:tcW w:w="0" w:type="auto"/>
                  <w:vMerge w:val="continue"/>
                  <w:vAlign w:val="center"/>
                </w:tcPr>
                <w:p w14:paraId="6CF407E8">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68E02EAA">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2</w:t>
                  </w:r>
                  <w:r>
                    <w:rPr>
                      <w:rFonts w:eastAsiaTheme="minorEastAsia"/>
                      <w:color w:val="auto"/>
                      <w:sz w:val="15"/>
                      <w:szCs w:val="15"/>
                    </w:rPr>
                    <w:t>1</w:t>
                  </w:r>
                </w:p>
              </w:tc>
              <w:tc>
                <w:tcPr>
                  <w:tcW w:w="726" w:type="dxa"/>
                  <w:vAlign w:val="center"/>
                </w:tcPr>
                <w:p w14:paraId="7B6B126F">
                  <w:pPr>
                    <w:pStyle w:val="12"/>
                    <w:adjustRightInd w:val="0"/>
                    <w:spacing w:before="0" w:after="0" w:line="240" w:lineRule="auto"/>
                    <w:ind w:right="0"/>
                    <w:jc w:val="center"/>
                    <w:rPr>
                      <w:color w:val="auto"/>
                      <w:sz w:val="15"/>
                      <w:szCs w:val="15"/>
                    </w:rPr>
                  </w:pPr>
                  <w:r>
                    <w:rPr>
                      <w:rFonts w:hint="eastAsia"/>
                      <w:color w:val="auto"/>
                      <w:sz w:val="15"/>
                      <w:szCs w:val="15"/>
                    </w:rPr>
                    <w:t>5</w:t>
                  </w:r>
                  <w:r>
                    <w:rPr>
                      <w:color w:val="auto"/>
                      <w:sz w:val="15"/>
                      <w:szCs w:val="15"/>
                    </w:rPr>
                    <w:t>0.9</w:t>
                  </w:r>
                </w:p>
              </w:tc>
              <w:tc>
                <w:tcPr>
                  <w:tcW w:w="581" w:type="dxa"/>
                  <w:vAlign w:val="center"/>
                </w:tcPr>
                <w:p w14:paraId="55AF34FE">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r>
            <w:tr w14:paraId="5B8D0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3E5CF936">
                  <w:pPr>
                    <w:pStyle w:val="12"/>
                    <w:adjustRightInd w:val="0"/>
                    <w:spacing w:before="0" w:after="0" w:line="240" w:lineRule="auto"/>
                    <w:ind w:right="0"/>
                    <w:jc w:val="center"/>
                    <w:rPr>
                      <w:color w:val="auto"/>
                      <w:szCs w:val="18"/>
                    </w:rPr>
                  </w:pPr>
                </w:p>
              </w:tc>
              <w:tc>
                <w:tcPr>
                  <w:tcW w:w="699" w:type="dxa"/>
                  <w:vAlign w:val="center"/>
                </w:tcPr>
                <w:p w14:paraId="0FD15800">
                  <w:pPr>
                    <w:pStyle w:val="12"/>
                    <w:adjustRightInd w:val="0"/>
                    <w:spacing w:before="0" w:after="0" w:line="240" w:lineRule="auto"/>
                    <w:ind w:right="0"/>
                    <w:jc w:val="center"/>
                    <w:rPr>
                      <w:color w:val="auto"/>
                      <w:szCs w:val="21"/>
                      <w:lang w:bidi="ar"/>
                    </w:rPr>
                  </w:pPr>
                  <w:r>
                    <w:rPr>
                      <w:rFonts w:hint="eastAsia"/>
                      <w:color w:val="auto"/>
                      <w:szCs w:val="21"/>
                      <w:lang w:bidi="ar"/>
                    </w:rPr>
                    <w:t>风机</w:t>
                  </w:r>
                  <w:r>
                    <w:rPr>
                      <w:rFonts w:hint="eastAsia"/>
                      <w:color w:val="auto"/>
                      <w:szCs w:val="21"/>
                    </w:rPr>
                    <w:t>4</w:t>
                  </w:r>
                </w:p>
              </w:tc>
              <w:tc>
                <w:tcPr>
                  <w:tcW w:w="1316" w:type="dxa"/>
                  <w:vAlign w:val="center"/>
                </w:tcPr>
                <w:p w14:paraId="71178AD6">
                  <w:pPr>
                    <w:pStyle w:val="12"/>
                    <w:adjustRightInd w:val="0"/>
                    <w:spacing w:before="0" w:after="0" w:line="240" w:lineRule="auto"/>
                    <w:ind w:right="0"/>
                    <w:jc w:val="center"/>
                    <w:rPr>
                      <w:color w:val="auto"/>
                      <w:szCs w:val="21"/>
                    </w:rPr>
                  </w:pPr>
                  <w:r>
                    <w:rPr>
                      <w:rFonts w:hint="eastAsia"/>
                      <w:color w:val="auto"/>
                      <w:szCs w:val="21"/>
                    </w:rPr>
                    <w:t>85</w:t>
                  </w:r>
                </w:p>
              </w:tc>
              <w:tc>
                <w:tcPr>
                  <w:tcW w:w="0" w:type="auto"/>
                  <w:vMerge w:val="continue"/>
                  <w:vAlign w:val="center"/>
                </w:tcPr>
                <w:p w14:paraId="2F362CC1">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4C5FA913">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119.23</w:t>
                  </w:r>
                </w:p>
              </w:tc>
              <w:tc>
                <w:tcPr>
                  <w:tcW w:w="0" w:type="auto"/>
                  <w:vAlign w:val="center"/>
                </w:tcPr>
                <w:p w14:paraId="0CE62A41">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99.36</w:t>
                  </w:r>
                </w:p>
              </w:tc>
              <w:tc>
                <w:tcPr>
                  <w:tcW w:w="0" w:type="auto"/>
                  <w:vAlign w:val="center"/>
                </w:tcPr>
                <w:p w14:paraId="74EFA5C0">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c>
                <w:tcPr>
                  <w:tcW w:w="576" w:type="dxa"/>
                  <w:vAlign w:val="center"/>
                </w:tcPr>
                <w:p w14:paraId="28B6A20D">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7</w:t>
                  </w:r>
                </w:p>
              </w:tc>
              <w:tc>
                <w:tcPr>
                  <w:tcW w:w="726" w:type="dxa"/>
                  <w:vAlign w:val="center"/>
                </w:tcPr>
                <w:p w14:paraId="01738466">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6</w:t>
                  </w:r>
                  <w:r>
                    <w:rPr>
                      <w:rFonts w:eastAsiaTheme="minorEastAsia"/>
                      <w:color w:val="auto"/>
                      <w:sz w:val="15"/>
                      <w:szCs w:val="15"/>
                    </w:rPr>
                    <w:t>8.1</w:t>
                  </w:r>
                </w:p>
              </w:tc>
              <w:tc>
                <w:tcPr>
                  <w:tcW w:w="0" w:type="auto"/>
                  <w:vMerge w:val="continue"/>
                  <w:vAlign w:val="center"/>
                </w:tcPr>
                <w:p w14:paraId="47AAEEF5">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039E05CD">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2</w:t>
                  </w:r>
                  <w:r>
                    <w:rPr>
                      <w:rFonts w:eastAsiaTheme="minorEastAsia"/>
                      <w:color w:val="auto"/>
                      <w:sz w:val="15"/>
                      <w:szCs w:val="15"/>
                    </w:rPr>
                    <w:t>1</w:t>
                  </w:r>
                </w:p>
              </w:tc>
              <w:tc>
                <w:tcPr>
                  <w:tcW w:w="726" w:type="dxa"/>
                  <w:vAlign w:val="center"/>
                </w:tcPr>
                <w:p w14:paraId="60512B6A">
                  <w:pPr>
                    <w:pStyle w:val="12"/>
                    <w:adjustRightInd w:val="0"/>
                    <w:spacing w:before="0" w:after="0" w:line="240" w:lineRule="auto"/>
                    <w:ind w:right="0"/>
                    <w:jc w:val="center"/>
                    <w:rPr>
                      <w:color w:val="auto"/>
                      <w:sz w:val="15"/>
                      <w:szCs w:val="15"/>
                    </w:rPr>
                  </w:pPr>
                  <w:r>
                    <w:rPr>
                      <w:rFonts w:hint="eastAsia"/>
                      <w:color w:val="auto"/>
                      <w:sz w:val="15"/>
                      <w:szCs w:val="15"/>
                    </w:rPr>
                    <w:t>5</w:t>
                  </w:r>
                  <w:r>
                    <w:rPr>
                      <w:color w:val="auto"/>
                      <w:sz w:val="15"/>
                      <w:szCs w:val="15"/>
                    </w:rPr>
                    <w:t>0.9</w:t>
                  </w:r>
                </w:p>
              </w:tc>
              <w:tc>
                <w:tcPr>
                  <w:tcW w:w="581" w:type="dxa"/>
                  <w:vAlign w:val="center"/>
                </w:tcPr>
                <w:p w14:paraId="24FB6637">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r>
            <w:tr w14:paraId="0547E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6B529209">
                  <w:pPr>
                    <w:pStyle w:val="12"/>
                    <w:adjustRightInd w:val="0"/>
                    <w:spacing w:before="0" w:after="0" w:line="240" w:lineRule="auto"/>
                    <w:ind w:right="0"/>
                    <w:jc w:val="center"/>
                    <w:rPr>
                      <w:color w:val="auto"/>
                      <w:szCs w:val="18"/>
                    </w:rPr>
                  </w:pPr>
                </w:p>
              </w:tc>
              <w:tc>
                <w:tcPr>
                  <w:tcW w:w="699" w:type="dxa"/>
                  <w:vAlign w:val="center"/>
                </w:tcPr>
                <w:p w14:paraId="59B95948">
                  <w:pPr>
                    <w:pStyle w:val="12"/>
                    <w:adjustRightInd w:val="0"/>
                    <w:spacing w:before="0" w:after="0" w:line="240" w:lineRule="auto"/>
                    <w:ind w:right="0"/>
                    <w:jc w:val="center"/>
                    <w:rPr>
                      <w:color w:val="auto"/>
                      <w:szCs w:val="21"/>
                      <w:lang w:bidi="ar"/>
                    </w:rPr>
                  </w:pPr>
                  <w:r>
                    <w:rPr>
                      <w:rFonts w:hint="eastAsia"/>
                      <w:color w:val="auto"/>
                      <w:szCs w:val="21"/>
                      <w:lang w:bidi="ar"/>
                    </w:rPr>
                    <w:t>风机</w:t>
                  </w:r>
                  <w:r>
                    <w:rPr>
                      <w:rFonts w:hint="eastAsia"/>
                      <w:color w:val="auto"/>
                      <w:szCs w:val="21"/>
                    </w:rPr>
                    <w:t>5</w:t>
                  </w:r>
                </w:p>
              </w:tc>
              <w:tc>
                <w:tcPr>
                  <w:tcW w:w="1316" w:type="dxa"/>
                  <w:vAlign w:val="center"/>
                </w:tcPr>
                <w:p w14:paraId="25B59A9F">
                  <w:pPr>
                    <w:pStyle w:val="12"/>
                    <w:adjustRightInd w:val="0"/>
                    <w:spacing w:before="0" w:after="0" w:line="240" w:lineRule="auto"/>
                    <w:ind w:right="0"/>
                    <w:jc w:val="center"/>
                    <w:rPr>
                      <w:color w:val="auto"/>
                      <w:szCs w:val="21"/>
                    </w:rPr>
                  </w:pPr>
                  <w:r>
                    <w:rPr>
                      <w:rFonts w:hint="eastAsia"/>
                      <w:color w:val="auto"/>
                      <w:szCs w:val="21"/>
                    </w:rPr>
                    <w:t>85</w:t>
                  </w:r>
                </w:p>
              </w:tc>
              <w:tc>
                <w:tcPr>
                  <w:tcW w:w="0" w:type="auto"/>
                  <w:vMerge w:val="continue"/>
                  <w:vAlign w:val="center"/>
                </w:tcPr>
                <w:p w14:paraId="42F98347">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792E1980">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87.44</w:t>
                  </w:r>
                </w:p>
              </w:tc>
              <w:tc>
                <w:tcPr>
                  <w:tcW w:w="0" w:type="auto"/>
                  <w:vAlign w:val="center"/>
                </w:tcPr>
                <w:p w14:paraId="7895341D">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47.7</w:t>
                  </w:r>
                </w:p>
              </w:tc>
              <w:tc>
                <w:tcPr>
                  <w:tcW w:w="0" w:type="auto"/>
                  <w:vAlign w:val="center"/>
                </w:tcPr>
                <w:p w14:paraId="0EFD3D0A">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c>
                <w:tcPr>
                  <w:tcW w:w="576" w:type="dxa"/>
                  <w:vAlign w:val="center"/>
                </w:tcPr>
                <w:p w14:paraId="241B6FE4">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7</w:t>
                  </w:r>
                </w:p>
              </w:tc>
              <w:tc>
                <w:tcPr>
                  <w:tcW w:w="726" w:type="dxa"/>
                  <w:vAlign w:val="center"/>
                </w:tcPr>
                <w:p w14:paraId="4BA04DB4">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6</w:t>
                  </w:r>
                  <w:r>
                    <w:rPr>
                      <w:rFonts w:eastAsiaTheme="minorEastAsia"/>
                      <w:color w:val="auto"/>
                      <w:sz w:val="15"/>
                      <w:szCs w:val="15"/>
                    </w:rPr>
                    <w:t>8.1</w:t>
                  </w:r>
                </w:p>
              </w:tc>
              <w:tc>
                <w:tcPr>
                  <w:tcW w:w="0" w:type="auto"/>
                  <w:vMerge w:val="continue"/>
                  <w:vAlign w:val="center"/>
                </w:tcPr>
                <w:p w14:paraId="5FD1BDFE">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0C729DAE">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2</w:t>
                  </w:r>
                  <w:r>
                    <w:rPr>
                      <w:rFonts w:eastAsiaTheme="minorEastAsia"/>
                      <w:color w:val="auto"/>
                      <w:sz w:val="15"/>
                      <w:szCs w:val="15"/>
                    </w:rPr>
                    <w:t>1</w:t>
                  </w:r>
                </w:p>
              </w:tc>
              <w:tc>
                <w:tcPr>
                  <w:tcW w:w="726" w:type="dxa"/>
                  <w:vAlign w:val="center"/>
                </w:tcPr>
                <w:p w14:paraId="2417DEF9">
                  <w:pPr>
                    <w:pStyle w:val="12"/>
                    <w:adjustRightInd w:val="0"/>
                    <w:spacing w:before="0" w:after="0" w:line="240" w:lineRule="auto"/>
                    <w:ind w:right="0"/>
                    <w:jc w:val="center"/>
                    <w:rPr>
                      <w:color w:val="auto"/>
                      <w:sz w:val="15"/>
                      <w:szCs w:val="15"/>
                    </w:rPr>
                  </w:pPr>
                  <w:r>
                    <w:rPr>
                      <w:rFonts w:hint="eastAsia"/>
                      <w:color w:val="auto"/>
                      <w:sz w:val="15"/>
                      <w:szCs w:val="15"/>
                    </w:rPr>
                    <w:t>3</w:t>
                  </w:r>
                  <w:r>
                    <w:rPr>
                      <w:color w:val="auto"/>
                      <w:sz w:val="15"/>
                      <w:szCs w:val="15"/>
                    </w:rPr>
                    <w:t>5.9</w:t>
                  </w:r>
                </w:p>
              </w:tc>
              <w:tc>
                <w:tcPr>
                  <w:tcW w:w="581" w:type="dxa"/>
                  <w:vAlign w:val="center"/>
                </w:tcPr>
                <w:p w14:paraId="42D1CA3A">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r>
            <w:tr w14:paraId="0647F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23A32A42">
                  <w:pPr>
                    <w:pStyle w:val="12"/>
                    <w:adjustRightInd w:val="0"/>
                    <w:spacing w:before="0" w:after="0" w:line="240" w:lineRule="auto"/>
                    <w:ind w:right="0"/>
                    <w:jc w:val="center"/>
                    <w:rPr>
                      <w:color w:val="auto"/>
                      <w:szCs w:val="18"/>
                    </w:rPr>
                  </w:pPr>
                </w:p>
              </w:tc>
              <w:tc>
                <w:tcPr>
                  <w:tcW w:w="699" w:type="dxa"/>
                  <w:vAlign w:val="center"/>
                </w:tcPr>
                <w:p w14:paraId="4598E058">
                  <w:pPr>
                    <w:pStyle w:val="12"/>
                    <w:adjustRightInd w:val="0"/>
                    <w:spacing w:before="0" w:after="0" w:line="240" w:lineRule="auto"/>
                    <w:ind w:right="0"/>
                    <w:jc w:val="center"/>
                    <w:rPr>
                      <w:color w:val="auto"/>
                      <w:szCs w:val="21"/>
                      <w:lang w:bidi="ar"/>
                    </w:rPr>
                  </w:pPr>
                  <w:r>
                    <w:rPr>
                      <w:rFonts w:hint="eastAsia"/>
                      <w:color w:val="auto"/>
                      <w:szCs w:val="21"/>
                      <w:lang w:bidi="ar"/>
                    </w:rPr>
                    <w:t>风机</w:t>
                  </w:r>
                  <w:r>
                    <w:rPr>
                      <w:rFonts w:hint="eastAsia"/>
                      <w:color w:val="auto"/>
                      <w:szCs w:val="21"/>
                    </w:rPr>
                    <w:t>6</w:t>
                  </w:r>
                </w:p>
              </w:tc>
              <w:tc>
                <w:tcPr>
                  <w:tcW w:w="1316" w:type="dxa"/>
                  <w:vAlign w:val="center"/>
                </w:tcPr>
                <w:p w14:paraId="14E37CEB">
                  <w:pPr>
                    <w:pStyle w:val="12"/>
                    <w:adjustRightInd w:val="0"/>
                    <w:spacing w:before="0" w:after="0" w:line="240" w:lineRule="auto"/>
                    <w:ind w:right="0"/>
                    <w:jc w:val="center"/>
                    <w:rPr>
                      <w:color w:val="auto"/>
                      <w:szCs w:val="21"/>
                    </w:rPr>
                  </w:pPr>
                  <w:r>
                    <w:rPr>
                      <w:rFonts w:hint="eastAsia"/>
                      <w:color w:val="auto"/>
                      <w:szCs w:val="21"/>
                    </w:rPr>
                    <w:t>85</w:t>
                  </w:r>
                </w:p>
              </w:tc>
              <w:tc>
                <w:tcPr>
                  <w:tcW w:w="0" w:type="auto"/>
                  <w:vMerge w:val="continue"/>
                  <w:vAlign w:val="center"/>
                </w:tcPr>
                <w:p w14:paraId="763BFAE4">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7614ED84">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63.03</w:t>
                  </w:r>
                </w:p>
              </w:tc>
              <w:tc>
                <w:tcPr>
                  <w:tcW w:w="0" w:type="auto"/>
                  <w:vAlign w:val="center"/>
                </w:tcPr>
                <w:p w14:paraId="1BE8E85A">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28.96</w:t>
                  </w:r>
                </w:p>
              </w:tc>
              <w:tc>
                <w:tcPr>
                  <w:tcW w:w="0" w:type="auto"/>
                  <w:vAlign w:val="center"/>
                </w:tcPr>
                <w:p w14:paraId="512680DD">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c>
                <w:tcPr>
                  <w:tcW w:w="576" w:type="dxa"/>
                  <w:vAlign w:val="center"/>
                </w:tcPr>
                <w:p w14:paraId="4D2A72A7">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7</w:t>
                  </w:r>
                </w:p>
              </w:tc>
              <w:tc>
                <w:tcPr>
                  <w:tcW w:w="726" w:type="dxa"/>
                  <w:vAlign w:val="center"/>
                </w:tcPr>
                <w:p w14:paraId="707D5EBC">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6</w:t>
                  </w:r>
                  <w:r>
                    <w:rPr>
                      <w:rFonts w:eastAsiaTheme="minorEastAsia"/>
                      <w:color w:val="auto"/>
                      <w:sz w:val="15"/>
                      <w:szCs w:val="15"/>
                    </w:rPr>
                    <w:t>8.1</w:t>
                  </w:r>
                </w:p>
              </w:tc>
              <w:tc>
                <w:tcPr>
                  <w:tcW w:w="0" w:type="auto"/>
                  <w:vMerge w:val="continue"/>
                  <w:vAlign w:val="center"/>
                </w:tcPr>
                <w:p w14:paraId="14A84BFC">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1777B56D">
                  <w:pPr>
                    <w:pStyle w:val="12"/>
                    <w:adjustRightInd w:val="0"/>
                    <w:spacing w:before="0" w:after="0" w:line="240" w:lineRule="auto"/>
                    <w:ind w:right="0"/>
                    <w:jc w:val="center"/>
                    <w:rPr>
                      <w:rFonts w:eastAsiaTheme="minorEastAsia"/>
                      <w:color w:val="auto"/>
                      <w:sz w:val="15"/>
                      <w:szCs w:val="15"/>
                    </w:rPr>
                  </w:pPr>
                  <w:r>
                    <w:rPr>
                      <w:rFonts w:eastAsiaTheme="minorEastAsia"/>
                      <w:color w:val="auto"/>
                      <w:sz w:val="15"/>
                      <w:szCs w:val="15"/>
                    </w:rPr>
                    <w:t>21</w:t>
                  </w:r>
                </w:p>
              </w:tc>
              <w:tc>
                <w:tcPr>
                  <w:tcW w:w="726" w:type="dxa"/>
                  <w:vAlign w:val="center"/>
                </w:tcPr>
                <w:p w14:paraId="6677D6E2">
                  <w:pPr>
                    <w:pStyle w:val="12"/>
                    <w:adjustRightInd w:val="0"/>
                    <w:spacing w:before="0" w:after="0" w:line="240" w:lineRule="auto"/>
                    <w:ind w:right="0"/>
                    <w:jc w:val="center"/>
                    <w:rPr>
                      <w:color w:val="auto"/>
                      <w:sz w:val="15"/>
                      <w:szCs w:val="15"/>
                    </w:rPr>
                  </w:pPr>
                  <w:r>
                    <w:rPr>
                      <w:rFonts w:hint="eastAsia" w:eastAsiaTheme="minorEastAsia"/>
                      <w:color w:val="auto"/>
                      <w:sz w:val="15"/>
                      <w:szCs w:val="15"/>
                    </w:rPr>
                    <w:t>4</w:t>
                  </w:r>
                  <w:r>
                    <w:rPr>
                      <w:rFonts w:eastAsiaTheme="minorEastAsia"/>
                      <w:color w:val="auto"/>
                      <w:sz w:val="15"/>
                      <w:szCs w:val="15"/>
                    </w:rPr>
                    <w:t>7.1</w:t>
                  </w:r>
                </w:p>
              </w:tc>
              <w:tc>
                <w:tcPr>
                  <w:tcW w:w="581" w:type="dxa"/>
                  <w:vAlign w:val="center"/>
                </w:tcPr>
                <w:p w14:paraId="1E7B9676">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r>
            <w:tr w14:paraId="37DD5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40C433A4">
                  <w:pPr>
                    <w:pStyle w:val="12"/>
                    <w:adjustRightInd w:val="0"/>
                    <w:spacing w:before="0" w:after="0" w:line="240" w:lineRule="auto"/>
                    <w:ind w:right="0"/>
                    <w:jc w:val="center"/>
                    <w:rPr>
                      <w:color w:val="auto"/>
                      <w:szCs w:val="18"/>
                    </w:rPr>
                  </w:pPr>
                </w:p>
              </w:tc>
              <w:tc>
                <w:tcPr>
                  <w:tcW w:w="699" w:type="dxa"/>
                  <w:vAlign w:val="center"/>
                </w:tcPr>
                <w:p w14:paraId="41FDF099">
                  <w:pPr>
                    <w:pStyle w:val="12"/>
                    <w:adjustRightInd w:val="0"/>
                    <w:spacing w:before="0" w:after="0" w:line="240" w:lineRule="auto"/>
                    <w:ind w:right="0"/>
                    <w:jc w:val="center"/>
                    <w:rPr>
                      <w:color w:val="auto"/>
                      <w:szCs w:val="21"/>
                      <w:lang w:bidi="ar"/>
                    </w:rPr>
                  </w:pPr>
                  <w:r>
                    <w:rPr>
                      <w:rFonts w:hint="eastAsia"/>
                      <w:color w:val="auto"/>
                      <w:szCs w:val="21"/>
                      <w:lang w:bidi="ar"/>
                    </w:rPr>
                    <w:t>风机</w:t>
                  </w:r>
                  <w:r>
                    <w:rPr>
                      <w:rFonts w:hint="eastAsia"/>
                      <w:color w:val="auto"/>
                      <w:szCs w:val="21"/>
                    </w:rPr>
                    <w:t>7</w:t>
                  </w:r>
                </w:p>
              </w:tc>
              <w:tc>
                <w:tcPr>
                  <w:tcW w:w="1316" w:type="dxa"/>
                  <w:vAlign w:val="center"/>
                </w:tcPr>
                <w:p w14:paraId="4603E523">
                  <w:pPr>
                    <w:pStyle w:val="12"/>
                    <w:adjustRightInd w:val="0"/>
                    <w:spacing w:before="0" w:after="0" w:line="240" w:lineRule="auto"/>
                    <w:ind w:right="0"/>
                    <w:jc w:val="center"/>
                    <w:rPr>
                      <w:color w:val="auto"/>
                      <w:szCs w:val="21"/>
                    </w:rPr>
                  </w:pPr>
                  <w:r>
                    <w:rPr>
                      <w:rFonts w:hint="eastAsia"/>
                      <w:color w:val="auto"/>
                      <w:szCs w:val="21"/>
                    </w:rPr>
                    <w:t>85</w:t>
                  </w:r>
                </w:p>
              </w:tc>
              <w:tc>
                <w:tcPr>
                  <w:tcW w:w="0" w:type="auto"/>
                  <w:vMerge w:val="continue"/>
                  <w:vAlign w:val="center"/>
                </w:tcPr>
                <w:p w14:paraId="1E7A5B77">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57139F59">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57.34</w:t>
                  </w:r>
                </w:p>
              </w:tc>
              <w:tc>
                <w:tcPr>
                  <w:tcW w:w="0" w:type="auto"/>
                  <w:vAlign w:val="center"/>
                </w:tcPr>
                <w:p w14:paraId="26D4FF3D">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62.46</w:t>
                  </w:r>
                </w:p>
              </w:tc>
              <w:tc>
                <w:tcPr>
                  <w:tcW w:w="0" w:type="auto"/>
                  <w:vAlign w:val="center"/>
                </w:tcPr>
                <w:p w14:paraId="54507BD5">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c>
                <w:tcPr>
                  <w:tcW w:w="576" w:type="dxa"/>
                  <w:vAlign w:val="center"/>
                </w:tcPr>
                <w:p w14:paraId="2EAB8ED2">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7</w:t>
                  </w:r>
                </w:p>
              </w:tc>
              <w:tc>
                <w:tcPr>
                  <w:tcW w:w="726" w:type="dxa"/>
                  <w:vAlign w:val="center"/>
                </w:tcPr>
                <w:p w14:paraId="0692CC1C">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6</w:t>
                  </w:r>
                  <w:r>
                    <w:rPr>
                      <w:rFonts w:eastAsiaTheme="minorEastAsia"/>
                      <w:color w:val="auto"/>
                      <w:sz w:val="15"/>
                      <w:szCs w:val="15"/>
                    </w:rPr>
                    <w:t>8.1</w:t>
                  </w:r>
                </w:p>
              </w:tc>
              <w:tc>
                <w:tcPr>
                  <w:tcW w:w="0" w:type="auto"/>
                  <w:vMerge w:val="continue"/>
                  <w:vAlign w:val="center"/>
                </w:tcPr>
                <w:p w14:paraId="48ACFC07">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2F4D78AD">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2</w:t>
                  </w:r>
                  <w:r>
                    <w:rPr>
                      <w:rFonts w:eastAsiaTheme="minorEastAsia"/>
                      <w:color w:val="auto"/>
                      <w:sz w:val="15"/>
                      <w:szCs w:val="15"/>
                    </w:rPr>
                    <w:t>1</w:t>
                  </w:r>
                </w:p>
              </w:tc>
              <w:tc>
                <w:tcPr>
                  <w:tcW w:w="726" w:type="dxa"/>
                  <w:vAlign w:val="center"/>
                </w:tcPr>
                <w:p w14:paraId="4A1B6069">
                  <w:pPr>
                    <w:pStyle w:val="12"/>
                    <w:adjustRightInd w:val="0"/>
                    <w:spacing w:before="0" w:after="0" w:line="240" w:lineRule="auto"/>
                    <w:ind w:right="0"/>
                    <w:jc w:val="center"/>
                    <w:rPr>
                      <w:color w:val="auto"/>
                      <w:sz w:val="15"/>
                      <w:szCs w:val="15"/>
                    </w:rPr>
                  </w:pPr>
                  <w:r>
                    <w:rPr>
                      <w:rFonts w:hint="eastAsia"/>
                      <w:color w:val="auto"/>
                      <w:sz w:val="15"/>
                      <w:szCs w:val="15"/>
                    </w:rPr>
                    <w:t>5</w:t>
                  </w:r>
                  <w:r>
                    <w:rPr>
                      <w:color w:val="auto"/>
                      <w:sz w:val="15"/>
                      <w:szCs w:val="15"/>
                    </w:rPr>
                    <w:t>0.9</w:t>
                  </w:r>
                </w:p>
              </w:tc>
              <w:tc>
                <w:tcPr>
                  <w:tcW w:w="581" w:type="dxa"/>
                  <w:vAlign w:val="center"/>
                </w:tcPr>
                <w:p w14:paraId="174E74A3">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r>
            <w:tr w14:paraId="6653B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31CF7889">
                  <w:pPr>
                    <w:pStyle w:val="12"/>
                    <w:adjustRightInd w:val="0"/>
                    <w:spacing w:before="0" w:after="0" w:line="240" w:lineRule="auto"/>
                    <w:ind w:right="0"/>
                    <w:jc w:val="center"/>
                    <w:rPr>
                      <w:color w:val="auto"/>
                      <w:szCs w:val="18"/>
                    </w:rPr>
                  </w:pPr>
                </w:p>
              </w:tc>
              <w:tc>
                <w:tcPr>
                  <w:tcW w:w="699" w:type="dxa"/>
                  <w:vAlign w:val="center"/>
                </w:tcPr>
                <w:p w14:paraId="7F4FEA8B">
                  <w:pPr>
                    <w:pStyle w:val="12"/>
                    <w:adjustRightInd w:val="0"/>
                    <w:spacing w:before="0" w:after="0" w:line="240" w:lineRule="auto"/>
                    <w:ind w:right="0"/>
                    <w:jc w:val="center"/>
                    <w:rPr>
                      <w:color w:val="auto"/>
                      <w:szCs w:val="21"/>
                      <w:lang w:bidi="ar"/>
                    </w:rPr>
                  </w:pPr>
                  <w:r>
                    <w:rPr>
                      <w:rFonts w:hint="eastAsia"/>
                      <w:color w:val="auto"/>
                      <w:szCs w:val="21"/>
                      <w:lang w:bidi="ar"/>
                    </w:rPr>
                    <w:t>风机</w:t>
                  </w:r>
                  <w:r>
                    <w:rPr>
                      <w:rFonts w:hint="eastAsia"/>
                      <w:color w:val="auto"/>
                      <w:szCs w:val="21"/>
                    </w:rPr>
                    <w:t>8</w:t>
                  </w:r>
                </w:p>
              </w:tc>
              <w:tc>
                <w:tcPr>
                  <w:tcW w:w="1316" w:type="dxa"/>
                  <w:vAlign w:val="center"/>
                </w:tcPr>
                <w:p w14:paraId="37E5E157">
                  <w:pPr>
                    <w:pStyle w:val="12"/>
                    <w:adjustRightInd w:val="0"/>
                    <w:spacing w:before="0" w:after="0" w:line="240" w:lineRule="auto"/>
                    <w:ind w:right="0"/>
                    <w:jc w:val="center"/>
                    <w:rPr>
                      <w:color w:val="auto"/>
                      <w:szCs w:val="21"/>
                    </w:rPr>
                  </w:pPr>
                  <w:r>
                    <w:rPr>
                      <w:rFonts w:hint="eastAsia"/>
                      <w:color w:val="auto"/>
                      <w:szCs w:val="21"/>
                    </w:rPr>
                    <w:t>85</w:t>
                  </w:r>
                </w:p>
              </w:tc>
              <w:tc>
                <w:tcPr>
                  <w:tcW w:w="0" w:type="auto"/>
                  <w:vMerge w:val="continue"/>
                  <w:vAlign w:val="center"/>
                </w:tcPr>
                <w:p w14:paraId="0902906A">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426AE2C3">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39.75</w:t>
                  </w:r>
                </w:p>
              </w:tc>
              <w:tc>
                <w:tcPr>
                  <w:tcW w:w="0" w:type="auto"/>
                  <w:vAlign w:val="center"/>
                </w:tcPr>
                <w:p w14:paraId="198A2BC8">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30.66</w:t>
                  </w:r>
                </w:p>
              </w:tc>
              <w:tc>
                <w:tcPr>
                  <w:tcW w:w="0" w:type="auto"/>
                  <w:vAlign w:val="center"/>
                </w:tcPr>
                <w:p w14:paraId="64BE626F">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c>
                <w:tcPr>
                  <w:tcW w:w="576" w:type="dxa"/>
                  <w:vAlign w:val="center"/>
                </w:tcPr>
                <w:p w14:paraId="76D320CD">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7</w:t>
                  </w:r>
                </w:p>
              </w:tc>
              <w:tc>
                <w:tcPr>
                  <w:tcW w:w="726" w:type="dxa"/>
                  <w:vAlign w:val="center"/>
                </w:tcPr>
                <w:p w14:paraId="1C9E4891">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6</w:t>
                  </w:r>
                  <w:r>
                    <w:rPr>
                      <w:rFonts w:eastAsiaTheme="minorEastAsia"/>
                      <w:color w:val="auto"/>
                      <w:sz w:val="15"/>
                      <w:szCs w:val="15"/>
                    </w:rPr>
                    <w:t>8.1</w:t>
                  </w:r>
                </w:p>
              </w:tc>
              <w:tc>
                <w:tcPr>
                  <w:tcW w:w="0" w:type="auto"/>
                  <w:vMerge w:val="continue"/>
                  <w:vAlign w:val="center"/>
                </w:tcPr>
                <w:p w14:paraId="7F52B252">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228FF737">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2</w:t>
                  </w:r>
                  <w:r>
                    <w:rPr>
                      <w:rFonts w:eastAsiaTheme="minorEastAsia"/>
                      <w:color w:val="auto"/>
                      <w:sz w:val="15"/>
                      <w:szCs w:val="15"/>
                    </w:rPr>
                    <w:t>1</w:t>
                  </w:r>
                </w:p>
              </w:tc>
              <w:tc>
                <w:tcPr>
                  <w:tcW w:w="726" w:type="dxa"/>
                  <w:vAlign w:val="center"/>
                </w:tcPr>
                <w:p w14:paraId="080BC38A">
                  <w:pPr>
                    <w:pStyle w:val="12"/>
                    <w:adjustRightInd w:val="0"/>
                    <w:spacing w:before="0" w:after="0" w:line="240" w:lineRule="auto"/>
                    <w:ind w:right="0"/>
                    <w:jc w:val="center"/>
                    <w:rPr>
                      <w:color w:val="auto"/>
                      <w:sz w:val="15"/>
                      <w:szCs w:val="15"/>
                    </w:rPr>
                  </w:pPr>
                  <w:r>
                    <w:rPr>
                      <w:rFonts w:hint="eastAsia"/>
                      <w:color w:val="auto"/>
                      <w:sz w:val="15"/>
                      <w:szCs w:val="15"/>
                    </w:rPr>
                    <w:t>5</w:t>
                  </w:r>
                  <w:r>
                    <w:rPr>
                      <w:color w:val="auto"/>
                      <w:sz w:val="15"/>
                      <w:szCs w:val="15"/>
                    </w:rPr>
                    <w:t>0.9</w:t>
                  </w:r>
                </w:p>
              </w:tc>
              <w:tc>
                <w:tcPr>
                  <w:tcW w:w="581" w:type="dxa"/>
                  <w:vAlign w:val="center"/>
                </w:tcPr>
                <w:p w14:paraId="46592E58">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r>
            <w:tr w14:paraId="1BEA7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0D708D95">
                  <w:pPr>
                    <w:pStyle w:val="12"/>
                    <w:adjustRightInd w:val="0"/>
                    <w:spacing w:before="0" w:after="0" w:line="240" w:lineRule="auto"/>
                    <w:ind w:right="0"/>
                    <w:jc w:val="center"/>
                    <w:rPr>
                      <w:color w:val="auto"/>
                      <w:szCs w:val="18"/>
                    </w:rPr>
                  </w:pPr>
                </w:p>
              </w:tc>
              <w:tc>
                <w:tcPr>
                  <w:tcW w:w="699" w:type="dxa"/>
                  <w:vAlign w:val="center"/>
                </w:tcPr>
                <w:p w14:paraId="31F44267">
                  <w:pPr>
                    <w:pStyle w:val="12"/>
                    <w:adjustRightInd w:val="0"/>
                    <w:spacing w:before="0" w:after="0" w:line="240" w:lineRule="auto"/>
                    <w:ind w:right="0"/>
                    <w:jc w:val="center"/>
                    <w:rPr>
                      <w:color w:val="auto"/>
                      <w:szCs w:val="21"/>
                      <w:lang w:bidi="ar"/>
                    </w:rPr>
                  </w:pPr>
                  <w:r>
                    <w:rPr>
                      <w:rFonts w:hint="eastAsia"/>
                      <w:color w:val="auto"/>
                      <w:szCs w:val="21"/>
                      <w:lang w:bidi="ar"/>
                    </w:rPr>
                    <w:t>风机</w:t>
                  </w:r>
                  <w:r>
                    <w:rPr>
                      <w:rFonts w:hint="eastAsia"/>
                      <w:color w:val="auto"/>
                      <w:szCs w:val="21"/>
                    </w:rPr>
                    <w:t>9</w:t>
                  </w:r>
                </w:p>
              </w:tc>
              <w:tc>
                <w:tcPr>
                  <w:tcW w:w="1316" w:type="dxa"/>
                  <w:vAlign w:val="center"/>
                </w:tcPr>
                <w:p w14:paraId="02A448E1">
                  <w:pPr>
                    <w:pStyle w:val="12"/>
                    <w:adjustRightInd w:val="0"/>
                    <w:spacing w:before="0" w:after="0" w:line="240" w:lineRule="auto"/>
                    <w:ind w:right="0"/>
                    <w:jc w:val="center"/>
                    <w:rPr>
                      <w:color w:val="auto"/>
                      <w:szCs w:val="21"/>
                    </w:rPr>
                  </w:pPr>
                  <w:r>
                    <w:rPr>
                      <w:rFonts w:hint="eastAsia"/>
                      <w:color w:val="auto"/>
                      <w:szCs w:val="21"/>
                    </w:rPr>
                    <w:t>85</w:t>
                  </w:r>
                </w:p>
              </w:tc>
              <w:tc>
                <w:tcPr>
                  <w:tcW w:w="0" w:type="auto"/>
                  <w:vMerge w:val="continue"/>
                  <w:vAlign w:val="center"/>
                </w:tcPr>
                <w:p w14:paraId="738CA2F2">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75541B7E">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124.34</w:t>
                  </w:r>
                </w:p>
              </w:tc>
              <w:tc>
                <w:tcPr>
                  <w:tcW w:w="0" w:type="auto"/>
                  <w:vAlign w:val="center"/>
                </w:tcPr>
                <w:p w14:paraId="36AFB22D">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123.77</w:t>
                  </w:r>
                </w:p>
              </w:tc>
              <w:tc>
                <w:tcPr>
                  <w:tcW w:w="0" w:type="auto"/>
                  <w:vAlign w:val="center"/>
                </w:tcPr>
                <w:p w14:paraId="0D533680">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c>
                <w:tcPr>
                  <w:tcW w:w="576" w:type="dxa"/>
                  <w:vAlign w:val="center"/>
                </w:tcPr>
                <w:p w14:paraId="4C5E9149">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7</w:t>
                  </w:r>
                </w:p>
              </w:tc>
              <w:tc>
                <w:tcPr>
                  <w:tcW w:w="726" w:type="dxa"/>
                  <w:vAlign w:val="center"/>
                </w:tcPr>
                <w:p w14:paraId="62F86D9E">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6</w:t>
                  </w:r>
                  <w:r>
                    <w:rPr>
                      <w:rFonts w:eastAsiaTheme="minorEastAsia"/>
                      <w:color w:val="auto"/>
                      <w:sz w:val="15"/>
                      <w:szCs w:val="15"/>
                    </w:rPr>
                    <w:t>8.1</w:t>
                  </w:r>
                </w:p>
              </w:tc>
              <w:tc>
                <w:tcPr>
                  <w:tcW w:w="0" w:type="auto"/>
                  <w:vMerge w:val="continue"/>
                  <w:vAlign w:val="center"/>
                </w:tcPr>
                <w:p w14:paraId="6F9226E7">
                  <w:pPr>
                    <w:pStyle w:val="12"/>
                    <w:adjustRightInd w:val="0"/>
                    <w:spacing w:before="0" w:after="0" w:line="240" w:lineRule="auto"/>
                    <w:ind w:right="0"/>
                    <w:jc w:val="center"/>
                    <w:rPr>
                      <w:rFonts w:eastAsiaTheme="minorEastAsia"/>
                      <w:color w:val="auto"/>
                      <w:sz w:val="15"/>
                      <w:szCs w:val="15"/>
                    </w:rPr>
                  </w:pPr>
                </w:p>
              </w:tc>
              <w:tc>
                <w:tcPr>
                  <w:tcW w:w="0" w:type="auto"/>
                  <w:vAlign w:val="center"/>
                </w:tcPr>
                <w:p w14:paraId="54EB6A52">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2</w:t>
                  </w:r>
                  <w:r>
                    <w:rPr>
                      <w:rFonts w:eastAsiaTheme="minorEastAsia"/>
                      <w:color w:val="auto"/>
                      <w:sz w:val="15"/>
                      <w:szCs w:val="15"/>
                    </w:rPr>
                    <w:t>1</w:t>
                  </w:r>
                </w:p>
              </w:tc>
              <w:tc>
                <w:tcPr>
                  <w:tcW w:w="726" w:type="dxa"/>
                  <w:vAlign w:val="center"/>
                </w:tcPr>
                <w:p w14:paraId="665AB61C">
                  <w:pPr>
                    <w:pStyle w:val="12"/>
                    <w:adjustRightInd w:val="0"/>
                    <w:spacing w:before="0" w:after="0" w:line="240" w:lineRule="auto"/>
                    <w:ind w:right="0"/>
                    <w:jc w:val="center"/>
                    <w:rPr>
                      <w:color w:val="auto"/>
                      <w:sz w:val="15"/>
                      <w:szCs w:val="15"/>
                    </w:rPr>
                  </w:pPr>
                  <w:r>
                    <w:rPr>
                      <w:rFonts w:hint="eastAsia"/>
                      <w:color w:val="auto"/>
                      <w:sz w:val="15"/>
                      <w:szCs w:val="15"/>
                    </w:rPr>
                    <w:t>3</w:t>
                  </w:r>
                  <w:r>
                    <w:rPr>
                      <w:color w:val="auto"/>
                      <w:sz w:val="15"/>
                      <w:szCs w:val="15"/>
                    </w:rPr>
                    <w:t>5.9</w:t>
                  </w:r>
                </w:p>
              </w:tc>
              <w:tc>
                <w:tcPr>
                  <w:tcW w:w="581" w:type="dxa"/>
                  <w:vAlign w:val="center"/>
                </w:tcPr>
                <w:p w14:paraId="410946B5">
                  <w:pPr>
                    <w:pStyle w:val="12"/>
                    <w:adjustRightInd w:val="0"/>
                    <w:spacing w:before="0" w:after="0" w:line="240" w:lineRule="auto"/>
                    <w:ind w:right="0"/>
                    <w:jc w:val="center"/>
                    <w:rPr>
                      <w:rFonts w:eastAsiaTheme="minorEastAsia"/>
                      <w:color w:val="auto"/>
                      <w:sz w:val="15"/>
                      <w:szCs w:val="15"/>
                    </w:rPr>
                  </w:pPr>
                  <w:r>
                    <w:rPr>
                      <w:rFonts w:hint="eastAsia" w:eastAsiaTheme="minorEastAsia"/>
                      <w:color w:val="auto"/>
                      <w:sz w:val="15"/>
                      <w:szCs w:val="15"/>
                    </w:rPr>
                    <w:t>1</w:t>
                  </w:r>
                </w:p>
              </w:tc>
            </w:tr>
          </w:tbl>
          <w:p w14:paraId="5B4345A9">
            <w:pPr>
              <w:adjustRightInd w:val="0"/>
              <w:snapToGrid w:val="0"/>
              <w:spacing w:line="360" w:lineRule="auto"/>
              <w:ind w:firstLine="7" w:firstLineChars="3"/>
              <w:rPr>
                <w:color w:val="auto"/>
                <w:sz w:val="24"/>
              </w:rPr>
            </w:pPr>
          </w:p>
          <w:p w14:paraId="7CD23C33">
            <w:pPr>
              <w:adjustRightInd w:val="0"/>
              <w:snapToGrid w:val="0"/>
              <w:spacing w:line="360" w:lineRule="auto"/>
              <w:jc w:val="center"/>
              <w:rPr>
                <w:color w:val="auto"/>
                <w:sz w:val="24"/>
              </w:rPr>
            </w:pPr>
            <w:r>
              <w:rPr>
                <w:color w:val="auto"/>
              </w:rPr>
              <w:drawing>
                <wp:inline distT="0" distB="0" distL="0" distR="0">
                  <wp:extent cx="5616575" cy="4577715"/>
                  <wp:effectExtent l="0" t="0" r="3175" b="0"/>
                  <wp:docPr id="19708377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837775" name="图片 1"/>
                          <pic:cNvPicPr>
                            <a:picLocks noChangeAspect="1"/>
                          </pic:cNvPicPr>
                        </pic:nvPicPr>
                        <pic:blipFill>
                          <a:blip r:embed="rId17"/>
                          <a:stretch>
                            <a:fillRect/>
                          </a:stretch>
                        </pic:blipFill>
                        <pic:spPr>
                          <a:xfrm>
                            <a:off x="0" y="0"/>
                            <a:ext cx="5616575" cy="4577715"/>
                          </a:xfrm>
                          <a:prstGeom prst="rect">
                            <a:avLst/>
                          </a:prstGeom>
                        </pic:spPr>
                      </pic:pic>
                    </a:graphicData>
                  </a:graphic>
                </wp:inline>
              </w:drawing>
            </w:r>
          </w:p>
          <w:p w14:paraId="5774A123">
            <w:pPr>
              <w:adjustRightInd w:val="0"/>
              <w:snapToGrid w:val="0"/>
              <w:spacing w:line="360" w:lineRule="auto"/>
              <w:ind w:firstLine="482" w:firstLineChars="200"/>
              <w:jc w:val="center"/>
              <w:rPr>
                <w:b/>
                <w:bCs/>
                <w:color w:val="auto"/>
                <w:kern w:val="24"/>
                <w:sz w:val="24"/>
              </w:rPr>
            </w:pPr>
            <w:r>
              <w:rPr>
                <w:rFonts w:hint="eastAsia"/>
                <w:b/>
                <w:bCs/>
                <w:color w:val="auto"/>
                <w:kern w:val="24"/>
                <w:sz w:val="24"/>
              </w:rPr>
              <w:t>图4-1</w:t>
            </w:r>
            <w:r>
              <w:rPr>
                <w:b/>
                <w:bCs/>
                <w:color w:val="auto"/>
                <w:kern w:val="24"/>
                <w:sz w:val="24"/>
              </w:rPr>
              <w:t xml:space="preserve">  </w:t>
            </w:r>
            <w:r>
              <w:rPr>
                <w:rFonts w:hint="eastAsia"/>
                <w:b/>
                <w:bCs/>
                <w:color w:val="auto"/>
                <w:kern w:val="24"/>
                <w:sz w:val="24"/>
              </w:rPr>
              <w:t>项目声源分布及预测等声级图</w:t>
            </w:r>
          </w:p>
          <w:p w14:paraId="19629E73">
            <w:pPr>
              <w:adjustRightInd w:val="0"/>
              <w:snapToGrid w:val="0"/>
              <w:spacing w:line="360" w:lineRule="auto"/>
              <w:ind w:firstLine="480" w:firstLineChars="200"/>
              <w:rPr>
                <w:color w:val="auto"/>
                <w:sz w:val="24"/>
              </w:rPr>
            </w:pPr>
            <w:r>
              <w:rPr>
                <w:rFonts w:hint="eastAsia"/>
                <w:color w:val="auto"/>
                <w:sz w:val="24"/>
              </w:rPr>
              <w:t>（3）环境数据</w:t>
            </w:r>
          </w:p>
          <w:p w14:paraId="776559D2">
            <w:pPr>
              <w:pStyle w:val="70"/>
              <w:ind w:firstLine="480"/>
              <w:rPr>
                <w:color w:val="auto"/>
              </w:rPr>
            </w:pPr>
            <w:r>
              <w:rPr>
                <w:color w:val="auto"/>
              </w:rPr>
              <w:t>项目噪声环境影响预测基础数据见表4-13。</w:t>
            </w:r>
          </w:p>
          <w:p w14:paraId="0633C866">
            <w:pPr>
              <w:adjustRightInd w:val="0"/>
              <w:snapToGrid w:val="0"/>
              <w:spacing w:line="360" w:lineRule="auto"/>
              <w:ind w:firstLine="482" w:firstLineChars="200"/>
              <w:jc w:val="center"/>
              <w:rPr>
                <w:b/>
                <w:bCs/>
                <w:color w:val="auto"/>
                <w:kern w:val="24"/>
                <w:sz w:val="24"/>
              </w:rPr>
            </w:pPr>
            <w:r>
              <w:rPr>
                <w:b/>
                <w:bCs/>
                <w:color w:val="auto"/>
                <w:kern w:val="24"/>
                <w:sz w:val="24"/>
              </w:rPr>
              <w:t xml:space="preserve">表4-13 </w:t>
            </w:r>
            <w:r>
              <w:rPr>
                <w:rFonts w:hint="eastAsia"/>
                <w:b/>
                <w:bCs/>
                <w:color w:val="auto"/>
                <w:kern w:val="24"/>
                <w:sz w:val="24"/>
              </w:rPr>
              <w:t xml:space="preserve">  </w:t>
            </w:r>
            <w:r>
              <w:rPr>
                <w:b/>
                <w:bCs/>
                <w:color w:val="auto"/>
                <w:kern w:val="24"/>
                <w:sz w:val="24"/>
              </w:rPr>
              <w:t>项目噪声环境影响预测基础数据表</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4"/>
              <w:gridCol w:w="2222"/>
              <w:gridCol w:w="2222"/>
              <w:gridCol w:w="2222"/>
            </w:tblGrid>
            <w:tr w14:paraId="1B57A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4" w:type="dxa"/>
                  <w:vAlign w:val="center"/>
                </w:tcPr>
                <w:p w14:paraId="0B9BB551">
                  <w:pPr>
                    <w:pStyle w:val="30"/>
                    <w:adjustRightInd w:val="0"/>
                    <w:spacing w:after="0"/>
                    <w:ind w:firstLine="0" w:firstLineChars="0"/>
                    <w:jc w:val="center"/>
                    <w:rPr>
                      <w:color w:val="auto"/>
                      <w:szCs w:val="21"/>
                    </w:rPr>
                  </w:pPr>
                  <w:r>
                    <w:rPr>
                      <w:color w:val="auto"/>
                      <w:szCs w:val="21"/>
                    </w:rPr>
                    <w:t>序号</w:t>
                  </w:r>
                </w:p>
              </w:tc>
              <w:tc>
                <w:tcPr>
                  <w:tcW w:w="2222" w:type="dxa"/>
                  <w:vAlign w:val="center"/>
                </w:tcPr>
                <w:p w14:paraId="6F87AA1B">
                  <w:pPr>
                    <w:pStyle w:val="30"/>
                    <w:adjustRightInd w:val="0"/>
                    <w:spacing w:after="0"/>
                    <w:ind w:firstLine="0" w:firstLineChars="0"/>
                    <w:jc w:val="center"/>
                    <w:rPr>
                      <w:color w:val="auto"/>
                      <w:szCs w:val="21"/>
                    </w:rPr>
                  </w:pPr>
                  <w:r>
                    <w:rPr>
                      <w:color w:val="auto"/>
                      <w:szCs w:val="21"/>
                    </w:rPr>
                    <w:t>名称</w:t>
                  </w:r>
                </w:p>
              </w:tc>
              <w:tc>
                <w:tcPr>
                  <w:tcW w:w="2222" w:type="dxa"/>
                  <w:vAlign w:val="center"/>
                </w:tcPr>
                <w:p w14:paraId="4295CB2A">
                  <w:pPr>
                    <w:pStyle w:val="30"/>
                    <w:adjustRightInd w:val="0"/>
                    <w:spacing w:after="0"/>
                    <w:ind w:firstLine="0" w:firstLineChars="0"/>
                    <w:jc w:val="center"/>
                    <w:rPr>
                      <w:color w:val="auto"/>
                      <w:szCs w:val="21"/>
                    </w:rPr>
                  </w:pPr>
                  <w:r>
                    <w:rPr>
                      <w:color w:val="auto"/>
                      <w:szCs w:val="21"/>
                    </w:rPr>
                    <w:t>单位</w:t>
                  </w:r>
                </w:p>
              </w:tc>
              <w:tc>
                <w:tcPr>
                  <w:tcW w:w="2222" w:type="dxa"/>
                  <w:vAlign w:val="center"/>
                </w:tcPr>
                <w:p w14:paraId="079FDFC1">
                  <w:pPr>
                    <w:pStyle w:val="30"/>
                    <w:adjustRightInd w:val="0"/>
                    <w:spacing w:after="0"/>
                    <w:ind w:firstLine="0" w:firstLineChars="0"/>
                    <w:jc w:val="center"/>
                    <w:rPr>
                      <w:color w:val="auto"/>
                      <w:szCs w:val="21"/>
                    </w:rPr>
                  </w:pPr>
                  <w:r>
                    <w:rPr>
                      <w:color w:val="auto"/>
                      <w:szCs w:val="21"/>
                    </w:rPr>
                    <w:t>数据</w:t>
                  </w:r>
                </w:p>
              </w:tc>
            </w:tr>
            <w:tr w14:paraId="5E0E1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4" w:type="dxa"/>
                  <w:vAlign w:val="center"/>
                </w:tcPr>
                <w:p w14:paraId="0D781BD9">
                  <w:pPr>
                    <w:pStyle w:val="30"/>
                    <w:adjustRightInd w:val="0"/>
                    <w:spacing w:after="0"/>
                    <w:ind w:firstLine="0" w:firstLineChars="0"/>
                    <w:jc w:val="center"/>
                    <w:rPr>
                      <w:color w:val="auto"/>
                      <w:szCs w:val="21"/>
                    </w:rPr>
                  </w:pPr>
                  <w:r>
                    <w:rPr>
                      <w:rFonts w:hint="eastAsia"/>
                      <w:color w:val="auto"/>
                      <w:szCs w:val="21"/>
                    </w:rPr>
                    <w:t>1</w:t>
                  </w:r>
                </w:p>
              </w:tc>
              <w:tc>
                <w:tcPr>
                  <w:tcW w:w="2222" w:type="dxa"/>
                  <w:vAlign w:val="center"/>
                </w:tcPr>
                <w:p w14:paraId="53D10C54">
                  <w:pPr>
                    <w:pStyle w:val="30"/>
                    <w:adjustRightInd w:val="0"/>
                    <w:spacing w:after="0"/>
                    <w:ind w:firstLine="0" w:firstLineChars="0"/>
                    <w:jc w:val="center"/>
                    <w:rPr>
                      <w:color w:val="auto"/>
                      <w:szCs w:val="21"/>
                    </w:rPr>
                  </w:pPr>
                  <w:r>
                    <w:rPr>
                      <w:color w:val="auto"/>
                      <w:spacing w:val="-3"/>
                      <w:szCs w:val="21"/>
                    </w:rPr>
                    <w:t>年平均风速</w:t>
                  </w:r>
                </w:p>
              </w:tc>
              <w:tc>
                <w:tcPr>
                  <w:tcW w:w="2222" w:type="dxa"/>
                  <w:vAlign w:val="center"/>
                </w:tcPr>
                <w:p w14:paraId="15D2CAB6">
                  <w:pPr>
                    <w:pStyle w:val="30"/>
                    <w:adjustRightInd w:val="0"/>
                    <w:spacing w:after="0"/>
                    <w:ind w:firstLine="0" w:firstLineChars="0"/>
                    <w:jc w:val="center"/>
                    <w:rPr>
                      <w:color w:val="auto"/>
                      <w:szCs w:val="21"/>
                    </w:rPr>
                  </w:pPr>
                  <w:r>
                    <w:rPr>
                      <w:color w:val="auto"/>
                      <w:szCs w:val="21"/>
                    </w:rPr>
                    <w:t>m/s</w:t>
                  </w:r>
                </w:p>
              </w:tc>
              <w:tc>
                <w:tcPr>
                  <w:tcW w:w="2222" w:type="dxa"/>
                </w:tcPr>
                <w:p w14:paraId="52B75393">
                  <w:pPr>
                    <w:pStyle w:val="30"/>
                    <w:adjustRightInd w:val="0"/>
                    <w:spacing w:after="0"/>
                    <w:ind w:firstLine="0" w:firstLineChars="0"/>
                    <w:jc w:val="center"/>
                    <w:rPr>
                      <w:color w:val="auto"/>
                      <w:szCs w:val="21"/>
                    </w:rPr>
                  </w:pPr>
                  <w:r>
                    <w:rPr>
                      <w:color w:val="auto"/>
                    </w:rPr>
                    <w:t>2.6</w:t>
                  </w:r>
                </w:p>
              </w:tc>
            </w:tr>
            <w:tr w14:paraId="7E722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4" w:type="dxa"/>
                  <w:vAlign w:val="center"/>
                </w:tcPr>
                <w:p w14:paraId="5D646CEA">
                  <w:pPr>
                    <w:pStyle w:val="30"/>
                    <w:adjustRightInd w:val="0"/>
                    <w:spacing w:after="0"/>
                    <w:ind w:firstLine="0" w:firstLineChars="0"/>
                    <w:jc w:val="center"/>
                    <w:rPr>
                      <w:color w:val="auto"/>
                      <w:szCs w:val="21"/>
                    </w:rPr>
                  </w:pPr>
                  <w:r>
                    <w:rPr>
                      <w:rFonts w:hint="eastAsia"/>
                      <w:color w:val="auto"/>
                      <w:szCs w:val="21"/>
                    </w:rPr>
                    <w:t>2</w:t>
                  </w:r>
                </w:p>
              </w:tc>
              <w:tc>
                <w:tcPr>
                  <w:tcW w:w="2222" w:type="dxa"/>
                  <w:vAlign w:val="center"/>
                </w:tcPr>
                <w:p w14:paraId="70B33FDF">
                  <w:pPr>
                    <w:pStyle w:val="30"/>
                    <w:adjustRightInd w:val="0"/>
                    <w:spacing w:after="0"/>
                    <w:ind w:firstLine="0" w:firstLineChars="0"/>
                    <w:jc w:val="center"/>
                    <w:rPr>
                      <w:color w:val="auto"/>
                      <w:szCs w:val="21"/>
                    </w:rPr>
                  </w:pPr>
                  <w:r>
                    <w:rPr>
                      <w:color w:val="auto"/>
                      <w:spacing w:val="-3"/>
                      <w:szCs w:val="21"/>
                    </w:rPr>
                    <w:t>主导风向</w:t>
                  </w:r>
                </w:p>
              </w:tc>
              <w:tc>
                <w:tcPr>
                  <w:tcW w:w="2222" w:type="dxa"/>
                  <w:vAlign w:val="center"/>
                </w:tcPr>
                <w:p w14:paraId="27A63950">
                  <w:pPr>
                    <w:pStyle w:val="30"/>
                    <w:adjustRightInd w:val="0"/>
                    <w:spacing w:after="0"/>
                    <w:ind w:firstLine="0" w:firstLineChars="0"/>
                    <w:jc w:val="center"/>
                    <w:rPr>
                      <w:color w:val="auto"/>
                      <w:szCs w:val="21"/>
                    </w:rPr>
                  </w:pPr>
                  <w:r>
                    <w:rPr>
                      <w:color w:val="auto"/>
                      <w:szCs w:val="21"/>
                    </w:rPr>
                    <w:t>/</w:t>
                  </w:r>
                </w:p>
              </w:tc>
              <w:tc>
                <w:tcPr>
                  <w:tcW w:w="2222" w:type="dxa"/>
                </w:tcPr>
                <w:p w14:paraId="2EF169BC">
                  <w:pPr>
                    <w:pStyle w:val="30"/>
                    <w:adjustRightInd w:val="0"/>
                    <w:spacing w:after="0"/>
                    <w:ind w:firstLine="0" w:firstLineChars="0"/>
                    <w:jc w:val="center"/>
                    <w:rPr>
                      <w:color w:val="auto"/>
                      <w:szCs w:val="21"/>
                    </w:rPr>
                  </w:pPr>
                  <w:r>
                    <w:rPr>
                      <w:rFonts w:hint="eastAsia"/>
                      <w:color w:val="auto"/>
                    </w:rPr>
                    <w:t>南风</w:t>
                  </w:r>
                </w:p>
              </w:tc>
            </w:tr>
            <w:tr w14:paraId="7AB4D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4" w:type="dxa"/>
                  <w:vAlign w:val="center"/>
                </w:tcPr>
                <w:p w14:paraId="7CB15219">
                  <w:pPr>
                    <w:pStyle w:val="30"/>
                    <w:adjustRightInd w:val="0"/>
                    <w:spacing w:after="0"/>
                    <w:ind w:firstLine="0" w:firstLineChars="0"/>
                    <w:jc w:val="center"/>
                    <w:rPr>
                      <w:color w:val="auto"/>
                      <w:szCs w:val="21"/>
                    </w:rPr>
                  </w:pPr>
                  <w:r>
                    <w:rPr>
                      <w:rFonts w:hint="eastAsia"/>
                      <w:color w:val="auto"/>
                      <w:szCs w:val="21"/>
                    </w:rPr>
                    <w:t>3</w:t>
                  </w:r>
                </w:p>
              </w:tc>
              <w:tc>
                <w:tcPr>
                  <w:tcW w:w="2222" w:type="dxa"/>
                  <w:vAlign w:val="center"/>
                </w:tcPr>
                <w:p w14:paraId="39A792BA">
                  <w:pPr>
                    <w:pStyle w:val="30"/>
                    <w:adjustRightInd w:val="0"/>
                    <w:spacing w:after="0"/>
                    <w:ind w:firstLine="0" w:firstLineChars="0"/>
                    <w:jc w:val="center"/>
                    <w:rPr>
                      <w:color w:val="auto"/>
                      <w:szCs w:val="21"/>
                    </w:rPr>
                  </w:pPr>
                  <w:r>
                    <w:rPr>
                      <w:color w:val="auto"/>
                      <w:spacing w:val="-3"/>
                      <w:szCs w:val="21"/>
                    </w:rPr>
                    <w:t>年平均气温</w:t>
                  </w:r>
                </w:p>
              </w:tc>
              <w:tc>
                <w:tcPr>
                  <w:tcW w:w="2222" w:type="dxa"/>
                  <w:vAlign w:val="center"/>
                </w:tcPr>
                <w:p w14:paraId="6CB4B6F8">
                  <w:pPr>
                    <w:pStyle w:val="30"/>
                    <w:adjustRightInd w:val="0"/>
                    <w:spacing w:after="0"/>
                    <w:ind w:firstLine="0" w:firstLineChars="0"/>
                    <w:jc w:val="center"/>
                    <w:rPr>
                      <w:color w:val="auto"/>
                      <w:szCs w:val="21"/>
                    </w:rPr>
                  </w:pPr>
                  <w:r>
                    <w:rPr>
                      <w:rFonts w:hint="eastAsia" w:ascii="宋体" w:hAnsi="宋体" w:cs="宋体"/>
                      <w:color w:val="auto"/>
                      <w:szCs w:val="21"/>
                    </w:rPr>
                    <w:t>℃</w:t>
                  </w:r>
                </w:p>
              </w:tc>
              <w:tc>
                <w:tcPr>
                  <w:tcW w:w="2222" w:type="dxa"/>
                </w:tcPr>
                <w:p w14:paraId="6BDC3A48">
                  <w:pPr>
                    <w:pStyle w:val="30"/>
                    <w:adjustRightInd w:val="0"/>
                    <w:spacing w:after="0"/>
                    <w:ind w:firstLine="0" w:firstLineChars="0"/>
                    <w:jc w:val="center"/>
                    <w:rPr>
                      <w:color w:val="auto"/>
                      <w:szCs w:val="21"/>
                    </w:rPr>
                  </w:pPr>
                  <w:r>
                    <w:rPr>
                      <w:color w:val="auto"/>
                    </w:rPr>
                    <w:t>16.5</w:t>
                  </w:r>
                </w:p>
              </w:tc>
            </w:tr>
            <w:tr w14:paraId="7054A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4" w:type="dxa"/>
                  <w:vAlign w:val="center"/>
                </w:tcPr>
                <w:p w14:paraId="066E1312">
                  <w:pPr>
                    <w:pStyle w:val="30"/>
                    <w:adjustRightInd w:val="0"/>
                    <w:spacing w:after="0"/>
                    <w:ind w:firstLine="0" w:firstLineChars="0"/>
                    <w:jc w:val="center"/>
                    <w:rPr>
                      <w:color w:val="auto"/>
                      <w:szCs w:val="21"/>
                    </w:rPr>
                  </w:pPr>
                  <w:r>
                    <w:rPr>
                      <w:rFonts w:hint="eastAsia"/>
                      <w:color w:val="auto"/>
                      <w:szCs w:val="21"/>
                    </w:rPr>
                    <w:t>4</w:t>
                  </w:r>
                </w:p>
              </w:tc>
              <w:tc>
                <w:tcPr>
                  <w:tcW w:w="2222" w:type="dxa"/>
                  <w:vAlign w:val="center"/>
                </w:tcPr>
                <w:p w14:paraId="47DE4F1D">
                  <w:pPr>
                    <w:pStyle w:val="30"/>
                    <w:adjustRightInd w:val="0"/>
                    <w:spacing w:after="0"/>
                    <w:ind w:firstLine="0" w:firstLineChars="0"/>
                    <w:jc w:val="center"/>
                    <w:rPr>
                      <w:color w:val="auto"/>
                      <w:spacing w:val="-3"/>
                      <w:szCs w:val="21"/>
                    </w:rPr>
                  </w:pPr>
                  <w:r>
                    <w:rPr>
                      <w:color w:val="auto"/>
                      <w:spacing w:val="-3"/>
                      <w:szCs w:val="21"/>
                    </w:rPr>
                    <w:t>年平均相对湿度</w:t>
                  </w:r>
                </w:p>
              </w:tc>
              <w:tc>
                <w:tcPr>
                  <w:tcW w:w="2222" w:type="dxa"/>
                  <w:vAlign w:val="center"/>
                </w:tcPr>
                <w:p w14:paraId="368DE081">
                  <w:pPr>
                    <w:pStyle w:val="30"/>
                    <w:adjustRightInd w:val="0"/>
                    <w:spacing w:after="0"/>
                    <w:ind w:firstLine="0" w:firstLineChars="0"/>
                    <w:jc w:val="center"/>
                    <w:rPr>
                      <w:rFonts w:hint="eastAsia" w:ascii="宋体" w:hAnsi="宋体" w:cs="宋体"/>
                      <w:color w:val="auto"/>
                      <w:szCs w:val="21"/>
                    </w:rPr>
                  </w:pPr>
                  <w:r>
                    <w:rPr>
                      <w:color w:val="auto"/>
                      <w:szCs w:val="21"/>
                    </w:rPr>
                    <w:t>%</w:t>
                  </w:r>
                </w:p>
              </w:tc>
              <w:tc>
                <w:tcPr>
                  <w:tcW w:w="2222" w:type="dxa"/>
                </w:tcPr>
                <w:p w14:paraId="7BEA8DF3">
                  <w:pPr>
                    <w:pStyle w:val="30"/>
                    <w:adjustRightInd w:val="0"/>
                    <w:spacing w:after="0"/>
                    <w:ind w:firstLine="0" w:firstLineChars="0"/>
                    <w:jc w:val="center"/>
                    <w:rPr>
                      <w:color w:val="auto"/>
                      <w:szCs w:val="21"/>
                    </w:rPr>
                  </w:pPr>
                  <w:r>
                    <w:rPr>
                      <w:color w:val="auto"/>
                    </w:rPr>
                    <w:t>72</w:t>
                  </w:r>
                </w:p>
              </w:tc>
            </w:tr>
            <w:tr w14:paraId="0FF75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4" w:type="dxa"/>
                  <w:vAlign w:val="center"/>
                </w:tcPr>
                <w:p w14:paraId="79E5594B">
                  <w:pPr>
                    <w:pStyle w:val="30"/>
                    <w:adjustRightInd w:val="0"/>
                    <w:spacing w:after="0"/>
                    <w:ind w:firstLine="0" w:firstLineChars="0"/>
                    <w:jc w:val="center"/>
                    <w:rPr>
                      <w:color w:val="auto"/>
                      <w:szCs w:val="21"/>
                    </w:rPr>
                  </w:pPr>
                  <w:r>
                    <w:rPr>
                      <w:rFonts w:hint="eastAsia"/>
                      <w:color w:val="auto"/>
                      <w:szCs w:val="21"/>
                    </w:rPr>
                    <w:t>5</w:t>
                  </w:r>
                </w:p>
              </w:tc>
              <w:tc>
                <w:tcPr>
                  <w:tcW w:w="2222" w:type="dxa"/>
                  <w:vAlign w:val="center"/>
                </w:tcPr>
                <w:p w14:paraId="6E9F8329">
                  <w:pPr>
                    <w:pStyle w:val="30"/>
                    <w:adjustRightInd w:val="0"/>
                    <w:spacing w:after="0"/>
                    <w:ind w:firstLine="0" w:firstLineChars="0"/>
                    <w:jc w:val="center"/>
                    <w:rPr>
                      <w:color w:val="auto"/>
                      <w:szCs w:val="21"/>
                    </w:rPr>
                  </w:pPr>
                  <w:r>
                    <w:rPr>
                      <w:color w:val="auto"/>
                      <w:spacing w:val="-3"/>
                      <w:szCs w:val="21"/>
                    </w:rPr>
                    <w:t>大气压强</w:t>
                  </w:r>
                </w:p>
              </w:tc>
              <w:tc>
                <w:tcPr>
                  <w:tcW w:w="2222" w:type="dxa"/>
                  <w:vAlign w:val="center"/>
                </w:tcPr>
                <w:p w14:paraId="7877B1E7">
                  <w:pPr>
                    <w:pStyle w:val="30"/>
                    <w:adjustRightInd w:val="0"/>
                    <w:spacing w:after="0"/>
                    <w:ind w:firstLine="0" w:firstLineChars="0"/>
                    <w:jc w:val="center"/>
                    <w:rPr>
                      <w:color w:val="auto"/>
                      <w:szCs w:val="21"/>
                    </w:rPr>
                  </w:pPr>
                  <w:r>
                    <w:rPr>
                      <w:rFonts w:hint="eastAsia"/>
                      <w:color w:val="auto"/>
                      <w:szCs w:val="21"/>
                    </w:rPr>
                    <w:t>hPa</w:t>
                  </w:r>
                </w:p>
              </w:tc>
              <w:tc>
                <w:tcPr>
                  <w:tcW w:w="2222" w:type="dxa"/>
                </w:tcPr>
                <w:p w14:paraId="22F0EE6B">
                  <w:pPr>
                    <w:pStyle w:val="30"/>
                    <w:adjustRightInd w:val="0"/>
                    <w:spacing w:after="0"/>
                    <w:ind w:firstLine="0" w:firstLineChars="0"/>
                    <w:jc w:val="center"/>
                    <w:rPr>
                      <w:color w:val="auto"/>
                      <w:szCs w:val="21"/>
                    </w:rPr>
                  </w:pPr>
                  <w:r>
                    <w:rPr>
                      <w:color w:val="auto"/>
                    </w:rPr>
                    <w:t>778.6</w:t>
                  </w:r>
                </w:p>
              </w:tc>
            </w:tr>
          </w:tbl>
          <w:p w14:paraId="1DD11E47">
            <w:pPr>
              <w:adjustRightInd w:val="0"/>
              <w:snapToGrid w:val="0"/>
              <w:spacing w:line="360" w:lineRule="auto"/>
              <w:ind w:firstLine="480" w:firstLineChars="200"/>
              <w:rPr>
                <w:color w:val="auto"/>
                <w:sz w:val="24"/>
              </w:rPr>
            </w:pPr>
          </w:p>
          <w:p w14:paraId="7A833E04">
            <w:pPr>
              <w:adjustRightInd w:val="0"/>
              <w:snapToGrid w:val="0"/>
              <w:spacing w:line="360" w:lineRule="auto"/>
              <w:ind w:firstLine="480" w:firstLineChars="200"/>
              <w:rPr>
                <w:color w:val="auto"/>
                <w:sz w:val="24"/>
              </w:rPr>
            </w:pPr>
            <w:r>
              <w:rPr>
                <w:color w:val="auto"/>
                <w:sz w:val="24"/>
              </w:rPr>
              <w:t>（</w:t>
            </w:r>
            <w:r>
              <w:rPr>
                <w:rFonts w:hint="eastAsia"/>
                <w:color w:val="auto"/>
                <w:sz w:val="24"/>
              </w:rPr>
              <w:t>4</w:t>
            </w:r>
            <w:r>
              <w:rPr>
                <w:color w:val="auto"/>
                <w:sz w:val="24"/>
              </w:rPr>
              <w:t>）</w:t>
            </w:r>
            <w:r>
              <w:rPr>
                <w:rFonts w:hint="eastAsia"/>
                <w:color w:val="auto"/>
                <w:sz w:val="24"/>
              </w:rPr>
              <w:t>厂界达标分析</w:t>
            </w:r>
          </w:p>
          <w:p w14:paraId="17EF1073">
            <w:pPr>
              <w:adjustRightInd w:val="0"/>
              <w:snapToGrid w:val="0"/>
              <w:spacing w:line="360" w:lineRule="auto"/>
              <w:ind w:firstLine="480" w:firstLineChars="200"/>
              <w:rPr>
                <w:color w:val="auto"/>
                <w:sz w:val="24"/>
              </w:rPr>
            </w:pPr>
            <w:r>
              <w:rPr>
                <w:rFonts w:hint="eastAsia"/>
                <w:color w:val="auto"/>
                <w:sz w:val="24"/>
              </w:rPr>
              <w:t>通过预测模型计算，项目厂界噪声的最大值预测结果与达标分析见表4-</w:t>
            </w:r>
            <w:r>
              <w:rPr>
                <w:color w:val="auto"/>
                <w:sz w:val="24"/>
              </w:rPr>
              <w:t>14</w:t>
            </w:r>
            <w:r>
              <w:rPr>
                <w:rFonts w:hint="eastAsia"/>
                <w:color w:val="auto"/>
                <w:sz w:val="24"/>
              </w:rPr>
              <w:t>。</w:t>
            </w:r>
          </w:p>
          <w:p w14:paraId="4956BBF5">
            <w:pPr>
              <w:adjustRightInd w:val="0"/>
              <w:snapToGrid w:val="0"/>
              <w:spacing w:line="360" w:lineRule="auto"/>
              <w:ind w:firstLine="482" w:firstLineChars="200"/>
              <w:jc w:val="center"/>
              <w:rPr>
                <w:b/>
                <w:bCs/>
                <w:color w:val="auto"/>
                <w:kern w:val="24"/>
                <w:sz w:val="24"/>
              </w:rPr>
            </w:pPr>
            <w:r>
              <w:rPr>
                <w:b/>
                <w:bCs/>
                <w:color w:val="auto"/>
                <w:kern w:val="24"/>
                <w:sz w:val="24"/>
              </w:rPr>
              <w:t>表4-14  厂界噪声预测结果与达标分析表</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9"/>
              <w:gridCol w:w="989"/>
              <w:gridCol w:w="989"/>
              <w:gridCol w:w="988"/>
              <w:gridCol w:w="987"/>
              <w:gridCol w:w="987"/>
              <w:gridCol w:w="987"/>
              <w:gridCol w:w="987"/>
              <w:gridCol w:w="987"/>
            </w:tblGrid>
            <w:tr w14:paraId="7B7CF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vMerge w:val="restart"/>
                  <w:vAlign w:val="center"/>
                </w:tcPr>
                <w:p w14:paraId="23CA40B5">
                  <w:pPr>
                    <w:pStyle w:val="143"/>
                    <w:rPr>
                      <w:color w:val="auto"/>
                    </w:rPr>
                  </w:pPr>
                  <w:r>
                    <w:rPr>
                      <w:rFonts w:hint="eastAsia"/>
                      <w:color w:val="auto"/>
                    </w:rPr>
                    <w:t>预测点</w:t>
                  </w:r>
                </w:p>
              </w:tc>
              <w:tc>
                <w:tcPr>
                  <w:tcW w:w="2966" w:type="dxa"/>
                  <w:gridSpan w:val="3"/>
                  <w:vAlign w:val="center"/>
                </w:tcPr>
                <w:p w14:paraId="21212404">
                  <w:pPr>
                    <w:pStyle w:val="143"/>
                    <w:rPr>
                      <w:color w:val="auto"/>
                    </w:rPr>
                  </w:pPr>
                  <w:r>
                    <w:rPr>
                      <w:rFonts w:hint="eastAsia"/>
                      <w:color w:val="auto"/>
                    </w:rPr>
                    <w:t>空间相对位置/m</w:t>
                  </w:r>
                </w:p>
              </w:tc>
              <w:tc>
                <w:tcPr>
                  <w:tcW w:w="987" w:type="dxa"/>
                  <w:vMerge w:val="restart"/>
                  <w:vAlign w:val="center"/>
                </w:tcPr>
                <w:p w14:paraId="0F6F7324">
                  <w:pPr>
                    <w:pStyle w:val="143"/>
                    <w:rPr>
                      <w:color w:val="auto"/>
                    </w:rPr>
                  </w:pPr>
                  <w:r>
                    <w:rPr>
                      <w:rFonts w:hint="eastAsia"/>
                      <w:color w:val="auto"/>
                    </w:rPr>
                    <w:t>时段</w:t>
                  </w:r>
                </w:p>
              </w:tc>
              <w:tc>
                <w:tcPr>
                  <w:tcW w:w="987" w:type="dxa"/>
                  <w:vMerge w:val="restart"/>
                  <w:vAlign w:val="center"/>
                </w:tcPr>
                <w:p w14:paraId="41A0DCB5">
                  <w:pPr>
                    <w:pStyle w:val="143"/>
                    <w:rPr>
                      <w:color w:val="auto"/>
                    </w:rPr>
                  </w:pPr>
                  <w:r>
                    <w:rPr>
                      <w:color w:val="auto"/>
                    </w:rPr>
                    <w:t>噪声贡献值/dB(A)</w:t>
                  </w:r>
                </w:p>
              </w:tc>
              <w:tc>
                <w:tcPr>
                  <w:tcW w:w="987" w:type="dxa"/>
                  <w:vMerge w:val="restart"/>
                  <w:vAlign w:val="center"/>
                </w:tcPr>
                <w:p w14:paraId="533FE12C">
                  <w:pPr>
                    <w:pStyle w:val="143"/>
                    <w:rPr>
                      <w:color w:val="auto"/>
                    </w:rPr>
                  </w:pPr>
                  <w:r>
                    <w:rPr>
                      <w:rFonts w:hint="eastAsia"/>
                      <w:color w:val="auto"/>
                    </w:rPr>
                    <w:t>现状值</w:t>
                  </w:r>
                  <w:r>
                    <w:rPr>
                      <w:color w:val="auto"/>
                    </w:rPr>
                    <w:t>/dB(A)</w:t>
                  </w:r>
                </w:p>
              </w:tc>
              <w:tc>
                <w:tcPr>
                  <w:tcW w:w="987" w:type="dxa"/>
                  <w:vMerge w:val="restart"/>
                  <w:vAlign w:val="center"/>
                </w:tcPr>
                <w:p w14:paraId="54AE3185">
                  <w:pPr>
                    <w:pStyle w:val="143"/>
                    <w:rPr>
                      <w:color w:val="auto"/>
                    </w:rPr>
                  </w:pPr>
                  <w:r>
                    <w:rPr>
                      <w:rFonts w:hint="eastAsia"/>
                      <w:color w:val="auto"/>
                    </w:rPr>
                    <w:t>噪声预测值</w:t>
                  </w:r>
                  <w:r>
                    <w:rPr>
                      <w:color w:val="auto"/>
                    </w:rPr>
                    <w:t>/dB(A)</w:t>
                  </w:r>
                </w:p>
              </w:tc>
              <w:tc>
                <w:tcPr>
                  <w:tcW w:w="987" w:type="dxa"/>
                  <w:vMerge w:val="restart"/>
                  <w:vAlign w:val="center"/>
                </w:tcPr>
                <w:p w14:paraId="39AEA1AB">
                  <w:pPr>
                    <w:pStyle w:val="143"/>
                    <w:rPr>
                      <w:color w:val="auto"/>
                    </w:rPr>
                  </w:pPr>
                  <w:r>
                    <w:rPr>
                      <w:rFonts w:hint="eastAsia"/>
                      <w:color w:val="auto"/>
                    </w:rPr>
                    <w:t>达标情况</w:t>
                  </w:r>
                </w:p>
              </w:tc>
            </w:tr>
            <w:tr w14:paraId="14074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vMerge w:val="continue"/>
                  <w:vAlign w:val="center"/>
                </w:tcPr>
                <w:p w14:paraId="04CD4506">
                  <w:pPr>
                    <w:pStyle w:val="143"/>
                    <w:rPr>
                      <w:color w:val="auto"/>
                    </w:rPr>
                  </w:pPr>
                </w:p>
              </w:tc>
              <w:tc>
                <w:tcPr>
                  <w:tcW w:w="989" w:type="dxa"/>
                  <w:vAlign w:val="center"/>
                </w:tcPr>
                <w:p w14:paraId="0FF80F1F">
                  <w:pPr>
                    <w:pStyle w:val="143"/>
                    <w:rPr>
                      <w:color w:val="auto"/>
                    </w:rPr>
                  </w:pPr>
                  <w:r>
                    <w:rPr>
                      <w:rFonts w:hint="eastAsia"/>
                      <w:color w:val="auto"/>
                    </w:rPr>
                    <w:t>X</w:t>
                  </w:r>
                </w:p>
              </w:tc>
              <w:tc>
                <w:tcPr>
                  <w:tcW w:w="989" w:type="dxa"/>
                  <w:vAlign w:val="center"/>
                </w:tcPr>
                <w:p w14:paraId="388BC0D1">
                  <w:pPr>
                    <w:pStyle w:val="143"/>
                    <w:rPr>
                      <w:color w:val="auto"/>
                    </w:rPr>
                  </w:pPr>
                  <w:r>
                    <w:rPr>
                      <w:rFonts w:hint="eastAsia"/>
                      <w:color w:val="auto"/>
                    </w:rPr>
                    <w:t>Y</w:t>
                  </w:r>
                </w:p>
              </w:tc>
              <w:tc>
                <w:tcPr>
                  <w:tcW w:w="988" w:type="dxa"/>
                  <w:vAlign w:val="center"/>
                </w:tcPr>
                <w:p w14:paraId="51DDB73E">
                  <w:pPr>
                    <w:pStyle w:val="143"/>
                    <w:rPr>
                      <w:color w:val="auto"/>
                    </w:rPr>
                  </w:pPr>
                  <w:r>
                    <w:rPr>
                      <w:rFonts w:hint="eastAsia"/>
                      <w:color w:val="auto"/>
                    </w:rPr>
                    <w:t>Z</w:t>
                  </w:r>
                </w:p>
              </w:tc>
              <w:tc>
                <w:tcPr>
                  <w:tcW w:w="987" w:type="dxa"/>
                  <w:vMerge w:val="continue"/>
                  <w:vAlign w:val="center"/>
                </w:tcPr>
                <w:p w14:paraId="41CBAAFA">
                  <w:pPr>
                    <w:pStyle w:val="143"/>
                    <w:rPr>
                      <w:color w:val="auto"/>
                    </w:rPr>
                  </w:pPr>
                </w:p>
              </w:tc>
              <w:tc>
                <w:tcPr>
                  <w:tcW w:w="987" w:type="dxa"/>
                  <w:vMerge w:val="continue"/>
                  <w:vAlign w:val="center"/>
                </w:tcPr>
                <w:p w14:paraId="3D6B1069">
                  <w:pPr>
                    <w:pStyle w:val="143"/>
                    <w:rPr>
                      <w:color w:val="auto"/>
                    </w:rPr>
                  </w:pPr>
                </w:p>
              </w:tc>
              <w:tc>
                <w:tcPr>
                  <w:tcW w:w="987" w:type="dxa"/>
                  <w:vMerge w:val="continue"/>
                  <w:vAlign w:val="center"/>
                </w:tcPr>
                <w:p w14:paraId="4F6172F2">
                  <w:pPr>
                    <w:pStyle w:val="143"/>
                    <w:rPr>
                      <w:color w:val="auto"/>
                    </w:rPr>
                  </w:pPr>
                </w:p>
              </w:tc>
              <w:tc>
                <w:tcPr>
                  <w:tcW w:w="987" w:type="dxa"/>
                  <w:vMerge w:val="continue"/>
                  <w:vAlign w:val="center"/>
                </w:tcPr>
                <w:p w14:paraId="68838FD8">
                  <w:pPr>
                    <w:pStyle w:val="143"/>
                    <w:rPr>
                      <w:color w:val="auto"/>
                    </w:rPr>
                  </w:pPr>
                </w:p>
              </w:tc>
              <w:tc>
                <w:tcPr>
                  <w:tcW w:w="987" w:type="dxa"/>
                  <w:vMerge w:val="continue"/>
                  <w:vAlign w:val="center"/>
                </w:tcPr>
                <w:p w14:paraId="1A323AD2">
                  <w:pPr>
                    <w:pStyle w:val="143"/>
                    <w:rPr>
                      <w:color w:val="auto"/>
                    </w:rPr>
                  </w:pPr>
                </w:p>
              </w:tc>
            </w:tr>
            <w:tr w14:paraId="66606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vAlign w:val="center"/>
                </w:tcPr>
                <w:p w14:paraId="77128044">
                  <w:pPr>
                    <w:pStyle w:val="143"/>
                    <w:rPr>
                      <w:color w:val="auto"/>
                    </w:rPr>
                  </w:pPr>
                  <w:r>
                    <w:rPr>
                      <w:color w:val="auto"/>
                    </w:rPr>
                    <w:t>东厂界</w:t>
                  </w:r>
                </w:p>
              </w:tc>
              <w:tc>
                <w:tcPr>
                  <w:tcW w:w="989" w:type="dxa"/>
                  <w:vAlign w:val="center"/>
                </w:tcPr>
                <w:p w14:paraId="6242D8FC">
                  <w:pPr>
                    <w:pStyle w:val="143"/>
                    <w:rPr>
                      <w:color w:val="auto"/>
                    </w:rPr>
                  </w:pPr>
                  <w:r>
                    <w:rPr>
                      <w:rFonts w:hint="eastAsia"/>
                      <w:color w:val="auto"/>
                    </w:rPr>
                    <w:t>165.79</w:t>
                  </w:r>
                </w:p>
              </w:tc>
              <w:tc>
                <w:tcPr>
                  <w:tcW w:w="989" w:type="dxa"/>
                  <w:vAlign w:val="center"/>
                </w:tcPr>
                <w:p w14:paraId="57659A2A">
                  <w:pPr>
                    <w:pStyle w:val="143"/>
                    <w:rPr>
                      <w:color w:val="auto"/>
                    </w:rPr>
                  </w:pPr>
                  <w:r>
                    <w:rPr>
                      <w:rFonts w:hint="eastAsia"/>
                      <w:color w:val="auto"/>
                    </w:rPr>
                    <w:t>112.98</w:t>
                  </w:r>
                </w:p>
              </w:tc>
              <w:tc>
                <w:tcPr>
                  <w:tcW w:w="988" w:type="dxa"/>
                  <w:vAlign w:val="center"/>
                </w:tcPr>
                <w:p w14:paraId="1BCFA61E">
                  <w:pPr>
                    <w:pStyle w:val="143"/>
                    <w:rPr>
                      <w:color w:val="auto"/>
                    </w:rPr>
                  </w:pPr>
                  <w:r>
                    <w:rPr>
                      <w:color w:val="auto"/>
                    </w:rPr>
                    <w:t>1.2</w:t>
                  </w:r>
                </w:p>
              </w:tc>
              <w:tc>
                <w:tcPr>
                  <w:tcW w:w="987" w:type="dxa"/>
                  <w:vAlign w:val="center"/>
                </w:tcPr>
                <w:p w14:paraId="082498A8">
                  <w:pPr>
                    <w:pStyle w:val="143"/>
                    <w:rPr>
                      <w:color w:val="auto"/>
                    </w:rPr>
                  </w:pPr>
                  <w:r>
                    <w:rPr>
                      <w:color w:val="auto"/>
                    </w:rPr>
                    <w:t>昼间</w:t>
                  </w:r>
                </w:p>
              </w:tc>
              <w:tc>
                <w:tcPr>
                  <w:tcW w:w="987" w:type="dxa"/>
                  <w:vAlign w:val="center"/>
                </w:tcPr>
                <w:p w14:paraId="7F010AA4">
                  <w:pPr>
                    <w:pStyle w:val="143"/>
                    <w:rPr>
                      <w:color w:val="auto"/>
                    </w:rPr>
                  </w:pPr>
                  <w:r>
                    <w:rPr>
                      <w:rFonts w:hint="eastAsia"/>
                      <w:color w:val="auto"/>
                    </w:rPr>
                    <w:t>40.15</w:t>
                  </w:r>
                </w:p>
              </w:tc>
              <w:tc>
                <w:tcPr>
                  <w:tcW w:w="987" w:type="dxa"/>
                  <w:vAlign w:val="center"/>
                </w:tcPr>
                <w:p w14:paraId="66023CD2">
                  <w:pPr>
                    <w:pStyle w:val="143"/>
                    <w:rPr>
                      <w:color w:val="auto"/>
                    </w:rPr>
                  </w:pPr>
                  <w:r>
                    <w:rPr>
                      <w:rFonts w:hint="eastAsia"/>
                      <w:color w:val="auto"/>
                    </w:rPr>
                    <w:t>58</w:t>
                  </w:r>
                </w:p>
              </w:tc>
              <w:tc>
                <w:tcPr>
                  <w:tcW w:w="987" w:type="dxa"/>
                  <w:vAlign w:val="center"/>
                </w:tcPr>
                <w:p w14:paraId="7EE43F3E">
                  <w:pPr>
                    <w:pStyle w:val="143"/>
                    <w:rPr>
                      <w:color w:val="auto"/>
                    </w:rPr>
                  </w:pPr>
                  <w:r>
                    <w:rPr>
                      <w:rFonts w:hint="eastAsia"/>
                      <w:color w:val="auto"/>
                    </w:rPr>
                    <w:t>58.07</w:t>
                  </w:r>
                </w:p>
              </w:tc>
              <w:tc>
                <w:tcPr>
                  <w:tcW w:w="987" w:type="dxa"/>
                  <w:vAlign w:val="center"/>
                </w:tcPr>
                <w:p w14:paraId="155B3080">
                  <w:pPr>
                    <w:pStyle w:val="143"/>
                    <w:rPr>
                      <w:color w:val="auto"/>
                    </w:rPr>
                  </w:pPr>
                  <w:r>
                    <w:rPr>
                      <w:rFonts w:hint="eastAsia"/>
                      <w:color w:val="auto"/>
                    </w:rPr>
                    <w:t>达标</w:t>
                  </w:r>
                </w:p>
              </w:tc>
            </w:tr>
            <w:tr w14:paraId="1A0CA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vAlign w:val="center"/>
                </w:tcPr>
                <w:p w14:paraId="1B2113DF">
                  <w:pPr>
                    <w:pStyle w:val="143"/>
                    <w:rPr>
                      <w:color w:val="auto"/>
                    </w:rPr>
                  </w:pPr>
                  <w:r>
                    <w:rPr>
                      <w:rFonts w:hint="eastAsia"/>
                      <w:color w:val="auto"/>
                    </w:rPr>
                    <w:t>南</w:t>
                  </w:r>
                  <w:r>
                    <w:rPr>
                      <w:color w:val="auto"/>
                    </w:rPr>
                    <w:t>厂界</w:t>
                  </w:r>
                </w:p>
              </w:tc>
              <w:tc>
                <w:tcPr>
                  <w:tcW w:w="989" w:type="dxa"/>
                  <w:vAlign w:val="center"/>
                </w:tcPr>
                <w:p w14:paraId="2A04EE84">
                  <w:pPr>
                    <w:pStyle w:val="143"/>
                    <w:rPr>
                      <w:color w:val="auto"/>
                    </w:rPr>
                  </w:pPr>
                  <w:r>
                    <w:rPr>
                      <w:rFonts w:hint="eastAsia"/>
                      <w:color w:val="auto"/>
                    </w:rPr>
                    <w:t>26.12</w:t>
                  </w:r>
                </w:p>
              </w:tc>
              <w:tc>
                <w:tcPr>
                  <w:tcW w:w="989" w:type="dxa"/>
                  <w:vAlign w:val="center"/>
                </w:tcPr>
                <w:p w14:paraId="50A4841F">
                  <w:pPr>
                    <w:pStyle w:val="143"/>
                    <w:rPr>
                      <w:color w:val="auto"/>
                    </w:rPr>
                  </w:pPr>
                  <w:r>
                    <w:rPr>
                      <w:rFonts w:hint="eastAsia"/>
                      <w:color w:val="auto"/>
                    </w:rPr>
                    <w:t>-1.14</w:t>
                  </w:r>
                </w:p>
              </w:tc>
              <w:tc>
                <w:tcPr>
                  <w:tcW w:w="988" w:type="dxa"/>
                  <w:vAlign w:val="center"/>
                </w:tcPr>
                <w:p w14:paraId="5F0407BC">
                  <w:pPr>
                    <w:pStyle w:val="143"/>
                    <w:rPr>
                      <w:color w:val="auto"/>
                    </w:rPr>
                  </w:pPr>
                  <w:r>
                    <w:rPr>
                      <w:color w:val="auto"/>
                    </w:rPr>
                    <w:t>1.2</w:t>
                  </w:r>
                </w:p>
              </w:tc>
              <w:tc>
                <w:tcPr>
                  <w:tcW w:w="987" w:type="dxa"/>
                  <w:vAlign w:val="center"/>
                </w:tcPr>
                <w:p w14:paraId="38A99A34">
                  <w:pPr>
                    <w:pStyle w:val="143"/>
                    <w:rPr>
                      <w:color w:val="auto"/>
                    </w:rPr>
                  </w:pPr>
                  <w:r>
                    <w:rPr>
                      <w:color w:val="auto"/>
                    </w:rPr>
                    <w:t>昼间</w:t>
                  </w:r>
                </w:p>
              </w:tc>
              <w:tc>
                <w:tcPr>
                  <w:tcW w:w="987" w:type="dxa"/>
                  <w:vAlign w:val="center"/>
                </w:tcPr>
                <w:p w14:paraId="5D8D8DBD">
                  <w:pPr>
                    <w:pStyle w:val="143"/>
                    <w:rPr>
                      <w:color w:val="auto"/>
                    </w:rPr>
                  </w:pPr>
                  <w:r>
                    <w:rPr>
                      <w:rFonts w:hint="eastAsia"/>
                      <w:color w:val="auto"/>
                    </w:rPr>
                    <w:t>39.10</w:t>
                  </w:r>
                </w:p>
              </w:tc>
              <w:tc>
                <w:tcPr>
                  <w:tcW w:w="987" w:type="dxa"/>
                  <w:vAlign w:val="center"/>
                </w:tcPr>
                <w:p w14:paraId="1A836521">
                  <w:pPr>
                    <w:pStyle w:val="143"/>
                    <w:rPr>
                      <w:color w:val="auto"/>
                    </w:rPr>
                  </w:pPr>
                  <w:r>
                    <w:rPr>
                      <w:rFonts w:hint="eastAsia"/>
                      <w:color w:val="auto"/>
                    </w:rPr>
                    <w:t>58</w:t>
                  </w:r>
                </w:p>
              </w:tc>
              <w:tc>
                <w:tcPr>
                  <w:tcW w:w="987" w:type="dxa"/>
                  <w:vAlign w:val="center"/>
                </w:tcPr>
                <w:p w14:paraId="3DCB51D2">
                  <w:pPr>
                    <w:pStyle w:val="143"/>
                    <w:rPr>
                      <w:color w:val="auto"/>
                    </w:rPr>
                  </w:pPr>
                  <w:r>
                    <w:rPr>
                      <w:rFonts w:hint="eastAsia"/>
                      <w:color w:val="auto"/>
                    </w:rPr>
                    <w:t>58.06</w:t>
                  </w:r>
                </w:p>
              </w:tc>
              <w:tc>
                <w:tcPr>
                  <w:tcW w:w="987" w:type="dxa"/>
                  <w:vAlign w:val="center"/>
                </w:tcPr>
                <w:p w14:paraId="3C0EACEC">
                  <w:pPr>
                    <w:pStyle w:val="143"/>
                    <w:rPr>
                      <w:color w:val="auto"/>
                    </w:rPr>
                  </w:pPr>
                  <w:r>
                    <w:rPr>
                      <w:rFonts w:hint="eastAsia"/>
                      <w:color w:val="auto"/>
                    </w:rPr>
                    <w:t>达标</w:t>
                  </w:r>
                </w:p>
              </w:tc>
            </w:tr>
            <w:tr w14:paraId="705C4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vAlign w:val="center"/>
                </w:tcPr>
                <w:p w14:paraId="724C775A">
                  <w:pPr>
                    <w:pStyle w:val="143"/>
                    <w:rPr>
                      <w:color w:val="auto"/>
                    </w:rPr>
                  </w:pPr>
                  <w:r>
                    <w:rPr>
                      <w:color w:val="auto"/>
                    </w:rPr>
                    <w:t>西厂界</w:t>
                  </w:r>
                </w:p>
              </w:tc>
              <w:tc>
                <w:tcPr>
                  <w:tcW w:w="989" w:type="dxa"/>
                  <w:vAlign w:val="center"/>
                </w:tcPr>
                <w:p w14:paraId="7D6A477D">
                  <w:pPr>
                    <w:pStyle w:val="143"/>
                    <w:rPr>
                      <w:color w:val="auto"/>
                    </w:rPr>
                  </w:pPr>
                  <w:r>
                    <w:rPr>
                      <w:rFonts w:hint="eastAsia"/>
                      <w:color w:val="auto"/>
                    </w:rPr>
                    <w:t>42.01</w:t>
                  </w:r>
                </w:p>
              </w:tc>
              <w:tc>
                <w:tcPr>
                  <w:tcW w:w="989" w:type="dxa"/>
                  <w:vAlign w:val="center"/>
                </w:tcPr>
                <w:p w14:paraId="4FA592EC">
                  <w:pPr>
                    <w:pStyle w:val="143"/>
                    <w:rPr>
                      <w:color w:val="auto"/>
                    </w:rPr>
                  </w:pPr>
                  <w:r>
                    <w:rPr>
                      <w:rFonts w:hint="eastAsia"/>
                      <w:color w:val="auto"/>
                    </w:rPr>
                    <w:t>103.90</w:t>
                  </w:r>
                </w:p>
              </w:tc>
              <w:tc>
                <w:tcPr>
                  <w:tcW w:w="988" w:type="dxa"/>
                  <w:vAlign w:val="center"/>
                </w:tcPr>
                <w:p w14:paraId="7A8B9DF8">
                  <w:pPr>
                    <w:pStyle w:val="143"/>
                    <w:rPr>
                      <w:color w:val="auto"/>
                    </w:rPr>
                  </w:pPr>
                  <w:r>
                    <w:rPr>
                      <w:color w:val="auto"/>
                    </w:rPr>
                    <w:t>1.2</w:t>
                  </w:r>
                </w:p>
              </w:tc>
              <w:tc>
                <w:tcPr>
                  <w:tcW w:w="987" w:type="dxa"/>
                  <w:vAlign w:val="center"/>
                </w:tcPr>
                <w:p w14:paraId="5938310C">
                  <w:pPr>
                    <w:pStyle w:val="143"/>
                    <w:rPr>
                      <w:color w:val="auto"/>
                    </w:rPr>
                  </w:pPr>
                  <w:r>
                    <w:rPr>
                      <w:color w:val="auto"/>
                    </w:rPr>
                    <w:t>昼间</w:t>
                  </w:r>
                </w:p>
              </w:tc>
              <w:tc>
                <w:tcPr>
                  <w:tcW w:w="987" w:type="dxa"/>
                  <w:vAlign w:val="center"/>
                </w:tcPr>
                <w:p w14:paraId="5BBE803C">
                  <w:pPr>
                    <w:pStyle w:val="143"/>
                    <w:rPr>
                      <w:color w:val="auto"/>
                    </w:rPr>
                  </w:pPr>
                  <w:r>
                    <w:rPr>
                      <w:rFonts w:hint="eastAsia"/>
                      <w:color w:val="auto"/>
                    </w:rPr>
                    <w:t>40.52</w:t>
                  </w:r>
                </w:p>
              </w:tc>
              <w:tc>
                <w:tcPr>
                  <w:tcW w:w="987" w:type="dxa"/>
                  <w:vAlign w:val="center"/>
                </w:tcPr>
                <w:p w14:paraId="364A66B3">
                  <w:pPr>
                    <w:pStyle w:val="143"/>
                    <w:rPr>
                      <w:color w:val="auto"/>
                    </w:rPr>
                  </w:pPr>
                  <w:r>
                    <w:rPr>
                      <w:rFonts w:hint="eastAsia"/>
                      <w:color w:val="auto"/>
                    </w:rPr>
                    <w:t>58</w:t>
                  </w:r>
                </w:p>
              </w:tc>
              <w:tc>
                <w:tcPr>
                  <w:tcW w:w="987" w:type="dxa"/>
                  <w:vAlign w:val="center"/>
                </w:tcPr>
                <w:p w14:paraId="5F529FE4">
                  <w:pPr>
                    <w:pStyle w:val="143"/>
                    <w:rPr>
                      <w:color w:val="auto"/>
                    </w:rPr>
                  </w:pPr>
                  <w:r>
                    <w:rPr>
                      <w:rFonts w:hint="eastAsia"/>
                      <w:color w:val="auto"/>
                    </w:rPr>
                    <w:t>58.08</w:t>
                  </w:r>
                </w:p>
              </w:tc>
              <w:tc>
                <w:tcPr>
                  <w:tcW w:w="987" w:type="dxa"/>
                  <w:vAlign w:val="center"/>
                </w:tcPr>
                <w:p w14:paraId="7FCCD6E0">
                  <w:pPr>
                    <w:pStyle w:val="143"/>
                    <w:rPr>
                      <w:color w:val="auto"/>
                    </w:rPr>
                  </w:pPr>
                  <w:r>
                    <w:rPr>
                      <w:rFonts w:hint="eastAsia"/>
                      <w:color w:val="auto"/>
                    </w:rPr>
                    <w:t>达标</w:t>
                  </w:r>
                </w:p>
              </w:tc>
            </w:tr>
            <w:tr w14:paraId="48B1E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vAlign w:val="center"/>
                </w:tcPr>
                <w:p w14:paraId="1E718904">
                  <w:pPr>
                    <w:pStyle w:val="143"/>
                    <w:rPr>
                      <w:color w:val="auto"/>
                    </w:rPr>
                  </w:pPr>
                  <w:r>
                    <w:rPr>
                      <w:color w:val="auto"/>
                    </w:rPr>
                    <w:t>北厂界</w:t>
                  </w:r>
                </w:p>
              </w:tc>
              <w:tc>
                <w:tcPr>
                  <w:tcW w:w="989" w:type="dxa"/>
                  <w:vAlign w:val="center"/>
                </w:tcPr>
                <w:p w14:paraId="13CE40D6">
                  <w:pPr>
                    <w:pStyle w:val="143"/>
                    <w:rPr>
                      <w:color w:val="auto"/>
                    </w:rPr>
                  </w:pPr>
                  <w:r>
                    <w:rPr>
                      <w:rFonts w:hint="eastAsia"/>
                      <w:color w:val="auto"/>
                    </w:rPr>
                    <w:t>59.04</w:t>
                  </w:r>
                </w:p>
              </w:tc>
              <w:tc>
                <w:tcPr>
                  <w:tcW w:w="989" w:type="dxa"/>
                  <w:vAlign w:val="center"/>
                </w:tcPr>
                <w:p w14:paraId="583B6ED5">
                  <w:pPr>
                    <w:pStyle w:val="143"/>
                    <w:rPr>
                      <w:color w:val="auto"/>
                    </w:rPr>
                  </w:pPr>
                  <w:r>
                    <w:rPr>
                      <w:rFonts w:hint="eastAsia"/>
                      <w:color w:val="auto"/>
                    </w:rPr>
                    <w:t>202.12</w:t>
                  </w:r>
                </w:p>
              </w:tc>
              <w:tc>
                <w:tcPr>
                  <w:tcW w:w="988" w:type="dxa"/>
                  <w:vAlign w:val="center"/>
                </w:tcPr>
                <w:p w14:paraId="04A2330D">
                  <w:pPr>
                    <w:pStyle w:val="143"/>
                    <w:rPr>
                      <w:color w:val="auto"/>
                    </w:rPr>
                  </w:pPr>
                  <w:r>
                    <w:rPr>
                      <w:color w:val="auto"/>
                    </w:rPr>
                    <w:t>1.2</w:t>
                  </w:r>
                </w:p>
              </w:tc>
              <w:tc>
                <w:tcPr>
                  <w:tcW w:w="987" w:type="dxa"/>
                  <w:vAlign w:val="center"/>
                </w:tcPr>
                <w:p w14:paraId="5D8D2FF8">
                  <w:pPr>
                    <w:pStyle w:val="143"/>
                    <w:rPr>
                      <w:color w:val="auto"/>
                    </w:rPr>
                  </w:pPr>
                  <w:r>
                    <w:rPr>
                      <w:color w:val="auto"/>
                    </w:rPr>
                    <w:t>昼间</w:t>
                  </w:r>
                </w:p>
              </w:tc>
              <w:tc>
                <w:tcPr>
                  <w:tcW w:w="987" w:type="dxa"/>
                  <w:vAlign w:val="center"/>
                </w:tcPr>
                <w:p w14:paraId="0C762A6B">
                  <w:pPr>
                    <w:pStyle w:val="143"/>
                    <w:rPr>
                      <w:color w:val="auto"/>
                    </w:rPr>
                  </w:pPr>
                  <w:r>
                    <w:rPr>
                      <w:rFonts w:hint="eastAsia"/>
                      <w:color w:val="auto"/>
                    </w:rPr>
                    <w:t>33.58</w:t>
                  </w:r>
                </w:p>
              </w:tc>
              <w:tc>
                <w:tcPr>
                  <w:tcW w:w="987" w:type="dxa"/>
                  <w:vAlign w:val="center"/>
                </w:tcPr>
                <w:p w14:paraId="2C45FEDF">
                  <w:pPr>
                    <w:pStyle w:val="143"/>
                    <w:rPr>
                      <w:color w:val="auto"/>
                    </w:rPr>
                  </w:pPr>
                  <w:r>
                    <w:rPr>
                      <w:rFonts w:hint="eastAsia"/>
                      <w:color w:val="auto"/>
                    </w:rPr>
                    <w:t>55</w:t>
                  </w:r>
                </w:p>
              </w:tc>
              <w:tc>
                <w:tcPr>
                  <w:tcW w:w="987" w:type="dxa"/>
                  <w:vAlign w:val="center"/>
                </w:tcPr>
                <w:p w14:paraId="144F8D1A">
                  <w:pPr>
                    <w:pStyle w:val="143"/>
                    <w:rPr>
                      <w:color w:val="auto"/>
                    </w:rPr>
                  </w:pPr>
                  <w:r>
                    <w:rPr>
                      <w:rFonts w:hint="eastAsia"/>
                      <w:color w:val="auto"/>
                    </w:rPr>
                    <w:t>55.03</w:t>
                  </w:r>
                </w:p>
              </w:tc>
              <w:tc>
                <w:tcPr>
                  <w:tcW w:w="987" w:type="dxa"/>
                  <w:vAlign w:val="center"/>
                </w:tcPr>
                <w:p w14:paraId="4AE4DAFD">
                  <w:pPr>
                    <w:pStyle w:val="143"/>
                    <w:rPr>
                      <w:color w:val="auto"/>
                    </w:rPr>
                  </w:pPr>
                  <w:r>
                    <w:rPr>
                      <w:rFonts w:hint="eastAsia"/>
                      <w:color w:val="auto"/>
                    </w:rPr>
                    <w:t>达标</w:t>
                  </w:r>
                </w:p>
              </w:tc>
            </w:tr>
            <w:tr w14:paraId="76DA7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0" w:type="dxa"/>
                  <w:gridSpan w:val="9"/>
                  <w:vAlign w:val="center"/>
                </w:tcPr>
                <w:p w14:paraId="3CDC9F5D">
                  <w:pPr>
                    <w:pStyle w:val="143"/>
                    <w:rPr>
                      <w:color w:val="auto"/>
                    </w:rPr>
                  </w:pPr>
                  <w:r>
                    <w:rPr>
                      <w:rFonts w:hint="eastAsia"/>
                      <w:color w:val="auto"/>
                    </w:rPr>
                    <w:t>标准值：昼间60</w:t>
                  </w:r>
                  <w:r>
                    <w:rPr>
                      <w:color w:val="auto"/>
                    </w:rPr>
                    <w:t xml:space="preserve"> dB(A)</w:t>
                  </w:r>
                </w:p>
              </w:tc>
            </w:tr>
          </w:tbl>
          <w:p w14:paraId="0CA749D1">
            <w:pPr>
              <w:pStyle w:val="70"/>
              <w:ind w:firstLine="480"/>
              <w:rPr>
                <w:rFonts w:eastAsiaTheme="minorEastAsia"/>
                <w:color w:val="auto"/>
              </w:rPr>
            </w:pPr>
          </w:p>
          <w:p w14:paraId="4F0CCCAD">
            <w:pPr>
              <w:pStyle w:val="70"/>
              <w:ind w:firstLine="480"/>
              <w:rPr>
                <w:color w:val="auto"/>
                <w:kern w:val="24"/>
              </w:rPr>
            </w:pPr>
            <w:r>
              <w:rPr>
                <w:rFonts w:eastAsiaTheme="minorEastAsia"/>
                <w:color w:val="auto"/>
              </w:rPr>
              <w:t>由上表可知，</w:t>
            </w:r>
            <w:r>
              <w:rPr>
                <w:rFonts w:hint="eastAsia" w:eastAsiaTheme="minorEastAsia"/>
                <w:color w:val="auto"/>
              </w:rPr>
              <w:t>本项目运营期通过采取基础减振、厂房隔声、进风口消声器等措施后，</w:t>
            </w:r>
            <w:r>
              <w:rPr>
                <w:rFonts w:hint="eastAsia"/>
                <w:color w:val="auto"/>
                <w:kern w:val="24"/>
              </w:rPr>
              <w:t>项目建成后全厂的</w:t>
            </w:r>
            <w:r>
              <w:rPr>
                <w:rFonts w:hint="eastAsia"/>
                <w:color w:val="auto"/>
              </w:rPr>
              <w:t>厂界</w:t>
            </w:r>
            <w:r>
              <w:rPr>
                <w:color w:val="auto"/>
              </w:rPr>
              <w:t>噪声</w:t>
            </w:r>
            <w:r>
              <w:rPr>
                <w:rFonts w:hint="eastAsia"/>
                <w:color w:val="auto"/>
              </w:rPr>
              <w:t>昼间贡献值及预测值均满足</w:t>
            </w:r>
            <w:r>
              <w:rPr>
                <w:color w:val="auto"/>
              </w:rPr>
              <w:t>《工业企业场界环境噪声排放标准》（GB</w:t>
            </w:r>
            <w:r>
              <w:rPr>
                <w:rFonts w:hint="eastAsia"/>
                <w:color w:val="auto"/>
              </w:rPr>
              <w:t xml:space="preserve"> </w:t>
            </w:r>
            <w:r>
              <w:rPr>
                <w:color w:val="auto"/>
              </w:rPr>
              <w:t>12348-2008）2</w:t>
            </w:r>
            <w:r>
              <w:rPr>
                <w:rFonts w:hint="eastAsia"/>
                <w:color w:val="auto"/>
              </w:rPr>
              <w:t>类标准。但是由于项目区噪声现状值较高，因此预测值已接近排放限值，项目在生产过程中须严格按照</w:t>
            </w:r>
            <w:bookmarkStart w:id="81" w:name="OLE_LINK54"/>
            <w:r>
              <w:rPr>
                <w:rFonts w:hint="eastAsia"/>
                <w:color w:val="auto"/>
              </w:rPr>
              <w:t>本报告要求采取隔声降噪措施，</w:t>
            </w:r>
            <w:bookmarkEnd w:id="81"/>
            <w:r>
              <w:rPr>
                <w:rFonts w:hint="eastAsia"/>
                <w:color w:val="auto"/>
              </w:rPr>
              <w:t>减轻噪声污染影响。</w:t>
            </w:r>
            <w:r>
              <w:rPr>
                <w:rFonts w:hint="eastAsia"/>
                <w:color w:val="auto"/>
                <w:kern w:val="24"/>
              </w:rPr>
              <w:t>本项目夜间不生产，</w:t>
            </w:r>
            <w:r>
              <w:rPr>
                <w:color w:val="auto"/>
                <w:kern w:val="24"/>
              </w:rPr>
              <w:t>对周围环境影响较小</w:t>
            </w:r>
            <w:r>
              <w:rPr>
                <w:rFonts w:hint="eastAsia"/>
                <w:color w:val="auto"/>
                <w:kern w:val="24"/>
              </w:rPr>
              <w:t>。</w:t>
            </w:r>
          </w:p>
          <w:p w14:paraId="573F2301">
            <w:pPr>
              <w:adjustRightInd w:val="0"/>
              <w:snapToGrid w:val="0"/>
              <w:spacing w:line="360" w:lineRule="auto"/>
              <w:ind w:firstLine="480" w:firstLineChars="200"/>
              <w:rPr>
                <w:color w:val="auto"/>
                <w:sz w:val="24"/>
              </w:rPr>
            </w:pPr>
            <w:r>
              <w:rPr>
                <w:rFonts w:hint="eastAsia"/>
                <w:color w:val="auto"/>
                <w:sz w:val="24"/>
              </w:rPr>
              <w:t>因此，在严格</w:t>
            </w:r>
            <w:r>
              <w:rPr>
                <w:color w:val="auto"/>
                <w:sz w:val="24"/>
              </w:rPr>
              <w:t>采取</w:t>
            </w:r>
            <w:r>
              <w:rPr>
                <w:rFonts w:hint="eastAsia"/>
                <w:color w:val="auto"/>
                <w:sz w:val="24"/>
              </w:rPr>
              <w:t>本报告提出的各项</w:t>
            </w:r>
            <w:r>
              <w:rPr>
                <w:color w:val="auto"/>
                <w:sz w:val="24"/>
              </w:rPr>
              <w:t>隔声降噪措施</w:t>
            </w:r>
            <w:r>
              <w:rPr>
                <w:rFonts w:hint="eastAsia"/>
                <w:color w:val="auto"/>
                <w:sz w:val="24"/>
              </w:rPr>
              <w:t>后</w:t>
            </w:r>
            <w:r>
              <w:rPr>
                <w:color w:val="auto"/>
                <w:sz w:val="24"/>
              </w:rPr>
              <w:t>，</w:t>
            </w:r>
            <w:r>
              <w:rPr>
                <w:rFonts w:hint="eastAsia"/>
                <w:color w:val="auto"/>
                <w:sz w:val="24"/>
              </w:rPr>
              <w:t>本项目噪声对周围环境影响可以接受。</w:t>
            </w:r>
          </w:p>
          <w:p w14:paraId="6FD0FC61">
            <w:pPr>
              <w:pStyle w:val="58"/>
              <w:spacing w:before="1" w:line="364" w:lineRule="auto"/>
              <w:ind w:right="106"/>
              <w:rPr>
                <w:rFonts w:hint="eastAsia"/>
                <w:b/>
                <w:color w:val="auto"/>
                <w:kern w:val="24"/>
                <w:sz w:val="24"/>
              </w:rPr>
            </w:pPr>
            <w:r>
              <w:rPr>
                <w:rFonts w:hint="eastAsia" w:ascii="Times New Roman" w:hAnsi="Times New Roman" w:cs="Times New Roman"/>
                <w:b/>
                <w:color w:val="auto"/>
                <w:kern w:val="24"/>
                <w:sz w:val="24"/>
                <w:lang w:val="en-US"/>
              </w:rPr>
              <w:t>3</w:t>
            </w:r>
            <w:r>
              <w:rPr>
                <w:rFonts w:ascii="Times New Roman" w:hAnsi="Times New Roman" w:cs="Times New Roman"/>
                <w:b/>
                <w:color w:val="auto"/>
                <w:kern w:val="24"/>
                <w:sz w:val="24"/>
                <w:lang w:val="en-US"/>
              </w:rPr>
              <w:t>.</w:t>
            </w:r>
            <w:r>
              <w:rPr>
                <w:rFonts w:hint="eastAsia" w:ascii="Times New Roman" w:hAnsi="Times New Roman" w:cs="Times New Roman"/>
                <w:b/>
                <w:color w:val="auto"/>
                <w:kern w:val="24"/>
                <w:sz w:val="24"/>
                <w:lang w:val="en-US"/>
              </w:rPr>
              <w:t>3</w:t>
            </w:r>
            <w:r>
              <w:rPr>
                <w:rFonts w:hint="eastAsia"/>
                <w:b/>
                <w:bCs/>
                <w:color w:val="auto"/>
                <w:sz w:val="24"/>
              </w:rPr>
              <w:t>噪声环境监测计划</w:t>
            </w:r>
          </w:p>
          <w:p w14:paraId="5FAA75FF">
            <w:pPr>
              <w:adjustRightInd w:val="0"/>
              <w:snapToGrid w:val="0"/>
              <w:spacing w:line="360" w:lineRule="auto"/>
              <w:ind w:firstLine="480" w:firstLineChars="200"/>
              <w:rPr>
                <w:color w:val="auto"/>
                <w:kern w:val="24"/>
                <w:sz w:val="24"/>
              </w:rPr>
            </w:pPr>
            <w:r>
              <w:rPr>
                <w:rFonts w:hint="eastAsia"/>
                <w:color w:val="auto"/>
                <w:kern w:val="24"/>
                <w:sz w:val="24"/>
              </w:rPr>
              <w:t>参照《排污单位自行监测技术指南 总则》(HJ 819-2017)、《排污单位自行监测技术指南 钢铁工业及炼焦化学工业》（HJ878-2017），本项目运营期噪声监测要求如下表。</w:t>
            </w:r>
          </w:p>
          <w:p w14:paraId="244FC96C">
            <w:pPr>
              <w:adjustRightInd w:val="0"/>
              <w:snapToGrid w:val="0"/>
              <w:spacing w:line="360" w:lineRule="auto"/>
              <w:ind w:firstLine="482" w:firstLineChars="200"/>
              <w:jc w:val="center"/>
              <w:rPr>
                <w:b/>
                <w:bCs/>
                <w:color w:val="auto"/>
                <w:kern w:val="24"/>
                <w:sz w:val="24"/>
              </w:rPr>
            </w:pPr>
            <w:r>
              <w:rPr>
                <w:b/>
                <w:bCs/>
                <w:color w:val="auto"/>
                <w:kern w:val="24"/>
                <w:sz w:val="24"/>
              </w:rPr>
              <w:t>表</w:t>
            </w:r>
            <w:r>
              <w:rPr>
                <w:rFonts w:hint="eastAsia"/>
                <w:b/>
                <w:bCs/>
                <w:color w:val="auto"/>
                <w:kern w:val="24"/>
                <w:sz w:val="24"/>
              </w:rPr>
              <w:t>4-1</w:t>
            </w:r>
            <w:r>
              <w:rPr>
                <w:b/>
                <w:bCs/>
                <w:color w:val="auto"/>
                <w:kern w:val="24"/>
                <w:sz w:val="24"/>
              </w:rPr>
              <w:t xml:space="preserve">5  </w:t>
            </w:r>
            <w:r>
              <w:rPr>
                <w:rFonts w:hint="eastAsia"/>
                <w:b/>
                <w:bCs/>
                <w:color w:val="auto"/>
                <w:kern w:val="24"/>
                <w:sz w:val="24"/>
              </w:rPr>
              <w:t>项目运营期噪声</w:t>
            </w:r>
            <w:r>
              <w:rPr>
                <w:b/>
                <w:bCs/>
                <w:color w:val="auto"/>
                <w:kern w:val="24"/>
                <w:sz w:val="24"/>
              </w:rPr>
              <w:t>监测</w:t>
            </w:r>
            <w:r>
              <w:rPr>
                <w:rFonts w:hint="eastAsia"/>
                <w:b/>
                <w:bCs/>
                <w:color w:val="auto"/>
                <w:kern w:val="24"/>
                <w:sz w:val="24"/>
              </w:rPr>
              <w:t>要求</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1504"/>
              <w:gridCol w:w="2097"/>
              <w:gridCol w:w="1206"/>
              <w:gridCol w:w="3322"/>
            </w:tblGrid>
            <w:tr w14:paraId="0E284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Align w:val="center"/>
                </w:tcPr>
                <w:p w14:paraId="23EEED7B">
                  <w:pPr>
                    <w:jc w:val="center"/>
                    <w:rPr>
                      <w:color w:val="auto"/>
                      <w:szCs w:val="21"/>
                    </w:rPr>
                  </w:pPr>
                  <w:r>
                    <w:rPr>
                      <w:rFonts w:hint="eastAsia"/>
                      <w:color w:val="auto"/>
                      <w:szCs w:val="21"/>
                    </w:rPr>
                    <w:t>项目</w:t>
                  </w:r>
                </w:p>
              </w:tc>
              <w:tc>
                <w:tcPr>
                  <w:tcW w:w="1504" w:type="dxa"/>
                  <w:vAlign w:val="center"/>
                </w:tcPr>
                <w:p w14:paraId="201958D5">
                  <w:pPr>
                    <w:jc w:val="center"/>
                    <w:rPr>
                      <w:color w:val="auto"/>
                      <w:szCs w:val="21"/>
                    </w:rPr>
                  </w:pPr>
                  <w:r>
                    <w:rPr>
                      <w:rFonts w:hint="eastAsia"/>
                      <w:color w:val="auto"/>
                      <w:szCs w:val="21"/>
                    </w:rPr>
                    <w:t>监测点位</w:t>
                  </w:r>
                </w:p>
              </w:tc>
              <w:tc>
                <w:tcPr>
                  <w:tcW w:w="2097" w:type="dxa"/>
                  <w:vAlign w:val="center"/>
                </w:tcPr>
                <w:p w14:paraId="0771B25B">
                  <w:pPr>
                    <w:jc w:val="center"/>
                    <w:rPr>
                      <w:color w:val="auto"/>
                      <w:szCs w:val="21"/>
                    </w:rPr>
                  </w:pPr>
                  <w:r>
                    <w:rPr>
                      <w:rFonts w:hint="eastAsia"/>
                      <w:color w:val="auto"/>
                      <w:szCs w:val="21"/>
                    </w:rPr>
                    <w:t>监测因子</w:t>
                  </w:r>
                </w:p>
              </w:tc>
              <w:tc>
                <w:tcPr>
                  <w:tcW w:w="1206" w:type="dxa"/>
                  <w:vAlign w:val="center"/>
                </w:tcPr>
                <w:p w14:paraId="2FD411C5">
                  <w:pPr>
                    <w:jc w:val="center"/>
                    <w:rPr>
                      <w:color w:val="auto"/>
                      <w:szCs w:val="21"/>
                    </w:rPr>
                  </w:pPr>
                  <w:r>
                    <w:rPr>
                      <w:rFonts w:hint="eastAsia"/>
                      <w:color w:val="auto"/>
                      <w:szCs w:val="21"/>
                    </w:rPr>
                    <w:t>监测频次</w:t>
                  </w:r>
                </w:p>
              </w:tc>
              <w:tc>
                <w:tcPr>
                  <w:tcW w:w="3322" w:type="dxa"/>
                  <w:vAlign w:val="center"/>
                </w:tcPr>
                <w:p w14:paraId="75BA7BB2">
                  <w:pPr>
                    <w:jc w:val="center"/>
                    <w:rPr>
                      <w:color w:val="auto"/>
                      <w:szCs w:val="21"/>
                    </w:rPr>
                  </w:pPr>
                  <w:r>
                    <w:rPr>
                      <w:rFonts w:hint="eastAsia"/>
                      <w:color w:val="auto"/>
                      <w:szCs w:val="21"/>
                    </w:rPr>
                    <w:t>执行标准</w:t>
                  </w:r>
                </w:p>
              </w:tc>
            </w:tr>
            <w:tr w14:paraId="55506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Align w:val="center"/>
                </w:tcPr>
                <w:p w14:paraId="393754FD">
                  <w:pPr>
                    <w:jc w:val="center"/>
                    <w:rPr>
                      <w:color w:val="auto"/>
                      <w:szCs w:val="21"/>
                    </w:rPr>
                  </w:pPr>
                  <w:r>
                    <w:rPr>
                      <w:color w:val="auto"/>
                      <w:szCs w:val="21"/>
                    </w:rPr>
                    <w:t>噪声</w:t>
                  </w:r>
                </w:p>
              </w:tc>
              <w:tc>
                <w:tcPr>
                  <w:tcW w:w="1504" w:type="dxa"/>
                  <w:vAlign w:val="center"/>
                </w:tcPr>
                <w:p w14:paraId="1AC43C4A">
                  <w:pPr>
                    <w:jc w:val="center"/>
                    <w:rPr>
                      <w:color w:val="auto"/>
                      <w:szCs w:val="21"/>
                    </w:rPr>
                  </w:pPr>
                  <w:r>
                    <w:rPr>
                      <w:rFonts w:hint="eastAsia"/>
                      <w:color w:val="auto"/>
                      <w:szCs w:val="21"/>
                    </w:rPr>
                    <w:t>东、南、西、北厂界</w:t>
                  </w:r>
                </w:p>
              </w:tc>
              <w:tc>
                <w:tcPr>
                  <w:tcW w:w="2097" w:type="dxa"/>
                  <w:vAlign w:val="center"/>
                </w:tcPr>
                <w:p w14:paraId="75499635">
                  <w:pPr>
                    <w:jc w:val="center"/>
                    <w:rPr>
                      <w:color w:val="auto"/>
                      <w:szCs w:val="21"/>
                    </w:rPr>
                  </w:pPr>
                  <w:r>
                    <w:rPr>
                      <w:rFonts w:hint="eastAsia"/>
                      <w:color w:val="auto"/>
                      <w:szCs w:val="21"/>
                    </w:rPr>
                    <w:t>昼间、夜间等效声级 Leq(A)</w:t>
                  </w:r>
                </w:p>
              </w:tc>
              <w:tc>
                <w:tcPr>
                  <w:tcW w:w="1206" w:type="dxa"/>
                  <w:vAlign w:val="center"/>
                </w:tcPr>
                <w:p w14:paraId="2314595B">
                  <w:pPr>
                    <w:jc w:val="center"/>
                    <w:rPr>
                      <w:color w:val="auto"/>
                      <w:szCs w:val="21"/>
                    </w:rPr>
                  </w:pPr>
                  <w:r>
                    <w:rPr>
                      <w:rFonts w:hint="eastAsia"/>
                      <w:color w:val="auto"/>
                      <w:szCs w:val="21"/>
                    </w:rPr>
                    <w:t>1次/季度</w:t>
                  </w:r>
                </w:p>
              </w:tc>
              <w:tc>
                <w:tcPr>
                  <w:tcW w:w="3322" w:type="dxa"/>
                  <w:vAlign w:val="center"/>
                </w:tcPr>
                <w:p w14:paraId="5EB4B353">
                  <w:pPr>
                    <w:jc w:val="center"/>
                    <w:rPr>
                      <w:color w:val="auto"/>
                      <w:szCs w:val="21"/>
                    </w:rPr>
                  </w:pPr>
                  <w:r>
                    <w:rPr>
                      <w:color w:val="auto"/>
                      <w:szCs w:val="21"/>
                    </w:rPr>
                    <w:t>《工业企业厂界环境噪声排放标准》（GB12348-2008）中</w:t>
                  </w:r>
                  <w:r>
                    <w:rPr>
                      <w:rFonts w:hint="eastAsia"/>
                      <w:color w:val="auto"/>
                      <w:szCs w:val="21"/>
                    </w:rPr>
                    <w:t>2类</w:t>
                  </w:r>
                  <w:r>
                    <w:rPr>
                      <w:color w:val="auto"/>
                      <w:szCs w:val="21"/>
                    </w:rPr>
                    <w:t>标准</w:t>
                  </w:r>
                </w:p>
              </w:tc>
            </w:tr>
          </w:tbl>
          <w:p w14:paraId="09256513">
            <w:pPr>
              <w:adjustRightInd w:val="0"/>
              <w:snapToGrid w:val="0"/>
              <w:spacing w:line="360" w:lineRule="auto"/>
              <w:ind w:firstLine="480" w:firstLineChars="200"/>
              <w:rPr>
                <w:color w:val="auto"/>
                <w:kern w:val="24"/>
                <w:sz w:val="24"/>
              </w:rPr>
            </w:pPr>
          </w:p>
          <w:p w14:paraId="7AA3325C">
            <w:pPr>
              <w:adjustRightInd w:val="0"/>
              <w:snapToGrid w:val="0"/>
              <w:spacing w:line="360" w:lineRule="auto"/>
              <w:jc w:val="left"/>
              <w:rPr>
                <w:b/>
                <w:bCs/>
                <w:color w:val="auto"/>
                <w:sz w:val="24"/>
              </w:rPr>
            </w:pPr>
            <w:r>
              <w:rPr>
                <w:rFonts w:hint="eastAsia"/>
                <w:b/>
                <w:bCs/>
                <w:color w:val="auto"/>
                <w:sz w:val="24"/>
              </w:rPr>
              <w:t>4、运营期</w:t>
            </w:r>
            <w:r>
              <w:rPr>
                <w:rFonts w:hint="eastAsia"/>
                <w:b/>
                <w:color w:val="auto"/>
                <w:kern w:val="24"/>
                <w:sz w:val="24"/>
              </w:rPr>
              <w:t>固体废物</w:t>
            </w:r>
            <w:r>
              <w:rPr>
                <w:rFonts w:hint="eastAsia"/>
                <w:b/>
                <w:bCs/>
                <w:color w:val="auto"/>
                <w:sz w:val="24"/>
              </w:rPr>
              <w:t>环境影响和保护措施</w:t>
            </w:r>
          </w:p>
          <w:p w14:paraId="61CFF6EB">
            <w:pPr>
              <w:adjustRightInd w:val="0"/>
              <w:snapToGrid w:val="0"/>
              <w:spacing w:line="360" w:lineRule="auto"/>
              <w:jc w:val="left"/>
              <w:rPr>
                <w:b/>
                <w:bCs/>
                <w:color w:val="auto"/>
                <w:sz w:val="24"/>
              </w:rPr>
            </w:pPr>
            <w:r>
              <w:rPr>
                <w:rFonts w:hint="eastAsia"/>
                <w:b/>
                <w:bCs/>
                <w:color w:val="auto"/>
                <w:sz w:val="24"/>
              </w:rPr>
              <w:t>4.1</w:t>
            </w:r>
            <w:r>
              <w:rPr>
                <w:rFonts w:hint="eastAsia"/>
                <w:b/>
                <w:color w:val="auto"/>
                <w:kern w:val="24"/>
                <w:sz w:val="24"/>
              </w:rPr>
              <w:t>固体废物</w:t>
            </w:r>
            <w:r>
              <w:rPr>
                <w:rFonts w:hint="eastAsia"/>
                <w:b/>
                <w:bCs/>
                <w:color w:val="auto"/>
                <w:sz w:val="24"/>
              </w:rPr>
              <w:t>污染源源强核算</w:t>
            </w:r>
          </w:p>
          <w:p w14:paraId="6F626C10">
            <w:pPr>
              <w:pStyle w:val="31"/>
              <w:adjustRightInd w:val="0"/>
              <w:snapToGrid w:val="0"/>
              <w:spacing w:after="0" w:line="360" w:lineRule="auto"/>
              <w:ind w:left="0" w:leftChars="0" w:firstLine="480"/>
              <w:rPr>
                <w:color w:val="auto"/>
                <w:sz w:val="24"/>
              </w:rPr>
            </w:pPr>
            <w:r>
              <w:rPr>
                <w:rFonts w:hint="eastAsia"/>
                <w:color w:val="auto"/>
                <w:sz w:val="24"/>
              </w:rPr>
              <w:t>项目运营期的固体废物主要包括一般工业固废、危险废物、生活垃圾。一般工业固废包括废边角料、不合格产品、循环水池金属沉渣、布袋除尘器收集除尘灰、化粪池污泥；危险废物包括废机油、废机油桶、废劳保用品等。</w:t>
            </w:r>
          </w:p>
          <w:p w14:paraId="53784DC9">
            <w:pPr>
              <w:adjustRightInd w:val="0"/>
              <w:snapToGrid w:val="0"/>
              <w:spacing w:line="360" w:lineRule="auto"/>
              <w:ind w:firstLine="480" w:firstLineChars="200"/>
              <w:rPr>
                <w:bCs/>
                <w:color w:val="auto"/>
                <w:kern w:val="24"/>
                <w:sz w:val="24"/>
              </w:rPr>
            </w:pPr>
            <w:r>
              <w:rPr>
                <w:bCs/>
                <w:color w:val="auto"/>
                <w:kern w:val="24"/>
                <w:sz w:val="24"/>
              </w:rPr>
              <w:t>项目</w:t>
            </w:r>
            <w:r>
              <w:rPr>
                <w:rFonts w:hint="eastAsia"/>
                <w:bCs/>
                <w:color w:val="auto"/>
                <w:kern w:val="24"/>
                <w:sz w:val="24"/>
              </w:rPr>
              <w:t>运营期固体废物</w:t>
            </w:r>
            <w:r>
              <w:rPr>
                <w:bCs/>
                <w:color w:val="auto"/>
                <w:kern w:val="24"/>
                <w:sz w:val="24"/>
              </w:rPr>
              <w:t>产生、处置情况详见表</w:t>
            </w:r>
            <w:r>
              <w:rPr>
                <w:rFonts w:hint="eastAsia"/>
                <w:bCs/>
                <w:color w:val="auto"/>
                <w:kern w:val="24"/>
                <w:sz w:val="24"/>
              </w:rPr>
              <w:t>4-</w:t>
            </w:r>
            <w:r>
              <w:rPr>
                <w:bCs/>
                <w:color w:val="auto"/>
                <w:kern w:val="24"/>
                <w:sz w:val="24"/>
              </w:rPr>
              <w:t>16。</w:t>
            </w:r>
          </w:p>
          <w:p w14:paraId="01D6308B">
            <w:pPr>
              <w:adjustRightInd w:val="0"/>
              <w:snapToGrid w:val="0"/>
              <w:spacing w:line="360" w:lineRule="auto"/>
              <w:ind w:firstLine="482" w:firstLineChars="200"/>
              <w:jc w:val="center"/>
              <w:rPr>
                <w:b/>
                <w:color w:val="auto"/>
                <w:kern w:val="24"/>
                <w:sz w:val="24"/>
              </w:rPr>
            </w:pPr>
            <w:r>
              <w:rPr>
                <w:rFonts w:hint="eastAsia"/>
                <w:b/>
                <w:color w:val="auto"/>
                <w:kern w:val="24"/>
                <w:sz w:val="24"/>
              </w:rPr>
              <w:t>表4-1</w:t>
            </w:r>
            <w:r>
              <w:rPr>
                <w:b/>
                <w:color w:val="auto"/>
                <w:kern w:val="24"/>
                <w:sz w:val="24"/>
              </w:rPr>
              <w:t>6</w:t>
            </w:r>
            <w:r>
              <w:rPr>
                <w:rFonts w:hint="eastAsia"/>
                <w:b/>
                <w:color w:val="auto"/>
                <w:kern w:val="24"/>
                <w:sz w:val="24"/>
              </w:rPr>
              <w:t xml:space="preserve">  项目运营期固体废物一览表</w:t>
            </w:r>
          </w:p>
          <w:tbl>
            <w:tblPr>
              <w:tblStyle w:val="32"/>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95"/>
              <w:gridCol w:w="583"/>
              <w:gridCol w:w="599"/>
              <w:gridCol w:w="1056"/>
              <w:gridCol w:w="627"/>
              <w:gridCol w:w="737"/>
              <w:gridCol w:w="691"/>
              <w:gridCol w:w="801"/>
              <w:gridCol w:w="623"/>
              <w:gridCol w:w="1117"/>
              <w:gridCol w:w="808"/>
              <w:gridCol w:w="648"/>
            </w:tblGrid>
            <w:tr w14:paraId="5062A1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349" w:type="pct"/>
                  <w:vMerge w:val="restart"/>
                  <w:vAlign w:val="center"/>
                </w:tcPr>
                <w:p w14:paraId="45110C6A">
                  <w:pPr>
                    <w:widowControl/>
                    <w:jc w:val="center"/>
                    <w:textAlignment w:val="center"/>
                    <w:rPr>
                      <w:b/>
                      <w:bCs/>
                      <w:color w:val="auto"/>
                      <w:sz w:val="18"/>
                      <w:szCs w:val="18"/>
                    </w:rPr>
                  </w:pPr>
                  <w:r>
                    <w:rPr>
                      <w:b/>
                      <w:bCs/>
                      <w:color w:val="auto"/>
                      <w:kern w:val="0"/>
                      <w:sz w:val="18"/>
                      <w:szCs w:val="18"/>
                      <w:lang w:bidi="ar"/>
                    </w:rPr>
                    <w:t>产污环节</w:t>
                  </w:r>
                </w:p>
              </w:tc>
              <w:tc>
                <w:tcPr>
                  <w:tcW w:w="342" w:type="pct"/>
                  <w:vMerge w:val="restart"/>
                  <w:vAlign w:val="center"/>
                </w:tcPr>
                <w:p w14:paraId="3A161952">
                  <w:pPr>
                    <w:widowControl/>
                    <w:jc w:val="center"/>
                    <w:textAlignment w:val="center"/>
                    <w:rPr>
                      <w:b/>
                      <w:bCs/>
                      <w:color w:val="auto"/>
                      <w:sz w:val="18"/>
                      <w:szCs w:val="18"/>
                    </w:rPr>
                  </w:pPr>
                  <w:r>
                    <w:rPr>
                      <w:b/>
                      <w:bCs/>
                      <w:color w:val="auto"/>
                      <w:kern w:val="0"/>
                      <w:sz w:val="18"/>
                      <w:szCs w:val="18"/>
                      <w:lang w:bidi="ar"/>
                    </w:rPr>
                    <w:t>名称</w:t>
                  </w:r>
                </w:p>
              </w:tc>
              <w:tc>
                <w:tcPr>
                  <w:tcW w:w="807" w:type="pct"/>
                  <w:gridSpan w:val="2"/>
                  <w:vAlign w:val="center"/>
                </w:tcPr>
                <w:p w14:paraId="7CD63E52">
                  <w:pPr>
                    <w:widowControl/>
                    <w:jc w:val="center"/>
                    <w:textAlignment w:val="center"/>
                    <w:rPr>
                      <w:b/>
                      <w:bCs/>
                      <w:color w:val="auto"/>
                      <w:sz w:val="18"/>
                      <w:szCs w:val="18"/>
                    </w:rPr>
                  </w:pPr>
                  <w:r>
                    <w:rPr>
                      <w:b/>
                      <w:bCs/>
                      <w:color w:val="auto"/>
                      <w:kern w:val="0"/>
                      <w:sz w:val="18"/>
                      <w:szCs w:val="18"/>
                      <w:lang w:bidi="ar"/>
                    </w:rPr>
                    <w:t>属性</w:t>
                  </w:r>
                </w:p>
              </w:tc>
              <w:tc>
                <w:tcPr>
                  <w:tcW w:w="367" w:type="pct"/>
                  <w:vMerge w:val="restart"/>
                  <w:vAlign w:val="center"/>
                </w:tcPr>
                <w:p w14:paraId="4221C055">
                  <w:pPr>
                    <w:widowControl/>
                    <w:jc w:val="center"/>
                    <w:textAlignment w:val="center"/>
                    <w:rPr>
                      <w:b/>
                      <w:bCs/>
                      <w:color w:val="auto"/>
                      <w:sz w:val="18"/>
                      <w:szCs w:val="18"/>
                    </w:rPr>
                  </w:pPr>
                  <w:r>
                    <w:rPr>
                      <w:b/>
                      <w:bCs/>
                      <w:color w:val="auto"/>
                      <w:kern w:val="0"/>
                      <w:sz w:val="18"/>
                      <w:szCs w:val="18"/>
                      <w:lang w:bidi="ar"/>
                    </w:rPr>
                    <w:t>主要有毒有害物质名称</w:t>
                  </w:r>
                </w:p>
              </w:tc>
              <w:tc>
                <w:tcPr>
                  <w:tcW w:w="429" w:type="pct"/>
                  <w:vMerge w:val="restart"/>
                  <w:vAlign w:val="center"/>
                </w:tcPr>
                <w:p w14:paraId="23DC5020">
                  <w:pPr>
                    <w:widowControl/>
                    <w:jc w:val="center"/>
                    <w:textAlignment w:val="center"/>
                    <w:rPr>
                      <w:b/>
                      <w:bCs/>
                      <w:color w:val="auto"/>
                      <w:sz w:val="18"/>
                      <w:szCs w:val="18"/>
                    </w:rPr>
                  </w:pPr>
                  <w:r>
                    <w:rPr>
                      <w:b/>
                      <w:bCs/>
                      <w:color w:val="auto"/>
                      <w:kern w:val="0"/>
                      <w:sz w:val="18"/>
                      <w:szCs w:val="18"/>
                      <w:lang w:bidi="ar"/>
                    </w:rPr>
                    <w:t>物理性状</w:t>
                  </w:r>
                </w:p>
              </w:tc>
              <w:tc>
                <w:tcPr>
                  <w:tcW w:w="403" w:type="pct"/>
                  <w:vMerge w:val="restart"/>
                  <w:vAlign w:val="center"/>
                </w:tcPr>
                <w:p w14:paraId="55FAADE5">
                  <w:pPr>
                    <w:widowControl/>
                    <w:jc w:val="center"/>
                    <w:textAlignment w:val="center"/>
                    <w:rPr>
                      <w:b/>
                      <w:bCs/>
                      <w:color w:val="auto"/>
                      <w:sz w:val="18"/>
                      <w:szCs w:val="18"/>
                    </w:rPr>
                  </w:pPr>
                  <w:r>
                    <w:rPr>
                      <w:b/>
                      <w:bCs/>
                      <w:color w:val="auto"/>
                      <w:kern w:val="0"/>
                      <w:sz w:val="18"/>
                      <w:szCs w:val="18"/>
                      <w:lang w:bidi="ar"/>
                    </w:rPr>
                    <w:t>环境危险特性</w:t>
                  </w:r>
                </w:p>
              </w:tc>
              <w:tc>
                <w:tcPr>
                  <w:tcW w:w="451" w:type="pct"/>
                  <w:vMerge w:val="restart"/>
                  <w:vAlign w:val="center"/>
                </w:tcPr>
                <w:p w14:paraId="0CEE14F8">
                  <w:pPr>
                    <w:widowControl/>
                    <w:jc w:val="center"/>
                    <w:textAlignment w:val="center"/>
                    <w:rPr>
                      <w:b/>
                      <w:bCs/>
                      <w:color w:val="auto"/>
                      <w:sz w:val="18"/>
                      <w:szCs w:val="18"/>
                    </w:rPr>
                  </w:pPr>
                  <w:r>
                    <w:rPr>
                      <w:b/>
                      <w:bCs/>
                      <w:color w:val="auto"/>
                      <w:kern w:val="0"/>
                      <w:sz w:val="18"/>
                      <w:szCs w:val="18"/>
                      <w:lang w:bidi="ar"/>
                    </w:rPr>
                    <w:t>年产生量</w:t>
                  </w:r>
                </w:p>
              </w:tc>
              <w:tc>
                <w:tcPr>
                  <w:tcW w:w="364" w:type="pct"/>
                  <w:vMerge w:val="restart"/>
                  <w:vAlign w:val="center"/>
                </w:tcPr>
                <w:p w14:paraId="24A71B5A">
                  <w:pPr>
                    <w:widowControl/>
                    <w:jc w:val="center"/>
                    <w:textAlignment w:val="center"/>
                    <w:rPr>
                      <w:b/>
                      <w:bCs/>
                      <w:color w:val="auto"/>
                      <w:sz w:val="18"/>
                      <w:szCs w:val="18"/>
                    </w:rPr>
                  </w:pPr>
                  <w:r>
                    <w:rPr>
                      <w:b/>
                      <w:bCs/>
                      <w:color w:val="auto"/>
                      <w:kern w:val="0"/>
                      <w:sz w:val="18"/>
                      <w:szCs w:val="18"/>
                      <w:lang w:bidi="ar"/>
                    </w:rPr>
                    <w:t>贮存方式</w:t>
                  </w:r>
                </w:p>
              </w:tc>
              <w:tc>
                <w:tcPr>
                  <w:tcW w:w="642" w:type="pct"/>
                  <w:vMerge w:val="restart"/>
                  <w:vAlign w:val="center"/>
                </w:tcPr>
                <w:p w14:paraId="39D11A72">
                  <w:pPr>
                    <w:widowControl/>
                    <w:jc w:val="center"/>
                    <w:textAlignment w:val="center"/>
                    <w:rPr>
                      <w:b/>
                      <w:bCs/>
                      <w:color w:val="auto"/>
                      <w:sz w:val="18"/>
                      <w:szCs w:val="18"/>
                    </w:rPr>
                  </w:pPr>
                  <w:r>
                    <w:rPr>
                      <w:b/>
                      <w:bCs/>
                      <w:color w:val="auto"/>
                      <w:kern w:val="0"/>
                      <w:sz w:val="18"/>
                      <w:szCs w:val="18"/>
                      <w:lang w:bidi="ar"/>
                    </w:rPr>
                    <w:t>利用处置方式和去向</w:t>
                  </w:r>
                </w:p>
              </w:tc>
              <w:tc>
                <w:tcPr>
                  <w:tcW w:w="468" w:type="pct"/>
                  <w:vMerge w:val="restart"/>
                  <w:vAlign w:val="center"/>
                </w:tcPr>
                <w:p w14:paraId="25F05D95">
                  <w:pPr>
                    <w:widowControl/>
                    <w:jc w:val="center"/>
                    <w:textAlignment w:val="center"/>
                    <w:rPr>
                      <w:b/>
                      <w:bCs/>
                      <w:color w:val="auto"/>
                      <w:sz w:val="18"/>
                      <w:szCs w:val="18"/>
                    </w:rPr>
                  </w:pPr>
                  <w:r>
                    <w:rPr>
                      <w:b/>
                      <w:bCs/>
                      <w:color w:val="auto"/>
                      <w:kern w:val="0"/>
                      <w:sz w:val="18"/>
                      <w:szCs w:val="18"/>
                      <w:lang w:bidi="ar"/>
                    </w:rPr>
                    <w:t>利用或处置量</w:t>
                  </w:r>
                </w:p>
              </w:tc>
              <w:tc>
                <w:tcPr>
                  <w:tcW w:w="378" w:type="pct"/>
                  <w:vMerge w:val="restart"/>
                  <w:vAlign w:val="center"/>
                </w:tcPr>
                <w:p w14:paraId="1142F2A0">
                  <w:pPr>
                    <w:widowControl/>
                    <w:jc w:val="center"/>
                    <w:textAlignment w:val="center"/>
                    <w:rPr>
                      <w:b/>
                      <w:bCs/>
                      <w:color w:val="auto"/>
                      <w:sz w:val="18"/>
                      <w:szCs w:val="18"/>
                    </w:rPr>
                  </w:pPr>
                  <w:r>
                    <w:rPr>
                      <w:b/>
                      <w:bCs/>
                      <w:color w:val="auto"/>
                      <w:kern w:val="0"/>
                      <w:sz w:val="18"/>
                      <w:szCs w:val="18"/>
                      <w:lang w:bidi="ar"/>
                    </w:rPr>
                    <w:t>环境管理要求</w:t>
                  </w:r>
                </w:p>
              </w:tc>
            </w:tr>
            <w:tr w14:paraId="05147B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349" w:type="pct"/>
                  <w:vMerge w:val="continue"/>
                  <w:vAlign w:val="center"/>
                </w:tcPr>
                <w:p w14:paraId="72D18FEE">
                  <w:pPr>
                    <w:widowControl/>
                    <w:jc w:val="center"/>
                    <w:rPr>
                      <w:b/>
                      <w:bCs/>
                      <w:color w:val="auto"/>
                      <w:sz w:val="18"/>
                      <w:szCs w:val="18"/>
                    </w:rPr>
                  </w:pPr>
                </w:p>
              </w:tc>
              <w:tc>
                <w:tcPr>
                  <w:tcW w:w="342" w:type="pct"/>
                  <w:vMerge w:val="continue"/>
                  <w:vAlign w:val="center"/>
                </w:tcPr>
                <w:p w14:paraId="6C8BA2AE">
                  <w:pPr>
                    <w:widowControl/>
                    <w:jc w:val="center"/>
                    <w:rPr>
                      <w:b/>
                      <w:bCs/>
                      <w:color w:val="auto"/>
                      <w:sz w:val="18"/>
                      <w:szCs w:val="18"/>
                    </w:rPr>
                  </w:pPr>
                </w:p>
              </w:tc>
              <w:tc>
                <w:tcPr>
                  <w:tcW w:w="351" w:type="pct"/>
                  <w:vAlign w:val="center"/>
                </w:tcPr>
                <w:p w14:paraId="43ECEBEA">
                  <w:pPr>
                    <w:widowControl/>
                    <w:jc w:val="center"/>
                    <w:textAlignment w:val="center"/>
                    <w:rPr>
                      <w:b/>
                      <w:bCs/>
                      <w:color w:val="auto"/>
                      <w:sz w:val="18"/>
                      <w:szCs w:val="18"/>
                    </w:rPr>
                  </w:pPr>
                  <w:r>
                    <w:rPr>
                      <w:b/>
                      <w:bCs/>
                      <w:color w:val="auto"/>
                      <w:kern w:val="0"/>
                      <w:sz w:val="18"/>
                      <w:szCs w:val="18"/>
                      <w:lang w:bidi="ar"/>
                    </w:rPr>
                    <w:t>属性</w:t>
                  </w:r>
                </w:p>
              </w:tc>
              <w:tc>
                <w:tcPr>
                  <w:tcW w:w="456" w:type="pct"/>
                  <w:vAlign w:val="center"/>
                </w:tcPr>
                <w:p w14:paraId="73234FD7">
                  <w:pPr>
                    <w:widowControl/>
                    <w:jc w:val="center"/>
                    <w:textAlignment w:val="center"/>
                    <w:rPr>
                      <w:b/>
                      <w:bCs/>
                      <w:color w:val="auto"/>
                      <w:sz w:val="18"/>
                      <w:szCs w:val="18"/>
                    </w:rPr>
                  </w:pPr>
                  <w:r>
                    <w:rPr>
                      <w:b/>
                      <w:bCs/>
                      <w:color w:val="auto"/>
                      <w:kern w:val="0"/>
                      <w:sz w:val="18"/>
                      <w:szCs w:val="18"/>
                      <w:lang w:bidi="ar"/>
                    </w:rPr>
                    <w:t>危险废物代码</w:t>
                  </w:r>
                </w:p>
              </w:tc>
              <w:tc>
                <w:tcPr>
                  <w:tcW w:w="367" w:type="pct"/>
                  <w:vMerge w:val="continue"/>
                  <w:vAlign w:val="center"/>
                </w:tcPr>
                <w:p w14:paraId="2CBAD129">
                  <w:pPr>
                    <w:widowControl/>
                    <w:jc w:val="center"/>
                    <w:rPr>
                      <w:b/>
                      <w:bCs/>
                      <w:color w:val="auto"/>
                      <w:sz w:val="18"/>
                      <w:szCs w:val="18"/>
                    </w:rPr>
                  </w:pPr>
                </w:p>
              </w:tc>
              <w:tc>
                <w:tcPr>
                  <w:tcW w:w="429" w:type="pct"/>
                  <w:vMerge w:val="continue"/>
                  <w:vAlign w:val="center"/>
                </w:tcPr>
                <w:p w14:paraId="15F6D4A9">
                  <w:pPr>
                    <w:widowControl/>
                    <w:jc w:val="center"/>
                    <w:rPr>
                      <w:b/>
                      <w:bCs/>
                      <w:color w:val="auto"/>
                      <w:sz w:val="18"/>
                      <w:szCs w:val="18"/>
                    </w:rPr>
                  </w:pPr>
                </w:p>
              </w:tc>
              <w:tc>
                <w:tcPr>
                  <w:tcW w:w="403" w:type="pct"/>
                  <w:vMerge w:val="continue"/>
                  <w:vAlign w:val="center"/>
                </w:tcPr>
                <w:p w14:paraId="394904CD">
                  <w:pPr>
                    <w:widowControl/>
                    <w:jc w:val="center"/>
                    <w:rPr>
                      <w:b/>
                      <w:bCs/>
                      <w:color w:val="auto"/>
                      <w:sz w:val="18"/>
                      <w:szCs w:val="18"/>
                    </w:rPr>
                  </w:pPr>
                </w:p>
              </w:tc>
              <w:tc>
                <w:tcPr>
                  <w:tcW w:w="451" w:type="pct"/>
                  <w:vMerge w:val="continue"/>
                  <w:vAlign w:val="center"/>
                </w:tcPr>
                <w:p w14:paraId="414A0929">
                  <w:pPr>
                    <w:widowControl/>
                    <w:jc w:val="center"/>
                    <w:rPr>
                      <w:b/>
                      <w:bCs/>
                      <w:color w:val="auto"/>
                      <w:sz w:val="18"/>
                      <w:szCs w:val="18"/>
                    </w:rPr>
                  </w:pPr>
                </w:p>
              </w:tc>
              <w:tc>
                <w:tcPr>
                  <w:tcW w:w="364" w:type="pct"/>
                  <w:vMerge w:val="continue"/>
                  <w:vAlign w:val="center"/>
                </w:tcPr>
                <w:p w14:paraId="504E37D2">
                  <w:pPr>
                    <w:widowControl/>
                    <w:jc w:val="center"/>
                    <w:rPr>
                      <w:b/>
                      <w:bCs/>
                      <w:color w:val="auto"/>
                      <w:sz w:val="18"/>
                      <w:szCs w:val="18"/>
                    </w:rPr>
                  </w:pPr>
                </w:p>
              </w:tc>
              <w:tc>
                <w:tcPr>
                  <w:tcW w:w="642" w:type="pct"/>
                  <w:vMerge w:val="continue"/>
                  <w:vAlign w:val="center"/>
                </w:tcPr>
                <w:p w14:paraId="63C04988">
                  <w:pPr>
                    <w:widowControl/>
                    <w:jc w:val="center"/>
                    <w:rPr>
                      <w:b/>
                      <w:bCs/>
                      <w:color w:val="auto"/>
                      <w:sz w:val="18"/>
                      <w:szCs w:val="18"/>
                    </w:rPr>
                  </w:pPr>
                </w:p>
              </w:tc>
              <w:tc>
                <w:tcPr>
                  <w:tcW w:w="468" w:type="pct"/>
                  <w:vMerge w:val="continue"/>
                  <w:vAlign w:val="center"/>
                </w:tcPr>
                <w:p w14:paraId="62D1C2DE">
                  <w:pPr>
                    <w:widowControl/>
                    <w:jc w:val="center"/>
                    <w:rPr>
                      <w:b/>
                      <w:bCs/>
                      <w:color w:val="auto"/>
                      <w:sz w:val="18"/>
                      <w:szCs w:val="18"/>
                    </w:rPr>
                  </w:pPr>
                </w:p>
              </w:tc>
              <w:tc>
                <w:tcPr>
                  <w:tcW w:w="378" w:type="pct"/>
                  <w:vMerge w:val="continue"/>
                  <w:vAlign w:val="center"/>
                </w:tcPr>
                <w:p w14:paraId="242D9E09">
                  <w:pPr>
                    <w:widowControl/>
                    <w:jc w:val="center"/>
                    <w:rPr>
                      <w:b/>
                      <w:bCs/>
                      <w:color w:val="auto"/>
                      <w:sz w:val="18"/>
                      <w:szCs w:val="18"/>
                    </w:rPr>
                  </w:pPr>
                </w:p>
              </w:tc>
            </w:tr>
            <w:tr w14:paraId="4E13B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349" w:type="pct"/>
                  <w:vAlign w:val="center"/>
                </w:tcPr>
                <w:p w14:paraId="7DD32BED">
                  <w:pPr>
                    <w:widowControl/>
                    <w:jc w:val="center"/>
                    <w:textAlignment w:val="center"/>
                    <w:rPr>
                      <w:color w:val="auto"/>
                      <w:sz w:val="18"/>
                      <w:szCs w:val="18"/>
                    </w:rPr>
                  </w:pPr>
                  <w:r>
                    <w:rPr>
                      <w:color w:val="auto"/>
                      <w:kern w:val="0"/>
                      <w:sz w:val="18"/>
                      <w:szCs w:val="18"/>
                      <w:lang w:bidi="ar"/>
                    </w:rPr>
                    <w:t>员工日常生活</w:t>
                  </w:r>
                </w:p>
              </w:tc>
              <w:tc>
                <w:tcPr>
                  <w:tcW w:w="342" w:type="pct"/>
                  <w:vAlign w:val="center"/>
                </w:tcPr>
                <w:p w14:paraId="29490D0C">
                  <w:pPr>
                    <w:widowControl/>
                    <w:jc w:val="center"/>
                    <w:textAlignment w:val="center"/>
                    <w:rPr>
                      <w:color w:val="auto"/>
                      <w:sz w:val="18"/>
                      <w:szCs w:val="18"/>
                    </w:rPr>
                  </w:pPr>
                  <w:r>
                    <w:rPr>
                      <w:color w:val="auto"/>
                      <w:kern w:val="0"/>
                      <w:sz w:val="18"/>
                      <w:szCs w:val="18"/>
                      <w:lang w:bidi="ar"/>
                    </w:rPr>
                    <w:t>生活垃圾</w:t>
                  </w:r>
                </w:p>
              </w:tc>
              <w:tc>
                <w:tcPr>
                  <w:tcW w:w="351" w:type="pct"/>
                  <w:vAlign w:val="center"/>
                </w:tcPr>
                <w:p w14:paraId="72865934">
                  <w:pPr>
                    <w:widowControl/>
                    <w:jc w:val="center"/>
                    <w:textAlignment w:val="center"/>
                    <w:rPr>
                      <w:color w:val="auto"/>
                      <w:sz w:val="18"/>
                      <w:szCs w:val="18"/>
                    </w:rPr>
                  </w:pPr>
                  <w:r>
                    <w:rPr>
                      <w:color w:val="auto"/>
                      <w:kern w:val="0"/>
                      <w:sz w:val="18"/>
                      <w:szCs w:val="18"/>
                      <w:lang w:bidi="ar"/>
                    </w:rPr>
                    <w:t>生活</w:t>
                  </w:r>
                  <w:r>
                    <w:rPr>
                      <w:rFonts w:hint="eastAsia"/>
                      <w:color w:val="auto"/>
                      <w:kern w:val="0"/>
                      <w:sz w:val="18"/>
                      <w:szCs w:val="18"/>
                      <w:lang w:bidi="ar"/>
                    </w:rPr>
                    <w:t>垃圾</w:t>
                  </w:r>
                </w:p>
              </w:tc>
              <w:tc>
                <w:tcPr>
                  <w:tcW w:w="456" w:type="pct"/>
                  <w:vAlign w:val="center"/>
                </w:tcPr>
                <w:p w14:paraId="2719038C">
                  <w:pPr>
                    <w:widowControl/>
                    <w:jc w:val="center"/>
                    <w:textAlignment w:val="center"/>
                    <w:rPr>
                      <w:color w:val="auto"/>
                      <w:sz w:val="18"/>
                      <w:szCs w:val="18"/>
                    </w:rPr>
                  </w:pPr>
                  <w:r>
                    <w:rPr>
                      <w:color w:val="auto"/>
                      <w:kern w:val="0"/>
                      <w:sz w:val="18"/>
                      <w:szCs w:val="18"/>
                      <w:lang w:bidi="ar"/>
                    </w:rPr>
                    <w:t>/</w:t>
                  </w:r>
                </w:p>
              </w:tc>
              <w:tc>
                <w:tcPr>
                  <w:tcW w:w="367" w:type="pct"/>
                  <w:vAlign w:val="center"/>
                </w:tcPr>
                <w:p w14:paraId="05A9DBD1">
                  <w:pPr>
                    <w:widowControl/>
                    <w:jc w:val="center"/>
                    <w:textAlignment w:val="center"/>
                    <w:rPr>
                      <w:color w:val="auto"/>
                      <w:sz w:val="18"/>
                      <w:szCs w:val="18"/>
                    </w:rPr>
                  </w:pPr>
                  <w:r>
                    <w:rPr>
                      <w:color w:val="auto"/>
                      <w:kern w:val="0"/>
                      <w:sz w:val="18"/>
                      <w:szCs w:val="18"/>
                      <w:lang w:bidi="ar"/>
                    </w:rPr>
                    <w:t>/</w:t>
                  </w:r>
                </w:p>
              </w:tc>
              <w:tc>
                <w:tcPr>
                  <w:tcW w:w="429" w:type="pct"/>
                  <w:vAlign w:val="center"/>
                </w:tcPr>
                <w:p w14:paraId="60629F1D">
                  <w:pPr>
                    <w:widowControl/>
                    <w:jc w:val="center"/>
                    <w:textAlignment w:val="center"/>
                    <w:rPr>
                      <w:color w:val="auto"/>
                      <w:sz w:val="18"/>
                      <w:szCs w:val="18"/>
                    </w:rPr>
                  </w:pPr>
                  <w:r>
                    <w:rPr>
                      <w:rFonts w:hint="eastAsia"/>
                      <w:color w:val="auto"/>
                      <w:sz w:val="18"/>
                      <w:szCs w:val="18"/>
                    </w:rPr>
                    <w:t>固态</w:t>
                  </w:r>
                </w:p>
              </w:tc>
              <w:tc>
                <w:tcPr>
                  <w:tcW w:w="403" w:type="pct"/>
                  <w:vAlign w:val="center"/>
                </w:tcPr>
                <w:p w14:paraId="427F1299">
                  <w:pPr>
                    <w:widowControl/>
                    <w:jc w:val="center"/>
                    <w:textAlignment w:val="center"/>
                    <w:rPr>
                      <w:color w:val="auto"/>
                      <w:sz w:val="18"/>
                      <w:szCs w:val="18"/>
                    </w:rPr>
                  </w:pPr>
                  <w:r>
                    <w:rPr>
                      <w:color w:val="auto"/>
                      <w:kern w:val="0"/>
                      <w:sz w:val="18"/>
                      <w:szCs w:val="18"/>
                      <w:lang w:bidi="ar"/>
                    </w:rPr>
                    <w:t>/</w:t>
                  </w:r>
                </w:p>
              </w:tc>
              <w:tc>
                <w:tcPr>
                  <w:tcW w:w="451" w:type="pct"/>
                  <w:vAlign w:val="center"/>
                </w:tcPr>
                <w:p w14:paraId="1FF9431D">
                  <w:pPr>
                    <w:widowControl/>
                    <w:jc w:val="center"/>
                    <w:textAlignment w:val="center"/>
                    <w:rPr>
                      <w:color w:val="auto"/>
                      <w:sz w:val="18"/>
                      <w:szCs w:val="18"/>
                    </w:rPr>
                  </w:pPr>
                  <w:r>
                    <w:rPr>
                      <w:rFonts w:hint="eastAsia"/>
                      <w:color w:val="auto"/>
                      <w:kern w:val="0"/>
                      <w:sz w:val="18"/>
                      <w:szCs w:val="18"/>
                      <w:lang w:bidi="ar"/>
                    </w:rPr>
                    <w:t>9</w:t>
                  </w:r>
                  <w:r>
                    <w:rPr>
                      <w:color w:val="auto"/>
                      <w:kern w:val="0"/>
                      <w:sz w:val="18"/>
                      <w:szCs w:val="18"/>
                      <w:lang w:bidi="ar"/>
                    </w:rPr>
                    <w:t>t/a</w:t>
                  </w:r>
                </w:p>
              </w:tc>
              <w:tc>
                <w:tcPr>
                  <w:tcW w:w="364" w:type="pct"/>
                  <w:vAlign w:val="center"/>
                </w:tcPr>
                <w:p w14:paraId="3890669C">
                  <w:pPr>
                    <w:widowControl/>
                    <w:jc w:val="center"/>
                    <w:textAlignment w:val="center"/>
                    <w:rPr>
                      <w:color w:val="auto"/>
                      <w:sz w:val="18"/>
                      <w:szCs w:val="18"/>
                    </w:rPr>
                  </w:pPr>
                  <w:r>
                    <w:rPr>
                      <w:rFonts w:hint="eastAsia"/>
                      <w:color w:val="auto"/>
                      <w:kern w:val="0"/>
                      <w:sz w:val="18"/>
                      <w:szCs w:val="18"/>
                      <w:lang w:bidi="ar"/>
                    </w:rPr>
                    <w:t>袋装</w:t>
                  </w:r>
                </w:p>
              </w:tc>
              <w:tc>
                <w:tcPr>
                  <w:tcW w:w="642" w:type="pct"/>
                  <w:vAlign w:val="center"/>
                </w:tcPr>
                <w:p w14:paraId="16BD358F">
                  <w:pPr>
                    <w:widowControl/>
                    <w:jc w:val="center"/>
                    <w:textAlignment w:val="center"/>
                    <w:rPr>
                      <w:color w:val="auto"/>
                      <w:sz w:val="18"/>
                      <w:szCs w:val="18"/>
                    </w:rPr>
                  </w:pPr>
                  <w:r>
                    <w:rPr>
                      <w:rFonts w:hint="eastAsia"/>
                      <w:color w:val="auto"/>
                      <w:kern w:val="0"/>
                      <w:sz w:val="18"/>
                      <w:szCs w:val="18"/>
                      <w:lang w:bidi="ar"/>
                    </w:rPr>
                    <w:t>委托环卫部门清运处置</w:t>
                  </w:r>
                </w:p>
              </w:tc>
              <w:tc>
                <w:tcPr>
                  <w:tcW w:w="468" w:type="pct"/>
                  <w:vAlign w:val="center"/>
                </w:tcPr>
                <w:p w14:paraId="73BC5BFA">
                  <w:pPr>
                    <w:widowControl/>
                    <w:jc w:val="center"/>
                    <w:textAlignment w:val="center"/>
                    <w:rPr>
                      <w:color w:val="auto"/>
                      <w:sz w:val="18"/>
                      <w:szCs w:val="18"/>
                    </w:rPr>
                  </w:pPr>
                  <w:r>
                    <w:rPr>
                      <w:rFonts w:hint="eastAsia"/>
                      <w:color w:val="auto"/>
                      <w:kern w:val="0"/>
                      <w:sz w:val="18"/>
                      <w:szCs w:val="18"/>
                      <w:lang w:bidi="ar"/>
                    </w:rPr>
                    <w:t>9</w:t>
                  </w:r>
                  <w:r>
                    <w:rPr>
                      <w:color w:val="auto"/>
                      <w:kern w:val="0"/>
                      <w:sz w:val="18"/>
                      <w:szCs w:val="18"/>
                      <w:lang w:bidi="ar"/>
                    </w:rPr>
                    <w:t>t/a</w:t>
                  </w:r>
                </w:p>
              </w:tc>
              <w:tc>
                <w:tcPr>
                  <w:tcW w:w="378" w:type="pct"/>
                  <w:vAlign w:val="center"/>
                </w:tcPr>
                <w:p w14:paraId="1C218C65">
                  <w:pPr>
                    <w:widowControl/>
                    <w:jc w:val="center"/>
                    <w:textAlignment w:val="center"/>
                    <w:rPr>
                      <w:color w:val="auto"/>
                      <w:sz w:val="18"/>
                      <w:szCs w:val="18"/>
                    </w:rPr>
                  </w:pPr>
                  <w:r>
                    <w:rPr>
                      <w:color w:val="auto"/>
                      <w:kern w:val="0"/>
                      <w:sz w:val="18"/>
                      <w:szCs w:val="18"/>
                      <w:lang w:bidi="ar"/>
                    </w:rPr>
                    <w:t>100%处置</w:t>
                  </w:r>
                </w:p>
              </w:tc>
            </w:tr>
            <w:tr w14:paraId="55824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70" w:hRule="atLeast"/>
                <w:jc w:val="center"/>
              </w:trPr>
              <w:tc>
                <w:tcPr>
                  <w:tcW w:w="349" w:type="pct"/>
                  <w:vAlign w:val="center"/>
                </w:tcPr>
                <w:p w14:paraId="65F45E4A">
                  <w:pPr>
                    <w:widowControl/>
                    <w:jc w:val="center"/>
                    <w:textAlignment w:val="center"/>
                    <w:rPr>
                      <w:color w:val="auto"/>
                      <w:sz w:val="18"/>
                      <w:szCs w:val="18"/>
                    </w:rPr>
                  </w:pPr>
                  <w:r>
                    <w:rPr>
                      <w:rFonts w:hint="eastAsia"/>
                      <w:color w:val="auto"/>
                      <w:sz w:val="18"/>
                      <w:szCs w:val="18"/>
                    </w:rPr>
                    <w:t>袋式除尘器</w:t>
                  </w:r>
                </w:p>
              </w:tc>
              <w:tc>
                <w:tcPr>
                  <w:tcW w:w="342" w:type="pct"/>
                  <w:vAlign w:val="center"/>
                </w:tcPr>
                <w:p w14:paraId="6AD22AF3">
                  <w:pPr>
                    <w:widowControl/>
                    <w:jc w:val="center"/>
                    <w:textAlignment w:val="center"/>
                    <w:rPr>
                      <w:color w:val="auto"/>
                      <w:sz w:val="18"/>
                      <w:szCs w:val="18"/>
                    </w:rPr>
                  </w:pPr>
                  <w:r>
                    <w:rPr>
                      <w:rFonts w:hint="eastAsia"/>
                      <w:color w:val="auto"/>
                      <w:kern w:val="0"/>
                      <w:sz w:val="18"/>
                      <w:szCs w:val="18"/>
                      <w:lang w:bidi="ar"/>
                    </w:rPr>
                    <w:t>除尘灰</w:t>
                  </w:r>
                </w:p>
              </w:tc>
              <w:tc>
                <w:tcPr>
                  <w:tcW w:w="351" w:type="pct"/>
                  <w:vAlign w:val="center"/>
                </w:tcPr>
                <w:p w14:paraId="1BC6A5F7">
                  <w:pPr>
                    <w:widowControl/>
                    <w:jc w:val="center"/>
                    <w:textAlignment w:val="center"/>
                    <w:rPr>
                      <w:color w:val="auto"/>
                      <w:sz w:val="18"/>
                      <w:szCs w:val="18"/>
                    </w:rPr>
                  </w:pPr>
                  <w:r>
                    <w:rPr>
                      <w:color w:val="auto"/>
                      <w:kern w:val="0"/>
                      <w:sz w:val="18"/>
                      <w:szCs w:val="18"/>
                      <w:lang w:bidi="ar"/>
                    </w:rPr>
                    <w:t>一般工业固废</w:t>
                  </w:r>
                </w:p>
              </w:tc>
              <w:tc>
                <w:tcPr>
                  <w:tcW w:w="456" w:type="pct"/>
                  <w:vAlign w:val="center"/>
                </w:tcPr>
                <w:p w14:paraId="2ED9A79C">
                  <w:pPr>
                    <w:widowControl/>
                    <w:jc w:val="center"/>
                    <w:textAlignment w:val="center"/>
                    <w:rPr>
                      <w:color w:val="auto"/>
                      <w:sz w:val="18"/>
                      <w:szCs w:val="18"/>
                    </w:rPr>
                  </w:pPr>
                  <w:r>
                    <w:rPr>
                      <w:color w:val="auto"/>
                      <w:kern w:val="0"/>
                      <w:sz w:val="18"/>
                      <w:szCs w:val="18"/>
                      <w:lang w:bidi="ar"/>
                    </w:rPr>
                    <w:t>/</w:t>
                  </w:r>
                </w:p>
              </w:tc>
              <w:tc>
                <w:tcPr>
                  <w:tcW w:w="367" w:type="pct"/>
                  <w:vAlign w:val="center"/>
                </w:tcPr>
                <w:p w14:paraId="6EFFCBF5">
                  <w:pPr>
                    <w:widowControl/>
                    <w:jc w:val="center"/>
                    <w:textAlignment w:val="center"/>
                    <w:rPr>
                      <w:color w:val="auto"/>
                      <w:sz w:val="18"/>
                      <w:szCs w:val="18"/>
                    </w:rPr>
                  </w:pPr>
                  <w:r>
                    <w:rPr>
                      <w:color w:val="auto"/>
                      <w:kern w:val="0"/>
                      <w:sz w:val="18"/>
                      <w:szCs w:val="18"/>
                      <w:lang w:bidi="ar"/>
                    </w:rPr>
                    <w:t>/</w:t>
                  </w:r>
                </w:p>
              </w:tc>
              <w:tc>
                <w:tcPr>
                  <w:tcW w:w="429" w:type="pct"/>
                  <w:vAlign w:val="center"/>
                </w:tcPr>
                <w:p w14:paraId="6640705C">
                  <w:pPr>
                    <w:widowControl/>
                    <w:jc w:val="center"/>
                    <w:textAlignment w:val="center"/>
                    <w:rPr>
                      <w:color w:val="auto"/>
                      <w:sz w:val="18"/>
                      <w:szCs w:val="18"/>
                    </w:rPr>
                  </w:pPr>
                  <w:r>
                    <w:rPr>
                      <w:color w:val="auto"/>
                      <w:kern w:val="0"/>
                      <w:sz w:val="18"/>
                      <w:szCs w:val="18"/>
                      <w:lang w:bidi="ar"/>
                    </w:rPr>
                    <w:t>固</w:t>
                  </w:r>
                  <w:r>
                    <w:rPr>
                      <w:rFonts w:hint="eastAsia"/>
                      <w:color w:val="auto"/>
                      <w:sz w:val="18"/>
                      <w:szCs w:val="18"/>
                    </w:rPr>
                    <w:t>态</w:t>
                  </w:r>
                </w:p>
              </w:tc>
              <w:tc>
                <w:tcPr>
                  <w:tcW w:w="403" w:type="pct"/>
                  <w:vAlign w:val="center"/>
                </w:tcPr>
                <w:p w14:paraId="51236B16">
                  <w:pPr>
                    <w:widowControl/>
                    <w:jc w:val="center"/>
                    <w:textAlignment w:val="center"/>
                    <w:rPr>
                      <w:color w:val="auto"/>
                      <w:sz w:val="18"/>
                      <w:szCs w:val="18"/>
                    </w:rPr>
                  </w:pPr>
                  <w:r>
                    <w:rPr>
                      <w:color w:val="auto"/>
                      <w:kern w:val="0"/>
                      <w:sz w:val="18"/>
                      <w:szCs w:val="18"/>
                      <w:lang w:bidi="ar"/>
                    </w:rPr>
                    <w:t>/</w:t>
                  </w:r>
                </w:p>
              </w:tc>
              <w:tc>
                <w:tcPr>
                  <w:tcW w:w="451" w:type="pct"/>
                  <w:vAlign w:val="center"/>
                </w:tcPr>
                <w:p w14:paraId="56D019E3">
                  <w:pPr>
                    <w:widowControl/>
                    <w:jc w:val="center"/>
                    <w:textAlignment w:val="center"/>
                    <w:rPr>
                      <w:color w:val="auto"/>
                      <w:sz w:val="18"/>
                      <w:szCs w:val="18"/>
                    </w:rPr>
                  </w:pPr>
                  <w:r>
                    <w:rPr>
                      <w:color w:val="auto"/>
                      <w:sz w:val="18"/>
                      <w:szCs w:val="18"/>
                    </w:rPr>
                    <w:t>0.</w:t>
                  </w:r>
                  <w:r>
                    <w:rPr>
                      <w:rFonts w:hint="eastAsia"/>
                      <w:color w:val="auto"/>
                      <w:sz w:val="18"/>
                      <w:szCs w:val="18"/>
                    </w:rPr>
                    <w:t>879</w:t>
                  </w:r>
                  <w:r>
                    <w:rPr>
                      <w:color w:val="auto"/>
                      <w:sz w:val="18"/>
                      <w:szCs w:val="18"/>
                    </w:rPr>
                    <w:t>t/a</w:t>
                  </w:r>
                </w:p>
              </w:tc>
              <w:tc>
                <w:tcPr>
                  <w:tcW w:w="364" w:type="pct"/>
                  <w:vAlign w:val="center"/>
                </w:tcPr>
                <w:p w14:paraId="087DECB7">
                  <w:pPr>
                    <w:widowControl/>
                    <w:jc w:val="center"/>
                    <w:textAlignment w:val="center"/>
                    <w:rPr>
                      <w:color w:val="auto"/>
                      <w:sz w:val="18"/>
                      <w:szCs w:val="18"/>
                    </w:rPr>
                  </w:pPr>
                  <w:r>
                    <w:rPr>
                      <w:rFonts w:hint="eastAsia"/>
                      <w:color w:val="auto"/>
                      <w:kern w:val="0"/>
                      <w:sz w:val="18"/>
                      <w:szCs w:val="18"/>
                      <w:lang w:bidi="ar"/>
                    </w:rPr>
                    <w:t>袋装</w:t>
                  </w:r>
                </w:p>
              </w:tc>
              <w:tc>
                <w:tcPr>
                  <w:tcW w:w="642" w:type="pct"/>
                  <w:vAlign w:val="center"/>
                </w:tcPr>
                <w:p w14:paraId="61EED463">
                  <w:pPr>
                    <w:widowControl/>
                    <w:jc w:val="center"/>
                    <w:textAlignment w:val="center"/>
                    <w:rPr>
                      <w:color w:val="auto"/>
                      <w:sz w:val="18"/>
                      <w:szCs w:val="18"/>
                    </w:rPr>
                  </w:pPr>
                  <w:r>
                    <w:rPr>
                      <w:rFonts w:hint="eastAsia"/>
                      <w:color w:val="auto"/>
                      <w:kern w:val="0"/>
                      <w:sz w:val="18"/>
                      <w:szCs w:val="18"/>
                      <w:lang w:bidi="ar"/>
                    </w:rPr>
                    <w:t>外售处置</w:t>
                  </w:r>
                </w:p>
              </w:tc>
              <w:tc>
                <w:tcPr>
                  <w:tcW w:w="468" w:type="pct"/>
                  <w:vAlign w:val="center"/>
                </w:tcPr>
                <w:p w14:paraId="2256C4BD">
                  <w:pPr>
                    <w:widowControl/>
                    <w:jc w:val="center"/>
                    <w:textAlignment w:val="center"/>
                    <w:rPr>
                      <w:color w:val="auto"/>
                      <w:sz w:val="18"/>
                      <w:szCs w:val="18"/>
                    </w:rPr>
                  </w:pPr>
                  <w:r>
                    <w:rPr>
                      <w:color w:val="auto"/>
                      <w:sz w:val="18"/>
                      <w:szCs w:val="18"/>
                    </w:rPr>
                    <w:t>0.</w:t>
                  </w:r>
                  <w:r>
                    <w:rPr>
                      <w:rFonts w:hint="eastAsia"/>
                      <w:color w:val="auto"/>
                      <w:sz w:val="18"/>
                      <w:szCs w:val="18"/>
                    </w:rPr>
                    <w:t>879</w:t>
                  </w:r>
                  <w:r>
                    <w:rPr>
                      <w:color w:val="auto"/>
                      <w:sz w:val="18"/>
                      <w:szCs w:val="18"/>
                    </w:rPr>
                    <w:t>t/a</w:t>
                  </w:r>
                </w:p>
              </w:tc>
              <w:tc>
                <w:tcPr>
                  <w:tcW w:w="378" w:type="pct"/>
                  <w:vAlign w:val="center"/>
                </w:tcPr>
                <w:p w14:paraId="75C65A47">
                  <w:pPr>
                    <w:widowControl/>
                    <w:jc w:val="center"/>
                    <w:textAlignment w:val="center"/>
                    <w:rPr>
                      <w:color w:val="auto"/>
                      <w:sz w:val="18"/>
                      <w:szCs w:val="18"/>
                    </w:rPr>
                  </w:pPr>
                  <w:r>
                    <w:rPr>
                      <w:color w:val="auto"/>
                      <w:kern w:val="0"/>
                      <w:sz w:val="18"/>
                      <w:szCs w:val="18"/>
                      <w:lang w:bidi="ar"/>
                    </w:rPr>
                    <w:t>100%处置</w:t>
                  </w:r>
                </w:p>
              </w:tc>
            </w:tr>
            <w:tr w14:paraId="1BC05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349" w:type="pct"/>
                  <w:vMerge w:val="restart"/>
                  <w:vAlign w:val="center"/>
                </w:tcPr>
                <w:p w14:paraId="02807C87">
                  <w:pPr>
                    <w:widowControl/>
                    <w:jc w:val="center"/>
                    <w:textAlignment w:val="center"/>
                    <w:rPr>
                      <w:color w:val="auto"/>
                      <w:sz w:val="18"/>
                      <w:szCs w:val="18"/>
                    </w:rPr>
                  </w:pPr>
                  <w:r>
                    <w:rPr>
                      <w:rFonts w:hint="eastAsia"/>
                      <w:color w:val="auto"/>
                      <w:sz w:val="18"/>
                      <w:szCs w:val="18"/>
                    </w:rPr>
                    <w:t>焊管生产工序</w:t>
                  </w:r>
                </w:p>
              </w:tc>
              <w:tc>
                <w:tcPr>
                  <w:tcW w:w="342" w:type="pct"/>
                  <w:vAlign w:val="center"/>
                </w:tcPr>
                <w:p w14:paraId="1635FD25">
                  <w:pPr>
                    <w:widowControl/>
                    <w:jc w:val="center"/>
                    <w:textAlignment w:val="center"/>
                    <w:rPr>
                      <w:color w:val="auto"/>
                      <w:sz w:val="18"/>
                      <w:szCs w:val="18"/>
                    </w:rPr>
                  </w:pPr>
                  <w:r>
                    <w:rPr>
                      <w:rFonts w:hint="eastAsia"/>
                      <w:color w:val="auto"/>
                      <w:kern w:val="0"/>
                      <w:sz w:val="18"/>
                      <w:szCs w:val="18"/>
                      <w:lang w:bidi="ar"/>
                    </w:rPr>
                    <w:t>废边角料</w:t>
                  </w:r>
                </w:p>
              </w:tc>
              <w:tc>
                <w:tcPr>
                  <w:tcW w:w="351" w:type="pct"/>
                  <w:vAlign w:val="center"/>
                </w:tcPr>
                <w:p w14:paraId="303D2D77">
                  <w:pPr>
                    <w:widowControl/>
                    <w:jc w:val="center"/>
                    <w:textAlignment w:val="center"/>
                    <w:rPr>
                      <w:color w:val="auto"/>
                      <w:sz w:val="18"/>
                      <w:szCs w:val="18"/>
                    </w:rPr>
                  </w:pPr>
                  <w:r>
                    <w:rPr>
                      <w:color w:val="auto"/>
                      <w:kern w:val="0"/>
                      <w:sz w:val="18"/>
                      <w:szCs w:val="18"/>
                      <w:lang w:bidi="ar"/>
                    </w:rPr>
                    <w:t>一般工业固废</w:t>
                  </w:r>
                </w:p>
              </w:tc>
              <w:tc>
                <w:tcPr>
                  <w:tcW w:w="456" w:type="pct"/>
                  <w:vAlign w:val="center"/>
                </w:tcPr>
                <w:p w14:paraId="3606017A">
                  <w:pPr>
                    <w:widowControl/>
                    <w:jc w:val="center"/>
                    <w:textAlignment w:val="center"/>
                    <w:rPr>
                      <w:color w:val="auto"/>
                      <w:sz w:val="18"/>
                      <w:szCs w:val="18"/>
                    </w:rPr>
                  </w:pPr>
                  <w:r>
                    <w:rPr>
                      <w:color w:val="auto"/>
                      <w:kern w:val="0"/>
                      <w:sz w:val="18"/>
                      <w:szCs w:val="18"/>
                      <w:lang w:bidi="ar"/>
                    </w:rPr>
                    <w:t>/</w:t>
                  </w:r>
                </w:p>
              </w:tc>
              <w:tc>
                <w:tcPr>
                  <w:tcW w:w="367" w:type="pct"/>
                  <w:vAlign w:val="center"/>
                </w:tcPr>
                <w:p w14:paraId="1F737798">
                  <w:pPr>
                    <w:widowControl/>
                    <w:jc w:val="center"/>
                    <w:textAlignment w:val="center"/>
                    <w:rPr>
                      <w:color w:val="auto"/>
                      <w:sz w:val="18"/>
                      <w:szCs w:val="18"/>
                    </w:rPr>
                  </w:pPr>
                  <w:r>
                    <w:rPr>
                      <w:color w:val="auto"/>
                      <w:kern w:val="0"/>
                      <w:sz w:val="18"/>
                      <w:szCs w:val="18"/>
                      <w:lang w:bidi="ar"/>
                    </w:rPr>
                    <w:t>/</w:t>
                  </w:r>
                </w:p>
              </w:tc>
              <w:tc>
                <w:tcPr>
                  <w:tcW w:w="429" w:type="pct"/>
                  <w:vAlign w:val="center"/>
                </w:tcPr>
                <w:p w14:paraId="2BBFC6A1">
                  <w:pPr>
                    <w:widowControl/>
                    <w:jc w:val="center"/>
                    <w:textAlignment w:val="center"/>
                    <w:rPr>
                      <w:color w:val="auto"/>
                      <w:sz w:val="18"/>
                      <w:szCs w:val="18"/>
                    </w:rPr>
                  </w:pPr>
                  <w:r>
                    <w:rPr>
                      <w:rFonts w:hint="eastAsia"/>
                      <w:color w:val="auto"/>
                      <w:kern w:val="0"/>
                      <w:sz w:val="18"/>
                      <w:szCs w:val="18"/>
                      <w:lang w:bidi="ar"/>
                    </w:rPr>
                    <w:t>固</w:t>
                  </w:r>
                  <w:r>
                    <w:rPr>
                      <w:rFonts w:hint="eastAsia"/>
                      <w:color w:val="auto"/>
                      <w:sz w:val="18"/>
                      <w:szCs w:val="18"/>
                    </w:rPr>
                    <w:t>态</w:t>
                  </w:r>
                </w:p>
              </w:tc>
              <w:tc>
                <w:tcPr>
                  <w:tcW w:w="403" w:type="pct"/>
                  <w:vAlign w:val="center"/>
                </w:tcPr>
                <w:p w14:paraId="7733E21B">
                  <w:pPr>
                    <w:widowControl/>
                    <w:jc w:val="center"/>
                    <w:textAlignment w:val="center"/>
                    <w:rPr>
                      <w:color w:val="auto"/>
                      <w:sz w:val="18"/>
                      <w:szCs w:val="18"/>
                    </w:rPr>
                  </w:pPr>
                  <w:r>
                    <w:rPr>
                      <w:color w:val="auto"/>
                      <w:kern w:val="0"/>
                      <w:sz w:val="18"/>
                      <w:szCs w:val="18"/>
                      <w:lang w:bidi="ar"/>
                    </w:rPr>
                    <w:t>/</w:t>
                  </w:r>
                </w:p>
              </w:tc>
              <w:tc>
                <w:tcPr>
                  <w:tcW w:w="451" w:type="pct"/>
                  <w:vAlign w:val="center"/>
                </w:tcPr>
                <w:p w14:paraId="1C761AED">
                  <w:pPr>
                    <w:widowControl/>
                    <w:jc w:val="center"/>
                    <w:textAlignment w:val="center"/>
                    <w:rPr>
                      <w:color w:val="auto"/>
                      <w:sz w:val="18"/>
                      <w:szCs w:val="18"/>
                    </w:rPr>
                  </w:pPr>
                  <w:r>
                    <w:rPr>
                      <w:rFonts w:hint="eastAsia"/>
                      <w:color w:val="auto"/>
                      <w:sz w:val="18"/>
                      <w:szCs w:val="18"/>
                    </w:rPr>
                    <w:t>15</w:t>
                  </w:r>
                  <w:r>
                    <w:rPr>
                      <w:color w:val="auto"/>
                      <w:sz w:val="18"/>
                      <w:szCs w:val="18"/>
                    </w:rPr>
                    <w:t>0t/a</w:t>
                  </w:r>
                </w:p>
              </w:tc>
              <w:tc>
                <w:tcPr>
                  <w:tcW w:w="364" w:type="pct"/>
                  <w:vAlign w:val="center"/>
                </w:tcPr>
                <w:p w14:paraId="79F3A5F9">
                  <w:pPr>
                    <w:widowControl/>
                    <w:jc w:val="center"/>
                    <w:textAlignment w:val="center"/>
                    <w:rPr>
                      <w:color w:val="auto"/>
                      <w:sz w:val="18"/>
                      <w:szCs w:val="18"/>
                    </w:rPr>
                  </w:pPr>
                  <w:r>
                    <w:rPr>
                      <w:rFonts w:hint="eastAsia"/>
                      <w:color w:val="auto"/>
                      <w:kern w:val="0"/>
                      <w:sz w:val="18"/>
                      <w:szCs w:val="18"/>
                      <w:lang w:bidi="ar"/>
                    </w:rPr>
                    <w:t>袋装</w:t>
                  </w:r>
                </w:p>
              </w:tc>
              <w:tc>
                <w:tcPr>
                  <w:tcW w:w="642" w:type="pct"/>
                  <w:vAlign w:val="center"/>
                </w:tcPr>
                <w:p w14:paraId="13334449">
                  <w:pPr>
                    <w:widowControl/>
                    <w:jc w:val="center"/>
                    <w:textAlignment w:val="center"/>
                    <w:rPr>
                      <w:color w:val="auto"/>
                      <w:sz w:val="18"/>
                      <w:szCs w:val="18"/>
                    </w:rPr>
                  </w:pPr>
                  <w:r>
                    <w:rPr>
                      <w:rFonts w:hint="eastAsia"/>
                      <w:color w:val="auto"/>
                      <w:kern w:val="0"/>
                      <w:sz w:val="18"/>
                      <w:szCs w:val="18"/>
                      <w:lang w:bidi="ar"/>
                    </w:rPr>
                    <w:t>外售处置</w:t>
                  </w:r>
                </w:p>
              </w:tc>
              <w:tc>
                <w:tcPr>
                  <w:tcW w:w="468" w:type="pct"/>
                  <w:vAlign w:val="center"/>
                </w:tcPr>
                <w:p w14:paraId="30CF5DB1">
                  <w:pPr>
                    <w:widowControl/>
                    <w:jc w:val="center"/>
                    <w:textAlignment w:val="center"/>
                    <w:rPr>
                      <w:color w:val="auto"/>
                      <w:sz w:val="18"/>
                      <w:szCs w:val="18"/>
                    </w:rPr>
                  </w:pPr>
                  <w:r>
                    <w:rPr>
                      <w:rFonts w:hint="eastAsia"/>
                      <w:color w:val="auto"/>
                      <w:sz w:val="18"/>
                      <w:szCs w:val="18"/>
                    </w:rPr>
                    <w:t>15</w:t>
                  </w:r>
                  <w:r>
                    <w:rPr>
                      <w:color w:val="auto"/>
                      <w:sz w:val="18"/>
                      <w:szCs w:val="18"/>
                    </w:rPr>
                    <w:t>0t/a</w:t>
                  </w:r>
                </w:p>
              </w:tc>
              <w:tc>
                <w:tcPr>
                  <w:tcW w:w="378" w:type="pct"/>
                  <w:vAlign w:val="center"/>
                </w:tcPr>
                <w:p w14:paraId="1E4A197B">
                  <w:pPr>
                    <w:widowControl/>
                    <w:jc w:val="center"/>
                    <w:textAlignment w:val="center"/>
                    <w:rPr>
                      <w:color w:val="auto"/>
                      <w:sz w:val="18"/>
                      <w:szCs w:val="18"/>
                    </w:rPr>
                  </w:pPr>
                  <w:r>
                    <w:rPr>
                      <w:color w:val="auto"/>
                      <w:kern w:val="0"/>
                      <w:sz w:val="18"/>
                      <w:szCs w:val="18"/>
                      <w:lang w:bidi="ar"/>
                    </w:rPr>
                    <w:t>100%处置</w:t>
                  </w:r>
                </w:p>
              </w:tc>
            </w:tr>
            <w:tr w14:paraId="629F32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349" w:type="pct"/>
                  <w:vMerge w:val="continue"/>
                  <w:vAlign w:val="center"/>
                </w:tcPr>
                <w:p w14:paraId="3CCDFAFE">
                  <w:pPr>
                    <w:widowControl/>
                    <w:jc w:val="center"/>
                    <w:textAlignment w:val="center"/>
                    <w:rPr>
                      <w:color w:val="auto"/>
                      <w:sz w:val="18"/>
                      <w:szCs w:val="18"/>
                    </w:rPr>
                  </w:pPr>
                </w:p>
              </w:tc>
              <w:tc>
                <w:tcPr>
                  <w:tcW w:w="342" w:type="pct"/>
                  <w:vAlign w:val="center"/>
                </w:tcPr>
                <w:p w14:paraId="4522AEED">
                  <w:pPr>
                    <w:widowControl/>
                    <w:jc w:val="center"/>
                    <w:textAlignment w:val="center"/>
                    <w:rPr>
                      <w:color w:val="auto"/>
                      <w:kern w:val="0"/>
                      <w:sz w:val="18"/>
                      <w:szCs w:val="18"/>
                      <w:lang w:bidi="ar"/>
                    </w:rPr>
                  </w:pPr>
                  <w:r>
                    <w:rPr>
                      <w:rFonts w:hint="eastAsia"/>
                      <w:color w:val="auto"/>
                      <w:kern w:val="0"/>
                      <w:sz w:val="18"/>
                      <w:szCs w:val="18"/>
                      <w:lang w:bidi="ar"/>
                    </w:rPr>
                    <w:t>不合格产品</w:t>
                  </w:r>
                </w:p>
              </w:tc>
              <w:tc>
                <w:tcPr>
                  <w:tcW w:w="351" w:type="pct"/>
                  <w:vAlign w:val="center"/>
                </w:tcPr>
                <w:p w14:paraId="5E9D8CF8">
                  <w:pPr>
                    <w:widowControl/>
                    <w:jc w:val="center"/>
                    <w:textAlignment w:val="center"/>
                    <w:rPr>
                      <w:color w:val="auto"/>
                      <w:sz w:val="18"/>
                      <w:szCs w:val="18"/>
                    </w:rPr>
                  </w:pPr>
                  <w:r>
                    <w:rPr>
                      <w:color w:val="auto"/>
                      <w:kern w:val="0"/>
                      <w:sz w:val="18"/>
                      <w:szCs w:val="18"/>
                      <w:lang w:bidi="ar"/>
                    </w:rPr>
                    <w:t>一般工业固废</w:t>
                  </w:r>
                </w:p>
              </w:tc>
              <w:tc>
                <w:tcPr>
                  <w:tcW w:w="456" w:type="pct"/>
                  <w:vAlign w:val="center"/>
                </w:tcPr>
                <w:p w14:paraId="5D35DBE3">
                  <w:pPr>
                    <w:widowControl/>
                    <w:jc w:val="center"/>
                    <w:textAlignment w:val="center"/>
                    <w:rPr>
                      <w:color w:val="auto"/>
                      <w:sz w:val="18"/>
                      <w:szCs w:val="18"/>
                    </w:rPr>
                  </w:pPr>
                  <w:r>
                    <w:rPr>
                      <w:color w:val="auto"/>
                      <w:kern w:val="0"/>
                      <w:sz w:val="18"/>
                      <w:szCs w:val="18"/>
                      <w:lang w:bidi="ar"/>
                    </w:rPr>
                    <w:t>/</w:t>
                  </w:r>
                </w:p>
              </w:tc>
              <w:tc>
                <w:tcPr>
                  <w:tcW w:w="367" w:type="pct"/>
                  <w:vAlign w:val="center"/>
                </w:tcPr>
                <w:p w14:paraId="76416C7A">
                  <w:pPr>
                    <w:widowControl/>
                    <w:jc w:val="center"/>
                    <w:textAlignment w:val="center"/>
                    <w:rPr>
                      <w:color w:val="auto"/>
                      <w:sz w:val="18"/>
                      <w:szCs w:val="18"/>
                    </w:rPr>
                  </w:pPr>
                  <w:r>
                    <w:rPr>
                      <w:color w:val="auto"/>
                      <w:kern w:val="0"/>
                      <w:sz w:val="18"/>
                      <w:szCs w:val="18"/>
                      <w:lang w:bidi="ar"/>
                    </w:rPr>
                    <w:t>/</w:t>
                  </w:r>
                </w:p>
              </w:tc>
              <w:tc>
                <w:tcPr>
                  <w:tcW w:w="429" w:type="pct"/>
                  <w:vAlign w:val="center"/>
                </w:tcPr>
                <w:p w14:paraId="46EB7C6E">
                  <w:pPr>
                    <w:widowControl/>
                    <w:jc w:val="center"/>
                    <w:textAlignment w:val="center"/>
                    <w:rPr>
                      <w:color w:val="auto"/>
                      <w:sz w:val="18"/>
                      <w:szCs w:val="18"/>
                    </w:rPr>
                  </w:pPr>
                  <w:r>
                    <w:rPr>
                      <w:rFonts w:hint="eastAsia"/>
                      <w:color w:val="auto"/>
                      <w:kern w:val="0"/>
                      <w:sz w:val="18"/>
                      <w:szCs w:val="18"/>
                      <w:lang w:bidi="ar"/>
                    </w:rPr>
                    <w:t>固</w:t>
                  </w:r>
                  <w:r>
                    <w:rPr>
                      <w:rFonts w:hint="eastAsia"/>
                      <w:color w:val="auto"/>
                      <w:sz w:val="18"/>
                      <w:szCs w:val="18"/>
                    </w:rPr>
                    <w:t>态</w:t>
                  </w:r>
                </w:p>
              </w:tc>
              <w:tc>
                <w:tcPr>
                  <w:tcW w:w="403" w:type="pct"/>
                  <w:vAlign w:val="center"/>
                </w:tcPr>
                <w:p w14:paraId="53116865">
                  <w:pPr>
                    <w:widowControl/>
                    <w:jc w:val="center"/>
                    <w:textAlignment w:val="center"/>
                    <w:rPr>
                      <w:color w:val="auto"/>
                      <w:sz w:val="18"/>
                      <w:szCs w:val="18"/>
                    </w:rPr>
                  </w:pPr>
                  <w:r>
                    <w:rPr>
                      <w:color w:val="auto"/>
                      <w:kern w:val="0"/>
                      <w:sz w:val="18"/>
                      <w:szCs w:val="18"/>
                      <w:lang w:bidi="ar"/>
                    </w:rPr>
                    <w:t>/</w:t>
                  </w:r>
                </w:p>
              </w:tc>
              <w:tc>
                <w:tcPr>
                  <w:tcW w:w="451" w:type="pct"/>
                  <w:vAlign w:val="center"/>
                </w:tcPr>
                <w:p w14:paraId="5DDEBBC3">
                  <w:pPr>
                    <w:widowControl/>
                    <w:jc w:val="center"/>
                    <w:textAlignment w:val="center"/>
                    <w:rPr>
                      <w:color w:val="auto"/>
                      <w:sz w:val="18"/>
                      <w:szCs w:val="18"/>
                    </w:rPr>
                  </w:pPr>
                  <w:r>
                    <w:rPr>
                      <w:rFonts w:hint="eastAsia"/>
                      <w:color w:val="auto"/>
                      <w:sz w:val="18"/>
                      <w:szCs w:val="18"/>
                    </w:rPr>
                    <w:t>847</w:t>
                  </w:r>
                  <w:r>
                    <w:rPr>
                      <w:color w:val="auto"/>
                      <w:sz w:val="18"/>
                      <w:szCs w:val="18"/>
                    </w:rPr>
                    <w:t>t/a</w:t>
                  </w:r>
                </w:p>
              </w:tc>
              <w:tc>
                <w:tcPr>
                  <w:tcW w:w="364" w:type="pct"/>
                  <w:vAlign w:val="center"/>
                </w:tcPr>
                <w:p w14:paraId="44D61636">
                  <w:pPr>
                    <w:widowControl/>
                    <w:jc w:val="center"/>
                    <w:textAlignment w:val="center"/>
                    <w:rPr>
                      <w:color w:val="auto"/>
                      <w:sz w:val="18"/>
                      <w:szCs w:val="18"/>
                    </w:rPr>
                  </w:pPr>
                  <w:r>
                    <w:rPr>
                      <w:rFonts w:hint="eastAsia"/>
                      <w:color w:val="auto"/>
                      <w:kern w:val="0"/>
                      <w:sz w:val="18"/>
                      <w:szCs w:val="18"/>
                      <w:lang w:bidi="ar"/>
                    </w:rPr>
                    <w:t>袋装</w:t>
                  </w:r>
                </w:p>
              </w:tc>
              <w:tc>
                <w:tcPr>
                  <w:tcW w:w="642" w:type="pct"/>
                  <w:vAlign w:val="center"/>
                </w:tcPr>
                <w:p w14:paraId="641EDE72">
                  <w:pPr>
                    <w:widowControl/>
                    <w:jc w:val="center"/>
                    <w:textAlignment w:val="center"/>
                    <w:rPr>
                      <w:color w:val="auto"/>
                      <w:sz w:val="18"/>
                      <w:szCs w:val="18"/>
                    </w:rPr>
                  </w:pPr>
                  <w:r>
                    <w:rPr>
                      <w:rFonts w:hint="eastAsia"/>
                      <w:color w:val="auto"/>
                      <w:kern w:val="0"/>
                      <w:sz w:val="18"/>
                      <w:szCs w:val="18"/>
                      <w:lang w:bidi="ar"/>
                    </w:rPr>
                    <w:t>外售处置</w:t>
                  </w:r>
                </w:p>
              </w:tc>
              <w:tc>
                <w:tcPr>
                  <w:tcW w:w="468" w:type="pct"/>
                  <w:vAlign w:val="center"/>
                </w:tcPr>
                <w:p w14:paraId="0F48AA89">
                  <w:pPr>
                    <w:widowControl/>
                    <w:jc w:val="center"/>
                    <w:textAlignment w:val="center"/>
                    <w:rPr>
                      <w:color w:val="auto"/>
                      <w:sz w:val="18"/>
                      <w:szCs w:val="18"/>
                    </w:rPr>
                  </w:pPr>
                  <w:r>
                    <w:rPr>
                      <w:rFonts w:hint="eastAsia"/>
                      <w:color w:val="auto"/>
                      <w:sz w:val="18"/>
                      <w:szCs w:val="18"/>
                    </w:rPr>
                    <w:t>847</w:t>
                  </w:r>
                  <w:r>
                    <w:rPr>
                      <w:color w:val="auto"/>
                      <w:sz w:val="18"/>
                      <w:szCs w:val="18"/>
                    </w:rPr>
                    <w:t>t/a</w:t>
                  </w:r>
                </w:p>
              </w:tc>
              <w:tc>
                <w:tcPr>
                  <w:tcW w:w="378" w:type="pct"/>
                  <w:vAlign w:val="center"/>
                </w:tcPr>
                <w:p w14:paraId="71C30B8E">
                  <w:pPr>
                    <w:widowControl/>
                    <w:jc w:val="center"/>
                    <w:textAlignment w:val="center"/>
                    <w:rPr>
                      <w:color w:val="auto"/>
                      <w:sz w:val="18"/>
                      <w:szCs w:val="18"/>
                    </w:rPr>
                  </w:pPr>
                  <w:r>
                    <w:rPr>
                      <w:color w:val="auto"/>
                      <w:kern w:val="0"/>
                      <w:sz w:val="18"/>
                      <w:szCs w:val="18"/>
                      <w:lang w:bidi="ar"/>
                    </w:rPr>
                    <w:t>100%处置</w:t>
                  </w:r>
                </w:p>
              </w:tc>
            </w:tr>
            <w:tr w14:paraId="3288BB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349" w:type="pct"/>
                  <w:vAlign w:val="center"/>
                </w:tcPr>
                <w:p w14:paraId="106EE789">
                  <w:pPr>
                    <w:widowControl/>
                    <w:jc w:val="center"/>
                    <w:textAlignment w:val="center"/>
                    <w:rPr>
                      <w:color w:val="auto"/>
                      <w:sz w:val="18"/>
                      <w:szCs w:val="18"/>
                    </w:rPr>
                  </w:pPr>
                  <w:r>
                    <w:rPr>
                      <w:rFonts w:hint="eastAsia"/>
                      <w:color w:val="auto"/>
                      <w:sz w:val="18"/>
                      <w:szCs w:val="18"/>
                    </w:rPr>
                    <w:t>循环水池</w:t>
                  </w:r>
                </w:p>
              </w:tc>
              <w:tc>
                <w:tcPr>
                  <w:tcW w:w="342" w:type="pct"/>
                  <w:vAlign w:val="center"/>
                </w:tcPr>
                <w:p w14:paraId="09B51C6F">
                  <w:pPr>
                    <w:widowControl/>
                    <w:jc w:val="center"/>
                    <w:textAlignment w:val="center"/>
                    <w:rPr>
                      <w:color w:val="auto"/>
                      <w:kern w:val="0"/>
                      <w:sz w:val="18"/>
                      <w:szCs w:val="18"/>
                      <w:lang w:bidi="ar"/>
                    </w:rPr>
                  </w:pPr>
                  <w:r>
                    <w:rPr>
                      <w:rFonts w:hint="eastAsia"/>
                      <w:color w:val="auto"/>
                      <w:kern w:val="0"/>
                      <w:sz w:val="18"/>
                      <w:szCs w:val="18"/>
                      <w:lang w:bidi="ar"/>
                    </w:rPr>
                    <w:t>金属沉渣</w:t>
                  </w:r>
                </w:p>
              </w:tc>
              <w:tc>
                <w:tcPr>
                  <w:tcW w:w="351" w:type="pct"/>
                  <w:vAlign w:val="center"/>
                </w:tcPr>
                <w:p w14:paraId="04108181">
                  <w:pPr>
                    <w:widowControl/>
                    <w:jc w:val="center"/>
                    <w:textAlignment w:val="center"/>
                    <w:rPr>
                      <w:color w:val="auto"/>
                      <w:kern w:val="0"/>
                      <w:sz w:val="18"/>
                      <w:szCs w:val="18"/>
                      <w:lang w:bidi="ar"/>
                    </w:rPr>
                  </w:pPr>
                  <w:r>
                    <w:rPr>
                      <w:rFonts w:hint="eastAsia"/>
                      <w:color w:val="auto"/>
                      <w:kern w:val="0"/>
                      <w:sz w:val="18"/>
                      <w:szCs w:val="18"/>
                      <w:lang w:bidi="ar"/>
                    </w:rPr>
                    <w:t>通过浸出毒性检测判定属性</w:t>
                  </w:r>
                </w:p>
              </w:tc>
              <w:tc>
                <w:tcPr>
                  <w:tcW w:w="456" w:type="pct"/>
                  <w:vAlign w:val="center"/>
                </w:tcPr>
                <w:p w14:paraId="0844E7AA">
                  <w:pPr>
                    <w:widowControl/>
                    <w:jc w:val="center"/>
                    <w:textAlignment w:val="center"/>
                    <w:rPr>
                      <w:color w:val="auto"/>
                      <w:kern w:val="0"/>
                      <w:sz w:val="18"/>
                      <w:szCs w:val="18"/>
                      <w:lang w:bidi="ar"/>
                    </w:rPr>
                  </w:pPr>
                  <w:r>
                    <w:rPr>
                      <w:color w:val="auto"/>
                      <w:kern w:val="0"/>
                      <w:sz w:val="18"/>
                      <w:szCs w:val="18"/>
                      <w:lang w:bidi="ar"/>
                    </w:rPr>
                    <w:t>/</w:t>
                  </w:r>
                </w:p>
              </w:tc>
              <w:tc>
                <w:tcPr>
                  <w:tcW w:w="367" w:type="pct"/>
                  <w:vAlign w:val="center"/>
                </w:tcPr>
                <w:p w14:paraId="56782844">
                  <w:pPr>
                    <w:widowControl/>
                    <w:jc w:val="center"/>
                    <w:textAlignment w:val="center"/>
                    <w:rPr>
                      <w:color w:val="auto"/>
                      <w:kern w:val="0"/>
                      <w:sz w:val="18"/>
                      <w:szCs w:val="18"/>
                      <w:lang w:bidi="ar"/>
                    </w:rPr>
                  </w:pPr>
                  <w:r>
                    <w:rPr>
                      <w:color w:val="auto"/>
                      <w:kern w:val="0"/>
                      <w:sz w:val="18"/>
                      <w:szCs w:val="18"/>
                      <w:lang w:bidi="ar"/>
                    </w:rPr>
                    <w:t>/</w:t>
                  </w:r>
                </w:p>
              </w:tc>
              <w:tc>
                <w:tcPr>
                  <w:tcW w:w="429" w:type="pct"/>
                  <w:vAlign w:val="center"/>
                </w:tcPr>
                <w:p w14:paraId="5AADABCB">
                  <w:pPr>
                    <w:widowControl/>
                    <w:jc w:val="center"/>
                    <w:textAlignment w:val="center"/>
                    <w:rPr>
                      <w:color w:val="auto"/>
                      <w:kern w:val="0"/>
                      <w:sz w:val="18"/>
                      <w:szCs w:val="18"/>
                      <w:lang w:bidi="ar"/>
                    </w:rPr>
                  </w:pPr>
                  <w:r>
                    <w:rPr>
                      <w:rFonts w:hint="eastAsia"/>
                      <w:color w:val="auto"/>
                      <w:kern w:val="0"/>
                      <w:sz w:val="18"/>
                      <w:szCs w:val="18"/>
                      <w:lang w:bidi="ar"/>
                    </w:rPr>
                    <w:t>固</w:t>
                  </w:r>
                  <w:r>
                    <w:rPr>
                      <w:rFonts w:hint="eastAsia"/>
                      <w:color w:val="auto"/>
                      <w:sz w:val="18"/>
                      <w:szCs w:val="18"/>
                    </w:rPr>
                    <w:t>态</w:t>
                  </w:r>
                </w:p>
              </w:tc>
              <w:tc>
                <w:tcPr>
                  <w:tcW w:w="403" w:type="pct"/>
                  <w:vAlign w:val="center"/>
                </w:tcPr>
                <w:p w14:paraId="53A46496">
                  <w:pPr>
                    <w:widowControl/>
                    <w:jc w:val="center"/>
                    <w:textAlignment w:val="center"/>
                    <w:rPr>
                      <w:color w:val="auto"/>
                      <w:kern w:val="0"/>
                      <w:sz w:val="18"/>
                      <w:szCs w:val="18"/>
                      <w:lang w:bidi="ar"/>
                    </w:rPr>
                  </w:pPr>
                  <w:r>
                    <w:rPr>
                      <w:color w:val="auto"/>
                      <w:kern w:val="0"/>
                      <w:sz w:val="18"/>
                      <w:szCs w:val="18"/>
                      <w:lang w:bidi="ar"/>
                    </w:rPr>
                    <w:t>/</w:t>
                  </w:r>
                </w:p>
              </w:tc>
              <w:tc>
                <w:tcPr>
                  <w:tcW w:w="451" w:type="pct"/>
                  <w:vAlign w:val="center"/>
                </w:tcPr>
                <w:p w14:paraId="64B3A02A">
                  <w:pPr>
                    <w:widowControl/>
                    <w:jc w:val="center"/>
                    <w:textAlignment w:val="center"/>
                    <w:rPr>
                      <w:color w:val="auto"/>
                      <w:sz w:val="18"/>
                      <w:szCs w:val="18"/>
                    </w:rPr>
                  </w:pPr>
                  <w:r>
                    <w:rPr>
                      <w:rFonts w:hint="eastAsia"/>
                      <w:color w:val="auto"/>
                      <w:sz w:val="18"/>
                      <w:szCs w:val="18"/>
                    </w:rPr>
                    <w:t>2.1</w:t>
                  </w:r>
                  <w:r>
                    <w:rPr>
                      <w:color w:val="auto"/>
                      <w:sz w:val="18"/>
                      <w:szCs w:val="18"/>
                    </w:rPr>
                    <w:t>t/a</w:t>
                  </w:r>
                </w:p>
              </w:tc>
              <w:tc>
                <w:tcPr>
                  <w:tcW w:w="364" w:type="pct"/>
                  <w:vAlign w:val="center"/>
                </w:tcPr>
                <w:p w14:paraId="5A1444A5">
                  <w:pPr>
                    <w:widowControl/>
                    <w:jc w:val="center"/>
                    <w:textAlignment w:val="center"/>
                    <w:rPr>
                      <w:color w:val="auto"/>
                      <w:kern w:val="0"/>
                      <w:sz w:val="18"/>
                      <w:szCs w:val="18"/>
                      <w:lang w:bidi="ar"/>
                    </w:rPr>
                  </w:pPr>
                  <w:r>
                    <w:rPr>
                      <w:rFonts w:hint="eastAsia"/>
                      <w:color w:val="auto"/>
                      <w:kern w:val="0"/>
                      <w:sz w:val="18"/>
                      <w:szCs w:val="18"/>
                      <w:lang w:bidi="ar"/>
                    </w:rPr>
                    <w:t>袋装</w:t>
                  </w:r>
                </w:p>
              </w:tc>
              <w:tc>
                <w:tcPr>
                  <w:tcW w:w="642" w:type="pct"/>
                  <w:vAlign w:val="center"/>
                </w:tcPr>
                <w:p w14:paraId="569A6287">
                  <w:pPr>
                    <w:jc w:val="center"/>
                    <w:textAlignment w:val="center"/>
                    <w:rPr>
                      <w:color w:val="auto"/>
                      <w:kern w:val="0"/>
                      <w:sz w:val="18"/>
                      <w:szCs w:val="18"/>
                      <w:lang w:bidi="ar"/>
                    </w:rPr>
                  </w:pPr>
                  <w:r>
                    <w:rPr>
                      <w:rFonts w:hint="eastAsia"/>
                      <w:color w:val="auto"/>
                      <w:kern w:val="0"/>
                      <w:sz w:val="18"/>
                      <w:szCs w:val="18"/>
                      <w:lang w:bidi="ar"/>
                    </w:rPr>
                    <w:t>定期清掏，每次清掏前需进行浸出毒性检测，</w:t>
                  </w:r>
                  <w:r>
                    <w:rPr>
                      <w:color w:val="auto"/>
                      <w:kern w:val="0"/>
                      <w:sz w:val="18"/>
                      <w:szCs w:val="18"/>
                      <w:lang w:bidi="ar"/>
                    </w:rPr>
                    <w:t>若固体废物浸出液中任何一种危害成分含量超过标准浓度限值，则作为具有浸出毒性特征的危险废物进行处置，委托有相应资质单位进行处置；否则可以按照一般固废进行</w:t>
                  </w:r>
                  <w:r>
                    <w:rPr>
                      <w:rFonts w:hint="eastAsia"/>
                      <w:color w:val="auto"/>
                      <w:kern w:val="0"/>
                      <w:sz w:val="18"/>
                      <w:szCs w:val="18"/>
                      <w:lang w:bidi="ar"/>
                    </w:rPr>
                    <w:t>外售</w:t>
                  </w:r>
                  <w:r>
                    <w:rPr>
                      <w:color w:val="auto"/>
                      <w:kern w:val="0"/>
                      <w:sz w:val="18"/>
                      <w:szCs w:val="18"/>
                      <w:lang w:bidi="ar"/>
                    </w:rPr>
                    <w:t>处置。</w:t>
                  </w:r>
                </w:p>
              </w:tc>
              <w:tc>
                <w:tcPr>
                  <w:tcW w:w="468" w:type="pct"/>
                  <w:vAlign w:val="center"/>
                </w:tcPr>
                <w:p w14:paraId="7BC2C728">
                  <w:pPr>
                    <w:widowControl/>
                    <w:jc w:val="center"/>
                    <w:textAlignment w:val="center"/>
                    <w:rPr>
                      <w:color w:val="auto"/>
                      <w:sz w:val="18"/>
                      <w:szCs w:val="18"/>
                    </w:rPr>
                  </w:pPr>
                  <w:r>
                    <w:rPr>
                      <w:rFonts w:hint="eastAsia"/>
                      <w:color w:val="auto"/>
                      <w:sz w:val="18"/>
                      <w:szCs w:val="18"/>
                    </w:rPr>
                    <w:t>2.1</w:t>
                  </w:r>
                  <w:r>
                    <w:rPr>
                      <w:color w:val="auto"/>
                      <w:sz w:val="18"/>
                      <w:szCs w:val="18"/>
                    </w:rPr>
                    <w:t>t/a</w:t>
                  </w:r>
                </w:p>
              </w:tc>
              <w:tc>
                <w:tcPr>
                  <w:tcW w:w="378" w:type="pct"/>
                  <w:vAlign w:val="center"/>
                </w:tcPr>
                <w:p w14:paraId="7A5F3BDE">
                  <w:pPr>
                    <w:widowControl/>
                    <w:jc w:val="center"/>
                    <w:textAlignment w:val="center"/>
                    <w:rPr>
                      <w:color w:val="auto"/>
                      <w:kern w:val="0"/>
                      <w:sz w:val="18"/>
                      <w:szCs w:val="18"/>
                      <w:lang w:bidi="ar"/>
                    </w:rPr>
                  </w:pPr>
                  <w:r>
                    <w:rPr>
                      <w:color w:val="auto"/>
                      <w:kern w:val="0"/>
                      <w:sz w:val="18"/>
                      <w:szCs w:val="18"/>
                      <w:lang w:bidi="ar"/>
                    </w:rPr>
                    <w:t>100%处置</w:t>
                  </w:r>
                </w:p>
              </w:tc>
            </w:tr>
            <w:tr w14:paraId="4EB59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349" w:type="pct"/>
                  <w:vAlign w:val="center"/>
                </w:tcPr>
                <w:p w14:paraId="427C7787">
                  <w:pPr>
                    <w:widowControl/>
                    <w:jc w:val="center"/>
                    <w:textAlignment w:val="center"/>
                    <w:rPr>
                      <w:color w:val="auto"/>
                      <w:sz w:val="18"/>
                      <w:szCs w:val="18"/>
                    </w:rPr>
                  </w:pPr>
                  <w:r>
                    <w:rPr>
                      <w:rFonts w:hint="eastAsia"/>
                      <w:color w:val="auto"/>
                      <w:sz w:val="18"/>
                      <w:szCs w:val="18"/>
                    </w:rPr>
                    <w:t>化粪池</w:t>
                  </w:r>
                </w:p>
              </w:tc>
              <w:tc>
                <w:tcPr>
                  <w:tcW w:w="342" w:type="pct"/>
                  <w:vAlign w:val="center"/>
                </w:tcPr>
                <w:p w14:paraId="3C024A6A">
                  <w:pPr>
                    <w:widowControl/>
                    <w:jc w:val="center"/>
                    <w:textAlignment w:val="center"/>
                    <w:rPr>
                      <w:color w:val="auto"/>
                      <w:kern w:val="0"/>
                      <w:sz w:val="18"/>
                      <w:szCs w:val="18"/>
                      <w:lang w:bidi="ar"/>
                    </w:rPr>
                  </w:pPr>
                  <w:r>
                    <w:rPr>
                      <w:rFonts w:hint="eastAsia"/>
                      <w:color w:val="auto"/>
                      <w:sz w:val="18"/>
                      <w:szCs w:val="18"/>
                    </w:rPr>
                    <w:t>污泥</w:t>
                  </w:r>
                </w:p>
              </w:tc>
              <w:tc>
                <w:tcPr>
                  <w:tcW w:w="351" w:type="pct"/>
                  <w:vAlign w:val="center"/>
                </w:tcPr>
                <w:p w14:paraId="3EED8C37">
                  <w:pPr>
                    <w:widowControl/>
                    <w:jc w:val="center"/>
                    <w:textAlignment w:val="center"/>
                    <w:rPr>
                      <w:color w:val="auto"/>
                      <w:kern w:val="0"/>
                      <w:sz w:val="18"/>
                      <w:szCs w:val="18"/>
                      <w:lang w:bidi="ar"/>
                    </w:rPr>
                  </w:pPr>
                  <w:r>
                    <w:rPr>
                      <w:rFonts w:hint="eastAsia"/>
                      <w:color w:val="auto"/>
                      <w:kern w:val="0"/>
                      <w:sz w:val="18"/>
                      <w:szCs w:val="18"/>
                      <w:lang w:bidi="ar"/>
                    </w:rPr>
                    <w:t>生活垃圾</w:t>
                  </w:r>
                </w:p>
              </w:tc>
              <w:tc>
                <w:tcPr>
                  <w:tcW w:w="456" w:type="pct"/>
                  <w:vAlign w:val="center"/>
                </w:tcPr>
                <w:p w14:paraId="3A28ED4D">
                  <w:pPr>
                    <w:widowControl/>
                    <w:jc w:val="center"/>
                    <w:textAlignment w:val="center"/>
                    <w:rPr>
                      <w:color w:val="auto"/>
                      <w:kern w:val="0"/>
                      <w:sz w:val="18"/>
                      <w:szCs w:val="18"/>
                      <w:lang w:bidi="ar"/>
                    </w:rPr>
                  </w:pPr>
                  <w:r>
                    <w:rPr>
                      <w:color w:val="auto"/>
                      <w:kern w:val="0"/>
                      <w:sz w:val="18"/>
                      <w:szCs w:val="18"/>
                      <w:lang w:bidi="ar"/>
                    </w:rPr>
                    <w:t>/</w:t>
                  </w:r>
                </w:p>
              </w:tc>
              <w:tc>
                <w:tcPr>
                  <w:tcW w:w="367" w:type="pct"/>
                  <w:vAlign w:val="center"/>
                </w:tcPr>
                <w:p w14:paraId="4F247C36">
                  <w:pPr>
                    <w:widowControl/>
                    <w:jc w:val="center"/>
                    <w:textAlignment w:val="center"/>
                    <w:rPr>
                      <w:color w:val="auto"/>
                      <w:kern w:val="0"/>
                      <w:sz w:val="18"/>
                      <w:szCs w:val="18"/>
                      <w:lang w:bidi="ar"/>
                    </w:rPr>
                  </w:pPr>
                  <w:r>
                    <w:rPr>
                      <w:color w:val="auto"/>
                      <w:kern w:val="0"/>
                      <w:sz w:val="18"/>
                      <w:szCs w:val="18"/>
                      <w:lang w:bidi="ar"/>
                    </w:rPr>
                    <w:t>/</w:t>
                  </w:r>
                </w:p>
              </w:tc>
              <w:tc>
                <w:tcPr>
                  <w:tcW w:w="429" w:type="pct"/>
                  <w:vAlign w:val="center"/>
                </w:tcPr>
                <w:p w14:paraId="45BE0A45">
                  <w:pPr>
                    <w:widowControl/>
                    <w:jc w:val="center"/>
                    <w:textAlignment w:val="center"/>
                    <w:rPr>
                      <w:color w:val="auto"/>
                      <w:kern w:val="0"/>
                      <w:sz w:val="18"/>
                      <w:szCs w:val="18"/>
                      <w:lang w:bidi="ar"/>
                    </w:rPr>
                  </w:pPr>
                  <w:r>
                    <w:rPr>
                      <w:rFonts w:hint="eastAsia"/>
                      <w:color w:val="auto"/>
                      <w:kern w:val="0"/>
                      <w:sz w:val="18"/>
                      <w:szCs w:val="18"/>
                      <w:lang w:bidi="ar"/>
                    </w:rPr>
                    <w:t>半固态</w:t>
                  </w:r>
                </w:p>
              </w:tc>
              <w:tc>
                <w:tcPr>
                  <w:tcW w:w="403" w:type="pct"/>
                  <w:vAlign w:val="center"/>
                </w:tcPr>
                <w:p w14:paraId="269CCD10">
                  <w:pPr>
                    <w:widowControl/>
                    <w:jc w:val="center"/>
                    <w:textAlignment w:val="center"/>
                    <w:rPr>
                      <w:color w:val="auto"/>
                      <w:kern w:val="0"/>
                      <w:sz w:val="18"/>
                      <w:szCs w:val="18"/>
                      <w:lang w:bidi="ar"/>
                    </w:rPr>
                  </w:pPr>
                  <w:r>
                    <w:rPr>
                      <w:color w:val="auto"/>
                      <w:kern w:val="0"/>
                      <w:sz w:val="18"/>
                      <w:szCs w:val="18"/>
                      <w:lang w:bidi="ar"/>
                    </w:rPr>
                    <w:t>/</w:t>
                  </w:r>
                </w:p>
              </w:tc>
              <w:tc>
                <w:tcPr>
                  <w:tcW w:w="451" w:type="pct"/>
                  <w:vAlign w:val="center"/>
                </w:tcPr>
                <w:p w14:paraId="6873AA0A">
                  <w:pPr>
                    <w:widowControl/>
                    <w:jc w:val="center"/>
                    <w:textAlignment w:val="center"/>
                    <w:rPr>
                      <w:color w:val="auto"/>
                      <w:sz w:val="18"/>
                      <w:szCs w:val="18"/>
                    </w:rPr>
                  </w:pPr>
                  <w:r>
                    <w:rPr>
                      <w:rFonts w:hint="eastAsia"/>
                      <w:color w:val="auto"/>
                      <w:sz w:val="18"/>
                      <w:szCs w:val="18"/>
                    </w:rPr>
                    <w:t>0.197</w:t>
                  </w:r>
                  <w:r>
                    <w:rPr>
                      <w:color w:val="auto"/>
                      <w:sz w:val="18"/>
                      <w:szCs w:val="18"/>
                    </w:rPr>
                    <w:t>t/a</w:t>
                  </w:r>
                </w:p>
              </w:tc>
              <w:tc>
                <w:tcPr>
                  <w:tcW w:w="364" w:type="pct"/>
                  <w:vAlign w:val="center"/>
                </w:tcPr>
                <w:p w14:paraId="384F298F">
                  <w:pPr>
                    <w:widowControl/>
                    <w:jc w:val="center"/>
                    <w:textAlignment w:val="center"/>
                    <w:rPr>
                      <w:color w:val="auto"/>
                      <w:kern w:val="0"/>
                      <w:sz w:val="18"/>
                      <w:szCs w:val="18"/>
                      <w:lang w:bidi="ar"/>
                    </w:rPr>
                  </w:pPr>
                  <w:r>
                    <w:rPr>
                      <w:rFonts w:hint="eastAsia"/>
                      <w:color w:val="auto"/>
                      <w:kern w:val="0"/>
                      <w:sz w:val="18"/>
                      <w:szCs w:val="18"/>
                      <w:lang w:bidi="ar"/>
                    </w:rPr>
                    <w:t>/</w:t>
                  </w:r>
                </w:p>
              </w:tc>
              <w:tc>
                <w:tcPr>
                  <w:tcW w:w="642" w:type="pct"/>
                  <w:vAlign w:val="center"/>
                </w:tcPr>
                <w:p w14:paraId="4FFA2A51">
                  <w:pPr>
                    <w:widowControl/>
                    <w:jc w:val="center"/>
                    <w:textAlignment w:val="center"/>
                    <w:rPr>
                      <w:color w:val="auto"/>
                      <w:kern w:val="0"/>
                      <w:sz w:val="18"/>
                      <w:szCs w:val="18"/>
                      <w:lang w:bidi="ar"/>
                    </w:rPr>
                  </w:pPr>
                  <w:r>
                    <w:rPr>
                      <w:rFonts w:hint="eastAsia"/>
                      <w:color w:val="auto"/>
                      <w:kern w:val="0"/>
                      <w:sz w:val="18"/>
                      <w:szCs w:val="18"/>
                      <w:lang w:bidi="ar"/>
                    </w:rPr>
                    <w:t>委托环卫部门清掏处置</w:t>
                  </w:r>
                </w:p>
              </w:tc>
              <w:tc>
                <w:tcPr>
                  <w:tcW w:w="468" w:type="pct"/>
                  <w:vAlign w:val="center"/>
                </w:tcPr>
                <w:p w14:paraId="4B363752">
                  <w:pPr>
                    <w:widowControl/>
                    <w:jc w:val="center"/>
                    <w:textAlignment w:val="center"/>
                    <w:rPr>
                      <w:color w:val="auto"/>
                      <w:sz w:val="18"/>
                      <w:szCs w:val="18"/>
                    </w:rPr>
                  </w:pPr>
                  <w:r>
                    <w:rPr>
                      <w:rFonts w:hint="eastAsia"/>
                      <w:color w:val="auto"/>
                      <w:sz w:val="18"/>
                      <w:szCs w:val="18"/>
                    </w:rPr>
                    <w:t>0.197</w:t>
                  </w:r>
                  <w:r>
                    <w:rPr>
                      <w:color w:val="auto"/>
                      <w:sz w:val="18"/>
                      <w:szCs w:val="18"/>
                    </w:rPr>
                    <w:t>t/a</w:t>
                  </w:r>
                </w:p>
              </w:tc>
              <w:tc>
                <w:tcPr>
                  <w:tcW w:w="378" w:type="pct"/>
                  <w:vAlign w:val="center"/>
                </w:tcPr>
                <w:p w14:paraId="79F53315">
                  <w:pPr>
                    <w:widowControl/>
                    <w:jc w:val="center"/>
                    <w:textAlignment w:val="center"/>
                    <w:rPr>
                      <w:color w:val="auto"/>
                      <w:kern w:val="0"/>
                      <w:sz w:val="18"/>
                      <w:szCs w:val="18"/>
                      <w:lang w:bidi="ar"/>
                    </w:rPr>
                  </w:pPr>
                  <w:r>
                    <w:rPr>
                      <w:color w:val="auto"/>
                      <w:kern w:val="0"/>
                      <w:sz w:val="18"/>
                      <w:szCs w:val="18"/>
                      <w:lang w:bidi="ar"/>
                    </w:rPr>
                    <w:t>100%处置</w:t>
                  </w:r>
                </w:p>
              </w:tc>
            </w:tr>
            <w:tr w14:paraId="4B70F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349" w:type="pct"/>
                  <w:vMerge w:val="restart"/>
                  <w:vAlign w:val="center"/>
                </w:tcPr>
                <w:p w14:paraId="40245E8F">
                  <w:pPr>
                    <w:widowControl/>
                    <w:jc w:val="center"/>
                    <w:textAlignment w:val="center"/>
                    <w:rPr>
                      <w:color w:val="auto"/>
                      <w:sz w:val="18"/>
                      <w:szCs w:val="18"/>
                    </w:rPr>
                  </w:pPr>
                  <w:r>
                    <w:rPr>
                      <w:color w:val="auto"/>
                      <w:kern w:val="0"/>
                      <w:sz w:val="18"/>
                      <w:szCs w:val="18"/>
                      <w:lang w:bidi="ar"/>
                    </w:rPr>
                    <w:t>机修、保养</w:t>
                  </w:r>
                </w:p>
              </w:tc>
              <w:tc>
                <w:tcPr>
                  <w:tcW w:w="342" w:type="pct"/>
                  <w:vAlign w:val="center"/>
                </w:tcPr>
                <w:p w14:paraId="4E4C67CB">
                  <w:pPr>
                    <w:widowControl/>
                    <w:jc w:val="center"/>
                    <w:textAlignment w:val="center"/>
                    <w:rPr>
                      <w:color w:val="auto"/>
                      <w:sz w:val="18"/>
                      <w:szCs w:val="18"/>
                    </w:rPr>
                  </w:pPr>
                  <w:r>
                    <w:rPr>
                      <w:rFonts w:hint="eastAsia"/>
                      <w:color w:val="auto"/>
                      <w:sz w:val="18"/>
                      <w:szCs w:val="18"/>
                    </w:rPr>
                    <w:t>废机油</w:t>
                  </w:r>
                </w:p>
              </w:tc>
              <w:tc>
                <w:tcPr>
                  <w:tcW w:w="351" w:type="pct"/>
                  <w:vAlign w:val="center"/>
                </w:tcPr>
                <w:p w14:paraId="6436BA66">
                  <w:pPr>
                    <w:widowControl/>
                    <w:jc w:val="center"/>
                    <w:textAlignment w:val="center"/>
                    <w:rPr>
                      <w:color w:val="auto"/>
                      <w:sz w:val="18"/>
                      <w:szCs w:val="18"/>
                    </w:rPr>
                  </w:pPr>
                  <w:r>
                    <w:rPr>
                      <w:color w:val="auto"/>
                      <w:kern w:val="0"/>
                      <w:sz w:val="18"/>
                      <w:szCs w:val="18"/>
                      <w:lang w:bidi="ar"/>
                    </w:rPr>
                    <w:t>危险废物</w:t>
                  </w:r>
                </w:p>
              </w:tc>
              <w:tc>
                <w:tcPr>
                  <w:tcW w:w="456" w:type="pct"/>
                  <w:vAlign w:val="center"/>
                </w:tcPr>
                <w:p w14:paraId="2299CB39">
                  <w:pPr>
                    <w:widowControl/>
                    <w:jc w:val="center"/>
                    <w:textAlignment w:val="center"/>
                    <w:rPr>
                      <w:color w:val="auto"/>
                      <w:sz w:val="18"/>
                      <w:szCs w:val="18"/>
                    </w:rPr>
                  </w:pPr>
                  <w:r>
                    <w:rPr>
                      <w:color w:val="auto"/>
                      <w:kern w:val="0"/>
                      <w:sz w:val="18"/>
                      <w:szCs w:val="18"/>
                      <w:lang w:bidi="ar"/>
                    </w:rPr>
                    <w:t>900-214-08</w:t>
                  </w:r>
                </w:p>
              </w:tc>
              <w:tc>
                <w:tcPr>
                  <w:tcW w:w="367" w:type="pct"/>
                  <w:vAlign w:val="center"/>
                </w:tcPr>
                <w:p w14:paraId="01162054">
                  <w:pPr>
                    <w:widowControl/>
                    <w:jc w:val="center"/>
                    <w:textAlignment w:val="center"/>
                    <w:rPr>
                      <w:color w:val="auto"/>
                      <w:sz w:val="18"/>
                      <w:szCs w:val="18"/>
                    </w:rPr>
                  </w:pPr>
                  <w:r>
                    <w:rPr>
                      <w:rFonts w:hint="eastAsia"/>
                      <w:color w:val="auto"/>
                      <w:sz w:val="18"/>
                      <w:szCs w:val="18"/>
                    </w:rPr>
                    <w:t>废矿物油</w:t>
                  </w:r>
                </w:p>
              </w:tc>
              <w:tc>
                <w:tcPr>
                  <w:tcW w:w="429" w:type="pct"/>
                  <w:vAlign w:val="center"/>
                </w:tcPr>
                <w:p w14:paraId="48E2E918">
                  <w:pPr>
                    <w:widowControl/>
                    <w:jc w:val="center"/>
                    <w:textAlignment w:val="center"/>
                    <w:rPr>
                      <w:color w:val="auto"/>
                      <w:sz w:val="18"/>
                      <w:szCs w:val="18"/>
                    </w:rPr>
                  </w:pPr>
                  <w:r>
                    <w:rPr>
                      <w:color w:val="auto"/>
                      <w:kern w:val="0"/>
                      <w:sz w:val="18"/>
                      <w:szCs w:val="18"/>
                      <w:lang w:bidi="ar"/>
                    </w:rPr>
                    <w:t>油状</w:t>
                  </w:r>
                </w:p>
              </w:tc>
              <w:tc>
                <w:tcPr>
                  <w:tcW w:w="403" w:type="pct"/>
                  <w:vAlign w:val="center"/>
                </w:tcPr>
                <w:p w14:paraId="44150880">
                  <w:pPr>
                    <w:widowControl/>
                    <w:jc w:val="center"/>
                    <w:textAlignment w:val="center"/>
                    <w:rPr>
                      <w:color w:val="auto"/>
                      <w:sz w:val="18"/>
                      <w:szCs w:val="18"/>
                    </w:rPr>
                  </w:pPr>
                  <w:r>
                    <w:rPr>
                      <w:rFonts w:hint="eastAsia"/>
                      <w:color w:val="auto"/>
                      <w:kern w:val="0"/>
                      <w:sz w:val="18"/>
                      <w:szCs w:val="18"/>
                      <w:lang w:bidi="ar"/>
                    </w:rPr>
                    <w:t>毒性、易燃性</w:t>
                  </w:r>
                </w:p>
              </w:tc>
              <w:tc>
                <w:tcPr>
                  <w:tcW w:w="451" w:type="pct"/>
                  <w:vAlign w:val="center"/>
                </w:tcPr>
                <w:p w14:paraId="75F3E014">
                  <w:pPr>
                    <w:widowControl/>
                    <w:jc w:val="center"/>
                    <w:textAlignment w:val="center"/>
                    <w:rPr>
                      <w:color w:val="auto"/>
                      <w:sz w:val="18"/>
                      <w:szCs w:val="18"/>
                    </w:rPr>
                  </w:pPr>
                  <w:r>
                    <w:rPr>
                      <w:color w:val="auto"/>
                      <w:kern w:val="0"/>
                      <w:sz w:val="18"/>
                      <w:szCs w:val="18"/>
                      <w:lang w:bidi="ar"/>
                    </w:rPr>
                    <w:t>0.2t/a</w:t>
                  </w:r>
                </w:p>
              </w:tc>
              <w:tc>
                <w:tcPr>
                  <w:tcW w:w="364" w:type="pct"/>
                  <w:vAlign w:val="center"/>
                </w:tcPr>
                <w:p w14:paraId="27E84758">
                  <w:pPr>
                    <w:widowControl/>
                    <w:jc w:val="center"/>
                    <w:textAlignment w:val="center"/>
                    <w:rPr>
                      <w:color w:val="auto"/>
                      <w:sz w:val="18"/>
                      <w:szCs w:val="18"/>
                    </w:rPr>
                  </w:pPr>
                  <w:r>
                    <w:rPr>
                      <w:rFonts w:hint="eastAsia"/>
                      <w:color w:val="auto"/>
                      <w:sz w:val="18"/>
                      <w:szCs w:val="18"/>
                    </w:rPr>
                    <w:t>桶装</w:t>
                  </w:r>
                </w:p>
              </w:tc>
              <w:tc>
                <w:tcPr>
                  <w:tcW w:w="642" w:type="pct"/>
                  <w:vMerge w:val="restart"/>
                  <w:vAlign w:val="center"/>
                </w:tcPr>
                <w:p w14:paraId="1505B9FD">
                  <w:pPr>
                    <w:jc w:val="center"/>
                    <w:textAlignment w:val="center"/>
                    <w:rPr>
                      <w:color w:val="auto"/>
                      <w:sz w:val="18"/>
                      <w:szCs w:val="18"/>
                    </w:rPr>
                  </w:pPr>
                  <w:r>
                    <w:rPr>
                      <w:rFonts w:hint="eastAsia"/>
                      <w:color w:val="auto"/>
                      <w:kern w:val="0"/>
                      <w:sz w:val="18"/>
                      <w:szCs w:val="18"/>
                      <w:lang w:bidi="ar"/>
                    </w:rPr>
                    <w:t>分类收集后暂存于现有危废暂存间，废机油用于</w:t>
                  </w:r>
                  <w:r>
                    <w:rPr>
                      <w:color w:val="auto"/>
                      <w:kern w:val="0"/>
                      <w:sz w:val="18"/>
                      <w:szCs w:val="18"/>
                      <w:lang w:bidi="ar"/>
                    </w:rPr>
                    <w:t>厂区内机械设备擦拭润滑，</w:t>
                  </w:r>
                  <w:r>
                    <w:rPr>
                      <w:rFonts w:hint="eastAsia"/>
                      <w:color w:val="auto"/>
                      <w:kern w:val="0"/>
                      <w:sz w:val="18"/>
                      <w:szCs w:val="18"/>
                      <w:lang w:bidi="ar"/>
                    </w:rPr>
                    <w:t>其它委托有资质单位处置</w:t>
                  </w:r>
                </w:p>
              </w:tc>
              <w:tc>
                <w:tcPr>
                  <w:tcW w:w="468" w:type="pct"/>
                  <w:vAlign w:val="center"/>
                </w:tcPr>
                <w:p w14:paraId="17BCC92C">
                  <w:pPr>
                    <w:widowControl/>
                    <w:jc w:val="center"/>
                    <w:textAlignment w:val="center"/>
                    <w:rPr>
                      <w:color w:val="auto"/>
                      <w:sz w:val="18"/>
                      <w:szCs w:val="18"/>
                    </w:rPr>
                  </w:pPr>
                  <w:r>
                    <w:rPr>
                      <w:color w:val="auto"/>
                      <w:kern w:val="0"/>
                      <w:sz w:val="18"/>
                      <w:szCs w:val="18"/>
                      <w:lang w:bidi="ar"/>
                    </w:rPr>
                    <w:t>0.2t/a</w:t>
                  </w:r>
                </w:p>
              </w:tc>
              <w:tc>
                <w:tcPr>
                  <w:tcW w:w="378" w:type="pct"/>
                  <w:vMerge w:val="restart"/>
                  <w:vAlign w:val="center"/>
                </w:tcPr>
                <w:p w14:paraId="407E618B">
                  <w:pPr>
                    <w:widowControl/>
                    <w:jc w:val="center"/>
                    <w:textAlignment w:val="center"/>
                    <w:rPr>
                      <w:color w:val="auto"/>
                      <w:sz w:val="18"/>
                      <w:szCs w:val="18"/>
                    </w:rPr>
                  </w:pPr>
                  <w:r>
                    <w:rPr>
                      <w:color w:val="auto"/>
                      <w:kern w:val="0"/>
                      <w:sz w:val="18"/>
                      <w:szCs w:val="18"/>
                      <w:lang w:bidi="ar"/>
                    </w:rPr>
                    <w:t>100%处置，并建立台账、转移联单制</w:t>
                  </w:r>
                  <w:r>
                    <w:rPr>
                      <w:rFonts w:hint="eastAsia"/>
                      <w:color w:val="auto"/>
                      <w:kern w:val="0"/>
                      <w:sz w:val="18"/>
                      <w:szCs w:val="18"/>
                      <w:lang w:bidi="ar"/>
                    </w:rPr>
                    <w:t>度</w:t>
                  </w:r>
                </w:p>
              </w:tc>
            </w:tr>
            <w:tr w14:paraId="71769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349" w:type="pct"/>
                  <w:vMerge w:val="continue"/>
                  <w:vAlign w:val="center"/>
                </w:tcPr>
                <w:p w14:paraId="47292698">
                  <w:pPr>
                    <w:widowControl/>
                    <w:jc w:val="center"/>
                    <w:textAlignment w:val="center"/>
                    <w:rPr>
                      <w:color w:val="auto"/>
                      <w:kern w:val="0"/>
                      <w:sz w:val="18"/>
                      <w:szCs w:val="18"/>
                      <w:lang w:bidi="ar"/>
                    </w:rPr>
                  </w:pPr>
                </w:p>
              </w:tc>
              <w:tc>
                <w:tcPr>
                  <w:tcW w:w="342" w:type="pct"/>
                  <w:vAlign w:val="center"/>
                </w:tcPr>
                <w:p w14:paraId="10BA6C24">
                  <w:pPr>
                    <w:widowControl/>
                    <w:jc w:val="center"/>
                    <w:textAlignment w:val="center"/>
                    <w:rPr>
                      <w:color w:val="auto"/>
                      <w:sz w:val="18"/>
                      <w:szCs w:val="18"/>
                    </w:rPr>
                  </w:pPr>
                  <w:r>
                    <w:rPr>
                      <w:rFonts w:hint="eastAsia"/>
                      <w:color w:val="auto"/>
                      <w:sz w:val="18"/>
                      <w:szCs w:val="18"/>
                    </w:rPr>
                    <w:t>废机油桶</w:t>
                  </w:r>
                </w:p>
              </w:tc>
              <w:tc>
                <w:tcPr>
                  <w:tcW w:w="351" w:type="pct"/>
                  <w:vAlign w:val="center"/>
                </w:tcPr>
                <w:p w14:paraId="5AD3492A">
                  <w:pPr>
                    <w:widowControl/>
                    <w:jc w:val="center"/>
                    <w:textAlignment w:val="center"/>
                    <w:rPr>
                      <w:color w:val="auto"/>
                      <w:kern w:val="0"/>
                      <w:sz w:val="18"/>
                      <w:szCs w:val="18"/>
                      <w:lang w:bidi="ar"/>
                    </w:rPr>
                  </w:pPr>
                  <w:r>
                    <w:rPr>
                      <w:color w:val="auto"/>
                      <w:kern w:val="0"/>
                      <w:sz w:val="18"/>
                      <w:szCs w:val="18"/>
                      <w:lang w:bidi="ar"/>
                    </w:rPr>
                    <w:t>危险废物</w:t>
                  </w:r>
                </w:p>
              </w:tc>
              <w:tc>
                <w:tcPr>
                  <w:tcW w:w="456" w:type="pct"/>
                  <w:vAlign w:val="center"/>
                </w:tcPr>
                <w:p w14:paraId="76AAB0EA">
                  <w:pPr>
                    <w:widowControl/>
                    <w:jc w:val="center"/>
                    <w:textAlignment w:val="center"/>
                    <w:rPr>
                      <w:color w:val="auto"/>
                      <w:kern w:val="0"/>
                      <w:sz w:val="18"/>
                      <w:szCs w:val="18"/>
                      <w:lang w:bidi="ar"/>
                    </w:rPr>
                  </w:pPr>
                  <w:r>
                    <w:rPr>
                      <w:color w:val="auto"/>
                      <w:kern w:val="0"/>
                      <w:sz w:val="18"/>
                      <w:szCs w:val="18"/>
                      <w:lang w:bidi="ar"/>
                    </w:rPr>
                    <w:t>900-249-08</w:t>
                  </w:r>
                </w:p>
              </w:tc>
              <w:tc>
                <w:tcPr>
                  <w:tcW w:w="367" w:type="pct"/>
                  <w:vAlign w:val="center"/>
                </w:tcPr>
                <w:p w14:paraId="0D51E6FD">
                  <w:pPr>
                    <w:widowControl/>
                    <w:jc w:val="center"/>
                    <w:textAlignment w:val="center"/>
                    <w:rPr>
                      <w:color w:val="auto"/>
                      <w:sz w:val="18"/>
                      <w:szCs w:val="18"/>
                    </w:rPr>
                  </w:pPr>
                  <w:r>
                    <w:rPr>
                      <w:rFonts w:hint="eastAsia"/>
                      <w:color w:val="auto"/>
                      <w:sz w:val="18"/>
                      <w:szCs w:val="18"/>
                    </w:rPr>
                    <w:t>废矿物油</w:t>
                  </w:r>
                </w:p>
              </w:tc>
              <w:tc>
                <w:tcPr>
                  <w:tcW w:w="429" w:type="pct"/>
                  <w:vAlign w:val="center"/>
                </w:tcPr>
                <w:p w14:paraId="1A1733A1">
                  <w:pPr>
                    <w:widowControl/>
                    <w:jc w:val="center"/>
                    <w:textAlignment w:val="center"/>
                    <w:rPr>
                      <w:color w:val="auto"/>
                      <w:kern w:val="0"/>
                      <w:sz w:val="18"/>
                      <w:szCs w:val="18"/>
                      <w:lang w:bidi="ar"/>
                    </w:rPr>
                  </w:pPr>
                  <w:r>
                    <w:rPr>
                      <w:rFonts w:hint="eastAsia"/>
                      <w:color w:val="auto"/>
                      <w:kern w:val="0"/>
                      <w:sz w:val="18"/>
                      <w:szCs w:val="18"/>
                      <w:lang w:bidi="ar"/>
                    </w:rPr>
                    <w:t>固</w:t>
                  </w:r>
                  <w:r>
                    <w:rPr>
                      <w:rFonts w:hint="eastAsia"/>
                      <w:color w:val="auto"/>
                      <w:sz w:val="18"/>
                      <w:szCs w:val="18"/>
                    </w:rPr>
                    <w:t>态</w:t>
                  </w:r>
                </w:p>
              </w:tc>
              <w:tc>
                <w:tcPr>
                  <w:tcW w:w="403" w:type="pct"/>
                  <w:vAlign w:val="center"/>
                </w:tcPr>
                <w:p w14:paraId="0724786A">
                  <w:pPr>
                    <w:widowControl/>
                    <w:jc w:val="center"/>
                    <w:textAlignment w:val="center"/>
                    <w:rPr>
                      <w:color w:val="auto"/>
                      <w:kern w:val="0"/>
                      <w:sz w:val="18"/>
                      <w:szCs w:val="18"/>
                      <w:lang w:bidi="ar"/>
                    </w:rPr>
                  </w:pPr>
                  <w:r>
                    <w:rPr>
                      <w:rFonts w:hint="eastAsia"/>
                      <w:color w:val="auto"/>
                      <w:kern w:val="0"/>
                      <w:sz w:val="18"/>
                      <w:szCs w:val="18"/>
                      <w:lang w:bidi="ar"/>
                    </w:rPr>
                    <w:t>毒性、易燃性</w:t>
                  </w:r>
                </w:p>
              </w:tc>
              <w:tc>
                <w:tcPr>
                  <w:tcW w:w="451" w:type="pct"/>
                  <w:vAlign w:val="center"/>
                </w:tcPr>
                <w:p w14:paraId="1D2C3494">
                  <w:pPr>
                    <w:widowControl/>
                    <w:jc w:val="center"/>
                    <w:textAlignment w:val="center"/>
                    <w:rPr>
                      <w:color w:val="auto"/>
                      <w:kern w:val="0"/>
                      <w:sz w:val="18"/>
                      <w:szCs w:val="18"/>
                      <w:lang w:bidi="ar"/>
                    </w:rPr>
                  </w:pPr>
                  <w:r>
                    <w:rPr>
                      <w:color w:val="auto"/>
                      <w:kern w:val="0"/>
                      <w:sz w:val="18"/>
                      <w:szCs w:val="18"/>
                      <w:lang w:bidi="ar"/>
                    </w:rPr>
                    <w:t>0.1t/a</w:t>
                  </w:r>
                </w:p>
              </w:tc>
              <w:tc>
                <w:tcPr>
                  <w:tcW w:w="364" w:type="pct"/>
                  <w:vAlign w:val="center"/>
                </w:tcPr>
                <w:p w14:paraId="43E9E2D7">
                  <w:pPr>
                    <w:widowControl/>
                    <w:jc w:val="center"/>
                    <w:textAlignment w:val="center"/>
                    <w:rPr>
                      <w:color w:val="auto"/>
                      <w:sz w:val="18"/>
                      <w:szCs w:val="18"/>
                    </w:rPr>
                  </w:pPr>
                  <w:r>
                    <w:rPr>
                      <w:rFonts w:hint="eastAsia"/>
                      <w:color w:val="auto"/>
                      <w:sz w:val="18"/>
                      <w:szCs w:val="18"/>
                    </w:rPr>
                    <w:t>桶装</w:t>
                  </w:r>
                </w:p>
              </w:tc>
              <w:tc>
                <w:tcPr>
                  <w:tcW w:w="642" w:type="pct"/>
                  <w:vMerge w:val="continue"/>
                  <w:vAlign w:val="center"/>
                </w:tcPr>
                <w:p w14:paraId="7EB01A1C">
                  <w:pPr>
                    <w:jc w:val="center"/>
                    <w:textAlignment w:val="center"/>
                    <w:rPr>
                      <w:color w:val="auto"/>
                      <w:kern w:val="0"/>
                      <w:sz w:val="18"/>
                      <w:szCs w:val="18"/>
                      <w:lang w:bidi="ar"/>
                    </w:rPr>
                  </w:pPr>
                </w:p>
              </w:tc>
              <w:tc>
                <w:tcPr>
                  <w:tcW w:w="468" w:type="pct"/>
                  <w:vAlign w:val="center"/>
                </w:tcPr>
                <w:p w14:paraId="44E6935E">
                  <w:pPr>
                    <w:widowControl/>
                    <w:jc w:val="center"/>
                    <w:textAlignment w:val="center"/>
                    <w:rPr>
                      <w:color w:val="auto"/>
                      <w:kern w:val="0"/>
                      <w:sz w:val="18"/>
                      <w:szCs w:val="18"/>
                      <w:lang w:bidi="ar"/>
                    </w:rPr>
                  </w:pPr>
                  <w:r>
                    <w:rPr>
                      <w:color w:val="auto"/>
                      <w:kern w:val="0"/>
                      <w:sz w:val="18"/>
                      <w:szCs w:val="18"/>
                      <w:lang w:bidi="ar"/>
                    </w:rPr>
                    <w:t>0.1t/a</w:t>
                  </w:r>
                </w:p>
              </w:tc>
              <w:tc>
                <w:tcPr>
                  <w:tcW w:w="378" w:type="pct"/>
                  <w:vMerge w:val="continue"/>
                  <w:vAlign w:val="center"/>
                </w:tcPr>
                <w:p w14:paraId="5CB045E7">
                  <w:pPr>
                    <w:widowControl/>
                    <w:jc w:val="center"/>
                    <w:textAlignment w:val="center"/>
                    <w:rPr>
                      <w:color w:val="auto"/>
                      <w:kern w:val="0"/>
                      <w:sz w:val="18"/>
                      <w:szCs w:val="18"/>
                      <w:lang w:bidi="ar"/>
                    </w:rPr>
                  </w:pPr>
                </w:p>
              </w:tc>
            </w:tr>
            <w:tr w14:paraId="25E87A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349" w:type="pct"/>
                  <w:vMerge w:val="continue"/>
                  <w:vAlign w:val="center"/>
                </w:tcPr>
                <w:p w14:paraId="6AF67913">
                  <w:pPr>
                    <w:widowControl/>
                    <w:jc w:val="center"/>
                    <w:textAlignment w:val="center"/>
                    <w:rPr>
                      <w:color w:val="auto"/>
                      <w:kern w:val="0"/>
                      <w:sz w:val="18"/>
                      <w:szCs w:val="18"/>
                      <w:lang w:bidi="ar"/>
                    </w:rPr>
                  </w:pPr>
                </w:p>
              </w:tc>
              <w:tc>
                <w:tcPr>
                  <w:tcW w:w="342" w:type="pct"/>
                  <w:vAlign w:val="center"/>
                </w:tcPr>
                <w:p w14:paraId="0C8FB9BB">
                  <w:pPr>
                    <w:widowControl/>
                    <w:jc w:val="center"/>
                    <w:textAlignment w:val="center"/>
                    <w:rPr>
                      <w:color w:val="auto"/>
                      <w:sz w:val="18"/>
                      <w:szCs w:val="18"/>
                    </w:rPr>
                  </w:pPr>
                  <w:r>
                    <w:rPr>
                      <w:rFonts w:hint="eastAsia"/>
                      <w:color w:val="auto"/>
                      <w:sz w:val="18"/>
                      <w:szCs w:val="18"/>
                    </w:rPr>
                    <w:t>废劳保用品</w:t>
                  </w:r>
                </w:p>
              </w:tc>
              <w:tc>
                <w:tcPr>
                  <w:tcW w:w="351" w:type="pct"/>
                  <w:vAlign w:val="center"/>
                </w:tcPr>
                <w:p w14:paraId="00D4E246">
                  <w:pPr>
                    <w:widowControl/>
                    <w:jc w:val="center"/>
                    <w:textAlignment w:val="center"/>
                    <w:rPr>
                      <w:color w:val="auto"/>
                      <w:kern w:val="0"/>
                      <w:sz w:val="18"/>
                      <w:szCs w:val="18"/>
                      <w:lang w:bidi="ar"/>
                    </w:rPr>
                  </w:pPr>
                  <w:r>
                    <w:rPr>
                      <w:color w:val="auto"/>
                      <w:kern w:val="0"/>
                      <w:sz w:val="18"/>
                      <w:szCs w:val="18"/>
                      <w:lang w:bidi="ar"/>
                    </w:rPr>
                    <w:t>危险废物</w:t>
                  </w:r>
                </w:p>
              </w:tc>
              <w:tc>
                <w:tcPr>
                  <w:tcW w:w="456" w:type="pct"/>
                  <w:vAlign w:val="center"/>
                </w:tcPr>
                <w:p w14:paraId="01F958C5">
                  <w:pPr>
                    <w:widowControl/>
                    <w:jc w:val="center"/>
                    <w:textAlignment w:val="center"/>
                    <w:rPr>
                      <w:color w:val="auto"/>
                      <w:kern w:val="0"/>
                      <w:sz w:val="18"/>
                      <w:szCs w:val="18"/>
                      <w:lang w:bidi="ar"/>
                    </w:rPr>
                  </w:pPr>
                  <w:r>
                    <w:rPr>
                      <w:rFonts w:hint="eastAsia"/>
                      <w:color w:val="auto"/>
                      <w:kern w:val="0"/>
                      <w:sz w:val="18"/>
                      <w:szCs w:val="18"/>
                      <w:lang w:bidi="ar"/>
                    </w:rPr>
                    <w:t>900-041-49</w:t>
                  </w:r>
                </w:p>
              </w:tc>
              <w:tc>
                <w:tcPr>
                  <w:tcW w:w="367" w:type="pct"/>
                  <w:vAlign w:val="center"/>
                </w:tcPr>
                <w:p w14:paraId="55CF4007">
                  <w:pPr>
                    <w:widowControl/>
                    <w:jc w:val="center"/>
                    <w:textAlignment w:val="center"/>
                    <w:rPr>
                      <w:color w:val="auto"/>
                      <w:sz w:val="18"/>
                      <w:szCs w:val="18"/>
                    </w:rPr>
                  </w:pPr>
                  <w:r>
                    <w:rPr>
                      <w:rFonts w:hint="eastAsia"/>
                      <w:color w:val="auto"/>
                      <w:sz w:val="18"/>
                      <w:szCs w:val="18"/>
                    </w:rPr>
                    <w:t>废劳保用品</w:t>
                  </w:r>
                </w:p>
              </w:tc>
              <w:tc>
                <w:tcPr>
                  <w:tcW w:w="429" w:type="pct"/>
                  <w:vAlign w:val="center"/>
                </w:tcPr>
                <w:p w14:paraId="0AD8364E">
                  <w:pPr>
                    <w:widowControl/>
                    <w:jc w:val="center"/>
                    <w:textAlignment w:val="center"/>
                    <w:rPr>
                      <w:color w:val="auto"/>
                      <w:kern w:val="0"/>
                      <w:sz w:val="18"/>
                      <w:szCs w:val="18"/>
                      <w:lang w:bidi="ar"/>
                    </w:rPr>
                  </w:pPr>
                  <w:r>
                    <w:rPr>
                      <w:rFonts w:hint="eastAsia"/>
                      <w:color w:val="auto"/>
                      <w:kern w:val="0"/>
                      <w:sz w:val="18"/>
                      <w:szCs w:val="18"/>
                      <w:lang w:bidi="ar"/>
                    </w:rPr>
                    <w:t>固态</w:t>
                  </w:r>
                </w:p>
              </w:tc>
              <w:tc>
                <w:tcPr>
                  <w:tcW w:w="403" w:type="pct"/>
                  <w:vAlign w:val="center"/>
                </w:tcPr>
                <w:p w14:paraId="23A80CD4">
                  <w:pPr>
                    <w:widowControl/>
                    <w:jc w:val="center"/>
                    <w:textAlignment w:val="center"/>
                    <w:rPr>
                      <w:color w:val="auto"/>
                      <w:kern w:val="0"/>
                      <w:sz w:val="18"/>
                      <w:szCs w:val="18"/>
                      <w:lang w:bidi="ar"/>
                    </w:rPr>
                  </w:pPr>
                  <w:r>
                    <w:rPr>
                      <w:rFonts w:hint="eastAsia"/>
                      <w:color w:val="auto"/>
                      <w:kern w:val="0"/>
                      <w:sz w:val="18"/>
                      <w:szCs w:val="18"/>
                      <w:lang w:bidi="ar"/>
                    </w:rPr>
                    <w:t>毒性、易燃性</w:t>
                  </w:r>
                </w:p>
              </w:tc>
              <w:tc>
                <w:tcPr>
                  <w:tcW w:w="451" w:type="pct"/>
                  <w:vAlign w:val="center"/>
                </w:tcPr>
                <w:p w14:paraId="0100E73A">
                  <w:pPr>
                    <w:widowControl/>
                    <w:jc w:val="center"/>
                    <w:textAlignment w:val="center"/>
                    <w:rPr>
                      <w:color w:val="auto"/>
                      <w:kern w:val="0"/>
                      <w:sz w:val="18"/>
                      <w:szCs w:val="18"/>
                      <w:lang w:bidi="ar"/>
                    </w:rPr>
                  </w:pPr>
                  <w:r>
                    <w:rPr>
                      <w:rFonts w:hint="eastAsia"/>
                      <w:color w:val="auto"/>
                      <w:kern w:val="0"/>
                      <w:sz w:val="18"/>
                      <w:szCs w:val="18"/>
                      <w:lang w:bidi="ar"/>
                    </w:rPr>
                    <w:t>0.07</w:t>
                  </w:r>
                  <w:r>
                    <w:rPr>
                      <w:color w:val="auto"/>
                      <w:kern w:val="0"/>
                      <w:sz w:val="18"/>
                      <w:szCs w:val="18"/>
                      <w:lang w:bidi="ar"/>
                    </w:rPr>
                    <w:t xml:space="preserve"> t/a</w:t>
                  </w:r>
                </w:p>
              </w:tc>
              <w:tc>
                <w:tcPr>
                  <w:tcW w:w="364" w:type="pct"/>
                  <w:vAlign w:val="center"/>
                </w:tcPr>
                <w:p w14:paraId="1AB3571E">
                  <w:pPr>
                    <w:widowControl/>
                    <w:jc w:val="center"/>
                    <w:textAlignment w:val="center"/>
                    <w:rPr>
                      <w:color w:val="auto"/>
                      <w:sz w:val="18"/>
                      <w:szCs w:val="18"/>
                    </w:rPr>
                  </w:pPr>
                  <w:r>
                    <w:rPr>
                      <w:rFonts w:hint="eastAsia"/>
                      <w:color w:val="auto"/>
                      <w:sz w:val="18"/>
                      <w:szCs w:val="18"/>
                    </w:rPr>
                    <w:t>桶装</w:t>
                  </w:r>
                </w:p>
              </w:tc>
              <w:tc>
                <w:tcPr>
                  <w:tcW w:w="642" w:type="pct"/>
                  <w:vMerge w:val="continue"/>
                  <w:vAlign w:val="center"/>
                </w:tcPr>
                <w:p w14:paraId="6D21D278">
                  <w:pPr>
                    <w:jc w:val="center"/>
                    <w:textAlignment w:val="center"/>
                    <w:rPr>
                      <w:color w:val="auto"/>
                      <w:kern w:val="0"/>
                      <w:sz w:val="18"/>
                      <w:szCs w:val="18"/>
                      <w:lang w:bidi="ar"/>
                    </w:rPr>
                  </w:pPr>
                </w:p>
              </w:tc>
              <w:tc>
                <w:tcPr>
                  <w:tcW w:w="468" w:type="pct"/>
                  <w:vAlign w:val="center"/>
                </w:tcPr>
                <w:p w14:paraId="45943041">
                  <w:pPr>
                    <w:widowControl/>
                    <w:jc w:val="center"/>
                    <w:textAlignment w:val="center"/>
                    <w:rPr>
                      <w:color w:val="auto"/>
                      <w:kern w:val="0"/>
                      <w:sz w:val="18"/>
                      <w:szCs w:val="18"/>
                      <w:lang w:bidi="ar"/>
                    </w:rPr>
                  </w:pPr>
                  <w:r>
                    <w:rPr>
                      <w:rFonts w:hint="eastAsia"/>
                      <w:color w:val="auto"/>
                      <w:kern w:val="0"/>
                      <w:sz w:val="18"/>
                      <w:szCs w:val="18"/>
                      <w:lang w:bidi="ar"/>
                    </w:rPr>
                    <w:t>0.07</w:t>
                  </w:r>
                  <w:r>
                    <w:rPr>
                      <w:color w:val="auto"/>
                      <w:kern w:val="0"/>
                      <w:sz w:val="18"/>
                      <w:szCs w:val="18"/>
                      <w:lang w:bidi="ar"/>
                    </w:rPr>
                    <w:t xml:space="preserve"> t/a</w:t>
                  </w:r>
                </w:p>
              </w:tc>
              <w:tc>
                <w:tcPr>
                  <w:tcW w:w="378" w:type="pct"/>
                  <w:vMerge w:val="continue"/>
                  <w:vAlign w:val="center"/>
                </w:tcPr>
                <w:p w14:paraId="610C0A00">
                  <w:pPr>
                    <w:widowControl/>
                    <w:jc w:val="center"/>
                    <w:textAlignment w:val="center"/>
                    <w:rPr>
                      <w:color w:val="auto"/>
                      <w:kern w:val="0"/>
                      <w:sz w:val="18"/>
                      <w:szCs w:val="18"/>
                      <w:lang w:bidi="ar"/>
                    </w:rPr>
                  </w:pPr>
                </w:p>
              </w:tc>
            </w:tr>
          </w:tbl>
          <w:p w14:paraId="1AF0D690">
            <w:pPr>
              <w:adjustRightInd w:val="0"/>
              <w:snapToGrid w:val="0"/>
              <w:spacing w:line="360" w:lineRule="auto"/>
              <w:jc w:val="left"/>
              <w:rPr>
                <w:b/>
                <w:bCs/>
                <w:color w:val="auto"/>
                <w:sz w:val="24"/>
              </w:rPr>
            </w:pPr>
          </w:p>
          <w:p w14:paraId="24641394">
            <w:pPr>
              <w:adjustRightInd w:val="0"/>
              <w:snapToGrid w:val="0"/>
              <w:spacing w:line="360" w:lineRule="auto"/>
              <w:ind w:firstLine="480" w:firstLineChars="200"/>
              <w:rPr>
                <w:bCs/>
                <w:color w:val="auto"/>
                <w:kern w:val="24"/>
                <w:sz w:val="24"/>
              </w:rPr>
            </w:pPr>
            <w:r>
              <w:rPr>
                <w:rFonts w:hint="eastAsia"/>
                <w:bCs/>
                <w:color w:val="auto"/>
                <w:kern w:val="24"/>
                <w:sz w:val="24"/>
              </w:rPr>
              <w:t>项目危险废物的产生、贮存、处置情况见表4-1</w:t>
            </w:r>
            <w:r>
              <w:rPr>
                <w:bCs/>
                <w:color w:val="auto"/>
                <w:kern w:val="24"/>
                <w:sz w:val="24"/>
              </w:rPr>
              <w:t>7</w:t>
            </w:r>
            <w:r>
              <w:rPr>
                <w:rFonts w:hint="eastAsia"/>
                <w:bCs/>
                <w:color w:val="auto"/>
                <w:kern w:val="24"/>
                <w:sz w:val="24"/>
              </w:rPr>
              <w:t>。</w:t>
            </w:r>
          </w:p>
          <w:p w14:paraId="2E4FD043">
            <w:pPr>
              <w:adjustRightInd w:val="0"/>
              <w:snapToGrid w:val="0"/>
              <w:spacing w:line="360" w:lineRule="auto"/>
              <w:ind w:firstLine="482" w:firstLineChars="200"/>
              <w:jc w:val="center"/>
              <w:rPr>
                <w:b/>
                <w:color w:val="auto"/>
                <w:kern w:val="24"/>
                <w:sz w:val="24"/>
              </w:rPr>
            </w:pPr>
            <w:r>
              <w:rPr>
                <w:rFonts w:hint="eastAsia"/>
                <w:b/>
                <w:color w:val="auto"/>
                <w:kern w:val="24"/>
                <w:sz w:val="24"/>
              </w:rPr>
              <w:t>表4-1</w:t>
            </w:r>
            <w:r>
              <w:rPr>
                <w:b/>
                <w:color w:val="auto"/>
                <w:kern w:val="24"/>
                <w:sz w:val="24"/>
              </w:rPr>
              <w:t>7</w:t>
            </w:r>
            <w:r>
              <w:rPr>
                <w:rFonts w:hint="eastAsia"/>
                <w:b/>
                <w:color w:val="auto"/>
                <w:kern w:val="24"/>
                <w:sz w:val="24"/>
              </w:rPr>
              <w:t xml:space="preserve"> 危险废物汇总表</w:t>
            </w:r>
          </w:p>
          <w:tbl>
            <w:tblPr>
              <w:tblStyle w:val="3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79"/>
              <w:gridCol w:w="769"/>
              <w:gridCol w:w="793"/>
              <w:gridCol w:w="1056"/>
              <w:gridCol w:w="939"/>
              <w:gridCol w:w="966"/>
              <w:gridCol w:w="614"/>
              <w:gridCol w:w="665"/>
              <w:gridCol w:w="647"/>
              <w:gridCol w:w="647"/>
              <w:gridCol w:w="660"/>
              <w:gridCol w:w="645"/>
            </w:tblGrid>
            <w:tr w14:paraId="0C0A1D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488" w:type="dxa"/>
                  <w:vAlign w:val="center"/>
                </w:tcPr>
                <w:p w14:paraId="174D56D0">
                  <w:pPr>
                    <w:adjustRightInd w:val="0"/>
                    <w:snapToGrid w:val="0"/>
                    <w:jc w:val="center"/>
                    <w:rPr>
                      <w:color w:val="auto"/>
                      <w:kern w:val="24"/>
                      <w:sz w:val="18"/>
                      <w:szCs w:val="18"/>
                    </w:rPr>
                  </w:pPr>
                  <w:r>
                    <w:rPr>
                      <w:rFonts w:hint="eastAsia"/>
                      <w:color w:val="auto"/>
                      <w:kern w:val="24"/>
                      <w:sz w:val="18"/>
                      <w:szCs w:val="18"/>
                    </w:rPr>
                    <w:t>序号</w:t>
                  </w:r>
                </w:p>
              </w:tc>
              <w:tc>
                <w:tcPr>
                  <w:tcW w:w="807" w:type="dxa"/>
                  <w:vAlign w:val="center"/>
                </w:tcPr>
                <w:p w14:paraId="0D082F79">
                  <w:pPr>
                    <w:adjustRightInd w:val="0"/>
                    <w:snapToGrid w:val="0"/>
                    <w:jc w:val="center"/>
                    <w:rPr>
                      <w:color w:val="auto"/>
                      <w:kern w:val="24"/>
                      <w:sz w:val="18"/>
                      <w:szCs w:val="18"/>
                    </w:rPr>
                  </w:pPr>
                  <w:r>
                    <w:rPr>
                      <w:rFonts w:hint="eastAsia"/>
                      <w:color w:val="auto"/>
                      <w:kern w:val="24"/>
                      <w:sz w:val="18"/>
                      <w:szCs w:val="18"/>
                    </w:rPr>
                    <w:t>危险废物名称</w:t>
                  </w:r>
                </w:p>
              </w:tc>
              <w:tc>
                <w:tcPr>
                  <w:tcW w:w="803" w:type="dxa"/>
                  <w:vAlign w:val="center"/>
                </w:tcPr>
                <w:p w14:paraId="0E11FA7E">
                  <w:pPr>
                    <w:adjustRightInd w:val="0"/>
                    <w:snapToGrid w:val="0"/>
                    <w:jc w:val="center"/>
                    <w:rPr>
                      <w:color w:val="auto"/>
                      <w:kern w:val="24"/>
                      <w:sz w:val="18"/>
                      <w:szCs w:val="18"/>
                    </w:rPr>
                  </w:pPr>
                  <w:r>
                    <w:rPr>
                      <w:rFonts w:hint="eastAsia"/>
                      <w:color w:val="auto"/>
                      <w:kern w:val="24"/>
                      <w:sz w:val="18"/>
                      <w:szCs w:val="18"/>
                    </w:rPr>
                    <w:t>危险废物类别</w:t>
                  </w:r>
                </w:p>
              </w:tc>
              <w:tc>
                <w:tcPr>
                  <w:tcW w:w="803" w:type="dxa"/>
                  <w:vAlign w:val="center"/>
                </w:tcPr>
                <w:p w14:paraId="62C37CD4">
                  <w:pPr>
                    <w:adjustRightInd w:val="0"/>
                    <w:snapToGrid w:val="0"/>
                    <w:jc w:val="center"/>
                    <w:rPr>
                      <w:color w:val="auto"/>
                      <w:kern w:val="24"/>
                      <w:sz w:val="18"/>
                      <w:szCs w:val="18"/>
                    </w:rPr>
                  </w:pPr>
                  <w:r>
                    <w:rPr>
                      <w:rFonts w:hint="eastAsia"/>
                      <w:color w:val="auto"/>
                      <w:kern w:val="24"/>
                      <w:sz w:val="18"/>
                      <w:szCs w:val="18"/>
                    </w:rPr>
                    <w:t>危险废物代码</w:t>
                  </w:r>
                </w:p>
              </w:tc>
              <w:tc>
                <w:tcPr>
                  <w:tcW w:w="958" w:type="dxa"/>
                  <w:vAlign w:val="center"/>
                </w:tcPr>
                <w:p w14:paraId="0098AEAE">
                  <w:pPr>
                    <w:adjustRightInd w:val="0"/>
                    <w:snapToGrid w:val="0"/>
                    <w:jc w:val="center"/>
                    <w:rPr>
                      <w:color w:val="auto"/>
                      <w:kern w:val="24"/>
                      <w:sz w:val="18"/>
                      <w:szCs w:val="18"/>
                    </w:rPr>
                  </w:pPr>
                  <w:r>
                    <w:rPr>
                      <w:rFonts w:hint="eastAsia"/>
                      <w:color w:val="auto"/>
                      <w:kern w:val="24"/>
                      <w:sz w:val="18"/>
                      <w:szCs w:val="18"/>
                    </w:rPr>
                    <w:t>产生量（t/a）</w:t>
                  </w:r>
                </w:p>
              </w:tc>
              <w:tc>
                <w:tcPr>
                  <w:tcW w:w="1024" w:type="dxa"/>
                  <w:vAlign w:val="center"/>
                </w:tcPr>
                <w:p w14:paraId="7C71FEA2">
                  <w:pPr>
                    <w:adjustRightInd w:val="0"/>
                    <w:snapToGrid w:val="0"/>
                    <w:jc w:val="center"/>
                    <w:rPr>
                      <w:color w:val="auto"/>
                      <w:kern w:val="24"/>
                      <w:sz w:val="18"/>
                      <w:szCs w:val="18"/>
                    </w:rPr>
                  </w:pPr>
                  <w:r>
                    <w:rPr>
                      <w:rFonts w:hint="eastAsia"/>
                      <w:color w:val="auto"/>
                      <w:kern w:val="24"/>
                      <w:sz w:val="18"/>
                      <w:szCs w:val="18"/>
                    </w:rPr>
                    <w:t>产生工序及装置</w:t>
                  </w:r>
                </w:p>
              </w:tc>
              <w:tc>
                <w:tcPr>
                  <w:tcW w:w="636" w:type="dxa"/>
                  <w:vAlign w:val="center"/>
                </w:tcPr>
                <w:p w14:paraId="3C427A40">
                  <w:pPr>
                    <w:adjustRightInd w:val="0"/>
                    <w:snapToGrid w:val="0"/>
                    <w:jc w:val="center"/>
                    <w:rPr>
                      <w:color w:val="auto"/>
                      <w:kern w:val="24"/>
                      <w:sz w:val="18"/>
                      <w:szCs w:val="18"/>
                    </w:rPr>
                  </w:pPr>
                  <w:r>
                    <w:rPr>
                      <w:rFonts w:hint="eastAsia"/>
                      <w:color w:val="auto"/>
                      <w:kern w:val="24"/>
                      <w:sz w:val="18"/>
                      <w:szCs w:val="18"/>
                    </w:rPr>
                    <w:t>形态</w:t>
                  </w:r>
                </w:p>
              </w:tc>
              <w:tc>
                <w:tcPr>
                  <w:tcW w:w="674" w:type="dxa"/>
                  <w:vAlign w:val="center"/>
                </w:tcPr>
                <w:p w14:paraId="5D58AFC2">
                  <w:pPr>
                    <w:adjustRightInd w:val="0"/>
                    <w:snapToGrid w:val="0"/>
                    <w:jc w:val="center"/>
                    <w:rPr>
                      <w:color w:val="auto"/>
                      <w:kern w:val="24"/>
                      <w:sz w:val="18"/>
                      <w:szCs w:val="18"/>
                    </w:rPr>
                  </w:pPr>
                  <w:r>
                    <w:rPr>
                      <w:rFonts w:hint="eastAsia"/>
                      <w:color w:val="auto"/>
                      <w:kern w:val="24"/>
                      <w:sz w:val="18"/>
                      <w:szCs w:val="18"/>
                    </w:rPr>
                    <w:t>主要成分</w:t>
                  </w:r>
                </w:p>
              </w:tc>
              <w:tc>
                <w:tcPr>
                  <w:tcW w:w="673" w:type="dxa"/>
                  <w:vAlign w:val="center"/>
                </w:tcPr>
                <w:p w14:paraId="2E5B7C65">
                  <w:pPr>
                    <w:adjustRightInd w:val="0"/>
                    <w:snapToGrid w:val="0"/>
                    <w:jc w:val="center"/>
                    <w:rPr>
                      <w:color w:val="auto"/>
                      <w:kern w:val="24"/>
                      <w:sz w:val="18"/>
                      <w:szCs w:val="18"/>
                    </w:rPr>
                  </w:pPr>
                  <w:r>
                    <w:rPr>
                      <w:rFonts w:hint="eastAsia"/>
                      <w:color w:val="auto"/>
                      <w:kern w:val="24"/>
                      <w:sz w:val="18"/>
                      <w:szCs w:val="18"/>
                    </w:rPr>
                    <w:t>有害成分</w:t>
                  </w:r>
                </w:p>
              </w:tc>
              <w:tc>
                <w:tcPr>
                  <w:tcW w:w="673" w:type="dxa"/>
                  <w:vAlign w:val="center"/>
                </w:tcPr>
                <w:p w14:paraId="06BFFD25">
                  <w:pPr>
                    <w:adjustRightInd w:val="0"/>
                    <w:snapToGrid w:val="0"/>
                    <w:jc w:val="center"/>
                    <w:rPr>
                      <w:color w:val="auto"/>
                      <w:kern w:val="24"/>
                      <w:sz w:val="18"/>
                      <w:szCs w:val="18"/>
                    </w:rPr>
                  </w:pPr>
                  <w:r>
                    <w:rPr>
                      <w:rFonts w:hint="eastAsia"/>
                      <w:color w:val="auto"/>
                      <w:kern w:val="24"/>
                      <w:sz w:val="18"/>
                      <w:szCs w:val="18"/>
                    </w:rPr>
                    <w:t>产废周期</w:t>
                  </w:r>
                </w:p>
              </w:tc>
              <w:tc>
                <w:tcPr>
                  <w:tcW w:w="671" w:type="dxa"/>
                  <w:vAlign w:val="center"/>
                </w:tcPr>
                <w:p w14:paraId="0E5F2EBD">
                  <w:pPr>
                    <w:adjustRightInd w:val="0"/>
                    <w:snapToGrid w:val="0"/>
                    <w:jc w:val="center"/>
                    <w:rPr>
                      <w:color w:val="auto"/>
                      <w:kern w:val="24"/>
                      <w:sz w:val="18"/>
                      <w:szCs w:val="18"/>
                    </w:rPr>
                  </w:pPr>
                  <w:r>
                    <w:rPr>
                      <w:rFonts w:hint="eastAsia"/>
                      <w:color w:val="auto"/>
                      <w:kern w:val="24"/>
                      <w:sz w:val="18"/>
                      <w:szCs w:val="18"/>
                    </w:rPr>
                    <w:t>危险</w:t>
                  </w:r>
                </w:p>
                <w:p w14:paraId="7490C845">
                  <w:pPr>
                    <w:adjustRightInd w:val="0"/>
                    <w:snapToGrid w:val="0"/>
                    <w:jc w:val="center"/>
                    <w:rPr>
                      <w:color w:val="auto"/>
                      <w:kern w:val="24"/>
                      <w:sz w:val="18"/>
                      <w:szCs w:val="18"/>
                    </w:rPr>
                  </w:pPr>
                  <w:r>
                    <w:rPr>
                      <w:rFonts w:hint="eastAsia"/>
                      <w:color w:val="auto"/>
                      <w:kern w:val="24"/>
                      <w:sz w:val="18"/>
                      <w:szCs w:val="18"/>
                    </w:rPr>
                    <w:t>特性</w:t>
                  </w:r>
                </w:p>
              </w:tc>
              <w:tc>
                <w:tcPr>
                  <w:tcW w:w="670" w:type="dxa"/>
                  <w:vAlign w:val="center"/>
                </w:tcPr>
                <w:p w14:paraId="7160076F">
                  <w:pPr>
                    <w:adjustRightInd w:val="0"/>
                    <w:snapToGrid w:val="0"/>
                    <w:jc w:val="center"/>
                    <w:rPr>
                      <w:color w:val="auto"/>
                      <w:kern w:val="24"/>
                      <w:sz w:val="18"/>
                      <w:szCs w:val="18"/>
                    </w:rPr>
                  </w:pPr>
                  <w:r>
                    <w:rPr>
                      <w:rFonts w:hint="eastAsia"/>
                      <w:color w:val="auto"/>
                      <w:kern w:val="24"/>
                      <w:sz w:val="18"/>
                      <w:szCs w:val="18"/>
                    </w:rPr>
                    <w:t>污染防治措施</w:t>
                  </w:r>
                </w:p>
              </w:tc>
            </w:tr>
            <w:tr w14:paraId="76E972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488" w:type="dxa"/>
                  <w:vAlign w:val="center"/>
                </w:tcPr>
                <w:p w14:paraId="7B200134">
                  <w:pPr>
                    <w:adjustRightInd w:val="0"/>
                    <w:snapToGrid w:val="0"/>
                    <w:jc w:val="center"/>
                    <w:rPr>
                      <w:color w:val="auto"/>
                      <w:kern w:val="24"/>
                      <w:sz w:val="18"/>
                      <w:szCs w:val="18"/>
                    </w:rPr>
                  </w:pPr>
                  <w:r>
                    <w:rPr>
                      <w:rFonts w:hint="eastAsia"/>
                      <w:color w:val="auto"/>
                      <w:kern w:val="24"/>
                      <w:sz w:val="18"/>
                      <w:szCs w:val="18"/>
                    </w:rPr>
                    <w:t>1</w:t>
                  </w:r>
                </w:p>
              </w:tc>
              <w:tc>
                <w:tcPr>
                  <w:tcW w:w="807" w:type="dxa"/>
                  <w:vAlign w:val="center"/>
                </w:tcPr>
                <w:p w14:paraId="15DB25EC">
                  <w:pPr>
                    <w:adjustRightInd w:val="0"/>
                    <w:snapToGrid w:val="0"/>
                    <w:jc w:val="center"/>
                    <w:rPr>
                      <w:color w:val="auto"/>
                      <w:kern w:val="24"/>
                      <w:sz w:val="18"/>
                      <w:szCs w:val="18"/>
                    </w:rPr>
                  </w:pPr>
                  <w:r>
                    <w:rPr>
                      <w:rFonts w:hint="eastAsia"/>
                      <w:color w:val="auto"/>
                      <w:kern w:val="24"/>
                      <w:sz w:val="18"/>
                      <w:szCs w:val="18"/>
                    </w:rPr>
                    <w:t>废机油</w:t>
                  </w:r>
                </w:p>
              </w:tc>
              <w:tc>
                <w:tcPr>
                  <w:tcW w:w="803" w:type="dxa"/>
                  <w:vMerge w:val="restart"/>
                  <w:vAlign w:val="center"/>
                </w:tcPr>
                <w:p w14:paraId="134A964B">
                  <w:pPr>
                    <w:adjustRightInd w:val="0"/>
                    <w:snapToGrid w:val="0"/>
                    <w:jc w:val="center"/>
                    <w:rPr>
                      <w:color w:val="auto"/>
                      <w:kern w:val="24"/>
                      <w:sz w:val="18"/>
                      <w:szCs w:val="18"/>
                    </w:rPr>
                  </w:pPr>
                  <w:r>
                    <w:rPr>
                      <w:color w:val="auto"/>
                      <w:kern w:val="24"/>
                      <w:sz w:val="18"/>
                      <w:szCs w:val="18"/>
                    </w:rPr>
                    <w:t>HW08</w:t>
                  </w:r>
                  <w:r>
                    <w:rPr>
                      <w:rFonts w:hint="eastAsia"/>
                      <w:color w:val="auto"/>
                      <w:kern w:val="24"/>
                      <w:sz w:val="18"/>
                      <w:szCs w:val="18"/>
                    </w:rPr>
                    <w:t>废矿物油与含矿物油废物</w:t>
                  </w:r>
                </w:p>
              </w:tc>
              <w:tc>
                <w:tcPr>
                  <w:tcW w:w="803" w:type="dxa"/>
                  <w:vAlign w:val="center"/>
                </w:tcPr>
                <w:p w14:paraId="2F7480A2">
                  <w:pPr>
                    <w:adjustRightInd w:val="0"/>
                    <w:snapToGrid w:val="0"/>
                    <w:jc w:val="center"/>
                    <w:rPr>
                      <w:color w:val="auto"/>
                      <w:kern w:val="24"/>
                      <w:sz w:val="18"/>
                      <w:szCs w:val="18"/>
                    </w:rPr>
                  </w:pPr>
                  <w:r>
                    <w:rPr>
                      <w:color w:val="auto"/>
                      <w:kern w:val="24"/>
                      <w:sz w:val="18"/>
                      <w:szCs w:val="18"/>
                    </w:rPr>
                    <w:t>900-214-08</w:t>
                  </w:r>
                </w:p>
              </w:tc>
              <w:tc>
                <w:tcPr>
                  <w:tcW w:w="958" w:type="dxa"/>
                  <w:vAlign w:val="center"/>
                </w:tcPr>
                <w:p w14:paraId="237781F9">
                  <w:pPr>
                    <w:adjustRightInd w:val="0"/>
                    <w:snapToGrid w:val="0"/>
                    <w:jc w:val="center"/>
                    <w:rPr>
                      <w:color w:val="auto"/>
                      <w:kern w:val="24"/>
                      <w:szCs w:val="21"/>
                    </w:rPr>
                  </w:pPr>
                  <w:r>
                    <w:rPr>
                      <w:rFonts w:hint="eastAsia"/>
                      <w:color w:val="auto"/>
                      <w:kern w:val="24"/>
                      <w:szCs w:val="21"/>
                    </w:rPr>
                    <w:t>0</w:t>
                  </w:r>
                  <w:r>
                    <w:rPr>
                      <w:color w:val="auto"/>
                      <w:kern w:val="24"/>
                      <w:szCs w:val="21"/>
                    </w:rPr>
                    <w:t>.2</w:t>
                  </w:r>
                </w:p>
              </w:tc>
              <w:tc>
                <w:tcPr>
                  <w:tcW w:w="1024" w:type="dxa"/>
                  <w:vAlign w:val="center"/>
                </w:tcPr>
                <w:p w14:paraId="3AC1ECFF">
                  <w:pPr>
                    <w:adjustRightInd w:val="0"/>
                    <w:snapToGrid w:val="0"/>
                    <w:jc w:val="center"/>
                    <w:rPr>
                      <w:color w:val="auto"/>
                      <w:kern w:val="24"/>
                      <w:sz w:val="18"/>
                      <w:szCs w:val="18"/>
                    </w:rPr>
                  </w:pPr>
                  <w:r>
                    <w:rPr>
                      <w:rFonts w:hint="eastAsia"/>
                      <w:color w:val="auto"/>
                      <w:kern w:val="24"/>
                      <w:sz w:val="18"/>
                      <w:szCs w:val="18"/>
                    </w:rPr>
                    <w:t>机械设备保养维修</w:t>
                  </w:r>
                </w:p>
              </w:tc>
              <w:tc>
                <w:tcPr>
                  <w:tcW w:w="636" w:type="dxa"/>
                  <w:vAlign w:val="center"/>
                </w:tcPr>
                <w:p w14:paraId="3CADCDAD">
                  <w:pPr>
                    <w:adjustRightInd w:val="0"/>
                    <w:snapToGrid w:val="0"/>
                    <w:jc w:val="center"/>
                    <w:rPr>
                      <w:color w:val="auto"/>
                      <w:kern w:val="24"/>
                      <w:sz w:val="18"/>
                      <w:szCs w:val="18"/>
                    </w:rPr>
                  </w:pPr>
                  <w:r>
                    <w:rPr>
                      <w:rFonts w:hint="eastAsia"/>
                      <w:color w:val="auto"/>
                      <w:kern w:val="24"/>
                      <w:sz w:val="18"/>
                      <w:szCs w:val="18"/>
                    </w:rPr>
                    <w:t>液态</w:t>
                  </w:r>
                </w:p>
              </w:tc>
              <w:tc>
                <w:tcPr>
                  <w:tcW w:w="674" w:type="dxa"/>
                  <w:vAlign w:val="center"/>
                </w:tcPr>
                <w:p w14:paraId="72B833EC">
                  <w:pPr>
                    <w:adjustRightInd w:val="0"/>
                    <w:snapToGrid w:val="0"/>
                    <w:jc w:val="center"/>
                    <w:rPr>
                      <w:color w:val="auto"/>
                      <w:kern w:val="24"/>
                      <w:sz w:val="18"/>
                      <w:szCs w:val="18"/>
                    </w:rPr>
                  </w:pPr>
                  <w:r>
                    <w:rPr>
                      <w:rFonts w:hint="eastAsia"/>
                      <w:color w:val="auto"/>
                      <w:kern w:val="24"/>
                      <w:sz w:val="18"/>
                      <w:szCs w:val="18"/>
                    </w:rPr>
                    <w:t>矿物油</w:t>
                  </w:r>
                </w:p>
              </w:tc>
              <w:tc>
                <w:tcPr>
                  <w:tcW w:w="673" w:type="dxa"/>
                  <w:vAlign w:val="center"/>
                </w:tcPr>
                <w:p w14:paraId="1FACC8EA">
                  <w:pPr>
                    <w:adjustRightInd w:val="0"/>
                    <w:snapToGrid w:val="0"/>
                    <w:jc w:val="center"/>
                    <w:rPr>
                      <w:color w:val="auto"/>
                      <w:kern w:val="24"/>
                      <w:sz w:val="18"/>
                      <w:szCs w:val="18"/>
                    </w:rPr>
                  </w:pPr>
                  <w:r>
                    <w:rPr>
                      <w:rFonts w:hint="eastAsia"/>
                      <w:color w:val="auto"/>
                      <w:kern w:val="24"/>
                      <w:sz w:val="18"/>
                      <w:szCs w:val="18"/>
                    </w:rPr>
                    <w:t>矿物油</w:t>
                  </w:r>
                </w:p>
              </w:tc>
              <w:tc>
                <w:tcPr>
                  <w:tcW w:w="673" w:type="dxa"/>
                  <w:vAlign w:val="center"/>
                </w:tcPr>
                <w:p w14:paraId="42A48D4D">
                  <w:pPr>
                    <w:adjustRightInd w:val="0"/>
                    <w:snapToGrid w:val="0"/>
                    <w:jc w:val="center"/>
                    <w:rPr>
                      <w:color w:val="auto"/>
                      <w:kern w:val="24"/>
                      <w:sz w:val="18"/>
                      <w:szCs w:val="18"/>
                    </w:rPr>
                  </w:pPr>
                  <w:r>
                    <w:rPr>
                      <w:rFonts w:hint="eastAsia"/>
                      <w:color w:val="auto"/>
                      <w:kern w:val="24"/>
                      <w:sz w:val="18"/>
                      <w:szCs w:val="18"/>
                    </w:rPr>
                    <w:t>半年</w:t>
                  </w:r>
                </w:p>
              </w:tc>
              <w:tc>
                <w:tcPr>
                  <w:tcW w:w="671" w:type="dxa"/>
                  <w:vAlign w:val="center"/>
                </w:tcPr>
                <w:p w14:paraId="3DCDAA13">
                  <w:pPr>
                    <w:adjustRightInd w:val="0"/>
                    <w:snapToGrid w:val="0"/>
                    <w:jc w:val="center"/>
                    <w:rPr>
                      <w:color w:val="auto"/>
                      <w:kern w:val="24"/>
                      <w:sz w:val="18"/>
                      <w:szCs w:val="18"/>
                    </w:rPr>
                  </w:pPr>
                  <w:r>
                    <w:rPr>
                      <w:rFonts w:hint="eastAsia"/>
                      <w:color w:val="auto"/>
                      <w:kern w:val="24"/>
                      <w:sz w:val="18"/>
                      <w:szCs w:val="18"/>
                    </w:rPr>
                    <w:t>T，I</w:t>
                  </w:r>
                </w:p>
              </w:tc>
              <w:tc>
                <w:tcPr>
                  <w:tcW w:w="670" w:type="dxa"/>
                  <w:vAlign w:val="center"/>
                </w:tcPr>
                <w:p w14:paraId="16027259">
                  <w:pPr>
                    <w:adjustRightInd w:val="0"/>
                    <w:snapToGrid w:val="0"/>
                    <w:jc w:val="center"/>
                    <w:rPr>
                      <w:color w:val="auto"/>
                      <w:kern w:val="24"/>
                      <w:sz w:val="18"/>
                      <w:szCs w:val="18"/>
                    </w:rPr>
                  </w:pPr>
                  <w:r>
                    <w:rPr>
                      <w:rFonts w:hint="eastAsia"/>
                      <w:color w:val="auto"/>
                      <w:kern w:val="24"/>
                      <w:sz w:val="18"/>
                      <w:szCs w:val="18"/>
                    </w:rPr>
                    <w:t>用于</w:t>
                  </w:r>
                  <w:r>
                    <w:rPr>
                      <w:color w:val="auto"/>
                      <w:kern w:val="24"/>
                      <w:sz w:val="18"/>
                      <w:szCs w:val="18"/>
                    </w:rPr>
                    <w:t>厂区内机械设备擦拭润滑</w:t>
                  </w:r>
                </w:p>
              </w:tc>
            </w:tr>
            <w:tr w14:paraId="012159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488" w:type="dxa"/>
                  <w:vAlign w:val="center"/>
                </w:tcPr>
                <w:p w14:paraId="74E73F8D">
                  <w:pPr>
                    <w:adjustRightInd w:val="0"/>
                    <w:snapToGrid w:val="0"/>
                    <w:jc w:val="center"/>
                    <w:rPr>
                      <w:color w:val="auto"/>
                      <w:kern w:val="24"/>
                      <w:sz w:val="18"/>
                      <w:szCs w:val="18"/>
                    </w:rPr>
                  </w:pPr>
                  <w:r>
                    <w:rPr>
                      <w:rFonts w:hint="eastAsia"/>
                      <w:color w:val="auto"/>
                      <w:kern w:val="24"/>
                      <w:sz w:val="18"/>
                      <w:szCs w:val="18"/>
                    </w:rPr>
                    <w:t>2</w:t>
                  </w:r>
                </w:p>
              </w:tc>
              <w:tc>
                <w:tcPr>
                  <w:tcW w:w="807" w:type="dxa"/>
                  <w:vAlign w:val="center"/>
                </w:tcPr>
                <w:p w14:paraId="667DECE5">
                  <w:pPr>
                    <w:adjustRightInd w:val="0"/>
                    <w:snapToGrid w:val="0"/>
                    <w:jc w:val="center"/>
                    <w:rPr>
                      <w:color w:val="auto"/>
                      <w:kern w:val="24"/>
                      <w:sz w:val="18"/>
                      <w:szCs w:val="18"/>
                    </w:rPr>
                  </w:pPr>
                  <w:r>
                    <w:rPr>
                      <w:rFonts w:hint="eastAsia"/>
                      <w:color w:val="auto"/>
                      <w:kern w:val="24"/>
                      <w:sz w:val="18"/>
                      <w:szCs w:val="18"/>
                    </w:rPr>
                    <w:t>废机油桶</w:t>
                  </w:r>
                </w:p>
              </w:tc>
              <w:tc>
                <w:tcPr>
                  <w:tcW w:w="803" w:type="dxa"/>
                  <w:vMerge w:val="continue"/>
                  <w:vAlign w:val="center"/>
                </w:tcPr>
                <w:p w14:paraId="07F603F5">
                  <w:pPr>
                    <w:adjustRightInd w:val="0"/>
                    <w:snapToGrid w:val="0"/>
                    <w:jc w:val="center"/>
                    <w:rPr>
                      <w:color w:val="auto"/>
                      <w:kern w:val="24"/>
                      <w:sz w:val="18"/>
                      <w:szCs w:val="18"/>
                    </w:rPr>
                  </w:pPr>
                </w:p>
              </w:tc>
              <w:tc>
                <w:tcPr>
                  <w:tcW w:w="803" w:type="dxa"/>
                  <w:vAlign w:val="center"/>
                </w:tcPr>
                <w:p w14:paraId="04027DAA">
                  <w:pPr>
                    <w:adjustRightInd w:val="0"/>
                    <w:snapToGrid w:val="0"/>
                    <w:jc w:val="center"/>
                    <w:rPr>
                      <w:color w:val="auto"/>
                      <w:kern w:val="24"/>
                      <w:sz w:val="18"/>
                      <w:szCs w:val="18"/>
                    </w:rPr>
                  </w:pPr>
                  <w:r>
                    <w:rPr>
                      <w:color w:val="auto"/>
                      <w:kern w:val="24"/>
                      <w:sz w:val="18"/>
                      <w:szCs w:val="18"/>
                    </w:rPr>
                    <w:t>900-249-08</w:t>
                  </w:r>
                </w:p>
              </w:tc>
              <w:tc>
                <w:tcPr>
                  <w:tcW w:w="958" w:type="dxa"/>
                  <w:vAlign w:val="center"/>
                </w:tcPr>
                <w:p w14:paraId="6E9B83F3">
                  <w:pPr>
                    <w:adjustRightInd w:val="0"/>
                    <w:snapToGrid w:val="0"/>
                    <w:jc w:val="center"/>
                    <w:rPr>
                      <w:color w:val="auto"/>
                      <w:kern w:val="24"/>
                      <w:szCs w:val="21"/>
                    </w:rPr>
                  </w:pPr>
                  <w:r>
                    <w:rPr>
                      <w:rFonts w:hint="eastAsia"/>
                      <w:color w:val="auto"/>
                      <w:kern w:val="24"/>
                      <w:szCs w:val="21"/>
                    </w:rPr>
                    <w:t>0</w:t>
                  </w:r>
                  <w:r>
                    <w:rPr>
                      <w:color w:val="auto"/>
                      <w:kern w:val="24"/>
                      <w:szCs w:val="21"/>
                    </w:rPr>
                    <w:t>.1</w:t>
                  </w:r>
                </w:p>
              </w:tc>
              <w:tc>
                <w:tcPr>
                  <w:tcW w:w="1024" w:type="dxa"/>
                  <w:vAlign w:val="center"/>
                </w:tcPr>
                <w:p w14:paraId="5F21ED06">
                  <w:pPr>
                    <w:adjustRightInd w:val="0"/>
                    <w:snapToGrid w:val="0"/>
                    <w:jc w:val="center"/>
                    <w:rPr>
                      <w:color w:val="auto"/>
                      <w:kern w:val="24"/>
                      <w:sz w:val="18"/>
                      <w:szCs w:val="18"/>
                    </w:rPr>
                  </w:pPr>
                  <w:r>
                    <w:rPr>
                      <w:rFonts w:hint="eastAsia"/>
                      <w:color w:val="auto"/>
                      <w:kern w:val="24"/>
                      <w:sz w:val="18"/>
                      <w:szCs w:val="18"/>
                    </w:rPr>
                    <w:t>机械设备保养维修</w:t>
                  </w:r>
                </w:p>
              </w:tc>
              <w:tc>
                <w:tcPr>
                  <w:tcW w:w="636" w:type="dxa"/>
                  <w:vAlign w:val="center"/>
                </w:tcPr>
                <w:p w14:paraId="338EE0D0">
                  <w:pPr>
                    <w:adjustRightInd w:val="0"/>
                    <w:snapToGrid w:val="0"/>
                    <w:jc w:val="center"/>
                    <w:rPr>
                      <w:color w:val="auto"/>
                      <w:kern w:val="24"/>
                      <w:sz w:val="18"/>
                      <w:szCs w:val="18"/>
                    </w:rPr>
                  </w:pPr>
                  <w:r>
                    <w:rPr>
                      <w:rFonts w:hint="eastAsia"/>
                      <w:color w:val="auto"/>
                      <w:kern w:val="24"/>
                      <w:sz w:val="18"/>
                      <w:szCs w:val="18"/>
                    </w:rPr>
                    <w:t>固态</w:t>
                  </w:r>
                </w:p>
              </w:tc>
              <w:tc>
                <w:tcPr>
                  <w:tcW w:w="674" w:type="dxa"/>
                  <w:vAlign w:val="center"/>
                </w:tcPr>
                <w:p w14:paraId="0B53590B">
                  <w:pPr>
                    <w:adjustRightInd w:val="0"/>
                    <w:snapToGrid w:val="0"/>
                    <w:jc w:val="center"/>
                    <w:rPr>
                      <w:color w:val="auto"/>
                      <w:kern w:val="24"/>
                      <w:sz w:val="18"/>
                      <w:szCs w:val="18"/>
                    </w:rPr>
                  </w:pPr>
                  <w:r>
                    <w:rPr>
                      <w:rFonts w:hint="eastAsia"/>
                      <w:color w:val="auto"/>
                      <w:kern w:val="24"/>
                      <w:sz w:val="18"/>
                      <w:szCs w:val="18"/>
                    </w:rPr>
                    <w:t>矿物油、铁</w:t>
                  </w:r>
                </w:p>
              </w:tc>
              <w:tc>
                <w:tcPr>
                  <w:tcW w:w="673" w:type="dxa"/>
                  <w:vAlign w:val="center"/>
                </w:tcPr>
                <w:p w14:paraId="178BA76E">
                  <w:pPr>
                    <w:adjustRightInd w:val="0"/>
                    <w:snapToGrid w:val="0"/>
                    <w:jc w:val="center"/>
                    <w:rPr>
                      <w:color w:val="auto"/>
                      <w:kern w:val="24"/>
                      <w:sz w:val="18"/>
                      <w:szCs w:val="18"/>
                    </w:rPr>
                  </w:pPr>
                  <w:r>
                    <w:rPr>
                      <w:rFonts w:hint="eastAsia"/>
                      <w:color w:val="auto"/>
                      <w:kern w:val="24"/>
                      <w:sz w:val="18"/>
                      <w:szCs w:val="18"/>
                    </w:rPr>
                    <w:t>矿物油</w:t>
                  </w:r>
                </w:p>
              </w:tc>
              <w:tc>
                <w:tcPr>
                  <w:tcW w:w="673" w:type="dxa"/>
                  <w:vAlign w:val="center"/>
                </w:tcPr>
                <w:p w14:paraId="63A2F5C9">
                  <w:pPr>
                    <w:adjustRightInd w:val="0"/>
                    <w:snapToGrid w:val="0"/>
                    <w:jc w:val="center"/>
                    <w:rPr>
                      <w:color w:val="auto"/>
                      <w:kern w:val="24"/>
                      <w:sz w:val="18"/>
                      <w:szCs w:val="18"/>
                    </w:rPr>
                  </w:pPr>
                  <w:r>
                    <w:rPr>
                      <w:rFonts w:hint="eastAsia"/>
                      <w:color w:val="auto"/>
                      <w:kern w:val="24"/>
                      <w:sz w:val="18"/>
                      <w:szCs w:val="18"/>
                    </w:rPr>
                    <w:t>半年</w:t>
                  </w:r>
                </w:p>
              </w:tc>
              <w:tc>
                <w:tcPr>
                  <w:tcW w:w="671" w:type="dxa"/>
                  <w:vAlign w:val="center"/>
                </w:tcPr>
                <w:p w14:paraId="7DBBFD27">
                  <w:pPr>
                    <w:adjustRightInd w:val="0"/>
                    <w:snapToGrid w:val="0"/>
                    <w:jc w:val="center"/>
                    <w:rPr>
                      <w:color w:val="auto"/>
                      <w:kern w:val="24"/>
                      <w:szCs w:val="21"/>
                    </w:rPr>
                  </w:pPr>
                  <w:r>
                    <w:rPr>
                      <w:rFonts w:hint="eastAsia"/>
                      <w:color w:val="auto"/>
                      <w:kern w:val="24"/>
                      <w:szCs w:val="21"/>
                    </w:rPr>
                    <w:t>T，I</w:t>
                  </w:r>
                </w:p>
              </w:tc>
              <w:tc>
                <w:tcPr>
                  <w:tcW w:w="670" w:type="dxa"/>
                  <w:vMerge w:val="restart"/>
                  <w:vAlign w:val="center"/>
                </w:tcPr>
                <w:p w14:paraId="2FEBB8E8">
                  <w:pPr>
                    <w:adjustRightInd w:val="0"/>
                    <w:snapToGrid w:val="0"/>
                    <w:jc w:val="center"/>
                    <w:rPr>
                      <w:color w:val="auto"/>
                      <w:kern w:val="24"/>
                      <w:sz w:val="18"/>
                      <w:szCs w:val="18"/>
                    </w:rPr>
                  </w:pPr>
                  <w:r>
                    <w:rPr>
                      <w:rFonts w:hint="eastAsia"/>
                      <w:color w:val="auto"/>
                      <w:kern w:val="24"/>
                      <w:sz w:val="18"/>
                      <w:szCs w:val="18"/>
                    </w:rPr>
                    <w:t>委托有资质单位处置</w:t>
                  </w:r>
                </w:p>
              </w:tc>
            </w:tr>
            <w:tr w14:paraId="30EE37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488" w:type="dxa"/>
                  <w:vAlign w:val="center"/>
                </w:tcPr>
                <w:p w14:paraId="2DFBF8B0">
                  <w:pPr>
                    <w:adjustRightInd w:val="0"/>
                    <w:snapToGrid w:val="0"/>
                    <w:jc w:val="center"/>
                    <w:rPr>
                      <w:color w:val="auto"/>
                      <w:kern w:val="24"/>
                      <w:sz w:val="18"/>
                      <w:szCs w:val="18"/>
                    </w:rPr>
                  </w:pPr>
                  <w:r>
                    <w:rPr>
                      <w:rFonts w:hint="eastAsia"/>
                      <w:color w:val="auto"/>
                      <w:kern w:val="24"/>
                      <w:sz w:val="18"/>
                      <w:szCs w:val="18"/>
                    </w:rPr>
                    <w:t>3</w:t>
                  </w:r>
                </w:p>
              </w:tc>
              <w:tc>
                <w:tcPr>
                  <w:tcW w:w="807" w:type="dxa"/>
                  <w:vAlign w:val="center"/>
                </w:tcPr>
                <w:p w14:paraId="36804830">
                  <w:pPr>
                    <w:adjustRightInd w:val="0"/>
                    <w:snapToGrid w:val="0"/>
                    <w:jc w:val="center"/>
                    <w:rPr>
                      <w:color w:val="auto"/>
                      <w:kern w:val="24"/>
                      <w:sz w:val="18"/>
                      <w:szCs w:val="18"/>
                    </w:rPr>
                  </w:pPr>
                  <w:r>
                    <w:rPr>
                      <w:rFonts w:hint="eastAsia"/>
                      <w:color w:val="auto"/>
                      <w:kern w:val="24"/>
                      <w:sz w:val="18"/>
                      <w:szCs w:val="18"/>
                    </w:rPr>
                    <w:t>废劳保用品</w:t>
                  </w:r>
                </w:p>
              </w:tc>
              <w:tc>
                <w:tcPr>
                  <w:tcW w:w="803" w:type="dxa"/>
                  <w:vAlign w:val="center"/>
                </w:tcPr>
                <w:p w14:paraId="725E2184">
                  <w:pPr>
                    <w:adjustRightInd w:val="0"/>
                    <w:snapToGrid w:val="0"/>
                    <w:jc w:val="center"/>
                    <w:rPr>
                      <w:color w:val="auto"/>
                      <w:kern w:val="24"/>
                      <w:sz w:val="18"/>
                      <w:szCs w:val="18"/>
                    </w:rPr>
                  </w:pPr>
                  <w:r>
                    <w:rPr>
                      <w:rFonts w:hint="eastAsia"/>
                      <w:color w:val="auto"/>
                      <w:kern w:val="24"/>
                      <w:sz w:val="18"/>
                      <w:szCs w:val="18"/>
                    </w:rPr>
                    <w:t>HW49</w:t>
                  </w:r>
                  <w:r>
                    <w:rPr>
                      <w:color w:val="auto"/>
                      <w:kern w:val="24"/>
                      <w:sz w:val="18"/>
                      <w:szCs w:val="18"/>
                    </w:rPr>
                    <w:t>其他废物</w:t>
                  </w:r>
                </w:p>
              </w:tc>
              <w:tc>
                <w:tcPr>
                  <w:tcW w:w="803" w:type="dxa"/>
                  <w:vAlign w:val="center"/>
                </w:tcPr>
                <w:p w14:paraId="2038BB1E">
                  <w:pPr>
                    <w:adjustRightInd w:val="0"/>
                    <w:snapToGrid w:val="0"/>
                    <w:jc w:val="center"/>
                    <w:rPr>
                      <w:color w:val="auto"/>
                      <w:kern w:val="24"/>
                      <w:sz w:val="18"/>
                      <w:szCs w:val="18"/>
                    </w:rPr>
                  </w:pPr>
                  <w:r>
                    <w:rPr>
                      <w:rFonts w:hint="eastAsia"/>
                      <w:color w:val="auto"/>
                      <w:kern w:val="0"/>
                      <w:sz w:val="18"/>
                      <w:szCs w:val="18"/>
                      <w:lang w:bidi="ar"/>
                    </w:rPr>
                    <w:t>900-041-49</w:t>
                  </w:r>
                </w:p>
              </w:tc>
              <w:tc>
                <w:tcPr>
                  <w:tcW w:w="958" w:type="dxa"/>
                  <w:vAlign w:val="center"/>
                </w:tcPr>
                <w:p w14:paraId="3B6F329C">
                  <w:pPr>
                    <w:adjustRightInd w:val="0"/>
                    <w:snapToGrid w:val="0"/>
                    <w:jc w:val="center"/>
                    <w:rPr>
                      <w:color w:val="auto"/>
                      <w:kern w:val="24"/>
                      <w:szCs w:val="21"/>
                    </w:rPr>
                  </w:pPr>
                  <w:r>
                    <w:rPr>
                      <w:rFonts w:hint="eastAsia"/>
                      <w:color w:val="auto"/>
                      <w:kern w:val="24"/>
                      <w:szCs w:val="21"/>
                    </w:rPr>
                    <w:t>0.07</w:t>
                  </w:r>
                </w:p>
              </w:tc>
              <w:tc>
                <w:tcPr>
                  <w:tcW w:w="1024" w:type="dxa"/>
                  <w:vAlign w:val="center"/>
                </w:tcPr>
                <w:p w14:paraId="33F553CE">
                  <w:pPr>
                    <w:adjustRightInd w:val="0"/>
                    <w:snapToGrid w:val="0"/>
                    <w:jc w:val="center"/>
                    <w:rPr>
                      <w:color w:val="auto"/>
                      <w:kern w:val="24"/>
                      <w:sz w:val="18"/>
                      <w:szCs w:val="18"/>
                    </w:rPr>
                  </w:pPr>
                  <w:r>
                    <w:rPr>
                      <w:rFonts w:hint="eastAsia"/>
                      <w:color w:val="auto"/>
                      <w:kern w:val="24"/>
                      <w:sz w:val="18"/>
                      <w:szCs w:val="18"/>
                    </w:rPr>
                    <w:t>机械设备保养维修</w:t>
                  </w:r>
                </w:p>
              </w:tc>
              <w:tc>
                <w:tcPr>
                  <w:tcW w:w="636" w:type="dxa"/>
                  <w:vAlign w:val="center"/>
                </w:tcPr>
                <w:p w14:paraId="659CC419">
                  <w:pPr>
                    <w:adjustRightInd w:val="0"/>
                    <w:snapToGrid w:val="0"/>
                    <w:jc w:val="center"/>
                    <w:rPr>
                      <w:color w:val="auto"/>
                      <w:kern w:val="24"/>
                      <w:sz w:val="18"/>
                      <w:szCs w:val="18"/>
                    </w:rPr>
                  </w:pPr>
                  <w:r>
                    <w:rPr>
                      <w:rFonts w:hint="eastAsia"/>
                      <w:color w:val="auto"/>
                      <w:kern w:val="24"/>
                      <w:sz w:val="18"/>
                      <w:szCs w:val="18"/>
                    </w:rPr>
                    <w:t>固态</w:t>
                  </w:r>
                </w:p>
              </w:tc>
              <w:tc>
                <w:tcPr>
                  <w:tcW w:w="674" w:type="dxa"/>
                  <w:vAlign w:val="center"/>
                </w:tcPr>
                <w:p w14:paraId="4A1BF11C">
                  <w:pPr>
                    <w:adjustRightInd w:val="0"/>
                    <w:snapToGrid w:val="0"/>
                    <w:jc w:val="center"/>
                    <w:rPr>
                      <w:color w:val="auto"/>
                      <w:kern w:val="24"/>
                      <w:sz w:val="18"/>
                      <w:szCs w:val="18"/>
                    </w:rPr>
                  </w:pPr>
                  <w:r>
                    <w:rPr>
                      <w:rFonts w:hint="eastAsia"/>
                      <w:color w:val="auto"/>
                      <w:kern w:val="24"/>
                      <w:sz w:val="18"/>
                      <w:szCs w:val="18"/>
                    </w:rPr>
                    <w:t>矿物油、铁</w:t>
                  </w:r>
                </w:p>
              </w:tc>
              <w:tc>
                <w:tcPr>
                  <w:tcW w:w="673" w:type="dxa"/>
                  <w:vAlign w:val="center"/>
                </w:tcPr>
                <w:p w14:paraId="2CFDACF1">
                  <w:pPr>
                    <w:adjustRightInd w:val="0"/>
                    <w:snapToGrid w:val="0"/>
                    <w:jc w:val="center"/>
                    <w:rPr>
                      <w:color w:val="auto"/>
                      <w:kern w:val="24"/>
                      <w:sz w:val="18"/>
                      <w:szCs w:val="18"/>
                    </w:rPr>
                  </w:pPr>
                  <w:r>
                    <w:rPr>
                      <w:rFonts w:hint="eastAsia"/>
                      <w:color w:val="auto"/>
                      <w:kern w:val="24"/>
                      <w:sz w:val="18"/>
                      <w:szCs w:val="18"/>
                    </w:rPr>
                    <w:t>矿物油</w:t>
                  </w:r>
                </w:p>
              </w:tc>
              <w:tc>
                <w:tcPr>
                  <w:tcW w:w="673" w:type="dxa"/>
                  <w:vAlign w:val="center"/>
                </w:tcPr>
                <w:p w14:paraId="1AE0775D">
                  <w:pPr>
                    <w:adjustRightInd w:val="0"/>
                    <w:snapToGrid w:val="0"/>
                    <w:jc w:val="center"/>
                    <w:rPr>
                      <w:color w:val="auto"/>
                      <w:kern w:val="24"/>
                      <w:sz w:val="18"/>
                      <w:szCs w:val="18"/>
                    </w:rPr>
                  </w:pPr>
                  <w:r>
                    <w:rPr>
                      <w:rFonts w:hint="eastAsia"/>
                      <w:color w:val="auto"/>
                      <w:kern w:val="24"/>
                      <w:sz w:val="18"/>
                      <w:szCs w:val="18"/>
                    </w:rPr>
                    <w:t>半年</w:t>
                  </w:r>
                </w:p>
              </w:tc>
              <w:tc>
                <w:tcPr>
                  <w:tcW w:w="671" w:type="dxa"/>
                  <w:vAlign w:val="center"/>
                </w:tcPr>
                <w:p w14:paraId="304FEE26">
                  <w:pPr>
                    <w:adjustRightInd w:val="0"/>
                    <w:snapToGrid w:val="0"/>
                    <w:jc w:val="center"/>
                    <w:rPr>
                      <w:color w:val="auto"/>
                      <w:kern w:val="24"/>
                      <w:szCs w:val="21"/>
                    </w:rPr>
                  </w:pPr>
                  <w:r>
                    <w:rPr>
                      <w:rFonts w:hint="eastAsia"/>
                      <w:color w:val="auto"/>
                      <w:kern w:val="24"/>
                      <w:szCs w:val="21"/>
                    </w:rPr>
                    <w:t>T，I</w:t>
                  </w:r>
                </w:p>
              </w:tc>
              <w:tc>
                <w:tcPr>
                  <w:tcW w:w="670" w:type="dxa"/>
                  <w:vMerge w:val="continue"/>
                  <w:vAlign w:val="center"/>
                </w:tcPr>
                <w:p w14:paraId="056FE699">
                  <w:pPr>
                    <w:adjustRightInd w:val="0"/>
                    <w:snapToGrid w:val="0"/>
                    <w:jc w:val="center"/>
                    <w:rPr>
                      <w:color w:val="auto"/>
                      <w:kern w:val="24"/>
                      <w:sz w:val="18"/>
                      <w:szCs w:val="18"/>
                    </w:rPr>
                  </w:pPr>
                </w:p>
              </w:tc>
            </w:tr>
          </w:tbl>
          <w:p w14:paraId="165806F6">
            <w:pPr>
              <w:adjustRightInd w:val="0"/>
              <w:snapToGrid w:val="0"/>
              <w:spacing w:line="360" w:lineRule="auto"/>
              <w:ind w:firstLine="480" w:firstLineChars="200"/>
              <w:rPr>
                <w:rFonts w:hint="eastAsia"/>
                <w:color w:val="auto"/>
                <w:kern w:val="24"/>
                <w:sz w:val="24"/>
              </w:rPr>
            </w:pPr>
          </w:p>
          <w:p w14:paraId="5682976D">
            <w:pPr>
              <w:keepNext w:val="0"/>
              <w:keepLines w:val="0"/>
              <w:pageBreakBefore w:val="0"/>
              <w:kinsoku/>
              <w:wordWrap/>
              <w:overflowPunct/>
              <w:topLinePunct w:val="0"/>
              <w:autoSpaceDE/>
              <w:autoSpaceDN/>
              <w:bidi w:val="0"/>
              <w:adjustRightInd w:val="0"/>
              <w:snapToGrid w:val="0"/>
              <w:spacing w:line="520" w:lineRule="exact"/>
              <w:ind w:firstLine="480" w:firstLineChars="200"/>
              <w:textAlignment w:val="auto"/>
              <w:rPr>
                <w:color w:val="auto"/>
                <w:kern w:val="24"/>
                <w:sz w:val="24"/>
              </w:rPr>
            </w:pPr>
            <w:r>
              <w:rPr>
                <w:rFonts w:hint="eastAsia"/>
                <w:color w:val="auto"/>
                <w:kern w:val="24"/>
                <w:sz w:val="24"/>
              </w:rPr>
              <w:t>（1）生活垃圾</w:t>
            </w:r>
          </w:p>
          <w:p w14:paraId="6B655E7C">
            <w:pPr>
              <w:keepNext w:val="0"/>
              <w:keepLines w:val="0"/>
              <w:pageBreakBefore w:val="0"/>
              <w:kinsoku/>
              <w:wordWrap/>
              <w:overflowPunct/>
              <w:topLinePunct w:val="0"/>
              <w:autoSpaceDE/>
              <w:autoSpaceDN/>
              <w:bidi w:val="0"/>
              <w:adjustRightInd w:val="0"/>
              <w:snapToGrid w:val="0"/>
              <w:spacing w:line="520" w:lineRule="exact"/>
              <w:ind w:firstLine="480" w:firstLineChars="200"/>
              <w:textAlignment w:val="auto"/>
              <w:rPr>
                <w:color w:val="auto"/>
                <w:kern w:val="24"/>
                <w:sz w:val="24"/>
              </w:rPr>
            </w:pPr>
            <w:r>
              <w:rPr>
                <w:rFonts w:hint="eastAsia"/>
                <w:color w:val="auto"/>
                <w:kern w:val="24"/>
                <w:sz w:val="24"/>
              </w:rPr>
              <w:t>项目劳动定员60人，垃圾产生量按0.5kg/人</w:t>
            </w:r>
            <w:r>
              <w:rPr>
                <w:color w:val="auto"/>
                <w:kern w:val="24"/>
                <w:sz w:val="24"/>
              </w:rPr>
              <w:t>•</w:t>
            </w:r>
            <w:r>
              <w:rPr>
                <w:rFonts w:hint="eastAsia"/>
                <w:color w:val="auto"/>
                <w:kern w:val="24"/>
                <w:sz w:val="24"/>
              </w:rPr>
              <w:t xml:space="preserve">d计，生活垃圾产生量约为9 </w:t>
            </w:r>
            <w:r>
              <w:rPr>
                <w:color w:val="auto"/>
                <w:kern w:val="24"/>
                <w:sz w:val="24"/>
              </w:rPr>
              <w:t>t/a</w:t>
            </w:r>
            <w:r>
              <w:rPr>
                <w:rFonts w:hint="eastAsia"/>
                <w:color w:val="auto"/>
                <w:kern w:val="24"/>
                <w:sz w:val="24"/>
              </w:rPr>
              <w:t>，生活垃圾统一收集后，委托环卫部门清运处置。</w:t>
            </w:r>
          </w:p>
          <w:p w14:paraId="1F83DDD9">
            <w:pPr>
              <w:keepNext w:val="0"/>
              <w:keepLines w:val="0"/>
              <w:pageBreakBefore w:val="0"/>
              <w:kinsoku/>
              <w:wordWrap/>
              <w:overflowPunct/>
              <w:topLinePunct w:val="0"/>
              <w:autoSpaceDE/>
              <w:autoSpaceDN/>
              <w:bidi w:val="0"/>
              <w:adjustRightInd w:val="0"/>
              <w:snapToGrid w:val="0"/>
              <w:spacing w:line="520" w:lineRule="exact"/>
              <w:ind w:firstLine="480" w:firstLineChars="200"/>
              <w:textAlignment w:val="auto"/>
              <w:rPr>
                <w:color w:val="auto"/>
                <w:kern w:val="24"/>
                <w:sz w:val="24"/>
              </w:rPr>
            </w:pPr>
            <w:r>
              <w:rPr>
                <w:rFonts w:hint="eastAsia"/>
                <w:color w:val="auto"/>
                <w:kern w:val="24"/>
                <w:sz w:val="24"/>
              </w:rPr>
              <w:t>（2）袋式除尘器收集的除尘灰</w:t>
            </w:r>
          </w:p>
          <w:p w14:paraId="2E9DA40F">
            <w:pPr>
              <w:keepNext w:val="0"/>
              <w:keepLines w:val="0"/>
              <w:pageBreakBefore w:val="0"/>
              <w:kinsoku/>
              <w:wordWrap/>
              <w:overflowPunct/>
              <w:topLinePunct w:val="0"/>
              <w:autoSpaceDE/>
              <w:autoSpaceDN/>
              <w:bidi w:val="0"/>
              <w:adjustRightInd w:val="0"/>
              <w:snapToGrid w:val="0"/>
              <w:spacing w:line="520" w:lineRule="exact"/>
              <w:ind w:firstLine="480" w:firstLineChars="200"/>
              <w:textAlignment w:val="auto"/>
              <w:rPr>
                <w:color w:val="auto"/>
                <w:kern w:val="24"/>
                <w:sz w:val="24"/>
              </w:rPr>
            </w:pPr>
            <w:r>
              <w:rPr>
                <w:rFonts w:hint="eastAsia"/>
                <w:color w:val="auto"/>
                <w:kern w:val="24"/>
                <w:sz w:val="24"/>
              </w:rPr>
              <w:t>项目高频焊接工序采用袋式除尘器收集焊接烟尘，根据本节废气源强分析，本项目9台袋式除尘器收集除尘灰量约为</w:t>
            </w:r>
            <w:r>
              <w:rPr>
                <w:color w:val="auto"/>
                <w:kern w:val="24"/>
                <w:sz w:val="24"/>
              </w:rPr>
              <w:t>0.</w:t>
            </w:r>
            <w:r>
              <w:rPr>
                <w:rFonts w:hint="eastAsia"/>
                <w:color w:val="auto"/>
                <w:kern w:val="24"/>
                <w:sz w:val="24"/>
              </w:rPr>
              <w:t>879t/a，收集后暂存于</w:t>
            </w:r>
            <w:r>
              <w:rPr>
                <w:rFonts w:eastAsiaTheme="minorEastAsia"/>
                <w:color w:val="auto"/>
                <w:sz w:val="24"/>
              </w:rPr>
              <w:t>一般固废</w:t>
            </w:r>
            <w:r>
              <w:rPr>
                <w:rFonts w:hint="eastAsia" w:eastAsiaTheme="minorEastAsia"/>
                <w:color w:val="auto"/>
                <w:sz w:val="24"/>
              </w:rPr>
              <w:t>暂存间</w:t>
            </w:r>
            <w:r>
              <w:rPr>
                <w:rFonts w:hint="eastAsia"/>
                <w:color w:val="auto"/>
                <w:kern w:val="24"/>
                <w:sz w:val="24"/>
              </w:rPr>
              <w:t>，外售处置。</w:t>
            </w:r>
          </w:p>
          <w:p w14:paraId="6BC57DA7">
            <w:pPr>
              <w:pStyle w:val="95"/>
              <w:keepNext w:val="0"/>
              <w:keepLines w:val="0"/>
              <w:pageBreakBefore w:val="0"/>
              <w:widowControl/>
              <w:kinsoku/>
              <w:wordWrap/>
              <w:overflowPunct/>
              <w:topLinePunct w:val="0"/>
              <w:autoSpaceDE/>
              <w:autoSpaceDN/>
              <w:bidi w:val="0"/>
              <w:adjustRightInd w:val="0"/>
              <w:snapToGrid w:val="0"/>
              <w:spacing w:line="520" w:lineRule="exact"/>
              <w:ind w:firstLine="480"/>
              <w:jc w:val="left"/>
              <w:textAlignment w:val="auto"/>
              <w:rPr>
                <w:rFonts w:ascii="Times New Roman" w:eastAsiaTheme="minorEastAsia"/>
                <w:color w:val="auto"/>
                <w:sz w:val="24"/>
              </w:rPr>
            </w:pPr>
            <w:r>
              <w:rPr>
                <w:rFonts w:ascii="Times New Roman" w:eastAsiaTheme="minorEastAsia"/>
                <w:color w:val="auto"/>
                <w:sz w:val="24"/>
              </w:rPr>
              <w:t>（3）废边角料</w:t>
            </w:r>
          </w:p>
          <w:p w14:paraId="12726143">
            <w:pPr>
              <w:pStyle w:val="95"/>
              <w:keepNext w:val="0"/>
              <w:keepLines w:val="0"/>
              <w:pageBreakBefore w:val="0"/>
              <w:widowControl/>
              <w:kinsoku/>
              <w:wordWrap/>
              <w:overflowPunct/>
              <w:topLinePunct w:val="0"/>
              <w:autoSpaceDE/>
              <w:autoSpaceDN/>
              <w:bidi w:val="0"/>
              <w:adjustRightInd w:val="0"/>
              <w:snapToGrid w:val="0"/>
              <w:spacing w:line="520" w:lineRule="exact"/>
              <w:ind w:firstLine="480"/>
              <w:jc w:val="left"/>
              <w:textAlignment w:val="auto"/>
              <w:rPr>
                <w:rFonts w:ascii="Times New Roman" w:eastAsiaTheme="minorEastAsia"/>
                <w:color w:val="auto"/>
                <w:sz w:val="24"/>
              </w:rPr>
            </w:pPr>
            <w:r>
              <w:rPr>
                <w:rFonts w:ascii="Times New Roman" w:eastAsiaTheme="minorEastAsia"/>
                <w:color w:val="auto"/>
                <w:sz w:val="24"/>
              </w:rPr>
              <w:t>项目纵剪工序、高频焊接工序、切断工序会产生废边角料，预计产生量为</w:t>
            </w:r>
            <w:r>
              <w:rPr>
                <w:rFonts w:hint="eastAsia" w:ascii="Times New Roman" w:eastAsiaTheme="minorEastAsia"/>
                <w:color w:val="auto"/>
                <w:sz w:val="24"/>
              </w:rPr>
              <w:t>150</w:t>
            </w:r>
            <w:r>
              <w:rPr>
                <w:rFonts w:ascii="Times New Roman" w:eastAsiaTheme="minorEastAsia"/>
                <w:color w:val="auto"/>
                <w:sz w:val="24"/>
              </w:rPr>
              <w:t>t/a，收集后暂存于一般固废</w:t>
            </w:r>
            <w:r>
              <w:rPr>
                <w:rFonts w:hint="eastAsia" w:ascii="Times New Roman" w:eastAsiaTheme="minorEastAsia"/>
                <w:color w:val="auto"/>
                <w:sz w:val="24"/>
              </w:rPr>
              <w:t>暂存间</w:t>
            </w:r>
            <w:r>
              <w:rPr>
                <w:rFonts w:ascii="Times New Roman" w:eastAsiaTheme="minorEastAsia"/>
                <w:color w:val="auto"/>
                <w:sz w:val="24"/>
              </w:rPr>
              <w:t>，外售处置。</w:t>
            </w:r>
          </w:p>
          <w:p w14:paraId="490A08E7">
            <w:pPr>
              <w:pStyle w:val="95"/>
              <w:spacing w:line="360" w:lineRule="auto"/>
              <w:ind w:firstLine="480"/>
              <w:jc w:val="left"/>
              <w:rPr>
                <w:rFonts w:ascii="Times New Roman" w:eastAsiaTheme="minorEastAsia"/>
                <w:color w:val="auto"/>
                <w:sz w:val="24"/>
              </w:rPr>
            </w:pPr>
            <w:r>
              <w:rPr>
                <w:rFonts w:ascii="Times New Roman" w:eastAsiaTheme="minorEastAsia"/>
                <w:color w:val="auto"/>
                <w:sz w:val="24"/>
              </w:rPr>
              <w:t>（4）不合格产品</w:t>
            </w:r>
          </w:p>
          <w:p w14:paraId="21045D49">
            <w:pPr>
              <w:pStyle w:val="95"/>
              <w:spacing w:line="360" w:lineRule="auto"/>
              <w:ind w:firstLine="480"/>
              <w:jc w:val="left"/>
              <w:rPr>
                <w:rFonts w:ascii="Times New Roman" w:eastAsiaTheme="minorEastAsia"/>
                <w:color w:val="auto"/>
                <w:sz w:val="24"/>
              </w:rPr>
            </w:pPr>
            <w:r>
              <w:rPr>
                <w:rFonts w:ascii="Times New Roman" w:eastAsiaTheme="minorEastAsia"/>
                <w:color w:val="auto"/>
                <w:sz w:val="24"/>
              </w:rPr>
              <w:t>本项目质检工序会产生不合格产品，预计产生量为</w:t>
            </w:r>
            <w:r>
              <w:rPr>
                <w:rFonts w:hint="eastAsia" w:ascii="Times New Roman" w:eastAsiaTheme="minorEastAsia"/>
                <w:color w:val="auto"/>
                <w:sz w:val="24"/>
              </w:rPr>
              <w:t>847t</w:t>
            </w:r>
            <w:r>
              <w:rPr>
                <w:rFonts w:ascii="Times New Roman" w:eastAsiaTheme="minorEastAsia"/>
                <w:color w:val="auto"/>
                <w:sz w:val="24"/>
              </w:rPr>
              <w:t>/a，收集后暂存于一般固废</w:t>
            </w:r>
            <w:r>
              <w:rPr>
                <w:rFonts w:hint="eastAsia" w:ascii="Times New Roman" w:eastAsiaTheme="minorEastAsia"/>
                <w:color w:val="auto"/>
                <w:sz w:val="24"/>
              </w:rPr>
              <w:t>暂存间</w:t>
            </w:r>
            <w:r>
              <w:rPr>
                <w:rFonts w:ascii="Times New Roman" w:eastAsiaTheme="minorEastAsia"/>
                <w:color w:val="auto"/>
                <w:sz w:val="24"/>
              </w:rPr>
              <w:t>，外售处置。</w:t>
            </w:r>
          </w:p>
          <w:p w14:paraId="3F7B8B6B">
            <w:pPr>
              <w:pStyle w:val="95"/>
              <w:spacing w:line="360" w:lineRule="auto"/>
              <w:ind w:firstLine="480"/>
              <w:jc w:val="left"/>
              <w:rPr>
                <w:rFonts w:ascii="Times New Roman" w:eastAsiaTheme="minorEastAsia"/>
                <w:color w:val="auto"/>
                <w:sz w:val="24"/>
              </w:rPr>
            </w:pPr>
            <w:r>
              <w:rPr>
                <w:rFonts w:ascii="Times New Roman" w:eastAsiaTheme="minorEastAsia"/>
                <w:color w:val="auto"/>
                <w:sz w:val="24"/>
              </w:rPr>
              <w:t>（5）循环水池金属沉渣</w:t>
            </w:r>
          </w:p>
          <w:p w14:paraId="0B4FF5AB">
            <w:pPr>
              <w:pStyle w:val="95"/>
              <w:spacing w:line="360" w:lineRule="auto"/>
              <w:ind w:firstLine="480"/>
              <w:jc w:val="left"/>
              <w:rPr>
                <w:rFonts w:ascii="Times New Roman" w:eastAsiaTheme="minorEastAsia"/>
                <w:color w:val="auto"/>
                <w:sz w:val="24"/>
              </w:rPr>
            </w:pPr>
            <w:r>
              <w:rPr>
                <w:rFonts w:ascii="Times New Roman" w:eastAsiaTheme="minorEastAsia"/>
                <w:color w:val="auto"/>
                <w:sz w:val="24"/>
              </w:rPr>
              <w:t>本项目循环水池会有少量金属沉渣，预计产生量为</w:t>
            </w:r>
            <w:r>
              <w:rPr>
                <w:rFonts w:hint="eastAsia" w:ascii="Times New Roman" w:eastAsiaTheme="minorEastAsia"/>
                <w:color w:val="auto"/>
                <w:sz w:val="24"/>
              </w:rPr>
              <w:t>2.1</w:t>
            </w:r>
            <w:r>
              <w:rPr>
                <w:rFonts w:ascii="Times New Roman" w:eastAsiaTheme="minorEastAsia"/>
                <w:color w:val="auto"/>
                <w:sz w:val="24"/>
              </w:rPr>
              <w:t xml:space="preserve"> t/a</w:t>
            </w:r>
            <w:r>
              <w:rPr>
                <w:rFonts w:hint="eastAsia" w:ascii="Times New Roman" w:eastAsiaTheme="minorEastAsia"/>
                <w:color w:val="auto"/>
                <w:sz w:val="24"/>
              </w:rPr>
              <w:t>。</w:t>
            </w:r>
          </w:p>
          <w:p w14:paraId="110543DB">
            <w:pPr>
              <w:pStyle w:val="95"/>
              <w:spacing w:line="360" w:lineRule="auto"/>
              <w:ind w:firstLine="480"/>
              <w:jc w:val="left"/>
              <w:rPr>
                <w:rFonts w:ascii="Times New Roman" w:eastAsiaTheme="minorEastAsia"/>
                <w:color w:val="auto"/>
                <w:sz w:val="24"/>
              </w:rPr>
            </w:pPr>
            <w:r>
              <w:rPr>
                <w:rFonts w:ascii="Times New Roman" w:eastAsiaTheme="minorEastAsia"/>
                <w:color w:val="auto"/>
                <w:sz w:val="24"/>
              </w:rPr>
              <w:t>循环水池金属沉渣定期清掏，每次清掏前进行浸出毒性检测，按照依据《危险废物鉴别标准 浸出毒性鉴别》（GB 5085.3-2007）中相关方法进行浸出浓度鉴定，若固体废物浸出液中任何一种危害成分含量超过标准浓度限值，则作为具有浸出毒性特征的危险废物进行处置，委托有相应资质单位进行处置；否则可以按照一般固废进行处置。</w:t>
            </w:r>
          </w:p>
          <w:p w14:paraId="7E2253B2">
            <w:pPr>
              <w:pStyle w:val="70"/>
              <w:ind w:firstLine="480"/>
              <w:rPr>
                <w:rFonts w:eastAsiaTheme="minorEastAsia"/>
                <w:color w:val="auto"/>
              </w:rPr>
            </w:pPr>
            <w:r>
              <w:rPr>
                <w:rFonts w:eastAsiaTheme="minorEastAsia"/>
                <w:color w:val="auto"/>
              </w:rPr>
              <w:t>（6）化粪池污泥</w:t>
            </w:r>
          </w:p>
          <w:p w14:paraId="05F1C6E9">
            <w:pPr>
              <w:pStyle w:val="70"/>
              <w:ind w:firstLine="480"/>
              <w:rPr>
                <w:rFonts w:eastAsiaTheme="minorEastAsia"/>
                <w:color w:val="auto"/>
              </w:rPr>
            </w:pPr>
            <w:r>
              <w:rPr>
                <w:rFonts w:eastAsiaTheme="minorEastAsia"/>
                <w:color w:val="auto"/>
              </w:rPr>
              <w:t>项目化粪池污泥量参照《集中式污染治理设施产排污系数手册(2010修订)》，化粪池污泥产生量按照4.57t/万t废水处理量计算，项目化粪池处理废水量为</w:t>
            </w:r>
            <w:r>
              <w:rPr>
                <w:rFonts w:hint="eastAsia" w:eastAsiaTheme="minorEastAsia"/>
                <w:color w:val="auto"/>
                <w:kern w:val="24"/>
              </w:rPr>
              <w:t>432</w:t>
            </w:r>
            <w:r>
              <w:rPr>
                <w:rFonts w:eastAsiaTheme="minorEastAsia"/>
                <w:color w:val="auto"/>
              </w:rPr>
              <w:t>m</w:t>
            </w:r>
            <w:r>
              <w:rPr>
                <w:rFonts w:eastAsiaTheme="minorEastAsia"/>
                <w:color w:val="auto"/>
                <w:vertAlign w:val="superscript"/>
              </w:rPr>
              <w:t>3</w:t>
            </w:r>
            <w:r>
              <w:rPr>
                <w:rFonts w:eastAsiaTheme="minorEastAsia"/>
                <w:color w:val="auto"/>
              </w:rPr>
              <w:t>/a，则本项目化粪池污泥产生量约为0.</w:t>
            </w:r>
            <w:r>
              <w:rPr>
                <w:rFonts w:hint="eastAsia" w:eastAsiaTheme="minorEastAsia"/>
                <w:color w:val="auto"/>
              </w:rPr>
              <w:t>197</w:t>
            </w:r>
            <w:r>
              <w:rPr>
                <w:rFonts w:eastAsiaTheme="minorEastAsia"/>
                <w:color w:val="auto"/>
              </w:rPr>
              <w:t xml:space="preserve"> t/a，委托环卫部门</w:t>
            </w:r>
            <w:r>
              <w:rPr>
                <w:rFonts w:eastAsiaTheme="minorEastAsia"/>
                <w:color w:val="auto"/>
                <w:kern w:val="24"/>
              </w:rPr>
              <w:t>清掏处置</w:t>
            </w:r>
            <w:r>
              <w:rPr>
                <w:rFonts w:eastAsiaTheme="minorEastAsia"/>
                <w:color w:val="auto"/>
              </w:rPr>
              <w:t>。</w:t>
            </w:r>
          </w:p>
          <w:p w14:paraId="052F4F06">
            <w:pPr>
              <w:pStyle w:val="95"/>
              <w:spacing w:line="360" w:lineRule="auto"/>
              <w:ind w:firstLine="480"/>
              <w:jc w:val="left"/>
              <w:rPr>
                <w:rFonts w:ascii="Times New Roman" w:eastAsiaTheme="minorEastAsia"/>
                <w:color w:val="auto"/>
                <w:sz w:val="24"/>
              </w:rPr>
            </w:pPr>
            <w:r>
              <w:rPr>
                <w:rFonts w:ascii="Times New Roman" w:eastAsiaTheme="minorEastAsia"/>
                <w:color w:val="auto"/>
                <w:sz w:val="24"/>
              </w:rPr>
              <w:t>（7）机修废物</w:t>
            </w:r>
          </w:p>
          <w:p w14:paraId="02F74D69">
            <w:pPr>
              <w:pStyle w:val="70"/>
              <w:ind w:firstLine="480"/>
              <w:rPr>
                <w:rFonts w:eastAsiaTheme="minorEastAsia"/>
                <w:color w:val="auto"/>
              </w:rPr>
            </w:pPr>
            <w:r>
              <w:rPr>
                <w:rFonts w:eastAsiaTheme="minorEastAsia"/>
                <w:color w:val="auto"/>
              </w:rPr>
              <w:t>项目机械设备在日常的保养和维修过程，会产生一定量的废机油、废机油桶</w:t>
            </w:r>
            <w:r>
              <w:rPr>
                <w:rFonts w:hint="eastAsia" w:eastAsiaTheme="minorEastAsia"/>
                <w:color w:val="auto"/>
              </w:rPr>
              <w:t>和废劳保用品</w:t>
            </w:r>
            <w:r>
              <w:rPr>
                <w:rFonts w:eastAsiaTheme="minorEastAsia"/>
                <w:color w:val="auto"/>
              </w:rPr>
              <w:t>，根据</w:t>
            </w:r>
            <w:r>
              <w:rPr>
                <w:rFonts w:hint="eastAsia" w:eastAsiaTheme="minorEastAsia"/>
                <w:color w:val="auto"/>
              </w:rPr>
              <w:t>原有</w:t>
            </w:r>
            <w:r>
              <w:rPr>
                <w:rFonts w:eastAsiaTheme="minorEastAsia"/>
                <w:color w:val="auto"/>
              </w:rPr>
              <w:t>项目运行情况，</w:t>
            </w:r>
            <w:r>
              <w:rPr>
                <w:rFonts w:hint="eastAsia" w:eastAsiaTheme="minorEastAsia"/>
                <w:color w:val="auto"/>
              </w:rPr>
              <w:t>本项目改扩建完成后，全厂</w:t>
            </w:r>
            <w:r>
              <w:rPr>
                <w:rFonts w:eastAsiaTheme="minorEastAsia"/>
                <w:color w:val="auto"/>
              </w:rPr>
              <w:t>废机油产生量约0.2t/a，废机油桶产生量约0.1t/a</w:t>
            </w:r>
            <w:r>
              <w:rPr>
                <w:rFonts w:hint="eastAsia" w:eastAsiaTheme="minorEastAsia"/>
                <w:color w:val="auto"/>
              </w:rPr>
              <w:t>，废劳保用品0.07t/a</w:t>
            </w:r>
            <w:r>
              <w:rPr>
                <w:rFonts w:eastAsiaTheme="minorEastAsia"/>
                <w:color w:val="auto"/>
              </w:rPr>
              <w:t>。根据《国家危险废物名录（2025年版）》，属于HW08废矿物油与含矿物油废物中的“900-214-08车辆、轮船及其它机械维修过程中产生的废发动机油、制动器油、自动变速器油、齿轮油等废润滑油”，“900-249-08其他生产、销售、使用过程中产生的废矿物油及沾染矿物油的废弃包装物”</w:t>
            </w:r>
            <w:r>
              <w:rPr>
                <w:rFonts w:hint="eastAsia" w:eastAsiaTheme="minorEastAsia"/>
                <w:color w:val="auto"/>
              </w:rPr>
              <w:t>，HW49其他废物中的“900-041-49含油或者沾染毒性、感染性危险废物的废弃的包装物、容器、过滤吸附介质”</w:t>
            </w:r>
            <w:r>
              <w:rPr>
                <w:rFonts w:eastAsiaTheme="minorEastAsia"/>
                <w:color w:val="auto"/>
              </w:rPr>
              <w:t>。</w:t>
            </w:r>
          </w:p>
          <w:p w14:paraId="64615968">
            <w:pPr>
              <w:pStyle w:val="70"/>
              <w:ind w:firstLine="480"/>
              <w:rPr>
                <w:rFonts w:eastAsiaTheme="minorEastAsia"/>
                <w:color w:val="auto"/>
              </w:rPr>
            </w:pPr>
            <w:r>
              <w:rPr>
                <w:rFonts w:hint="eastAsia" w:eastAsiaTheme="minorEastAsia"/>
                <w:color w:val="auto"/>
              </w:rPr>
              <w:t>原有项目废劳保用品并入生活垃圾处理方式在本项目改扩建完成后将从严管理，不允许所以并入生活垃圾处理。</w:t>
            </w:r>
            <w:r>
              <w:rPr>
                <w:rFonts w:eastAsiaTheme="minorEastAsia"/>
                <w:color w:val="auto"/>
              </w:rPr>
              <w:t>废机油、废机油桶</w:t>
            </w:r>
            <w:r>
              <w:rPr>
                <w:rFonts w:hint="eastAsia" w:eastAsiaTheme="minorEastAsia"/>
                <w:color w:val="auto"/>
              </w:rPr>
              <w:t>、废劳保用品</w:t>
            </w:r>
            <w:r>
              <w:rPr>
                <w:rFonts w:eastAsiaTheme="minorEastAsia"/>
                <w:color w:val="auto"/>
              </w:rPr>
              <w:t>分类收集后暂存于危废暂存间，</w:t>
            </w:r>
            <w:r>
              <w:rPr>
                <w:rFonts w:hint="eastAsia" w:eastAsiaTheme="minorEastAsia"/>
                <w:color w:val="auto"/>
              </w:rPr>
              <w:t>废机油用于厂区内机械设备擦拭润滑，其余危险废物</w:t>
            </w:r>
            <w:r>
              <w:rPr>
                <w:rFonts w:eastAsiaTheme="minorEastAsia"/>
                <w:color w:val="auto"/>
              </w:rPr>
              <w:t>委托有资质单位处置。</w:t>
            </w:r>
          </w:p>
          <w:p w14:paraId="3B83474E">
            <w:pPr>
              <w:adjustRightInd w:val="0"/>
              <w:snapToGrid w:val="0"/>
              <w:spacing w:line="360" w:lineRule="auto"/>
              <w:jc w:val="left"/>
              <w:rPr>
                <w:b/>
                <w:bCs/>
                <w:color w:val="auto"/>
                <w:sz w:val="24"/>
              </w:rPr>
            </w:pPr>
            <w:r>
              <w:rPr>
                <w:rFonts w:hint="eastAsia"/>
                <w:b/>
                <w:bCs/>
                <w:color w:val="auto"/>
                <w:sz w:val="24"/>
              </w:rPr>
              <w:t>4.2 固体废物环境管理要求</w:t>
            </w:r>
          </w:p>
          <w:p w14:paraId="5FFBEE0B">
            <w:pPr>
              <w:adjustRightInd w:val="0"/>
              <w:snapToGrid w:val="0"/>
              <w:spacing w:line="360" w:lineRule="auto"/>
              <w:ind w:firstLine="480" w:firstLineChars="200"/>
              <w:jc w:val="left"/>
              <w:rPr>
                <w:color w:val="auto"/>
                <w:kern w:val="24"/>
                <w:sz w:val="24"/>
              </w:rPr>
            </w:pPr>
            <w:r>
              <w:rPr>
                <w:rFonts w:hint="eastAsia"/>
                <w:color w:val="auto"/>
                <w:kern w:val="24"/>
                <w:sz w:val="24"/>
              </w:rPr>
              <w:t>（1）固体废物处置要求</w:t>
            </w:r>
          </w:p>
          <w:p w14:paraId="71272061">
            <w:pPr>
              <w:adjustRightInd w:val="0"/>
              <w:snapToGrid w:val="0"/>
              <w:spacing w:line="360" w:lineRule="auto"/>
              <w:ind w:firstLine="480" w:firstLineChars="200"/>
              <w:jc w:val="left"/>
              <w:rPr>
                <w:color w:val="auto"/>
                <w:kern w:val="24"/>
                <w:sz w:val="24"/>
              </w:rPr>
            </w:pPr>
            <w:r>
              <w:rPr>
                <w:rFonts w:hint="eastAsia"/>
                <w:color w:val="auto"/>
                <w:kern w:val="24"/>
                <w:sz w:val="24"/>
              </w:rPr>
              <w:t>项目固体废物按一般固废、危险废物、生活垃圾进行分类管理。</w:t>
            </w:r>
          </w:p>
          <w:p w14:paraId="20EF12D1">
            <w:pPr>
              <w:adjustRightInd w:val="0"/>
              <w:snapToGrid w:val="0"/>
              <w:spacing w:line="360" w:lineRule="auto"/>
              <w:ind w:firstLine="480" w:firstLineChars="200"/>
              <w:jc w:val="left"/>
              <w:rPr>
                <w:color w:val="auto"/>
                <w:kern w:val="24"/>
                <w:sz w:val="24"/>
              </w:rPr>
            </w:pPr>
            <w:bookmarkStart w:id="82" w:name="OLE_LINK18"/>
            <w:r>
              <w:rPr>
                <w:rFonts w:hint="eastAsia"/>
                <w:color w:val="auto"/>
                <w:kern w:val="24"/>
                <w:sz w:val="24"/>
              </w:rPr>
              <w:t>一般固废：废边角料、不合格产品、除尘灰经收集后暂存于一般固废暂存间，外售处置。</w:t>
            </w:r>
          </w:p>
          <w:p w14:paraId="6A5AC0BB">
            <w:pPr>
              <w:pStyle w:val="95"/>
              <w:spacing w:line="360" w:lineRule="auto"/>
              <w:ind w:firstLine="480"/>
              <w:jc w:val="left"/>
              <w:rPr>
                <w:rFonts w:ascii="Times New Roman" w:eastAsiaTheme="minorEastAsia"/>
                <w:color w:val="auto"/>
                <w:sz w:val="24"/>
              </w:rPr>
            </w:pPr>
            <w:r>
              <w:rPr>
                <w:rFonts w:ascii="Times New Roman" w:eastAsiaTheme="minorEastAsia"/>
                <w:color w:val="auto"/>
                <w:sz w:val="24"/>
              </w:rPr>
              <w:t>循环水池金属沉渣</w:t>
            </w:r>
            <w:r>
              <w:rPr>
                <w:rFonts w:hint="eastAsia" w:ascii="Times New Roman" w:eastAsiaTheme="minorEastAsia"/>
                <w:color w:val="auto"/>
                <w:sz w:val="24"/>
              </w:rPr>
              <w:t>定期清掏，每次清掏前进行浸出毒性检测，按照</w:t>
            </w:r>
            <w:r>
              <w:rPr>
                <w:rFonts w:ascii="Times New Roman" w:eastAsiaTheme="minorEastAsia"/>
                <w:color w:val="auto"/>
                <w:sz w:val="24"/>
              </w:rPr>
              <w:t>依据《危险废物鉴别标准 浸出毒性鉴别》（GB 5085.3-2007）</w:t>
            </w:r>
            <w:r>
              <w:rPr>
                <w:rFonts w:hint="eastAsia" w:ascii="Times New Roman" w:eastAsiaTheme="minorEastAsia"/>
                <w:color w:val="auto"/>
                <w:sz w:val="24"/>
              </w:rPr>
              <w:t>中相关方法进行浸出浓度鉴定，若</w:t>
            </w:r>
            <w:r>
              <w:rPr>
                <w:rFonts w:ascii="Times New Roman" w:eastAsiaTheme="minorEastAsia"/>
                <w:color w:val="auto"/>
                <w:sz w:val="24"/>
              </w:rPr>
              <w:t>固体废物浸出液中任何一种危害成分含量超过</w:t>
            </w:r>
            <w:r>
              <w:rPr>
                <w:rFonts w:hint="eastAsia" w:ascii="Times New Roman" w:eastAsiaTheme="minorEastAsia"/>
                <w:color w:val="auto"/>
                <w:sz w:val="24"/>
              </w:rPr>
              <w:t>标准</w:t>
            </w:r>
            <w:r>
              <w:rPr>
                <w:rFonts w:ascii="Times New Roman" w:eastAsiaTheme="minorEastAsia"/>
                <w:color w:val="auto"/>
                <w:sz w:val="24"/>
              </w:rPr>
              <w:t>浓度限值，则</w:t>
            </w:r>
            <w:r>
              <w:rPr>
                <w:rFonts w:hint="eastAsia" w:ascii="Times New Roman" w:eastAsiaTheme="minorEastAsia"/>
                <w:color w:val="auto"/>
                <w:sz w:val="24"/>
              </w:rPr>
              <w:t>作为</w:t>
            </w:r>
            <w:r>
              <w:rPr>
                <w:rFonts w:ascii="Times New Roman" w:eastAsiaTheme="minorEastAsia"/>
                <w:color w:val="auto"/>
                <w:sz w:val="24"/>
              </w:rPr>
              <w:t>具有浸出毒性特征的危险废物</w:t>
            </w:r>
            <w:r>
              <w:rPr>
                <w:rFonts w:hint="eastAsia" w:ascii="Times New Roman" w:eastAsiaTheme="minorEastAsia"/>
                <w:color w:val="auto"/>
                <w:sz w:val="24"/>
              </w:rPr>
              <w:t>进行处置，委托有相应资质单位进行处置；否则可以按照一般固废进行处置</w:t>
            </w:r>
            <w:r>
              <w:rPr>
                <w:rFonts w:ascii="Times New Roman" w:eastAsiaTheme="minorEastAsia"/>
                <w:color w:val="auto"/>
                <w:sz w:val="24"/>
              </w:rPr>
              <w:t>。</w:t>
            </w:r>
          </w:p>
          <w:p w14:paraId="10C70C63">
            <w:pPr>
              <w:adjustRightInd w:val="0"/>
              <w:snapToGrid w:val="0"/>
              <w:spacing w:line="360" w:lineRule="auto"/>
              <w:ind w:firstLine="480" w:firstLineChars="200"/>
              <w:jc w:val="left"/>
              <w:rPr>
                <w:color w:val="auto"/>
                <w:kern w:val="24"/>
                <w:sz w:val="24"/>
              </w:rPr>
            </w:pPr>
            <w:r>
              <w:rPr>
                <w:rFonts w:hint="eastAsia"/>
                <w:color w:val="auto"/>
                <w:kern w:val="24"/>
                <w:sz w:val="24"/>
              </w:rPr>
              <w:t>危险废物：废矿物油及含矿物油废物分类收集，分区分类暂存于危废暂存间，</w:t>
            </w:r>
            <w:bookmarkStart w:id="83" w:name="OLE_LINK6"/>
            <w:r>
              <w:rPr>
                <w:color w:val="auto"/>
                <w:kern w:val="24"/>
                <w:sz w:val="24"/>
              </w:rPr>
              <w:t>废机油用于厂区内机械设备擦拭润滑，其余危险废物委托有资质单位处置。</w:t>
            </w:r>
          </w:p>
          <w:bookmarkEnd w:id="83"/>
          <w:p w14:paraId="686C85BF">
            <w:pPr>
              <w:adjustRightInd w:val="0"/>
              <w:snapToGrid w:val="0"/>
              <w:spacing w:line="360" w:lineRule="auto"/>
              <w:ind w:firstLine="480" w:firstLineChars="200"/>
              <w:jc w:val="left"/>
              <w:rPr>
                <w:color w:val="auto"/>
                <w:kern w:val="24"/>
                <w:sz w:val="24"/>
              </w:rPr>
            </w:pPr>
            <w:r>
              <w:rPr>
                <w:rFonts w:hint="eastAsia"/>
                <w:color w:val="auto"/>
                <w:kern w:val="24"/>
                <w:sz w:val="24"/>
              </w:rPr>
              <w:t>生活垃圾委托环卫部门清运处置，化粪池污泥委托环卫部门清掏处置。</w:t>
            </w:r>
          </w:p>
          <w:bookmarkEnd w:id="82"/>
          <w:p w14:paraId="21A179A2">
            <w:pPr>
              <w:adjustRightInd w:val="0"/>
              <w:snapToGrid w:val="0"/>
              <w:spacing w:line="360" w:lineRule="auto"/>
              <w:ind w:firstLine="480" w:firstLineChars="200"/>
              <w:jc w:val="left"/>
              <w:rPr>
                <w:color w:val="auto"/>
                <w:kern w:val="24"/>
                <w:sz w:val="24"/>
              </w:rPr>
            </w:pPr>
            <w:r>
              <w:rPr>
                <w:rFonts w:hint="eastAsia"/>
                <w:color w:val="auto"/>
                <w:kern w:val="24"/>
                <w:sz w:val="24"/>
              </w:rPr>
              <w:t>本项目成品库设置面积20 m</w:t>
            </w:r>
            <w:r>
              <w:rPr>
                <w:rFonts w:hint="eastAsia"/>
                <w:color w:val="auto"/>
                <w:kern w:val="24"/>
                <w:sz w:val="24"/>
                <w:vertAlign w:val="superscript"/>
              </w:rPr>
              <w:t>2</w:t>
            </w:r>
            <w:r>
              <w:rPr>
                <w:rFonts w:hint="eastAsia"/>
                <w:color w:val="auto"/>
                <w:kern w:val="24"/>
                <w:sz w:val="24"/>
              </w:rPr>
              <w:t>的一般固废暂存间，临时存放一般工业固废。一般固废堆放场所选址，运行等满足《一般工业固体废物贮存和填埋污染控制标准》（GB 18599-2020）中相关要求。</w:t>
            </w:r>
          </w:p>
          <w:p w14:paraId="4AC3F5FF">
            <w:pPr>
              <w:adjustRightInd w:val="0"/>
              <w:snapToGrid w:val="0"/>
              <w:spacing w:line="360" w:lineRule="auto"/>
              <w:ind w:firstLine="480" w:firstLineChars="200"/>
              <w:rPr>
                <w:color w:val="auto"/>
                <w:kern w:val="24"/>
                <w:sz w:val="24"/>
              </w:rPr>
            </w:pPr>
            <w:r>
              <w:rPr>
                <w:rFonts w:hint="eastAsia"/>
                <w:color w:val="auto"/>
                <w:kern w:val="24"/>
                <w:sz w:val="24"/>
              </w:rPr>
              <w:t>本项目成品库设置面积</w:t>
            </w:r>
            <w:r>
              <w:rPr>
                <w:color w:val="auto"/>
                <w:kern w:val="24"/>
                <w:sz w:val="24"/>
              </w:rPr>
              <w:t>5</w:t>
            </w:r>
            <w:r>
              <w:rPr>
                <w:rFonts w:hint="eastAsia"/>
                <w:color w:val="auto"/>
                <w:kern w:val="24"/>
                <w:sz w:val="24"/>
              </w:rPr>
              <w:t xml:space="preserve"> m</w:t>
            </w:r>
            <w:r>
              <w:rPr>
                <w:rFonts w:hint="eastAsia"/>
                <w:color w:val="auto"/>
                <w:kern w:val="24"/>
                <w:sz w:val="24"/>
                <w:vertAlign w:val="superscript"/>
              </w:rPr>
              <w:t>2</w:t>
            </w:r>
            <w:r>
              <w:rPr>
                <w:rFonts w:hint="eastAsia"/>
                <w:color w:val="auto"/>
                <w:kern w:val="24"/>
                <w:sz w:val="24"/>
              </w:rPr>
              <w:t>的危废暂存间，临时存放危险废物。本项目危险废物产生量预计为0</w:t>
            </w:r>
            <w:r>
              <w:rPr>
                <w:color w:val="auto"/>
                <w:kern w:val="24"/>
                <w:sz w:val="24"/>
              </w:rPr>
              <w:t>.3</w:t>
            </w:r>
            <w:r>
              <w:rPr>
                <w:rFonts w:hint="eastAsia"/>
                <w:color w:val="auto"/>
                <w:kern w:val="24"/>
                <w:sz w:val="24"/>
              </w:rPr>
              <w:t>7</w:t>
            </w:r>
            <w:r>
              <w:rPr>
                <w:color w:val="auto"/>
                <w:kern w:val="24"/>
                <w:sz w:val="24"/>
              </w:rPr>
              <w:t>t/a</w:t>
            </w:r>
            <w:r>
              <w:rPr>
                <w:rFonts w:hint="eastAsia"/>
                <w:color w:val="auto"/>
                <w:kern w:val="24"/>
                <w:sz w:val="24"/>
              </w:rPr>
              <w:t>，危废暂存间可以满足贮存需求。由专人负责管理，为防止危险堆放期间对环境产生不利影响，贮存室内应有隔离设施、防风、防晒、防雨、防渗、防火设施，</w:t>
            </w:r>
            <w:r>
              <w:rPr>
                <w:color w:val="auto"/>
                <w:kern w:val="24"/>
                <w:sz w:val="24"/>
              </w:rPr>
              <w:t>严格按照</w:t>
            </w:r>
            <w:r>
              <w:rPr>
                <w:rFonts w:hint="eastAsia"/>
                <w:color w:val="auto"/>
                <w:kern w:val="24"/>
                <w:sz w:val="24"/>
              </w:rPr>
              <w:t>《危险废物贮存污染控制标准》（GB18597-2023）</w:t>
            </w:r>
            <w:r>
              <w:rPr>
                <w:color w:val="auto"/>
                <w:kern w:val="24"/>
                <w:sz w:val="24"/>
              </w:rPr>
              <w:t>要求设置，危险废物的收集、运输应按照《危险废物收集、贮存、运输技术规范》（HJ2025-2012）的要求进行。</w:t>
            </w:r>
          </w:p>
          <w:p w14:paraId="78C6F207">
            <w:pPr>
              <w:adjustRightInd w:val="0"/>
              <w:snapToGrid w:val="0"/>
              <w:spacing w:line="360" w:lineRule="auto"/>
              <w:ind w:firstLine="480" w:firstLineChars="200"/>
              <w:jc w:val="left"/>
              <w:rPr>
                <w:color w:val="auto"/>
                <w:kern w:val="24"/>
                <w:sz w:val="24"/>
              </w:rPr>
            </w:pPr>
            <w:r>
              <w:rPr>
                <w:color w:val="auto"/>
                <w:kern w:val="24"/>
                <w:sz w:val="24"/>
              </w:rPr>
              <w:t>本次对危废暂存间按《危险废物识别标志设置技术规范》（HJ 1276-2022）《危险废物贮存污染控制标准》（GB18597-2023）的相关规定规范设置暂存间及标识牌。</w:t>
            </w:r>
          </w:p>
          <w:p w14:paraId="7212B6DB">
            <w:pPr>
              <w:adjustRightInd w:val="0"/>
              <w:snapToGrid w:val="0"/>
              <w:spacing w:line="360" w:lineRule="auto"/>
              <w:ind w:firstLine="480" w:firstLineChars="200"/>
              <w:rPr>
                <w:color w:val="auto"/>
                <w:kern w:val="24"/>
                <w:sz w:val="24"/>
              </w:rPr>
            </w:pPr>
            <w:r>
              <w:rPr>
                <w:rFonts w:hint="eastAsia"/>
                <w:color w:val="auto"/>
                <w:kern w:val="24"/>
                <w:sz w:val="24"/>
              </w:rPr>
              <w:t>（2）固体废物贮存管理要求</w:t>
            </w:r>
          </w:p>
          <w:p w14:paraId="52FDF2AF">
            <w:pPr>
              <w:adjustRightInd w:val="0"/>
              <w:snapToGrid w:val="0"/>
              <w:spacing w:line="360" w:lineRule="auto"/>
              <w:ind w:firstLine="480" w:firstLineChars="200"/>
              <w:rPr>
                <w:color w:val="auto"/>
                <w:kern w:val="24"/>
                <w:sz w:val="24"/>
              </w:rPr>
            </w:pPr>
            <w:r>
              <w:rPr>
                <w:rFonts w:hint="eastAsia"/>
                <w:color w:val="auto"/>
                <w:kern w:val="24"/>
                <w:sz w:val="24"/>
              </w:rPr>
              <w:t>一般工业固废：</w:t>
            </w:r>
          </w:p>
          <w:p w14:paraId="7353F89D">
            <w:pPr>
              <w:adjustRightInd w:val="0"/>
              <w:snapToGrid w:val="0"/>
              <w:spacing w:line="360" w:lineRule="auto"/>
              <w:ind w:firstLine="480" w:firstLineChars="200"/>
              <w:rPr>
                <w:color w:val="auto"/>
                <w:kern w:val="24"/>
                <w:sz w:val="24"/>
              </w:rPr>
            </w:pPr>
            <w:r>
              <w:rPr>
                <w:rFonts w:hint="eastAsia"/>
                <w:color w:val="auto"/>
                <w:kern w:val="24"/>
                <w:sz w:val="24"/>
              </w:rPr>
              <w:t>①要按照《一般工业固体废物贮存和填埋污染控制标准》（GB 18599-2020）的要求设置暂存场所。</w:t>
            </w:r>
          </w:p>
          <w:p w14:paraId="7775A574">
            <w:pPr>
              <w:adjustRightInd w:val="0"/>
              <w:snapToGrid w:val="0"/>
              <w:spacing w:line="360" w:lineRule="auto"/>
              <w:ind w:firstLine="480" w:firstLineChars="200"/>
              <w:rPr>
                <w:color w:val="auto"/>
                <w:kern w:val="24"/>
                <w:sz w:val="24"/>
              </w:rPr>
            </w:pPr>
            <w:r>
              <w:rPr>
                <w:rFonts w:hint="eastAsia"/>
                <w:color w:val="auto"/>
                <w:kern w:val="24"/>
                <w:sz w:val="24"/>
              </w:rPr>
              <w:t>②不得露天堆放，防止雨水进入产生二次污染。</w:t>
            </w:r>
          </w:p>
          <w:p w14:paraId="77594E3F">
            <w:pPr>
              <w:adjustRightInd w:val="0"/>
              <w:snapToGrid w:val="0"/>
              <w:spacing w:line="360" w:lineRule="auto"/>
              <w:ind w:firstLine="480" w:firstLineChars="200"/>
              <w:rPr>
                <w:color w:val="auto"/>
                <w:kern w:val="24"/>
                <w:sz w:val="24"/>
              </w:rPr>
            </w:pPr>
            <w:r>
              <w:rPr>
                <w:rFonts w:hint="eastAsia"/>
                <w:color w:val="auto"/>
                <w:kern w:val="24"/>
                <w:sz w:val="24"/>
              </w:rPr>
              <w:t>③一般固废暂存间按照《一般工业固体废物贮存和填埋污染控制标准》（GB 18599-2020）标准相关要求建设，地面基础及内墙采取防渗措施，使用防水混凝土。一般固体废物按照不同的类别和性质，分区堆放。通过规范设置固体废物暂存场，同时建立完善厂内固体废物防范措施和管理制度，可使固体废物在收集、存放过程中对环境的影响至最低限度。</w:t>
            </w:r>
          </w:p>
          <w:p w14:paraId="381BB183">
            <w:pPr>
              <w:adjustRightInd w:val="0"/>
              <w:snapToGrid w:val="0"/>
              <w:spacing w:line="360" w:lineRule="auto"/>
              <w:ind w:firstLine="480" w:firstLineChars="200"/>
              <w:rPr>
                <w:color w:val="auto"/>
                <w:kern w:val="24"/>
                <w:sz w:val="24"/>
              </w:rPr>
            </w:pPr>
            <w:r>
              <w:rPr>
                <w:rFonts w:hint="eastAsia"/>
                <w:color w:val="auto"/>
                <w:kern w:val="24"/>
                <w:sz w:val="24"/>
              </w:rPr>
              <w:t>危险废物：</w:t>
            </w:r>
          </w:p>
          <w:p w14:paraId="0B3B6568">
            <w:pPr>
              <w:adjustRightInd w:val="0"/>
              <w:snapToGrid w:val="0"/>
              <w:spacing w:line="360" w:lineRule="auto"/>
              <w:ind w:firstLine="480" w:firstLineChars="200"/>
              <w:jc w:val="left"/>
              <w:rPr>
                <w:color w:val="auto"/>
                <w:kern w:val="24"/>
                <w:sz w:val="24"/>
              </w:rPr>
            </w:pPr>
            <w:r>
              <w:rPr>
                <w:rFonts w:hint="eastAsia"/>
                <w:color w:val="auto"/>
                <w:kern w:val="24"/>
                <w:sz w:val="24"/>
              </w:rPr>
              <w:t>①本次对危险废物暂存间进行重点防渗，严格按照《危险废物贮存污染控制标准》（GB18597-2023）要求建设。基础防渗层为至少1m 厚粘土层（渗透系数≦10</w:t>
            </w:r>
            <w:r>
              <w:rPr>
                <w:rFonts w:hint="eastAsia"/>
                <w:color w:val="auto"/>
                <w:kern w:val="24"/>
                <w:sz w:val="24"/>
                <w:vertAlign w:val="superscript"/>
              </w:rPr>
              <w:t>-7</w:t>
            </w:r>
            <w:r>
              <w:rPr>
                <w:rFonts w:hint="eastAsia"/>
                <w:color w:val="auto"/>
                <w:kern w:val="24"/>
                <w:sz w:val="24"/>
              </w:rPr>
              <w:t>cm/s）或至少2mm厚高密度聚乙烯膜等人工防渗材料（渗透系数≦10</w:t>
            </w:r>
            <w:r>
              <w:rPr>
                <w:rFonts w:hint="eastAsia"/>
                <w:color w:val="auto"/>
                <w:kern w:val="24"/>
                <w:sz w:val="24"/>
                <w:vertAlign w:val="superscript"/>
              </w:rPr>
              <w:t>-10</w:t>
            </w:r>
            <w:r>
              <w:rPr>
                <w:rFonts w:hint="eastAsia"/>
                <w:color w:val="auto"/>
                <w:kern w:val="24"/>
                <w:sz w:val="24"/>
              </w:rPr>
              <w:t>cm/s），或其他防渗性能等效的材料。</w:t>
            </w:r>
            <w:r>
              <w:rPr>
                <w:color w:val="auto"/>
                <w:kern w:val="24"/>
                <w:sz w:val="24"/>
              </w:rPr>
              <w:t>本次环评建议采用防渗措施为抗渗混凝土+2mm厚高密度聚乙烯膜+环氧树脂涂层，渗透系数≤10</w:t>
            </w:r>
            <w:r>
              <w:rPr>
                <w:color w:val="auto"/>
                <w:kern w:val="24"/>
                <w:sz w:val="24"/>
                <w:vertAlign w:val="superscript"/>
              </w:rPr>
              <w:t>-7</w:t>
            </w:r>
            <w:r>
              <w:rPr>
                <w:color w:val="auto"/>
                <w:kern w:val="24"/>
                <w:sz w:val="24"/>
              </w:rPr>
              <w:t>cm/s。</w:t>
            </w:r>
          </w:p>
          <w:p w14:paraId="5394984B">
            <w:pPr>
              <w:adjustRightInd w:val="0"/>
              <w:snapToGrid w:val="0"/>
              <w:spacing w:line="360" w:lineRule="auto"/>
              <w:ind w:firstLine="480" w:firstLineChars="200"/>
              <w:jc w:val="left"/>
              <w:rPr>
                <w:color w:val="auto"/>
                <w:kern w:val="24"/>
                <w:sz w:val="24"/>
              </w:rPr>
            </w:pPr>
            <w:r>
              <w:rPr>
                <w:rFonts w:hint="eastAsia"/>
                <w:color w:val="auto"/>
                <w:kern w:val="24"/>
                <w:sz w:val="24"/>
              </w:rPr>
              <w:t>②危废暂存间防渗工程的施工监理及其相关材料的留档备查要求（隐蔽工程的原材料购置和使用票据、阶段性施工图像等资料）。</w:t>
            </w:r>
          </w:p>
          <w:p w14:paraId="4E160BF6">
            <w:pPr>
              <w:adjustRightInd w:val="0"/>
              <w:snapToGrid w:val="0"/>
              <w:spacing w:line="360" w:lineRule="auto"/>
              <w:ind w:firstLine="480" w:firstLineChars="200"/>
              <w:jc w:val="left"/>
              <w:rPr>
                <w:color w:val="auto"/>
                <w:kern w:val="24"/>
                <w:sz w:val="24"/>
              </w:rPr>
            </w:pPr>
            <w:r>
              <w:rPr>
                <w:rFonts w:hint="eastAsia"/>
                <w:color w:val="auto"/>
                <w:kern w:val="24"/>
                <w:sz w:val="24"/>
              </w:rPr>
              <w:t>③危险废物暂存间应具有液体泄漏堵截设施，堵截设施最小容积不应低于对应贮存区域最大液态废物容器容积或液态废物总储量1/10（二者取较大者）；用于贮存可能产生渗滤液的危险废物的贮存库或贮存分区应设计渗滤液收集设施，收集设施容积应满足渗滤液的收集要求。</w:t>
            </w:r>
          </w:p>
          <w:p w14:paraId="40D61F68">
            <w:pPr>
              <w:adjustRightInd w:val="0"/>
              <w:snapToGrid w:val="0"/>
              <w:spacing w:line="360" w:lineRule="auto"/>
              <w:ind w:firstLine="480" w:firstLineChars="200"/>
              <w:rPr>
                <w:color w:val="auto"/>
                <w:kern w:val="24"/>
                <w:sz w:val="24"/>
              </w:rPr>
            </w:pPr>
            <w:r>
              <w:rPr>
                <w:rFonts w:hint="eastAsia"/>
                <w:color w:val="auto"/>
                <w:kern w:val="24"/>
                <w:sz w:val="24"/>
              </w:rPr>
              <w:t>④</w:t>
            </w:r>
            <w:r>
              <w:rPr>
                <w:rFonts w:hint="eastAsia" w:ascii="宋体" w:cs="宋体"/>
                <w:color w:val="auto"/>
                <w:kern w:val="0"/>
                <w:sz w:val="24"/>
              </w:rPr>
              <w:t>贮存设施地面与裙脚应采取表面防渗措施，表面防渗材料应与所接触的物料或污染物相容</w:t>
            </w:r>
            <w:r>
              <w:rPr>
                <w:rFonts w:hint="eastAsia"/>
                <w:color w:val="auto"/>
                <w:kern w:val="24"/>
                <w:sz w:val="24"/>
              </w:rPr>
              <w:t>。</w:t>
            </w:r>
          </w:p>
          <w:p w14:paraId="717FBB9C">
            <w:pPr>
              <w:adjustRightInd w:val="0"/>
              <w:snapToGrid w:val="0"/>
              <w:spacing w:line="360" w:lineRule="auto"/>
              <w:ind w:firstLine="480" w:firstLineChars="200"/>
              <w:rPr>
                <w:color w:val="auto"/>
                <w:kern w:val="24"/>
                <w:sz w:val="24"/>
              </w:rPr>
            </w:pPr>
            <w:r>
              <w:rPr>
                <w:rFonts w:hint="eastAsia"/>
                <w:color w:val="auto"/>
                <w:kern w:val="24"/>
                <w:sz w:val="24"/>
              </w:rPr>
              <w:t>⑤对危险废物的容器或包装物以及收集、贮存、运输、处置危险废物的设施、场所，必须设置危险废物识别标志。</w:t>
            </w:r>
          </w:p>
          <w:p w14:paraId="4C4D3FEA">
            <w:pPr>
              <w:adjustRightInd w:val="0"/>
              <w:snapToGrid w:val="0"/>
              <w:spacing w:line="360" w:lineRule="auto"/>
              <w:ind w:firstLine="480" w:firstLineChars="200"/>
              <w:rPr>
                <w:color w:val="auto"/>
                <w:kern w:val="24"/>
                <w:sz w:val="24"/>
              </w:rPr>
            </w:pPr>
            <w:r>
              <w:rPr>
                <w:rFonts w:hint="eastAsia"/>
                <w:color w:val="auto"/>
                <w:kern w:val="24"/>
                <w:sz w:val="24"/>
              </w:rPr>
              <w:t>⑥各类危险废物分类编号，用固定的容器密闭贮存。废弃物入室堆放前，均需填写台账清单，经核准后方可入场。</w:t>
            </w:r>
          </w:p>
          <w:p w14:paraId="4A99D1BE">
            <w:pPr>
              <w:adjustRightInd w:val="0"/>
              <w:snapToGrid w:val="0"/>
              <w:spacing w:line="360" w:lineRule="auto"/>
              <w:ind w:firstLine="480" w:firstLineChars="200"/>
              <w:rPr>
                <w:color w:val="auto"/>
                <w:kern w:val="24"/>
                <w:sz w:val="24"/>
              </w:rPr>
            </w:pPr>
            <w:r>
              <w:rPr>
                <w:rFonts w:hint="eastAsia"/>
                <w:color w:val="auto"/>
                <w:kern w:val="24"/>
                <w:sz w:val="24"/>
              </w:rPr>
              <w:t>⑦</w:t>
            </w:r>
            <w:r>
              <w:rPr>
                <w:color w:val="auto"/>
                <w:kern w:val="24"/>
                <w:sz w:val="24"/>
              </w:rPr>
              <w:t>对危险废物的容器或包装物以及收集、贮存、运输、处置危险废物的设施、场所，必须设置危险废物识别标志等</w:t>
            </w:r>
            <w:r>
              <w:rPr>
                <w:rFonts w:hint="eastAsia"/>
                <w:color w:val="auto"/>
                <w:kern w:val="24"/>
                <w:sz w:val="24"/>
              </w:rPr>
              <w:t>。危险废物的容器上必须粘贴符合标准要求的标签，标明贮存日期、名称、成份、数量及特性。</w:t>
            </w:r>
          </w:p>
          <w:p w14:paraId="0A1048C8">
            <w:pPr>
              <w:adjustRightInd w:val="0"/>
              <w:snapToGrid w:val="0"/>
              <w:spacing w:line="360" w:lineRule="auto"/>
              <w:jc w:val="left"/>
              <w:rPr>
                <w:b/>
                <w:bCs/>
                <w:color w:val="auto"/>
                <w:sz w:val="24"/>
              </w:rPr>
            </w:pPr>
            <w:r>
              <w:rPr>
                <w:rFonts w:hint="eastAsia"/>
                <w:b/>
                <w:bCs/>
                <w:color w:val="auto"/>
                <w:sz w:val="24"/>
              </w:rPr>
              <w:t>4.3 固体废物环境影响分析</w:t>
            </w:r>
          </w:p>
          <w:p w14:paraId="4B079058">
            <w:pPr>
              <w:adjustRightInd w:val="0"/>
              <w:snapToGrid w:val="0"/>
              <w:spacing w:line="360" w:lineRule="auto"/>
              <w:ind w:firstLine="480" w:firstLineChars="200"/>
              <w:rPr>
                <w:color w:val="auto"/>
                <w:kern w:val="24"/>
                <w:sz w:val="24"/>
              </w:rPr>
            </w:pPr>
            <w:r>
              <w:rPr>
                <w:rFonts w:hint="eastAsia"/>
                <w:color w:val="auto"/>
                <w:kern w:val="24"/>
                <w:sz w:val="24"/>
              </w:rPr>
              <w:t>本项目产生的固废经妥善处理、处置后，对周围环境不会造成影响，所采取的治理措施是可行的。</w:t>
            </w:r>
          </w:p>
          <w:p w14:paraId="755B1361">
            <w:pPr>
              <w:adjustRightInd w:val="0"/>
              <w:snapToGrid w:val="0"/>
              <w:spacing w:line="360" w:lineRule="auto"/>
              <w:jc w:val="left"/>
              <w:rPr>
                <w:b/>
                <w:bCs/>
                <w:color w:val="auto"/>
                <w:sz w:val="24"/>
              </w:rPr>
            </w:pPr>
            <w:r>
              <w:rPr>
                <w:rFonts w:hint="eastAsia"/>
                <w:b/>
                <w:bCs/>
                <w:color w:val="auto"/>
                <w:sz w:val="24"/>
              </w:rPr>
              <w:t>5、运营期</w:t>
            </w:r>
            <w:r>
              <w:rPr>
                <w:rFonts w:hint="eastAsia"/>
                <w:b/>
                <w:color w:val="auto"/>
                <w:kern w:val="24"/>
                <w:sz w:val="24"/>
              </w:rPr>
              <w:t>地下水</w:t>
            </w:r>
            <w:r>
              <w:rPr>
                <w:rFonts w:hint="eastAsia"/>
                <w:b/>
                <w:bCs/>
                <w:color w:val="auto"/>
                <w:sz w:val="24"/>
              </w:rPr>
              <w:t>环境影响和保护措施</w:t>
            </w:r>
          </w:p>
          <w:p w14:paraId="02DB21B2">
            <w:pPr>
              <w:adjustRightInd w:val="0"/>
              <w:snapToGrid w:val="0"/>
              <w:spacing w:line="360" w:lineRule="auto"/>
              <w:ind w:firstLine="480" w:firstLineChars="200"/>
              <w:rPr>
                <w:bCs/>
                <w:color w:val="auto"/>
                <w:sz w:val="24"/>
              </w:rPr>
            </w:pPr>
            <w:r>
              <w:rPr>
                <w:rFonts w:hint="eastAsia"/>
                <w:bCs/>
                <w:color w:val="auto"/>
                <w:sz w:val="24"/>
              </w:rPr>
              <w:t>本项目正常情况下，无地下水、土壤污染途径。但若发生防渗层破损等非正常状况下，危废暂存间液体废物泄露、循环水池冷却水、生活污水垂直入渗，可能对区域地下水及土壤造成影响。</w:t>
            </w:r>
          </w:p>
          <w:p w14:paraId="2BA8695B">
            <w:pPr>
              <w:pStyle w:val="31"/>
              <w:adjustRightInd w:val="0"/>
              <w:snapToGrid w:val="0"/>
              <w:spacing w:after="0" w:line="360" w:lineRule="auto"/>
              <w:ind w:left="0" w:leftChars="0" w:firstLine="480"/>
              <w:rPr>
                <w:color w:val="auto"/>
                <w:sz w:val="24"/>
              </w:rPr>
            </w:pPr>
            <w:r>
              <w:rPr>
                <w:rFonts w:hint="eastAsia"/>
                <w:color w:val="auto"/>
                <w:sz w:val="24"/>
              </w:rPr>
              <w:t>本项目地下水、土壤污染分析见下表。</w:t>
            </w:r>
          </w:p>
          <w:p w14:paraId="76DE8AAB">
            <w:pPr>
              <w:adjustRightInd w:val="0"/>
              <w:snapToGrid w:val="0"/>
              <w:spacing w:line="360" w:lineRule="auto"/>
              <w:ind w:firstLine="482" w:firstLineChars="200"/>
              <w:jc w:val="center"/>
              <w:rPr>
                <w:b/>
                <w:color w:val="auto"/>
                <w:kern w:val="24"/>
                <w:sz w:val="24"/>
              </w:rPr>
            </w:pPr>
            <w:r>
              <w:rPr>
                <w:rFonts w:hint="eastAsia"/>
                <w:b/>
                <w:color w:val="auto"/>
                <w:kern w:val="24"/>
                <w:sz w:val="24"/>
              </w:rPr>
              <w:t>表4-1</w:t>
            </w:r>
            <w:r>
              <w:rPr>
                <w:b/>
                <w:color w:val="auto"/>
                <w:kern w:val="24"/>
                <w:sz w:val="24"/>
              </w:rPr>
              <w:t>8</w:t>
            </w:r>
            <w:r>
              <w:rPr>
                <w:rFonts w:hint="eastAsia"/>
                <w:b/>
                <w:color w:val="auto"/>
                <w:kern w:val="24"/>
                <w:sz w:val="24"/>
              </w:rPr>
              <w:t xml:space="preserve">  地下水、土壤污染分析一览表</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2171"/>
              <w:gridCol w:w="1559"/>
              <w:gridCol w:w="3828"/>
              <w:gridCol w:w="1332"/>
            </w:tblGrid>
            <w:tr w14:paraId="230A5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2171" w:type="dxa"/>
                  <w:vAlign w:val="center"/>
                </w:tcPr>
                <w:p w14:paraId="527AC552">
                  <w:pPr>
                    <w:adjustRightInd w:val="0"/>
                    <w:snapToGrid w:val="0"/>
                    <w:jc w:val="center"/>
                    <w:rPr>
                      <w:color w:val="auto"/>
                      <w:kern w:val="24"/>
                      <w:szCs w:val="21"/>
                    </w:rPr>
                  </w:pPr>
                  <w:r>
                    <w:rPr>
                      <w:rFonts w:hint="eastAsia"/>
                      <w:color w:val="auto"/>
                      <w:kern w:val="24"/>
                      <w:szCs w:val="21"/>
                    </w:rPr>
                    <w:t>地下水、土壤污染源</w:t>
                  </w:r>
                </w:p>
              </w:tc>
              <w:tc>
                <w:tcPr>
                  <w:tcW w:w="1559" w:type="dxa"/>
                  <w:vAlign w:val="center"/>
                </w:tcPr>
                <w:p w14:paraId="4AF0B6BA">
                  <w:pPr>
                    <w:adjustRightInd w:val="0"/>
                    <w:snapToGrid w:val="0"/>
                    <w:jc w:val="center"/>
                    <w:rPr>
                      <w:color w:val="auto"/>
                      <w:kern w:val="24"/>
                      <w:szCs w:val="21"/>
                    </w:rPr>
                  </w:pPr>
                  <w:r>
                    <w:rPr>
                      <w:rFonts w:hint="eastAsia"/>
                      <w:color w:val="auto"/>
                      <w:kern w:val="24"/>
                      <w:szCs w:val="21"/>
                    </w:rPr>
                    <w:t>污染物类型</w:t>
                  </w:r>
                </w:p>
              </w:tc>
              <w:tc>
                <w:tcPr>
                  <w:tcW w:w="3828" w:type="dxa"/>
                  <w:vAlign w:val="center"/>
                </w:tcPr>
                <w:p w14:paraId="0F9ED28B">
                  <w:pPr>
                    <w:adjustRightInd w:val="0"/>
                    <w:snapToGrid w:val="0"/>
                    <w:jc w:val="center"/>
                    <w:rPr>
                      <w:color w:val="auto"/>
                      <w:kern w:val="24"/>
                      <w:szCs w:val="21"/>
                    </w:rPr>
                  </w:pPr>
                  <w:r>
                    <w:rPr>
                      <w:rFonts w:hint="eastAsia"/>
                      <w:color w:val="auto"/>
                      <w:kern w:val="24"/>
                      <w:szCs w:val="21"/>
                    </w:rPr>
                    <w:t>污染途径</w:t>
                  </w:r>
                </w:p>
              </w:tc>
              <w:tc>
                <w:tcPr>
                  <w:tcW w:w="1332" w:type="dxa"/>
                  <w:vAlign w:val="center"/>
                </w:tcPr>
                <w:p w14:paraId="5AFFD139">
                  <w:pPr>
                    <w:adjustRightInd w:val="0"/>
                    <w:snapToGrid w:val="0"/>
                    <w:jc w:val="center"/>
                    <w:rPr>
                      <w:color w:val="auto"/>
                      <w:kern w:val="24"/>
                      <w:szCs w:val="21"/>
                    </w:rPr>
                  </w:pPr>
                  <w:r>
                    <w:rPr>
                      <w:rFonts w:hint="eastAsia"/>
                      <w:color w:val="auto"/>
                      <w:kern w:val="24"/>
                      <w:szCs w:val="21"/>
                    </w:rPr>
                    <w:t>分区防控</w:t>
                  </w:r>
                </w:p>
              </w:tc>
            </w:tr>
            <w:tr w14:paraId="1CF65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2171" w:type="dxa"/>
                  <w:vAlign w:val="center"/>
                </w:tcPr>
                <w:p w14:paraId="5DBC1B78">
                  <w:pPr>
                    <w:adjustRightInd w:val="0"/>
                    <w:snapToGrid w:val="0"/>
                    <w:jc w:val="center"/>
                    <w:rPr>
                      <w:color w:val="auto"/>
                      <w:kern w:val="24"/>
                      <w:szCs w:val="21"/>
                    </w:rPr>
                  </w:pPr>
                  <w:r>
                    <w:rPr>
                      <w:rFonts w:hint="eastAsia"/>
                      <w:color w:val="auto"/>
                      <w:kern w:val="24"/>
                      <w:szCs w:val="21"/>
                    </w:rPr>
                    <w:t>危废暂存间</w:t>
                  </w:r>
                </w:p>
              </w:tc>
              <w:tc>
                <w:tcPr>
                  <w:tcW w:w="1559" w:type="dxa"/>
                  <w:vAlign w:val="center"/>
                </w:tcPr>
                <w:p w14:paraId="1476BB70">
                  <w:pPr>
                    <w:adjustRightInd w:val="0"/>
                    <w:snapToGrid w:val="0"/>
                    <w:jc w:val="center"/>
                    <w:rPr>
                      <w:color w:val="auto"/>
                      <w:kern w:val="24"/>
                      <w:szCs w:val="21"/>
                    </w:rPr>
                  </w:pPr>
                  <w:r>
                    <w:rPr>
                      <w:rFonts w:hint="eastAsia"/>
                      <w:color w:val="auto"/>
                      <w:kern w:val="24"/>
                      <w:szCs w:val="21"/>
                    </w:rPr>
                    <w:t>废机油、废机油桶、废劳保用品</w:t>
                  </w:r>
                </w:p>
              </w:tc>
              <w:tc>
                <w:tcPr>
                  <w:tcW w:w="3828" w:type="dxa"/>
                  <w:vAlign w:val="center"/>
                </w:tcPr>
                <w:p w14:paraId="2A01804B">
                  <w:pPr>
                    <w:adjustRightInd w:val="0"/>
                    <w:snapToGrid w:val="0"/>
                    <w:jc w:val="center"/>
                    <w:rPr>
                      <w:color w:val="auto"/>
                      <w:kern w:val="24"/>
                      <w:szCs w:val="21"/>
                    </w:rPr>
                  </w:pPr>
                  <w:r>
                    <w:rPr>
                      <w:rFonts w:hint="eastAsia"/>
                      <w:color w:val="auto"/>
                      <w:kern w:val="24"/>
                      <w:szCs w:val="21"/>
                    </w:rPr>
                    <w:t>防渗层破裂、围堰破损、危险废物容器破损导致液体废物泄露（垂直入渗）</w:t>
                  </w:r>
                </w:p>
              </w:tc>
              <w:tc>
                <w:tcPr>
                  <w:tcW w:w="1332" w:type="dxa"/>
                  <w:vAlign w:val="center"/>
                </w:tcPr>
                <w:p w14:paraId="16A39776">
                  <w:pPr>
                    <w:adjustRightInd w:val="0"/>
                    <w:snapToGrid w:val="0"/>
                    <w:jc w:val="center"/>
                    <w:rPr>
                      <w:color w:val="auto"/>
                      <w:kern w:val="24"/>
                      <w:szCs w:val="21"/>
                    </w:rPr>
                  </w:pPr>
                  <w:r>
                    <w:rPr>
                      <w:rFonts w:hint="eastAsia"/>
                      <w:color w:val="auto"/>
                      <w:kern w:val="24"/>
                      <w:szCs w:val="21"/>
                    </w:rPr>
                    <w:t>重点防渗区</w:t>
                  </w:r>
                </w:p>
              </w:tc>
            </w:tr>
            <w:tr w14:paraId="3490B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2171" w:type="dxa"/>
                  <w:vAlign w:val="center"/>
                </w:tcPr>
                <w:p w14:paraId="7DEF6288">
                  <w:pPr>
                    <w:adjustRightInd w:val="0"/>
                    <w:snapToGrid w:val="0"/>
                    <w:jc w:val="center"/>
                    <w:rPr>
                      <w:color w:val="auto"/>
                      <w:kern w:val="24"/>
                      <w:szCs w:val="21"/>
                    </w:rPr>
                  </w:pPr>
                  <w:r>
                    <w:rPr>
                      <w:rFonts w:hint="eastAsia"/>
                      <w:color w:val="auto"/>
                      <w:kern w:val="0"/>
                      <w:szCs w:val="21"/>
                      <w:lang w:bidi="ar"/>
                    </w:rPr>
                    <w:t>循环水池</w:t>
                  </w:r>
                </w:p>
              </w:tc>
              <w:tc>
                <w:tcPr>
                  <w:tcW w:w="1559" w:type="dxa"/>
                  <w:vAlign w:val="center"/>
                </w:tcPr>
                <w:p w14:paraId="63A3E56E">
                  <w:pPr>
                    <w:adjustRightInd w:val="0"/>
                    <w:snapToGrid w:val="0"/>
                    <w:jc w:val="center"/>
                    <w:rPr>
                      <w:color w:val="auto"/>
                      <w:kern w:val="24"/>
                      <w:szCs w:val="21"/>
                    </w:rPr>
                  </w:pPr>
                  <w:r>
                    <w:rPr>
                      <w:rFonts w:hint="eastAsia"/>
                      <w:color w:val="auto"/>
                      <w:kern w:val="24"/>
                      <w:szCs w:val="21"/>
                    </w:rPr>
                    <w:t>COD</w:t>
                  </w:r>
                  <w:r>
                    <w:rPr>
                      <w:rFonts w:hint="eastAsia"/>
                      <w:color w:val="auto"/>
                      <w:kern w:val="24"/>
                      <w:szCs w:val="21"/>
                      <w:vertAlign w:val="subscript"/>
                    </w:rPr>
                    <w:t>Cr</w:t>
                  </w:r>
                  <w:r>
                    <w:rPr>
                      <w:rFonts w:hint="eastAsia"/>
                      <w:color w:val="auto"/>
                      <w:kern w:val="24"/>
                      <w:szCs w:val="21"/>
                    </w:rPr>
                    <w:t>、S</w:t>
                  </w:r>
                  <w:r>
                    <w:rPr>
                      <w:color w:val="auto"/>
                      <w:kern w:val="24"/>
                      <w:szCs w:val="21"/>
                    </w:rPr>
                    <w:t>S</w:t>
                  </w:r>
                  <w:r>
                    <w:rPr>
                      <w:rFonts w:hint="eastAsia"/>
                      <w:color w:val="auto"/>
                      <w:kern w:val="24"/>
                      <w:szCs w:val="21"/>
                    </w:rPr>
                    <w:t>、石油类</w:t>
                  </w:r>
                </w:p>
              </w:tc>
              <w:tc>
                <w:tcPr>
                  <w:tcW w:w="3828" w:type="dxa"/>
                  <w:vAlign w:val="center"/>
                </w:tcPr>
                <w:p w14:paraId="21A587B4">
                  <w:pPr>
                    <w:adjustRightInd w:val="0"/>
                    <w:snapToGrid w:val="0"/>
                    <w:jc w:val="center"/>
                    <w:rPr>
                      <w:color w:val="auto"/>
                      <w:kern w:val="24"/>
                      <w:szCs w:val="21"/>
                    </w:rPr>
                  </w:pPr>
                  <w:r>
                    <w:rPr>
                      <w:rFonts w:hint="eastAsia"/>
                      <w:color w:val="auto"/>
                      <w:kern w:val="0"/>
                      <w:szCs w:val="21"/>
                      <w:lang w:bidi="ar"/>
                    </w:rPr>
                    <w:t>水池池底、池壁防渗层破裂或管道老化腐蚀等</w:t>
                  </w:r>
                  <w:r>
                    <w:rPr>
                      <w:rFonts w:hint="eastAsia"/>
                      <w:color w:val="auto"/>
                      <w:kern w:val="24"/>
                      <w:szCs w:val="21"/>
                    </w:rPr>
                    <w:t>导致冷却水泄露（垂直入渗）</w:t>
                  </w:r>
                </w:p>
              </w:tc>
              <w:tc>
                <w:tcPr>
                  <w:tcW w:w="1332" w:type="dxa"/>
                  <w:vAlign w:val="center"/>
                </w:tcPr>
                <w:p w14:paraId="6653B697">
                  <w:pPr>
                    <w:adjustRightInd w:val="0"/>
                    <w:snapToGrid w:val="0"/>
                    <w:jc w:val="center"/>
                    <w:rPr>
                      <w:color w:val="auto"/>
                      <w:kern w:val="24"/>
                      <w:szCs w:val="21"/>
                    </w:rPr>
                  </w:pPr>
                  <w:r>
                    <w:rPr>
                      <w:rFonts w:hint="eastAsia"/>
                      <w:color w:val="auto"/>
                      <w:kern w:val="24"/>
                      <w:szCs w:val="21"/>
                    </w:rPr>
                    <w:t>一般防渗区</w:t>
                  </w:r>
                </w:p>
              </w:tc>
            </w:tr>
            <w:tr w14:paraId="3A646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2171" w:type="dxa"/>
                  <w:vAlign w:val="center"/>
                </w:tcPr>
                <w:p w14:paraId="319B7C9A">
                  <w:pPr>
                    <w:adjustRightInd w:val="0"/>
                    <w:snapToGrid w:val="0"/>
                    <w:jc w:val="center"/>
                    <w:rPr>
                      <w:color w:val="auto"/>
                      <w:kern w:val="24"/>
                      <w:szCs w:val="21"/>
                    </w:rPr>
                  </w:pPr>
                  <w:r>
                    <w:rPr>
                      <w:rFonts w:hint="eastAsia"/>
                      <w:color w:val="auto"/>
                      <w:szCs w:val="21"/>
                    </w:rPr>
                    <w:t>化粪池</w:t>
                  </w:r>
                </w:p>
              </w:tc>
              <w:tc>
                <w:tcPr>
                  <w:tcW w:w="1559" w:type="dxa"/>
                  <w:vAlign w:val="center"/>
                </w:tcPr>
                <w:p w14:paraId="3507F00B">
                  <w:pPr>
                    <w:adjustRightInd w:val="0"/>
                    <w:snapToGrid w:val="0"/>
                    <w:jc w:val="center"/>
                    <w:rPr>
                      <w:color w:val="auto"/>
                      <w:kern w:val="24"/>
                      <w:szCs w:val="21"/>
                    </w:rPr>
                  </w:pPr>
                  <w:r>
                    <w:rPr>
                      <w:rFonts w:hint="eastAsia"/>
                      <w:color w:val="auto"/>
                      <w:kern w:val="24"/>
                      <w:szCs w:val="21"/>
                    </w:rPr>
                    <w:t>CODcr、NH</w:t>
                  </w:r>
                  <w:r>
                    <w:rPr>
                      <w:rFonts w:hint="eastAsia"/>
                      <w:color w:val="auto"/>
                      <w:kern w:val="24"/>
                      <w:szCs w:val="21"/>
                      <w:vertAlign w:val="subscript"/>
                    </w:rPr>
                    <w:t>3</w:t>
                  </w:r>
                  <w:r>
                    <w:rPr>
                      <w:rFonts w:hint="eastAsia"/>
                      <w:color w:val="auto"/>
                      <w:kern w:val="24"/>
                      <w:szCs w:val="21"/>
                    </w:rPr>
                    <w:t>-N、TP、动植物油</w:t>
                  </w:r>
                </w:p>
              </w:tc>
              <w:tc>
                <w:tcPr>
                  <w:tcW w:w="3828" w:type="dxa"/>
                  <w:vAlign w:val="center"/>
                </w:tcPr>
                <w:p w14:paraId="0C90B682">
                  <w:pPr>
                    <w:adjustRightInd w:val="0"/>
                    <w:snapToGrid w:val="0"/>
                    <w:jc w:val="center"/>
                    <w:rPr>
                      <w:color w:val="auto"/>
                      <w:kern w:val="24"/>
                      <w:szCs w:val="21"/>
                    </w:rPr>
                  </w:pPr>
                  <w:r>
                    <w:rPr>
                      <w:rFonts w:hint="eastAsia"/>
                      <w:color w:val="auto"/>
                      <w:kern w:val="24"/>
                      <w:szCs w:val="21"/>
                    </w:rPr>
                    <w:t>化粪池池体、池壁破裂导致生活污水渗漏（垂直入渗）</w:t>
                  </w:r>
                </w:p>
              </w:tc>
              <w:tc>
                <w:tcPr>
                  <w:tcW w:w="1332" w:type="dxa"/>
                  <w:vAlign w:val="center"/>
                </w:tcPr>
                <w:p w14:paraId="26B64AE8">
                  <w:pPr>
                    <w:adjustRightInd w:val="0"/>
                    <w:snapToGrid w:val="0"/>
                    <w:jc w:val="center"/>
                    <w:rPr>
                      <w:color w:val="auto"/>
                      <w:kern w:val="24"/>
                      <w:szCs w:val="21"/>
                    </w:rPr>
                  </w:pPr>
                  <w:r>
                    <w:rPr>
                      <w:rFonts w:hint="eastAsia"/>
                      <w:color w:val="auto"/>
                      <w:kern w:val="24"/>
                      <w:szCs w:val="21"/>
                    </w:rPr>
                    <w:t>一般防渗区</w:t>
                  </w:r>
                </w:p>
              </w:tc>
            </w:tr>
          </w:tbl>
          <w:p w14:paraId="53D926C6">
            <w:pPr>
              <w:adjustRightInd w:val="0"/>
              <w:snapToGrid w:val="0"/>
              <w:spacing w:line="360" w:lineRule="auto"/>
              <w:jc w:val="left"/>
              <w:rPr>
                <w:b/>
                <w:bCs/>
                <w:color w:val="auto"/>
                <w:sz w:val="24"/>
              </w:rPr>
            </w:pPr>
            <w:r>
              <w:rPr>
                <w:rFonts w:hint="eastAsia"/>
                <w:b/>
                <w:bCs/>
                <w:color w:val="auto"/>
                <w:sz w:val="24"/>
              </w:rPr>
              <w:t>5.</w:t>
            </w:r>
            <w:r>
              <w:rPr>
                <w:b/>
                <w:bCs/>
                <w:color w:val="auto"/>
                <w:sz w:val="24"/>
              </w:rPr>
              <w:t>2</w:t>
            </w:r>
            <w:r>
              <w:rPr>
                <w:rFonts w:hint="eastAsia"/>
                <w:b/>
                <w:bCs/>
                <w:color w:val="auto"/>
                <w:sz w:val="24"/>
              </w:rPr>
              <w:t xml:space="preserve"> </w:t>
            </w:r>
            <w:r>
              <w:rPr>
                <w:rFonts w:hint="eastAsia"/>
                <w:b/>
                <w:color w:val="auto"/>
                <w:kern w:val="24"/>
                <w:sz w:val="24"/>
              </w:rPr>
              <w:t>地下水、土壤污染防控措施</w:t>
            </w:r>
          </w:p>
          <w:p w14:paraId="4CB1653A">
            <w:pPr>
              <w:pStyle w:val="31"/>
              <w:adjustRightInd w:val="0"/>
              <w:snapToGrid w:val="0"/>
              <w:spacing w:after="0" w:line="360" w:lineRule="auto"/>
              <w:ind w:left="0" w:leftChars="0" w:firstLine="480"/>
              <w:rPr>
                <w:color w:val="auto"/>
                <w:sz w:val="24"/>
              </w:rPr>
            </w:pPr>
            <w:r>
              <w:rPr>
                <w:rFonts w:hint="eastAsia"/>
                <w:color w:val="auto"/>
                <w:sz w:val="24"/>
              </w:rPr>
              <w:t>本项目地下水、土壤污染防治措施按照“源头控制、分区防治、应急响应”相结合的原则，从污染物的产生、入渗、扩散、应急响应进行控制。</w:t>
            </w:r>
          </w:p>
          <w:p w14:paraId="4C85401B">
            <w:pPr>
              <w:pStyle w:val="31"/>
              <w:adjustRightInd w:val="0"/>
              <w:snapToGrid w:val="0"/>
              <w:spacing w:after="0" w:line="360" w:lineRule="auto"/>
              <w:ind w:left="48" w:leftChars="23" w:firstLine="480"/>
              <w:rPr>
                <w:color w:val="auto"/>
                <w:sz w:val="24"/>
              </w:rPr>
            </w:pPr>
            <w:r>
              <w:rPr>
                <w:rFonts w:hint="eastAsia"/>
                <w:color w:val="auto"/>
                <w:sz w:val="24"/>
              </w:rPr>
              <w:t>①源头控制措施</w:t>
            </w:r>
          </w:p>
          <w:p w14:paraId="2EF92413">
            <w:pPr>
              <w:pStyle w:val="31"/>
              <w:adjustRightInd w:val="0"/>
              <w:snapToGrid w:val="0"/>
              <w:spacing w:after="0" w:line="360" w:lineRule="auto"/>
              <w:ind w:left="48" w:leftChars="23" w:firstLine="480"/>
              <w:rPr>
                <w:color w:val="auto"/>
                <w:sz w:val="24"/>
              </w:rPr>
            </w:pPr>
            <w:r>
              <w:rPr>
                <w:rFonts w:hint="eastAsia"/>
                <w:color w:val="auto"/>
                <w:sz w:val="24"/>
              </w:rPr>
              <w:t>污水管严格按照国家相关规范要求，使用合格的管材尽可能从源头上减少污染物的产生；防止和降低可能污染物的跑、冒、滴、漏，将废水泄漏的环境风险事故降低到最低程度。</w:t>
            </w:r>
          </w:p>
          <w:p w14:paraId="26E9C5B2">
            <w:pPr>
              <w:pStyle w:val="31"/>
              <w:adjustRightInd w:val="0"/>
              <w:snapToGrid w:val="0"/>
              <w:spacing w:after="0" w:line="360" w:lineRule="auto"/>
              <w:ind w:left="48" w:leftChars="23" w:firstLine="480"/>
              <w:rPr>
                <w:color w:val="auto"/>
                <w:sz w:val="24"/>
              </w:rPr>
            </w:pPr>
            <w:r>
              <w:rPr>
                <w:rFonts w:hint="eastAsia"/>
                <w:color w:val="auto"/>
                <w:sz w:val="24"/>
              </w:rPr>
              <w:t>②分区防控措施</w:t>
            </w:r>
          </w:p>
          <w:p w14:paraId="7151FA81">
            <w:pPr>
              <w:pStyle w:val="31"/>
              <w:adjustRightInd w:val="0"/>
              <w:snapToGrid w:val="0"/>
              <w:spacing w:after="0" w:line="360" w:lineRule="auto"/>
              <w:ind w:left="0" w:leftChars="0" w:firstLine="480"/>
              <w:rPr>
                <w:color w:val="auto"/>
                <w:sz w:val="24"/>
              </w:rPr>
            </w:pPr>
            <w:r>
              <w:rPr>
                <w:rFonts w:hint="eastAsia"/>
                <w:color w:val="auto"/>
                <w:sz w:val="24"/>
              </w:rPr>
              <w:t>根据项目地下水、土壤污染分析，本项目按照分区防控的要求，将厂区分为重点防渗区、一般防渗区和简单防渗区，不同的分区采取相应的防渗措施。</w:t>
            </w:r>
          </w:p>
          <w:p w14:paraId="71041395">
            <w:pPr>
              <w:pStyle w:val="31"/>
              <w:adjustRightInd w:val="0"/>
              <w:snapToGrid w:val="0"/>
              <w:spacing w:after="0" w:line="360" w:lineRule="auto"/>
              <w:ind w:left="0" w:leftChars="0" w:firstLine="480"/>
              <w:rPr>
                <w:color w:val="auto"/>
                <w:sz w:val="24"/>
              </w:rPr>
            </w:pPr>
            <w:r>
              <w:rPr>
                <w:rFonts w:hint="eastAsia"/>
                <w:color w:val="auto"/>
                <w:sz w:val="24"/>
              </w:rPr>
              <w:t>本项目运行期地下水、土壤防控措施见下表。</w:t>
            </w:r>
          </w:p>
          <w:p w14:paraId="1E1D1A99">
            <w:pPr>
              <w:adjustRightInd w:val="0"/>
              <w:snapToGrid w:val="0"/>
              <w:spacing w:line="360" w:lineRule="auto"/>
              <w:ind w:firstLine="482" w:firstLineChars="200"/>
              <w:jc w:val="center"/>
              <w:rPr>
                <w:b/>
                <w:color w:val="auto"/>
                <w:kern w:val="24"/>
                <w:sz w:val="24"/>
              </w:rPr>
            </w:pPr>
            <w:bookmarkStart w:id="84" w:name="_Hlk216136120"/>
            <w:r>
              <w:rPr>
                <w:rFonts w:hint="eastAsia"/>
                <w:b/>
                <w:color w:val="auto"/>
                <w:kern w:val="24"/>
                <w:sz w:val="24"/>
              </w:rPr>
              <w:t>表4-</w:t>
            </w:r>
            <w:r>
              <w:rPr>
                <w:b/>
                <w:color w:val="auto"/>
                <w:kern w:val="24"/>
                <w:sz w:val="24"/>
              </w:rPr>
              <w:t>19</w:t>
            </w:r>
            <w:r>
              <w:rPr>
                <w:rFonts w:hint="eastAsia"/>
                <w:b/>
                <w:color w:val="auto"/>
                <w:kern w:val="24"/>
                <w:sz w:val="24"/>
              </w:rPr>
              <w:t xml:space="preserve">  本项目分区防渗内容及要求汇总表</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1321"/>
              <w:gridCol w:w="1866"/>
              <w:gridCol w:w="5703"/>
            </w:tblGrid>
            <w:tr w14:paraId="3AC19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1321" w:type="dxa"/>
                  <w:vAlign w:val="center"/>
                </w:tcPr>
                <w:p w14:paraId="5D921BF9">
                  <w:pPr>
                    <w:adjustRightInd w:val="0"/>
                    <w:snapToGrid w:val="0"/>
                    <w:jc w:val="center"/>
                    <w:rPr>
                      <w:color w:val="auto"/>
                      <w:kern w:val="24"/>
                      <w:szCs w:val="21"/>
                    </w:rPr>
                  </w:pPr>
                  <w:r>
                    <w:rPr>
                      <w:rFonts w:hint="eastAsia"/>
                      <w:color w:val="auto"/>
                      <w:kern w:val="24"/>
                      <w:szCs w:val="21"/>
                    </w:rPr>
                    <w:t>防渗分区</w:t>
                  </w:r>
                </w:p>
              </w:tc>
              <w:tc>
                <w:tcPr>
                  <w:tcW w:w="1866" w:type="dxa"/>
                  <w:vAlign w:val="center"/>
                </w:tcPr>
                <w:p w14:paraId="494808BB">
                  <w:pPr>
                    <w:adjustRightInd w:val="0"/>
                    <w:snapToGrid w:val="0"/>
                    <w:jc w:val="center"/>
                    <w:rPr>
                      <w:color w:val="auto"/>
                      <w:kern w:val="24"/>
                      <w:szCs w:val="21"/>
                    </w:rPr>
                  </w:pPr>
                  <w:r>
                    <w:rPr>
                      <w:rFonts w:hint="eastAsia"/>
                      <w:color w:val="auto"/>
                      <w:kern w:val="24"/>
                      <w:szCs w:val="21"/>
                    </w:rPr>
                    <w:t>区域</w:t>
                  </w:r>
                </w:p>
              </w:tc>
              <w:tc>
                <w:tcPr>
                  <w:tcW w:w="5703" w:type="dxa"/>
                  <w:vAlign w:val="center"/>
                </w:tcPr>
                <w:p w14:paraId="6B83CFA3">
                  <w:pPr>
                    <w:adjustRightInd w:val="0"/>
                    <w:snapToGrid w:val="0"/>
                    <w:jc w:val="center"/>
                    <w:rPr>
                      <w:color w:val="auto"/>
                      <w:kern w:val="24"/>
                      <w:szCs w:val="21"/>
                    </w:rPr>
                  </w:pPr>
                  <w:r>
                    <w:rPr>
                      <w:rFonts w:hint="eastAsia"/>
                      <w:color w:val="auto"/>
                      <w:kern w:val="24"/>
                      <w:szCs w:val="21"/>
                    </w:rPr>
                    <w:t>防渗要求、措施</w:t>
                  </w:r>
                </w:p>
              </w:tc>
            </w:tr>
            <w:tr w14:paraId="70E31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1321" w:type="dxa"/>
                  <w:vAlign w:val="center"/>
                </w:tcPr>
                <w:p w14:paraId="306503EE">
                  <w:pPr>
                    <w:adjustRightInd w:val="0"/>
                    <w:snapToGrid w:val="0"/>
                    <w:jc w:val="center"/>
                    <w:rPr>
                      <w:color w:val="auto"/>
                      <w:kern w:val="24"/>
                      <w:szCs w:val="21"/>
                    </w:rPr>
                  </w:pPr>
                  <w:r>
                    <w:rPr>
                      <w:rFonts w:hint="eastAsia"/>
                      <w:color w:val="auto"/>
                      <w:kern w:val="24"/>
                      <w:szCs w:val="21"/>
                    </w:rPr>
                    <w:t>重点防渗区</w:t>
                  </w:r>
                </w:p>
              </w:tc>
              <w:tc>
                <w:tcPr>
                  <w:tcW w:w="1866" w:type="dxa"/>
                  <w:vAlign w:val="center"/>
                </w:tcPr>
                <w:p w14:paraId="2E5497A1">
                  <w:pPr>
                    <w:adjustRightInd w:val="0"/>
                    <w:snapToGrid w:val="0"/>
                    <w:jc w:val="center"/>
                    <w:rPr>
                      <w:color w:val="auto"/>
                      <w:kern w:val="24"/>
                      <w:szCs w:val="21"/>
                    </w:rPr>
                  </w:pPr>
                  <w:r>
                    <w:rPr>
                      <w:rFonts w:hint="eastAsia"/>
                      <w:color w:val="auto"/>
                      <w:kern w:val="24"/>
                      <w:szCs w:val="21"/>
                    </w:rPr>
                    <w:t>危废暂存间</w:t>
                  </w:r>
                </w:p>
              </w:tc>
              <w:tc>
                <w:tcPr>
                  <w:tcW w:w="5703" w:type="dxa"/>
                  <w:vAlign w:val="center"/>
                </w:tcPr>
                <w:p w14:paraId="7E49D0FA">
                  <w:pPr>
                    <w:adjustRightInd w:val="0"/>
                    <w:snapToGrid w:val="0"/>
                    <w:jc w:val="center"/>
                    <w:rPr>
                      <w:color w:val="auto"/>
                      <w:kern w:val="24"/>
                      <w:szCs w:val="21"/>
                    </w:rPr>
                  </w:pPr>
                  <w:r>
                    <w:rPr>
                      <w:rFonts w:hint="eastAsia"/>
                      <w:color w:val="auto"/>
                      <w:kern w:val="0"/>
                      <w:szCs w:val="21"/>
                      <w:lang w:bidi="ar"/>
                    </w:rPr>
                    <w:t>采用抗渗混凝土+2mm厚高密度聚乙烯膜+环氧树脂涂层</w:t>
                  </w:r>
                  <w:r>
                    <w:rPr>
                      <w:color w:val="auto"/>
                      <w:kern w:val="0"/>
                      <w:szCs w:val="21"/>
                      <w:lang w:bidi="ar"/>
                    </w:rPr>
                    <w:t>。</w:t>
                  </w:r>
                  <w:r>
                    <w:rPr>
                      <w:rFonts w:hint="eastAsia"/>
                      <w:color w:val="auto"/>
                      <w:kern w:val="24"/>
                      <w:szCs w:val="21"/>
                    </w:rPr>
                    <w:t>渗透系数≦10</w:t>
                  </w:r>
                  <w:r>
                    <w:rPr>
                      <w:rFonts w:hint="eastAsia"/>
                      <w:color w:val="auto"/>
                      <w:kern w:val="24"/>
                      <w:szCs w:val="21"/>
                      <w:vertAlign w:val="superscript"/>
                    </w:rPr>
                    <w:t>-10</w:t>
                  </w:r>
                  <w:r>
                    <w:rPr>
                      <w:rFonts w:hint="eastAsia"/>
                      <w:color w:val="auto"/>
                      <w:kern w:val="24"/>
                      <w:szCs w:val="21"/>
                    </w:rPr>
                    <w:t>cm/s。</w:t>
                  </w:r>
                </w:p>
              </w:tc>
            </w:tr>
            <w:tr w14:paraId="5A936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59" w:hRule="atLeast"/>
                <w:jc w:val="center"/>
              </w:trPr>
              <w:tc>
                <w:tcPr>
                  <w:tcW w:w="1321" w:type="dxa"/>
                  <w:vAlign w:val="center"/>
                </w:tcPr>
                <w:p w14:paraId="5204122B">
                  <w:pPr>
                    <w:adjustRightInd w:val="0"/>
                    <w:snapToGrid w:val="0"/>
                    <w:jc w:val="center"/>
                    <w:rPr>
                      <w:color w:val="auto"/>
                      <w:kern w:val="24"/>
                      <w:szCs w:val="21"/>
                    </w:rPr>
                  </w:pPr>
                  <w:r>
                    <w:rPr>
                      <w:rFonts w:hint="eastAsia"/>
                      <w:color w:val="auto"/>
                      <w:kern w:val="24"/>
                      <w:szCs w:val="21"/>
                    </w:rPr>
                    <w:t>一般防渗区</w:t>
                  </w:r>
                </w:p>
              </w:tc>
              <w:tc>
                <w:tcPr>
                  <w:tcW w:w="1866" w:type="dxa"/>
                  <w:vAlign w:val="center"/>
                </w:tcPr>
                <w:p w14:paraId="0139DA8F">
                  <w:pPr>
                    <w:adjustRightInd w:val="0"/>
                    <w:snapToGrid w:val="0"/>
                    <w:jc w:val="center"/>
                    <w:rPr>
                      <w:color w:val="auto"/>
                      <w:kern w:val="24"/>
                      <w:szCs w:val="21"/>
                    </w:rPr>
                  </w:pPr>
                  <w:r>
                    <w:rPr>
                      <w:rFonts w:hint="eastAsia"/>
                      <w:color w:val="auto"/>
                      <w:szCs w:val="21"/>
                    </w:rPr>
                    <w:t>化粪池、循环水池、应急事故水池地面</w:t>
                  </w:r>
                </w:p>
              </w:tc>
              <w:tc>
                <w:tcPr>
                  <w:tcW w:w="5703" w:type="dxa"/>
                  <w:vAlign w:val="center"/>
                </w:tcPr>
                <w:p w14:paraId="238258BF">
                  <w:pPr>
                    <w:adjustRightInd w:val="0"/>
                    <w:snapToGrid w:val="0"/>
                    <w:jc w:val="center"/>
                    <w:rPr>
                      <w:color w:val="auto"/>
                      <w:kern w:val="24"/>
                      <w:szCs w:val="21"/>
                    </w:rPr>
                  </w:pPr>
                  <w:r>
                    <w:rPr>
                      <w:rFonts w:hint="eastAsia"/>
                      <w:color w:val="auto"/>
                      <w:kern w:val="24"/>
                      <w:szCs w:val="21"/>
                    </w:rPr>
                    <w:t>采用抗渗混凝土</w:t>
                  </w:r>
                  <w:bookmarkStart w:id="85" w:name="OLE_LINK12"/>
                  <w:r>
                    <w:rPr>
                      <w:rFonts w:hint="eastAsia"/>
                      <w:color w:val="auto"/>
                      <w:kern w:val="24"/>
                      <w:szCs w:val="21"/>
                    </w:rPr>
                    <w:t>硬化。渗透系数≤10</w:t>
                  </w:r>
                  <w:r>
                    <w:rPr>
                      <w:rFonts w:hint="eastAsia"/>
                      <w:color w:val="auto"/>
                      <w:kern w:val="24"/>
                      <w:szCs w:val="21"/>
                      <w:vertAlign w:val="superscript"/>
                    </w:rPr>
                    <w:t>-7</w:t>
                  </w:r>
                  <w:r>
                    <w:rPr>
                      <w:rFonts w:hint="eastAsia"/>
                      <w:color w:val="auto"/>
                      <w:kern w:val="24"/>
                      <w:szCs w:val="21"/>
                    </w:rPr>
                    <w:t>c</w:t>
                  </w:r>
                  <w:bookmarkEnd w:id="85"/>
                  <w:r>
                    <w:rPr>
                      <w:rFonts w:hint="eastAsia"/>
                      <w:color w:val="auto"/>
                      <w:kern w:val="24"/>
                      <w:szCs w:val="21"/>
                    </w:rPr>
                    <w:t>m/s。</w:t>
                  </w:r>
                </w:p>
              </w:tc>
            </w:tr>
            <w:tr w14:paraId="3750B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1321" w:type="dxa"/>
                  <w:vAlign w:val="center"/>
                </w:tcPr>
                <w:p w14:paraId="158303E6">
                  <w:pPr>
                    <w:adjustRightInd w:val="0"/>
                    <w:snapToGrid w:val="0"/>
                    <w:jc w:val="center"/>
                    <w:rPr>
                      <w:color w:val="auto"/>
                      <w:kern w:val="24"/>
                      <w:szCs w:val="21"/>
                    </w:rPr>
                  </w:pPr>
                  <w:r>
                    <w:rPr>
                      <w:rFonts w:hint="eastAsia"/>
                      <w:color w:val="auto"/>
                      <w:kern w:val="24"/>
                      <w:szCs w:val="21"/>
                    </w:rPr>
                    <w:t>简单防渗区</w:t>
                  </w:r>
                </w:p>
              </w:tc>
              <w:tc>
                <w:tcPr>
                  <w:tcW w:w="1866" w:type="dxa"/>
                  <w:vAlign w:val="center"/>
                </w:tcPr>
                <w:p w14:paraId="5E39506A">
                  <w:pPr>
                    <w:adjustRightInd w:val="0"/>
                    <w:snapToGrid w:val="0"/>
                    <w:jc w:val="center"/>
                    <w:rPr>
                      <w:color w:val="auto"/>
                      <w:kern w:val="24"/>
                      <w:szCs w:val="21"/>
                    </w:rPr>
                  </w:pPr>
                  <w:r>
                    <w:rPr>
                      <w:rFonts w:hint="eastAsia"/>
                      <w:color w:val="auto"/>
                      <w:kern w:val="0"/>
                      <w:szCs w:val="21"/>
                      <w:lang w:bidi="ar"/>
                    </w:rPr>
                    <w:t>生产车间、厂内道路</w:t>
                  </w:r>
                </w:p>
              </w:tc>
              <w:tc>
                <w:tcPr>
                  <w:tcW w:w="5703" w:type="dxa"/>
                  <w:vAlign w:val="center"/>
                </w:tcPr>
                <w:p w14:paraId="57CEE5BF">
                  <w:pPr>
                    <w:adjustRightInd w:val="0"/>
                    <w:snapToGrid w:val="0"/>
                    <w:jc w:val="center"/>
                    <w:rPr>
                      <w:color w:val="auto"/>
                      <w:kern w:val="24"/>
                      <w:szCs w:val="21"/>
                    </w:rPr>
                  </w:pPr>
                  <w:r>
                    <w:rPr>
                      <w:rFonts w:hint="eastAsia"/>
                      <w:color w:val="auto"/>
                      <w:kern w:val="24"/>
                      <w:szCs w:val="21"/>
                    </w:rPr>
                    <w:t>一般地面硬化。</w:t>
                  </w:r>
                </w:p>
              </w:tc>
            </w:tr>
            <w:bookmarkEnd w:id="84"/>
          </w:tbl>
          <w:p w14:paraId="314FC6F9">
            <w:pPr>
              <w:pStyle w:val="31"/>
              <w:adjustRightInd w:val="0"/>
              <w:snapToGrid w:val="0"/>
              <w:spacing w:after="0" w:line="360" w:lineRule="auto"/>
              <w:ind w:left="0" w:leftChars="0" w:firstLine="480"/>
              <w:rPr>
                <w:color w:val="auto"/>
                <w:sz w:val="24"/>
              </w:rPr>
            </w:pPr>
          </w:p>
          <w:p w14:paraId="264B2B25">
            <w:pPr>
              <w:adjustRightInd w:val="0"/>
              <w:snapToGrid w:val="0"/>
              <w:spacing w:line="360" w:lineRule="auto"/>
              <w:jc w:val="left"/>
              <w:rPr>
                <w:b/>
                <w:bCs/>
                <w:color w:val="auto"/>
                <w:sz w:val="24"/>
              </w:rPr>
            </w:pPr>
            <w:r>
              <w:rPr>
                <w:rFonts w:hint="eastAsia"/>
                <w:b/>
                <w:bCs/>
                <w:color w:val="auto"/>
                <w:sz w:val="24"/>
              </w:rPr>
              <w:t>5.</w:t>
            </w:r>
            <w:r>
              <w:rPr>
                <w:b/>
                <w:bCs/>
                <w:color w:val="auto"/>
                <w:sz w:val="24"/>
              </w:rPr>
              <w:t>4</w:t>
            </w:r>
            <w:r>
              <w:rPr>
                <w:rFonts w:hint="eastAsia"/>
                <w:b/>
                <w:bCs/>
                <w:color w:val="auto"/>
                <w:sz w:val="24"/>
              </w:rPr>
              <w:t xml:space="preserve"> 地下水、土壤环境影响分析</w:t>
            </w:r>
          </w:p>
          <w:p w14:paraId="3B70A2B1">
            <w:pPr>
              <w:adjustRightInd w:val="0"/>
              <w:snapToGrid w:val="0"/>
              <w:spacing w:line="360" w:lineRule="auto"/>
              <w:ind w:firstLine="480" w:firstLineChars="200"/>
              <w:rPr>
                <w:bCs/>
                <w:color w:val="auto"/>
                <w:sz w:val="24"/>
              </w:rPr>
            </w:pPr>
            <w:r>
              <w:rPr>
                <w:rFonts w:hint="eastAsia"/>
                <w:bCs/>
                <w:color w:val="auto"/>
                <w:sz w:val="24"/>
              </w:rPr>
              <w:t>本项目正常情况下，无地下水、土壤污染途径。但若发生防渗层破损等非正常状况下，危废暂存间液体废物泄露、循环水池冷却水、生活污水垂直入渗，可能对区域地下水及土壤造成影响。</w:t>
            </w:r>
          </w:p>
          <w:p w14:paraId="4C71BEE7">
            <w:pPr>
              <w:pStyle w:val="31"/>
              <w:adjustRightInd w:val="0"/>
              <w:snapToGrid w:val="0"/>
              <w:spacing w:after="0" w:line="360" w:lineRule="auto"/>
              <w:ind w:left="0" w:leftChars="0" w:firstLine="480"/>
              <w:rPr>
                <w:color w:val="auto"/>
                <w:sz w:val="24"/>
              </w:rPr>
            </w:pPr>
            <w:r>
              <w:rPr>
                <w:rFonts w:hint="eastAsia"/>
                <w:color w:val="auto"/>
                <w:sz w:val="24"/>
              </w:rPr>
              <w:t>根据项目地下水、土壤污染分析，本项目按照分区防控的要求，将厂区分为重点防渗区、一般防渗区和简单防渗区，不同的分区采取相应的防渗措施。杜绝污水及泄漏物料的跑、冒、滴、漏，并在日常管理中加强设施维护。</w:t>
            </w:r>
          </w:p>
          <w:p w14:paraId="42B58134">
            <w:pPr>
              <w:pStyle w:val="31"/>
              <w:adjustRightInd w:val="0"/>
              <w:snapToGrid w:val="0"/>
              <w:spacing w:after="0" w:line="360" w:lineRule="auto"/>
              <w:ind w:left="0" w:leftChars="0" w:firstLine="480"/>
              <w:rPr>
                <w:color w:val="auto"/>
                <w:sz w:val="24"/>
              </w:rPr>
            </w:pPr>
            <w:r>
              <w:rPr>
                <w:rFonts w:hint="eastAsia"/>
                <w:color w:val="auto"/>
                <w:sz w:val="24"/>
              </w:rPr>
              <w:t>综上所述，经采取有效分区防控措施后，项目对地下水、土壤环境影响较小。</w:t>
            </w:r>
          </w:p>
          <w:p w14:paraId="2B1FFB4D">
            <w:pPr>
              <w:adjustRightInd w:val="0"/>
              <w:snapToGrid w:val="0"/>
              <w:spacing w:line="360" w:lineRule="auto"/>
              <w:jc w:val="left"/>
              <w:rPr>
                <w:b/>
                <w:bCs/>
                <w:color w:val="auto"/>
                <w:sz w:val="24"/>
              </w:rPr>
            </w:pPr>
            <w:r>
              <w:rPr>
                <w:b/>
                <w:bCs/>
                <w:color w:val="auto"/>
                <w:sz w:val="24"/>
              </w:rPr>
              <w:t>6</w:t>
            </w:r>
            <w:r>
              <w:rPr>
                <w:rFonts w:hint="eastAsia"/>
                <w:b/>
                <w:bCs/>
                <w:color w:val="auto"/>
                <w:sz w:val="24"/>
              </w:rPr>
              <w:t>、环境风险分析</w:t>
            </w:r>
          </w:p>
          <w:p w14:paraId="04F87D63">
            <w:pPr>
              <w:spacing w:line="360" w:lineRule="auto"/>
              <w:rPr>
                <w:b/>
                <w:bCs/>
                <w:color w:val="auto"/>
                <w:kern w:val="24"/>
                <w:sz w:val="24"/>
              </w:rPr>
            </w:pPr>
            <w:r>
              <w:rPr>
                <w:b/>
                <w:bCs/>
                <w:color w:val="auto"/>
                <w:kern w:val="24"/>
                <w:sz w:val="24"/>
              </w:rPr>
              <w:t>6</w:t>
            </w:r>
            <w:r>
              <w:rPr>
                <w:rFonts w:hint="eastAsia"/>
                <w:b/>
                <w:bCs/>
                <w:color w:val="auto"/>
                <w:kern w:val="24"/>
                <w:sz w:val="24"/>
              </w:rPr>
              <w:t>.1 环境风险识别</w:t>
            </w:r>
          </w:p>
          <w:p w14:paraId="15030896">
            <w:pPr>
              <w:spacing w:line="360" w:lineRule="auto"/>
              <w:ind w:firstLine="480" w:firstLineChars="200"/>
              <w:rPr>
                <w:color w:val="auto"/>
                <w:kern w:val="24"/>
                <w:sz w:val="24"/>
              </w:rPr>
            </w:pPr>
            <w:r>
              <w:rPr>
                <w:rFonts w:hint="eastAsia"/>
                <w:color w:val="auto"/>
                <w:kern w:val="24"/>
                <w:sz w:val="24"/>
              </w:rPr>
              <w:t>本项目运营期涉及的危险物质和风险源分布情况及可能影响途径识别见下表4-</w:t>
            </w:r>
            <w:r>
              <w:rPr>
                <w:color w:val="auto"/>
                <w:kern w:val="24"/>
                <w:sz w:val="24"/>
              </w:rPr>
              <w:t>20</w:t>
            </w:r>
            <w:r>
              <w:rPr>
                <w:rFonts w:hint="eastAsia"/>
                <w:color w:val="auto"/>
                <w:kern w:val="24"/>
                <w:sz w:val="24"/>
              </w:rPr>
              <w:t>。</w:t>
            </w:r>
          </w:p>
          <w:p w14:paraId="306D1E83">
            <w:pPr>
              <w:adjustRightInd w:val="0"/>
              <w:snapToGrid w:val="0"/>
              <w:spacing w:line="360" w:lineRule="auto"/>
              <w:ind w:firstLine="482" w:firstLineChars="200"/>
              <w:jc w:val="center"/>
              <w:rPr>
                <w:b/>
                <w:color w:val="auto"/>
                <w:kern w:val="24"/>
                <w:sz w:val="24"/>
              </w:rPr>
            </w:pPr>
            <w:r>
              <w:rPr>
                <w:rFonts w:hint="eastAsia"/>
                <w:b/>
                <w:color w:val="auto"/>
                <w:kern w:val="24"/>
                <w:sz w:val="24"/>
              </w:rPr>
              <w:t>表4-</w:t>
            </w:r>
            <w:r>
              <w:rPr>
                <w:b/>
                <w:color w:val="auto"/>
                <w:kern w:val="24"/>
                <w:sz w:val="24"/>
              </w:rPr>
              <w:t>20</w:t>
            </w:r>
            <w:r>
              <w:rPr>
                <w:rFonts w:hint="eastAsia"/>
                <w:b/>
                <w:color w:val="auto"/>
                <w:kern w:val="24"/>
                <w:sz w:val="24"/>
              </w:rPr>
              <w:t xml:space="preserve">  环境风险识别汇总表</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5"/>
              <w:gridCol w:w="766"/>
              <w:gridCol w:w="943"/>
              <w:gridCol w:w="841"/>
              <w:gridCol w:w="770"/>
              <w:gridCol w:w="780"/>
              <w:gridCol w:w="899"/>
              <w:gridCol w:w="647"/>
              <w:gridCol w:w="1534"/>
              <w:gridCol w:w="1265"/>
            </w:tblGrid>
            <w:tr w14:paraId="10A5A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dxa"/>
                  <w:vAlign w:val="center"/>
                </w:tcPr>
                <w:p w14:paraId="65384E05">
                  <w:pPr>
                    <w:jc w:val="center"/>
                    <w:rPr>
                      <w:color w:val="auto"/>
                      <w:kern w:val="24"/>
                      <w:szCs w:val="21"/>
                    </w:rPr>
                  </w:pPr>
                  <w:r>
                    <w:rPr>
                      <w:rFonts w:hint="eastAsia"/>
                      <w:color w:val="auto"/>
                      <w:kern w:val="24"/>
                      <w:szCs w:val="21"/>
                    </w:rPr>
                    <w:t>序号</w:t>
                  </w:r>
                </w:p>
              </w:tc>
              <w:tc>
                <w:tcPr>
                  <w:tcW w:w="766" w:type="dxa"/>
                  <w:vAlign w:val="center"/>
                </w:tcPr>
                <w:p w14:paraId="3C160C21">
                  <w:pPr>
                    <w:jc w:val="center"/>
                    <w:rPr>
                      <w:color w:val="auto"/>
                      <w:kern w:val="24"/>
                      <w:szCs w:val="21"/>
                    </w:rPr>
                  </w:pPr>
                  <w:r>
                    <w:rPr>
                      <w:rFonts w:hint="eastAsia"/>
                      <w:color w:val="auto"/>
                      <w:kern w:val="24"/>
                      <w:szCs w:val="21"/>
                    </w:rPr>
                    <w:t>风险源</w:t>
                  </w:r>
                </w:p>
              </w:tc>
              <w:tc>
                <w:tcPr>
                  <w:tcW w:w="943" w:type="dxa"/>
                  <w:vAlign w:val="center"/>
                </w:tcPr>
                <w:p w14:paraId="34DC208F">
                  <w:pPr>
                    <w:jc w:val="center"/>
                    <w:rPr>
                      <w:color w:val="auto"/>
                      <w:kern w:val="24"/>
                      <w:szCs w:val="21"/>
                    </w:rPr>
                  </w:pPr>
                  <w:r>
                    <w:rPr>
                      <w:rFonts w:hint="eastAsia"/>
                      <w:color w:val="auto"/>
                      <w:kern w:val="24"/>
                      <w:szCs w:val="21"/>
                    </w:rPr>
                    <w:t>危险物质</w:t>
                  </w:r>
                </w:p>
              </w:tc>
              <w:tc>
                <w:tcPr>
                  <w:tcW w:w="841" w:type="dxa"/>
                  <w:vAlign w:val="center"/>
                </w:tcPr>
                <w:p w14:paraId="7BD9EE3B">
                  <w:pPr>
                    <w:jc w:val="center"/>
                    <w:rPr>
                      <w:color w:val="auto"/>
                      <w:kern w:val="24"/>
                      <w:szCs w:val="21"/>
                    </w:rPr>
                  </w:pPr>
                  <w:r>
                    <w:rPr>
                      <w:rFonts w:hint="eastAsia"/>
                      <w:color w:val="auto"/>
                      <w:kern w:val="24"/>
                      <w:szCs w:val="21"/>
                    </w:rPr>
                    <w:t>危险性</w:t>
                  </w:r>
                </w:p>
              </w:tc>
              <w:tc>
                <w:tcPr>
                  <w:tcW w:w="770" w:type="dxa"/>
                  <w:vAlign w:val="center"/>
                </w:tcPr>
                <w:p w14:paraId="729536EE">
                  <w:pPr>
                    <w:jc w:val="center"/>
                    <w:rPr>
                      <w:color w:val="auto"/>
                      <w:kern w:val="24"/>
                      <w:szCs w:val="21"/>
                    </w:rPr>
                  </w:pPr>
                  <w:r>
                    <w:rPr>
                      <w:rFonts w:hint="eastAsia"/>
                      <w:color w:val="auto"/>
                      <w:kern w:val="24"/>
                      <w:szCs w:val="21"/>
                    </w:rPr>
                    <w:t>最大储存量</w:t>
                  </w:r>
                </w:p>
              </w:tc>
              <w:tc>
                <w:tcPr>
                  <w:tcW w:w="780" w:type="dxa"/>
                  <w:vAlign w:val="center"/>
                </w:tcPr>
                <w:p w14:paraId="61693F12">
                  <w:pPr>
                    <w:jc w:val="center"/>
                    <w:rPr>
                      <w:color w:val="auto"/>
                      <w:kern w:val="24"/>
                      <w:szCs w:val="21"/>
                    </w:rPr>
                  </w:pPr>
                  <w:r>
                    <w:rPr>
                      <w:rFonts w:hint="eastAsia"/>
                      <w:color w:val="auto"/>
                      <w:kern w:val="24"/>
                      <w:szCs w:val="21"/>
                    </w:rPr>
                    <w:t>临界量</w:t>
                  </w:r>
                </w:p>
              </w:tc>
              <w:tc>
                <w:tcPr>
                  <w:tcW w:w="899" w:type="dxa"/>
                  <w:vAlign w:val="center"/>
                </w:tcPr>
                <w:p w14:paraId="284B314A">
                  <w:pPr>
                    <w:jc w:val="center"/>
                    <w:rPr>
                      <w:color w:val="auto"/>
                      <w:kern w:val="24"/>
                      <w:szCs w:val="21"/>
                    </w:rPr>
                  </w:pPr>
                  <w:r>
                    <w:rPr>
                      <w:rFonts w:hint="eastAsia"/>
                      <w:color w:val="auto"/>
                      <w:kern w:val="24"/>
                      <w:szCs w:val="21"/>
                    </w:rPr>
                    <w:t>Q值</w:t>
                  </w:r>
                </w:p>
              </w:tc>
              <w:tc>
                <w:tcPr>
                  <w:tcW w:w="647" w:type="dxa"/>
                  <w:vAlign w:val="center"/>
                </w:tcPr>
                <w:p w14:paraId="1DA58410">
                  <w:pPr>
                    <w:jc w:val="center"/>
                    <w:rPr>
                      <w:color w:val="auto"/>
                      <w:kern w:val="24"/>
                      <w:szCs w:val="21"/>
                    </w:rPr>
                  </w:pPr>
                  <w:r>
                    <w:rPr>
                      <w:rFonts w:hint="eastAsia"/>
                      <w:color w:val="auto"/>
                      <w:kern w:val="24"/>
                      <w:szCs w:val="21"/>
                    </w:rPr>
                    <w:t>储存方式</w:t>
                  </w:r>
                </w:p>
              </w:tc>
              <w:tc>
                <w:tcPr>
                  <w:tcW w:w="1534" w:type="dxa"/>
                  <w:vAlign w:val="center"/>
                </w:tcPr>
                <w:p w14:paraId="71C80A37">
                  <w:pPr>
                    <w:jc w:val="center"/>
                    <w:rPr>
                      <w:color w:val="auto"/>
                      <w:kern w:val="24"/>
                      <w:szCs w:val="21"/>
                    </w:rPr>
                  </w:pPr>
                  <w:r>
                    <w:rPr>
                      <w:rFonts w:hint="eastAsia"/>
                      <w:color w:val="auto"/>
                      <w:kern w:val="24"/>
                      <w:szCs w:val="21"/>
                    </w:rPr>
                    <w:t>风险类型</w:t>
                  </w:r>
                </w:p>
              </w:tc>
              <w:tc>
                <w:tcPr>
                  <w:tcW w:w="1265" w:type="dxa"/>
                  <w:vAlign w:val="center"/>
                </w:tcPr>
                <w:p w14:paraId="223CC6DC">
                  <w:pPr>
                    <w:jc w:val="center"/>
                    <w:rPr>
                      <w:color w:val="auto"/>
                      <w:kern w:val="24"/>
                      <w:szCs w:val="21"/>
                    </w:rPr>
                  </w:pPr>
                  <w:r>
                    <w:rPr>
                      <w:rFonts w:hint="eastAsia"/>
                      <w:color w:val="auto"/>
                      <w:kern w:val="24"/>
                      <w:szCs w:val="21"/>
                    </w:rPr>
                    <w:t>可能影响途径</w:t>
                  </w:r>
                </w:p>
              </w:tc>
            </w:tr>
            <w:tr w14:paraId="3109D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dxa"/>
                  <w:vAlign w:val="center"/>
                </w:tcPr>
                <w:p w14:paraId="3E3F559A">
                  <w:pPr>
                    <w:jc w:val="center"/>
                    <w:rPr>
                      <w:color w:val="auto"/>
                      <w:kern w:val="24"/>
                      <w:szCs w:val="21"/>
                    </w:rPr>
                  </w:pPr>
                  <w:r>
                    <w:rPr>
                      <w:rFonts w:hint="eastAsia"/>
                      <w:color w:val="auto"/>
                      <w:kern w:val="24"/>
                      <w:szCs w:val="21"/>
                    </w:rPr>
                    <w:t>1</w:t>
                  </w:r>
                </w:p>
              </w:tc>
              <w:tc>
                <w:tcPr>
                  <w:tcW w:w="766" w:type="dxa"/>
                  <w:vAlign w:val="center"/>
                </w:tcPr>
                <w:p w14:paraId="1EC3D9E0">
                  <w:pPr>
                    <w:jc w:val="center"/>
                    <w:rPr>
                      <w:color w:val="auto"/>
                      <w:kern w:val="24"/>
                      <w:szCs w:val="21"/>
                    </w:rPr>
                  </w:pPr>
                  <w:r>
                    <w:rPr>
                      <w:rFonts w:hint="eastAsia"/>
                      <w:color w:val="auto"/>
                      <w:kern w:val="24"/>
                      <w:szCs w:val="21"/>
                    </w:rPr>
                    <w:t>危废暂存间</w:t>
                  </w:r>
                </w:p>
              </w:tc>
              <w:tc>
                <w:tcPr>
                  <w:tcW w:w="943" w:type="dxa"/>
                  <w:vAlign w:val="center"/>
                </w:tcPr>
                <w:p w14:paraId="5A8A338D">
                  <w:pPr>
                    <w:jc w:val="center"/>
                    <w:rPr>
                      <w:color w:val="auto"/>
                      <w:kern w:val="24"/>
                      <w:szCs w:val="21"/>
                    </w:rPr>
                  </w:pPr>
                  <w:r>
                    <w:rPr>
                      <w:rFonts w:hint="eastAsia" w:hAnsi="Calibri"/>
                      <w:color w:val="auto"/>
                      <w:szCs w:val="21"/>
                    </w:rPr>
                    <w:t>废机油</w:t>
                  </w:r>
                </w:p>
              </w:tc>
              <w:tc>
                <w:tcPr>
                  <w:tcW w:w="841" w:type="dxa"/>
                  <w:vMerge w:val="restart"/>
                  <w:vAlign w:val="center"/>
                </w:tcPr>
                <w:p w14:paraId="02E88583">
                  <w:pPr>
                    <w:jc w:val="center"/>
                    <w:rPr>
                      <w:color w:val="auto"/>
                      <w:kern w:val="24"/>
                      <w:szCs w:val="21"/>
                    </w:rPr>
                  </w:pPr>
                  <w:r>
                    <w:rPr>
                      <w:rFonts w:hint="eastAsia"/>
                      <w:color w:val="auto"/>
                      <w:kern w:val="24"/>
                      <w:szCs w:val="21"/>
                    </w:rPr>
                    <w:t>毒性、易燃性</w:t>
                  </w:r>
                </w:p>
              </w:tc>
              <w:tc>
                <w:tcPr>
                  <w:tcW w:w="770" w:type="dxa"/>
                  <w:vAlign w:val="center"/>
                </w:tcPr>
                <w:p w14:paraId="2D56AB89">
                  <w:pPr>
                    <w:jc w:val="center"/>
                    <w:rPr>
                      <w:color w:val="auto"/>
                      <w:kern w:val="24"/>
                      <w:szCs w:val="21"/>
                    </w:rPr>
                  </w:pPr>
                  <w:r>
                    <w:rPr>
                      <w:color w:val="auto"/>
                      <w:kern w:val="24"/>
                      <w:szCs w:val="21"/>
                    </w:rPr>
                    <w:t>0.</w:t>
                  </w:r>
                  <w:r>
                    <w:rPr>
                      <w:rFonts w:hint="eastAsia"/>
                      <w:color w:val="auto"/>
                      <w:kern w:val="24"/>
                      <w:szCs w:val="21"/>
                    </w:rPr>
                    <w:t>2 t</w:t>
                  </w:r>
                </w:p>
              </w:tc>
              <w:tc>
                <w:tcPr>
                  <w:tcW w:w="780" w:type="dxa"/>
                  <w:vAlign w:val="center"/>
                </w:tcPr>
                <w:p w14:paraId="70FF8268">
                  <w:pPr>
                    <w:jc w:val="center"/>
                    <w:rPr>
                      <w:color w:val="auto"/>
                      <w:kern w:val="24"/>
                      <w:szCs w:val="21"/>
                    </w:rPr>
                  </w:pPr>
                  <w:r>
                    <w:rPr>
                      <w:color w:val="auto"/>
                      <w:kern w:val="24"/>
                      <w:szCs w:val="21"/>
                    </w:rPr>
                    <w:t>2500</w:t>
                  </w:r>
                  <w:r>
                    <w:rPr>
                      <w:rFonts w:hint="eastAsia"/>
                      <w:color w:val="auto"/>
                      <w:kern w:val="24"/>
                      <w:szCs w:val="21"/>
                    </w:rPr>
                    <w:t xml:space="preserve"> t</w:t>
                  </w:r>
                </w:p>
              </w:tc>
              <w:tc>
                <w:tcPr>
                  <w:tcW w:w="899" w:type="dxa"/>
                  <w:vAlign w:val="center"/>
                </w:tcPr>
                <w:p w14:paraId="35C832D8">
                  <w:pPr>
                    <w:jc w:val="center"/>
                    <w:rPr>
                      <w:color w:val="auto"/>
                      <w:kern w:val="24"/>
                      <w:szCs w:val="21"/>
                    </w:rPr>
                  </w:pPr>
                  <w:r>
                    <w:rPr>
                      <w:rFonts w:hint="eastAsia"/>
                      <w:color w:val="auto"/>
                      <w:kern w:val="24"/>
                      <w:szCs w:val="21"/>
                    </w:rPr>
                    <w:t>0.00008</w:t>
                  </w:r>
                </w:p>
              </w:tc>
              <w:tc>
                <w:tcPr>
                  <w:tcW w:w="647" w:type="dxa"/>
                  <w:vAlign w:val="center"/>
                </w:tcPr>
                <w:p w14:paraId="153AC63F">
                  <w:pPr>
                    <w:jc w:val="center"/>
                    <w:rPr>
                      <w:color w:val="auto"/>
                      <w:kern w:val="24"/>
                      <w:szCs w:val="21"/>
                    </w:rPr>
                  </w:pPr>
                  <w:r>
                    <w:rPr>
                      <w:rFonts w:hint="eastAsia"/>
                      <w:color w:val="auto"/>
                      <w:kern w:val="24"/>
                      <w:szCs w:val="21"/>
                    </w:rPr>
                    <w:t>桶装</w:t>
                  </w:r>
                </w:p>
              </w:tc>
              <w:tc>
                <w:tcPr>
                  <w:tcW w:w="1534" w:type="dxa"/>
                  <w:vMerge w:val="restart"/>
                  <w:vAlign w:val="center"/>
                </w:tcPr>
                <w:p w14:paraId="0AD4191C">
                  <w:pPr>
                    <w:jc w:val="center"/>
                    <w:rPr>
                      <w:color w:val="auto"/>
                      <w:kern w:val="24"/>
                      <w:szCs w:val="21"/>
                    </w:rPr>
                  </w:pPr>
                  <w:r>
                    <w:rPr>
                      <w:rFonts w:hint="eastAsia"/>
                      <w:color w:val="auto"/>
                      <w:kern w:val="24"/>
                      <w:szCs w:val="21"/>
                    </w:rPr>
                    <w:t>泄露，火灾、爆炸引发的伴生/次生污染</w:t>
                  </w:r>
                </w:p>
              </w:tc>
              <w:tc>
                <w:tcPr>
                  <w:tcW w:w="1265" w:type="dxa"/>
                  <w:vMerge w:val="restart"/>
                  <w:vAlign w:val="center"/>
                </w:tcPr>
                <w:p w14:paraId="05D3FFD2">
                  <w:pPr>
                    <w:jc w:val="center"/>
                    <w:rPr>
                      <w:color w:val="auto"/>
                      <w:kern w:val="24"/>
                      <w:szCs w:val="21"/>
                    </w:rPr>
                  </w:pPr>
                  <w:r>
                    <w:rPr>
                      <w:rFonts w:hint="eastAsia"/>
                      <w:color w:val="auto"/>
                      <w:kern w:val="24"/>
                      <w:szCs w:val="21"/>
                    </w:rPr>
                    <w:t>环境空气、地表水、地下水、土壤</w:t>
                  </w:r>
                </w:p>
              </w:tc>
            </w:tr>
            <w:tr w14:paraId="5851F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dxa"/>
                  <w:vAlign w:val="center"/>
                </w:tcPr>
                <w:p w14:paraId="5E396AB9">
                  <w:pPr>
                    <w:jc w:val="center"/>
                    <w:rPr>
                      <w:color w:val="auto"/>
                      <w:kern w:val="24"/>
                      <w:szCs w:val="21"/>
                    </w:rPr>
                  </w:pPr>
                  <w:r>
                    <w:rPr>
                      <w:rFonts w:hint="eastAsia"/>
                      <w:color w:val="auto"/>
                      <w:kern w:val="24"/>
                      <w:szCs w:val="21"/>
                    </w:rPr>
                    <w:t>2</w:t>
                  </w:r>
                </w:p>
              </w:tc>
              <w:tc>
                <w:tcPr>
                  <w:tcW w:w="766" w:type="dxa"/>
                  <w:vMerge w:val="restart"/>
                  <w:vAlign w:val="center"/>
                </w:tcPr>
                <w:p w14:paraId="5BC01618">
                  <w:pPr>
                    <w:jc w:val="center"/>
                    <w:rPr>
                      <w:color w:val="auto"/>
                      <w:kern w:val="24"/>
                      <w:szCs w:val="21"/>
                    </w:rPr>
                  </w:pPr>
                  <w:r>
                    <w:rPr>
                      <w:rFonts w:hint="eastAsia"/>
                      <w:color w:val="auto"/>
                      <w:kern w:val="24"/>
                      <w:szCs w:val="21"/>
                    </w:rPr>
                    <w:t>厂房内</w:t>
                  </w:r>
                </w:p>
              </w:tc>
              <w:tc>
                <w:tcPr>
                  <w:tcW w:w="943" w:type="dxa"/>
                  <w:vAlign w:val="center"/>
                </w:tcPr>
                <w:p w14:paraId="731C7D38">
                  <w:pPr>
                    <w:jc w:val="center"/>
                    <w:rPr>
                      <w:rFonts w:hAnsi="Calibri"/>
                      <w:color w:val="auto"/>
                      <w:szCs w:val="21"/>
                    </w:rPr>
                  </w:pPr>
                  <w:r>
                    <w:rPr>
                      <w:rFonts w:hint="eastAsia" w:hAnsi="Calibri"/>
                      <w:color w:val="auto"/>
                      <w:szCs w:val="21"/>
                    </w:rPr>
                    <w:t>润滑油</w:t>
                  </w:r>
                </w:p>
              </w:tc>
              <w:tc>
                <w:tcPr>
                  <w:tcW w:w="841" w:type="dxa"/>
                  <w:vMerge w:val="continue"/>
                  <w:vAlign w:val="center"/>
                </w:tcPr>
                <w:p w14:paraId="26FCB9C4">
                  <w:pPr>
                    <w:jc w:val="center"/>
                    <w:rPr>
                      <w:color w:val="auto"/>
                      <w:kern w:val="24"/>
                      <w:szCs w:val="21"/>
                    </w:rPr>
                  </w:pPr>
                </w:p>
              </w:tc>
              <w:tc>
                <w:tcPr>
                  <w:tcW w:w="770" w:type="dxa"/>
                  <w:vAlign w:val="center"/>
                </w:tcPr>
                <w:p w14:paraId="486F67BF">
                  <w:pPr>
                    <w:jc w:val="center"/>
                    <w:rPr>
                      <w:color w:val="auto"/>
                      <w:kern w:val="24"/>
                      <w:szCs w:val="21"/>
                    </w:rPr>
                  </w:pPr>
                  <w:r>
                    <w:rPr>
                      <w:rFonts w:hint="eastAsia"/>
                      <w:color w:val="auto"/>
                      <w:kern w:val="24"/>
                      <w:szCs w:val="21"/>
                    </w:rPr>
                    <w:t>0.1</w:t>
                  </w:r>
                </w:p>
              </w:tc>
              <w:tc>
                <w:tcPr>
                  <w:tcW w:w="780" w:type="dxa"/>
                  <w:vAlign w:val="center"/>
                </w:tcPr>
                <w:p w14:paraId="74EBF887">
                  <w:pPr>
                    <w:jc w:val="center"/>
                    <w:rPr>
                      <w:color w:val="auto"/>
                      <w:kern w:val="24"/>
                      <w:szCs w:val="21"/>
                    </w:rPr>
                  </w:pPr>
                  <w:r>
                    <w:rPr>
                      <w:rFonts w:hint="eastAsia"/>
                      <w:color w:val="auto"/>
                      <w:kern w:val="24"/>
                      <w:szCs w:val="21"/>
                    </w:rPr>
                    <w:t>2500t</w:t>
                  </w:r>
                </w:p>
              </w:tc>
              <w:tc>
                <w:tcPr>
                  <w:tcW w:w="899" w:type="dxa"/>
                  <w:vAlign w:val="center"/>
                </w:tcPr>
                <w:p w14:paraId="1BAA53B3">
                  <w:pPr>
                    <w:jc w:val="center"/>
                    <w:rPr>
                      <w:color w:val="auto"/>
                      <w:kern w:val="24"/>
                      <w:szCs w:val="21"/>
                    </w:rPr>
                  </w:pPr>
                  <w:r>
                    <w:rPr>
                      <w:rFonts w:hint="eastAsia"/>
                      <w:color w:val="auto"/>
                      <w:kern w:val="24"/>
                      <w:szCs w:val="21"/>
                    </w:rPr>
                    <w:t>0.00004</w:t>
                  </w:r>
                </w:p>
              </w:tc>
              <w:tc>
                <w:tcPr>
                  <w:tcW w:w="647" w:type="dxa"/>
                  <w:vAlign w:val="center"/>
                </w:tcPr>
                <w:p w14:paraId="7059A8DB">
                  <w:pPr>
                    <w:jc w:val="center"/>
                    <w:rPr>
                      <w:color w:val="auto"/>
                      <w:kern w:val="24"/>
                      <w:szCs w:val="21"/>
                    </w:rPr>
                  </w:pPr>
                  <w:r>
                    <w:rPr>
                      <w:rFonts w:hint="eastAsia"/>
                      <w:color w:val="auto"/>
                      <w:kern w:val="24"/>
                      <w:szCs w:val="21"/>
                    </w:rPr>
                    <w:t>桶装</w:t>
                  </w:r>
                </w:p>
              </w:tc>
              <w:tc>
                <w:tcPr>
                  <w:tcW w:w="1534" w:type="dxa"/>
                  <w:vMerge w:val="continue"/>
                  <w:vAlign w:val="center"/>
                </w:tcPr>
                <w:p w14:paraId="3AAFC78E">
                  <w:pPr>
                    <w:jc w:val="center"/>
                    <w:rPr>
                      <w:color w:val="auto"/>
                      <w:kern w:val="24"/>
                      <w:szCs w:val="21"/>
                    </w:rPr>
                  </w:pPr>
                </w:p>
              </w:tc>
              <w:tc>
                <w:tcPr>
                  <w:tcW w:w="1265" w:type="dxa"/>
                  <w:vMerge w:val="continue"/>
                  <w:vAlign w:val="center"/>
                </w:tcPr>
                <w:p w14:paraId="04875EF1">
                  <w:pPr>
                    <w:jc w:val="center"/>
                    <w:rPr>
                      <w:color w:val="auto"/>
                      <w:kern w:val="24"/>
                      <w:szCs w:val="21"/>
                    </w:rPr>
                  </w:pPr>
                </w:p>
              </w:tc>
            </w:tr>
            <w:tr w14:paraId="5DC6D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dxa"/>
                  <w:vAlign w:val="center"/>
                </w:tcPr>
                <w:p w14:paraId="20A365D9">
                  <w:pPr>
                    <w:jc w:val="center"/>
                    <w:rPr>
                      <w:color w:val="auto"/>
                      <w:kern w:val="24"/>
                      <w:szCs w:val="21"/>
                    </w:rPr>
                  </w:pPr>
                  <w:r>
                    <w:rPr>
                      <w:rFonts w:hint="eastAsia"/>
                      <w:color w:val="auto"/>
                      <w:kern w:val="24"/>
                      <w:szCs w:val="21"/>
                    </w:rPr>
                    <w:t>3</w:t>
                  </w:r>
                </w:p>
              </w:tc>
              <w:tc>
                <w:tcPr>
                  <w:tcW w:w="766" w:type="dxa"/>
                  <w:vMerge w:val="continue"/>
                  <w:vAlign w:val="center"/>
                </w:tcPr>
                <w:p w14:paraId="3786F453">
                  <w:pPr>
                    <w:jc w:val="center"/>
                    <w:rPr>
                      <w:color w:val="auto"/>
                      <w:kern w:val="24"/>
                      <w:szCs w:val="21"/>
                    </w:rPr>
                  </w:pPr>
                </w:p>
              </w:tc>
              <w:tc>
                <w:tcPr>
                  <w:tcW w:w="943" w:type="dxa"/>
                  <w:vAlign w:val="center"/>
                </w:tcPr>
                <w:p w14:paraId="4F57DA5C">
                  <w:pPr>
                    <w:jc w:val="center"/>
                    <w:rPr>
                      <w:rFonts w:hAnsi="Calibri"/>
                      <w:color w:val="auto"/>
                      <w:szCs w:val="21"/>
                    </w:rPr>
                  </w:pPr>
                  <w:r>
                    <w:rPr>
                      <w:rFonts w:hint="eastAsia" w:hAnsi="Calibri"/>
                      <w:color w:val="auto"/>
                      <w:szCs w:val="21"/>
                    </w:rPr>
                    <w:t>乙炔</w:t>
                  </w:r>
                </w:p>
              </w:tc>
              <w:tc>
                <w:tcPr>
                  <w:tcW w:w="841" w:type="dxa"/>
                  <w:vMerge w:val="continue"/>
                  <w:vAlign w:val="center"/>
                </w:tcPr>
                <w:p w14:paraId="7860DCD3">
                  <w:pPr>
                    <w:jc w:val="center"/>
                    <w:rPr>
                      <w:color w:val="auto"/>
                      <w:kern w:val="24"/>
                      <w:szCs w:val="21"/>
                    </w:rPr>
                  </w:pPr>
                </w:p>
              </w:tc>
              <w:tc>
                <w:tcPr>
                  <w:tcW w:w="770" w:type="dxa"/>
                  <w:vAlign w:val="center"/>
                </w:tcPr>
                <w:p w14:paraId="37048FF3">
                  <w:pPr>
                    <w:jc w:val="center"/>
                    <w:rPr>
                      <w:color w:val="auto"/>
                      <w:kern w:val="24"/>
                      <w:szCs w:val="21"/>
                    </w:rPr>
                  </w:pPr>
                  <w:r>
                    <w:rPr>
                      <w:rFonts w:hint="eastAsia"/>
                      <w:color w:val="auto"/>
                      <w:kern w:val="24"/>
                      <w:szCs w:val="21"/>
                    </w:rPr>
                    <w:t>0.12</w:t>
                  </w:r>
                </w:p>
              </w:tc>
              <w:tc>
                <w:tcPr>
                  <w:tcW w:w="780" w:type="dxa"/>
                  <w:vAlign w:val="center"/>
                </w:tcPr>
                <w:p w14:paraId="45133C83">
                  <w:pPr>
                    <w:jc w:val="center"/>
                    <w:rPr>
                      <w:color w:val="auto"/>
                      <w:kern w:val="24"/>
                      <w:szCs w:val="21"/>
                    </w:rPr>
                  </w:pPr>
                  <w:r>
                    <w:rPr>
                      <w:rFonts w:hint="eastAsia"/>
                      <w:color w:val="auto"/>
                      <w:kern w:val="24"/>
                      <w:szCs w:val="21"/>
                    </w:rPr>
                    <w:t>10t</w:t>
                  </w:r>
                </w:p>
              </w:tc>
              <w:tc>
                <w:tcPr>
                  <w:tcW w:w="899" w:type="dxa"/>
                  <w:vAlign w:val="center"/>
                </w:tcPr>
                <w:p w14:paraId="0E054243">
                  <w:pPr>
                    <w:jc w:val="center"/>
                    <w:rPr>
                      <w:color w:val="auto"/>
                      <w:kern w:val="24"/>
                      <w:szCs w:val="21"/>
                    </w:rPr>
                  </w:pPr>
                  <w:r>
                    <w:rPr>
                      <w:rFonts w:hint="eastAsia"/>
                      <w:color w:val="auto"/>
                      <w:kern w:val="24"/>
                      <w:szCs w:val="21"/>
                    </w:rPr>
                    <w:t>0.012</w:t>
                  </w:r>
                </w:p>
              </w:tc>
              <w:tc>
                <w:tcPr>
                  <w:tcW w:w="647" w:type="dxa"/>
                  <w:vAlign w:val="center"/>
                </w:tcPr>
                <w:p w14:paraId="7ACBC18E">
                  <w:pPr>
                    <w:rPr>
                      <w:color w:val="auto"/>
                      <w:kern w:val="24"/>
                      <w:szCs w:val="21"/>
                    </w:rPr>
                  </w:pPr>
                  <w:r>
                    <w:rPr>
                      <w:rFonts w:hint="eastAsia"/>
                      <w:color w:val="auto"/>
                      <w:kern w:val="24"/>
                      <w:szCs w:val="21"/>
                    </w:rPr>
                    <w:t>瓶装</w:t>
                  </w:r>
                </w:p>
              </w:tc>
              <w:tc>
                <w:tcPr>
                  <w:tcW w:w="1534" w:type="dxa"/>
                  <w:vMerge w:val="continue"/>
                  <w:vAlign w:val="center"/>
                </w:tcPr>
                <w:p w14:paraId="75CD4DC8">
                  <w:pPr>
                    <w:jc w:val="center"/>
                    <w:rPr>
                      <w:color w:val="auto"/>
                      <w:kern w:val="24"/>
                      <w:szCs w:val="21"/>
                    </w:rPr>
                  </w:pPr>
                </w:p>
              </w:tc>
              <w:tc>
                <w:tcPr>
                  <w:tcW w:w="1265" w:type="dxa"/>
                  <w:vMerge w:val="continue"/>
                  <w:vAlign w:val="center"/>
                </w:tcPr>
                <w:p w14:paraId="602DF2C2">
                  <w:pPr>
                    <w:jc w:val="center"/>
                    <w:rPr>
                      <w:color w:val="auto"/>
                      <w:kern w:val="24"/>
                      <w:szCs w:val="21"/>
                    </w:rPr>
                  </w:pPr>
                </w:p>
              </w:tc>
            </w:tr>
            <w:tr w14:paraId="326E7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5" w:type="dxa"/>
                  <w:gridSpan w:val="6"/>
                  <w:vAlign w:val="center"/>
                </w:tcPr>
                <w:p w14:paraId="32F5E92D">
                  <w:pPr>
                    <w:jc w:val="center"/>
                    <w:rPr>
                      <w:color w:val="auto"/>
                      <w:kern w:val="24"/>
                      <w:szCs w:val="21"/>
                    </w:rPr>
                  </w:pPr>
                  <w:r>
                    <w:rPr>
                      <w:rFonts w:hint="eastAsia"/>
                      <w:color w:val="auto"/>
                      <w:kern w:val="24"/>
                      <w:szCs w:val="21"/>
                    </w:rPr>
                    <w:t>合计</w:t>
                  </w:r>
                </w:p>
              </w:tc>
              <w:tc>
                <w:tcPr>
                  <w:tcW w:w="899" w:type="dxa"/>
                  <w:vAlign w:val="center"/>
                </w:tcPr>
                <w:p w14:paraId="1EFF3F96">
                  <w:pPr>
                    <w:jc w:val="center"/>
                    <w:rPr>
                      <w:color w:val="auto"/>
                      <w:kern w:val="24"/>
                      <w:szCs w:val="21"/>
                    </w:rPr>
                  </w:pPr>
                  <w:r>
                    <w:rPr>
                      <w:color w:val="auto"/>
                      <w:kern w:val="24"/>
                      <w:szCs w:val="21"/>
                    </w:rPr>
                    <w:fldChar w:fldCharType="begin"/>
                  </w:r>
                  <w:r>
                    <w:rPr>
                      <w:color w:val="auto"/>
                      <w:kern w:val="24"/>
                      <w:szCs w:val="21"/>
                    </w:rPr>
                    <w:instrText xml:space="preserve"> =SUM(ABOVE) </w:instrText>
                  </w:r>
                  <w:r>
                    <w:rPr>
                      <w:color w:val="auto"/>
                      <w:kern w:val="24"/>
                      <w:szCs w:val="21"/>
                    </w:rPr>
                    <w:fldChar w:fldCharType="separate"/>
                  </w:r>
                  <w:r>
                    <w:rPr>
                      <w:color w:val="auto"/>
                      <w:kern w:val="24"/>
                      <w:szCs w:val="21"/>
                    </w:rPr>
                    <w:t>0.01212</w:t>
                  </w:r>
                  <w:r>
                    <w:rPr>
                      <w:color w:val="auto"/>
                      <w:kern w:val="24"/>
                      <w:szCs w:val="21"/>
                    </w:rPr>
                    <w:fldChar w:fldCharType="end"/>
                  </w:r>
                </w:p>
              </w:tc>
              <w:tc>
                <w:tcPr>
                  <w:tcW w:w="647" w:type="dxa"/>
                  <w:vAlign w:val="center"/>
                </w:tcPr>
                <w:p w14:paraId="413727F9">
                  <w:pPr>
                    <w:rPr>
                      <w:color w:val="auto"/>
                      <w:kern w:val="24"/>
                      <w:szCs w:val="21"/>
                    </w:rPr>
                  </w:pPr>
                </w:p>
              </w:tc>
              <w:tc>
                <w:tcPr>
                  <w:tcW w:w="1534" w:type="dxa"/>
                  <w:vAlign w:val="center"/>
                </w:tcPr>
                <w:p w14:paraId="7C05440F">
                  <w:pPr>
                    <w:jc w:val="center"/>
                    <w:rPr>
                      <w:color w:val="auto"/>
                      <w:kern w:val="24"/>
                      <w:szCs w:val="21"/>
                    </w:rPr>
                  </w:pPr>
                </w:p>
              </w:tc>
              <w:tc>
                <w:tcPr>
                  <w:tcW w:w="1265" w:type="dxa"/>
                  <w:vAlign w:val="center"/>
                </w:tcPr>
                <w:p w14:paraId="7110F406">
                  <w:pPr>
                    <w:jc w:val="center"/>
                    <w:rPr>
                      <w:color w:val="auto"/>
                      <w:kern w:val="24"/>
                      <w:szCs w:val="21"/>
                    </w:rPr>
                  </w:pPr>
                </w:p>
              </w:tc>
            </w:tr>
          </w:tbl>
          <w:p w14:paraId="6CC34805">
            <w:pPr>
              <w:spacing w:line="360" w:lineRule="auto"/>
              <w:ind w:firstLine="480" w:firstLineChars="200"/>
              <w:rPr>
                <w:color w:val="auto"/>
                <w:kern w:val="24"/>
                <w:sz w:val="24"/>
              </w:rPr>
            </w:pPr>
            <w:r>
              <w:rPr>
                <w:rFonts w:hint="eastAsia"/>
                <w:color w:val="auto"/>
                <w:kern w:val="24"/>
                <w:sz w:val="24"/>
              </w:rPr>
              <w:t>综上，根据危险物质本身的危险性及潜在风险源识别，确定本项目主要环境风险源和危险物质为危废暂存间暂存的废机油，车间内暂存的润滑油和乙炔。可能的影响途径为危废暂存间防渗层破损或破裂，润滑油桶、乙炔瓶发生泄露，导致润滑油、乙炔、废机油发生泄露导致地表水、土壤、地下水污染，或发生火灾、爆炸引发的伴生/次生污染物排放。</w:t>
            </w:r>
          </w:p>
          <w:p w14:paraId="31853A3F">
            <w:pPr>
              <w:spacing w:line="360" w:lineRule="auto"/>
              <w:rPr>
                <w:b/>
                <w:bCs/>
                <w:color w:val="auto"/>
                <w:kern w:val="24"/>
                <w:sz w:val="24"/>
              </w:rPr>
            </w:pPr>
            <w:r>
              <w:rPr>
                <w:b/>
                <w:bCs/>
                <w:color w:val="auto"/>
                <w:kern w:val="24"/>
                <w:sz w:val="24"/>
              </w:rPr>
              <w:t>6</w:t>
            </w:r>
            <w:r>
              <w:rPr>
                <w:rFonts w:hint="eastAsia"/>
                <w:b/>
                <w:bCs/>
                <w:color w:val="auto"/>
                <w:kern w:val="24"/>
                <w:sz w:val="24"/>
              </w:rPr>
              <w:t>.2环境风险防范措施</w:t>
            </w:r>
          </w:p>
          <w:p w14:paraId="55E3F88D">
            <w:pPr>
              <w:spacing w:line="360" w:lineRule="auto"/>
              <w:ind w:firstLine="480" w:firstLineChars="200"/>
              <w:rPr>
                <w:color w:val="auto"/>
                <w:kern w:val="24"/>
                <w:sz w:val="24"/>
              </w:rPr>
            </w:pPr>
            <w:r>
              <w:rPr>
                <w:rFonts w:hint="eastAsia"/>
                <w:color w:val="auto"/>
                <w:kern w:val="24"/>
                <w:sz w:val="24"/>
              </w:rPr>
              <w:t>根据本项目特点，风险管理措施如下：</w:t>
            </w:r>
          </w:p>
          <w:p w14:paraId="25C30FD7">
            <w:pPr>
              <w:spacing w:line="360" w:lineRule="auto"/>
              <w:ind w:firstLine="480" w:firstLineChars="200"/>
              <w:rPr>
                <w:color w:val="auto"/>
                <w:kern w:val="24"/>
                <w:sz w:val="24"/>
              </w:rPr>
            </w:pPr>
            <w:r>
              <w:rPr>
                <w:rFonts w:hint="eastAsia"/>
                <w:color w:val="auto"/>
                <w:kern w:val="24"/>
                <w:sz w:val="24"/>
              </w:rPr>
              <w:t>（1）环境风险管理</w:t>
            </w:r>
          </w:p>
          <w:p w14:paraId="4743840C">
            <w:pPr>
              <w:spacing w:line="360" w:lineRule="auto"/>
              <w:ind w:firstLine="480" w:firstLineChars="200"/>
              <w:rPr>
                <w:color w:val="auto"/>
                <w:kern w:val="24"/>
                <w:sz w:val="24"/>
              </w:rPr>
            </w:pPr>
            <w:r>
              <w:rPr>
                <w:rFonts w:hint="eastAsia"/>
                <w:color w:val="auto"/>
                <w:kern w:val="24"/>
                <w:sz w:val="24"/>
              </w:rPr>
              <w:t>项目建成运行后，建设单位应编制《突发事故环境风险应急预案》报送生态环境主管部门进行备案，并配备相应的风险应急物资。</w:t>
            </w:r>
          </w:p>
          <w:p w14:paraId="042D8B24">
            <w:pPr>
              <w:spacing w:line="360" w:lineRule="auto"/>
              <w:ind w:firstLine="480" w:firstLineChars="200"/>
              <w:rPr>
                <w:color w:val="auto"/>
                <w:kern w:val="24"/>
                <w:sz w:val="24"/>
              </w:rPr>
            </w:pPr>
            <w:r>
              <w:rPr>
                <w:rFonts w:hint="eastAsia"/>
                <w:color w:val="auto"/>
                <w:kern w:val="24"/>
                <w:sz w:val="24"/>
              </w:rPr>
              <w:t>②危险废物在厂区使用专用容器，并将收集容器贴上标签，存储于现有项目危废暂存间内，委托有资质的单位处理。危废暂存间必须派专人进行管理，并严格执行危废暂存间的管理制度，降低管理产生的风险。</w:t>
            </w:r>
          </w:p>
          <w:p w14:paraId="623FA231">
            <w:pPr>
              <w:spacing w:line="360" w:lineRule="auto"/>
              <w:ind w:firstLine="480" w:firstLineChars="200"/>
              <w:rPr>
                <w:color w:val="auto"/>
                <w:kern w:val="24"/>
                <w:sz w:val="24"/>
              </w:rPr>
            </w:pPr>
            <w:r>
              <w:rPr>
                <w:rFonts w:hint="eastAsia"/>
                <w:color w:val="auto"/>
                <w:kern w:val="24"/>
                <w:sz w:val="24"/>
              </w:rPr>
              <w:t>③加强职工安全环保教育，防止和减少因人为因素造成的事故，同时也要加强防火安全教育。</w:t>
            </w:r>
          </w:p>
          <w:p w14:paraId="3E3E21E5">
            <w:pPr>
              <w:spacing w:line="360" w:lineRule="auto"/>
              <w:ind w:firstLine="480" w:firstLineChars="200"/>
              <w:rPr>
                <w:color w:val="auto"/>
                <w:kern w:val="24"/>
                <w:sz w:val="24"/>
              </w:rPr>
            </w:pPr>
            <w:r>
              <w:rPr>
                <w:rFonts w:hint="eastAsia"/>
                <w:color w:val="auto"/>
                <w:kern w:val="24"/>
                <w:sz w:val="24"/>
              </w:rPr>
              <w:t>④应配备足够的消防设施，落实安全管理责任。</w:t>
            </w:r>
          </w:p>
          <w:p w14:paraId="70A71DD6">
            <w:pPr>
              <w:spacing w:line="360" w:lineRule="auto"/>
              <w:ind w:firstLine="480" w:firstLineChars="200"/>
              <w:rPr>
                <w:color w:val="auto"/>
                <w:kern w:val="24"/>
                <w:sz w:val="24"/>
              </w:rPr>
            </w:pPr>
            <w:r>
              <w:rPr>
                <w:rFonts w:hint="eastAsia"/>
                <w:color w:val="auto"/>
                <w:kern w:val="24"/>
                <w:sz w:val="24"/>
              </w:rPr>
              <w:t>⑤强化设备检修，减少因设备损坏、老化带来的遗漏。</w:t>
            </w:r>
          </w:p>
          <w:p w14:paraId="5CE2E818">
            <w:pPr>
              <w:spacing w:line="360" w:lineRule="auto"/>
              <w:ind w:firstLine="480" w:firstLineChars="200"/>
              <w:rPr>
                <w:color w:val="auto"/>
                <w:kern w:val="24"/>
                <w:sz w:val="24"/>
              </w:rPr>
            </w:pPr>
            <w:r>
              <w:rPr>
                <w:rFonts w:hint="eastAsia"/>
                <w:color w:val="auto"/>
                <w:kern w:val="24"/>
                <w:sz w:val="24"/>
              </w:rPr>
              <w:t>（2）环境风险防范措施</w:t>
            </w:r>
          </w:p>
          <w:p w14:paraId="07EEBBFC">
            <w:pPr>
              <w:spacing w:line="360" w:lineRule="auto"/>
              <w:ind w:firstLine="480" w:firstLineChars="200"/>
              <w:rPr>
                <w:color w:val="auto"/>
                <w:kern w:val="24"/>
                <w:sz w:val="24"/>
              </w:rPr>
            </w:pPr>
            <w:r>
              <w:rPr>
                <w:rFonts w:hint="eastAsia"/>
                <w:color w:val="auto"/>
                <w:kern w:val="24"/>
                <w:sz w:val="24"/>
              </w:rPr>
              <w:t>①危废暂存间按照《危险废物贮存污染控制标准》</w:t>
            </w:r>
            <w:r>
              <w:rPr>
                <w:color w:val="auto"/>
                <w:kern w:val="24"/>
                <w:sz w:val="24"/>
              </w:rPr>
              <w:t>(GB 18597-2023)</w:t>
            </w:r>
            <w:r>
              <w:rPr>
                <w:rFonts w:hint="eastAsia"/>
                <w:color w:val="auto"/>
                <w:kern w:val="24"/>
                <w:sz w:val="24"/>
              </w:rPr>
              <w:t xml:space="preserve"> 中相关要求设置防渗层，并分类存放、贮存，并必须采取防扬散、防流失、防渗漏及其他防止污染环境的措施，不得随意露天堆放。</w:t>
            </w:r>
          </w:p>
          <w:p w14:paraId="6CAE6F29">
            <w:pPr>
              <w:spacing w:line="360" w:lineRule="auto"/>
              <w:ind w:firstLine="480" w:firstLineChars="200"/>
              <w:rPr>
                <w:color w:val="auto"/>
                <w:kern w:val="24"/>
                <w:sz w:val="24"/>
              </w:rPr>
            </w:pPr>
            <w:r>
              <w:rPr>
                <w:rFonts w:hint="eastAsia"/>
                <w:color w:val="auto"/>
                <w:kern w:val="24"/>
                <w:sz w:val="24"/>
              </w:rPr>
              <w:t>②应具有液体泄漏堵截设施，设置围堰、导流沟、集液池，对围堰区进行防渗处理。</w:t>
            </w:r>
          </w:p>
          <w:p w14:paraId="7AEB7612">
            <w:pPr>
              <w:spacing w:line="360" w:lineRule="auto"/>
              <w:ind w:firstLine="480" w:firstLineChars="200"/>
              <w:rPr>
                <w:color w:val="auto"/>
                <w:kern w:val="24"/>
                <w:sz w:val="24"/>
              </w:rPr>
            </w:pPr>
            <w:r>
              <w:rPr>
                <w:rFonts w:hint="eastAsia"/>
                <w:color w:val="auto"/>
                <w:kern w:val="24"/>
                <w:sz w:val="24"/>
              </w:rPr>
              <w:t>③机油泄漏时，迅速撤离泄漏污染区人员至安全区，并进行隔离，严格限制出入。切断火源。建议应急处理人员戴自给正压式呼吸器，穿消防防护服。尽可能切断泄漏源。防止进入下水道、排洪沟等限制性空间。小量泄漏：用砂土、蛭石或其它惰性材料吸收。</w:t>
            </w:r>
          </w:p>
          <w:p w14:paraId="09D9E2EB">
            <w:pPr>
              <w:spacing w:line="360" w:lineRule="auto"/>
              <w:ind w:firstLine="480" w:firstLineChars="200"/>
              <w:rPr>
                <w:color w:val="auto"/>
                <w:kern w:val="24"/>
                <w:sz w:val="24"/>
              </w:rPr>
            </w:pPr>
            <w:r>
              <w:rPr>
                <w:rFonts w:hint="eastAsia"/>
                <w:color w:val="auto"/>
                <w:kern w:val="24"/>
                <w:sz w:val="24"/>
              </w:rPr>
              <w:t>④因火灾事故产生的消防废水应将储存于事故水池中，不得外排。</w:t>
            </w:r>
          </w:p>
          <w:p w14:paraId="67A9FA6B">
            <w:pPr>
              <w:spacing w:line="360" w:lineRule="auto"/>
              <w:ind w:firstLine="480" w:firstLineChars="200"/>
              <w:rPr>
                <w:color w:val="auto"/>
                <w:kern w:val="24"/>
                <w:sz w:val="24"/>
              </w:rPr>
            </w:pPr>
            <w:r>
              <w:rPr>
                <w:rFonts w:hint="eastAsia"/>
                <w:color w:val="auto"/>
                <w:kern w:val="24"/>
                <w:sz w:val="24"/>
              </w:rPr>
              <w:t>⑤库房远离火源、电源、同时加强管理，严禁烟火。</w:t>
            </w:r>
          </w:p>
          <w:p w14:paraId="7EF8C1AB">
            <w:pPr>
              <w:spacing w:line="360" w:lineRule="auto"/>
              <w:ind w:firstLine="480" w:firstLineChars="200"/>
              <w:rPr>
                <w:color w:val="auto"/>
                <w:kern w:val="24"/>
                <w:sz w:val="24"/>
              </w:rPr>
            </w:pPr>
            <w:r>
              <w:rPr>
                <w:rFonts w:hint="eastAsia"/>
                <w:color w:val="auto"/>
                <w:kern w:val="24"/>
                <w:sz w:val="24"/>
              </w:rPr>
              <w:t>⑥严格执行防火、防爆、防雷击、防毒害等各项要求；按照GB50140-2005《建筑灭火器配置设计规范》规定，配置相应的灭火器类型(干粉灭火器等)与数量，并在火灾危险场所设置报警装置；严禁区内有明火出现。</w:t>
            </w:r>
          </w:p>
          <w:p w14:paraId="282AC56B">
            <w:pPr>
              <w:spacing w:line="360" w:lineRule="auto"/>
              <w:ind w:firstLine="480" w:firstLineChars="200"/>
              <w:rPr>
                <w:color w:val="auto"/>
                <w:kern w:val="24"/>
                <w:sz w:val="24"/>
              </w:rPr>
            </w:pPr>
            <w:r>
              <w:rPr>
                <w:rFonts w:hint="eastAsia"/>
                <w:color w:val="auto"/>
                <w:kern w:val="24"/>
                <w:sz w:val="24"/>
              </w:rPr>
              <w:t>⑦待火灾或爆炸彻底排除或安全隐患彻底消除后，应立即清理现场，残留的灭火剂或使用过的惰性吸附和灭火材料集中收集后，作为危险废物送专门危险废物处理场所处置，禁止乱堆、乱放、乱倒。</w:t>
            </w:r>
          </w:p>
          <w:p w14:paraId="10A6532E">
            <w:pPr>
              <w:spacing w:line="360" w:lineRule="auto"/>
              <w:rPr>
                <w:b/>
                <w:bCs/>
                <w:color w:val="auto"/>
                <w:kern w:val="24"/>
                <w:sz w:val="24"/>
              </w:rPr>
            </w:pPr>
            <w:r>
              <w:rPr>
                <w:rFonts w:hint="eastAsia"/>
                <w:b/>
                <w:bCs/>
                <w:color w:val="auto"/>
                <w:kern w:val="24"/>
                <w:sz w:val="24"/>
              </w:rPr>
              <w:t>7、</w:t>
            </w:r>
            <w:r>
              <w:rPr>
                <w:b/>
                <w:bCs/>
                <w:color w:val="auto"/>
                <w:kern w:val="24"/>
                <w:sz w:val="24"/>
              </w:rPr>
              <w:t>碳排放核算</w:t>
            </w:r>
          </w:p>
          <w:p w14:paraId="7D87BC27">
            <w:pPr>
              <w:pStyle w:val="70"/>
              <w:ind w:firstLine="480"/>
              <w:rPr>
                <w:color w:val="auto"/>
                <w:kern w:val="24"/>
              </w:rPr>
            </w:pPr>
            <w:r>
              <w:rPr>
                <w:color w:val="auto"/>
                <w:kern w:val="24"/>
              </w:rPr>
              <w:t>根据</w:t>
            </w:r>
            <w:r>
              <w:rPr>
                <w:rFonts w:hint="eastAsia"/>
                <w:color w:val="auto"/>
                <w:kern w:val="24"/>
              </w:rPr>
              <w:t>《中华人民共和国生态环境法典》</w:t>
            </w:r>
            <w:r>
              <w:rPr>
                <w:bCs/>
                <w:color w:val="auto"/>
                <w:kern w:val="24"/>
              </w:rPr>
              <w:t>（2026年3月12日第十四届全国人民代表大会第四次会议通过）</w:t>
            </w:r>
            <w:r>
              <w:rPr>
                <w:rFonts w:hint="eastAsia"/>
                <w:bCs/>
                <w:color w:val="auto"/>
                <w:kern w:val="24"/>
              </w:rPr>
              <w:t>中第八十二条：</w:t>
            </w:r>
            <w:r>
              <w:rPr>
                <w:bCs/>
                <w:color w:val="auto"/>
                <w:kern w:val="24"/>
              </w:rPr>
              <w:t>国家加强温室气体排放的生态环境影响评价</w:t>
            </w:r>
            <w:r>
              <w:rPr>
                <w:rFonts w:hint="eastAsia"/>
                <w:bCs/>
                <w:color w:val="auto"/>
                <w:kern w:val="24"/>
              </w:rPr>
              <w:t>。</w:t>
            </w:r>
            <w:r>
              <w:rPr>
                <w:color w:val="auto"/>
                <w:kern w:val="24"/>
              </w:rPr>
              <w:t>本</w:t>
            </w:r>
            <w:r>
              <w:rPr>
                <w:rFonts w:hint="eastAsia"/>
                <w:color w:val="auto"/>
                <w:kern w:val="24"/>
              </w:rPr>
              <w:t>报告</w:t>
            </w:r>
            <w:r>
              <w:rPr>
                <w:color w:val="auto"/>
                <w:kern w:val="24"/>
              </w:rPr>
              <w:t>对项目的碳排放进行分析。碳排放分为直接CO</w:t>
            </w:r>
            <w:r>
              <w:rPr>
                <w:color w:val="auto"/>
                <w:kern w:val="24"/>
                <w:vertAlign w:val="subscript"/>
              </w:rPr>
              <w:t>2</w:t>
            </w:r>
            <w:r>
              <w:rPr>
                <w:color w:val="auto"/>
                <w:kern w:val="24"/>
              </w:rPr>
              <w:t>排放和间接CO</w:t>
            </w:r>
            <w:r>
              <w:rPr>
                <w:color w:val="auto"/>
                <w:kern w:val="24"/>
                <w:vertAlign w:val="subscript"/>
              </w:rPr>
              <w:t>2</w:t>
            </w:r>
            <w:r>
              <w:rPr>
                <w:color w:val="auto"/>
                <w:kern w:val="24"/>
              </w:rPr>
              <w:t>排放，经识别，本项目</w:t>
            </w:r>
            <w:r>
              <w:rPr>
                <w:rFonts w:hint="eastAsia"/>
                <w:color w:val="auto"/>
                <w:kern w:val="24"/>
              </w:rPr>
              <w:t>不使用化石燃料，工艺生产过程无CO</w:t>
            </w:r>
            <w:r>
              <w:rPr>
                <w:rFonts w:hint="eastAsia"/>
                <w:color w:val="auto"/>
                <w:kern w:val="24"/>
                <w:vertAlign w:val="subscript"/>
              </w:rPr>
              <w:t>2</w:t>
            </w:r>
            <w:r>
              <w:rPr>
                <w:rFonts w:hint="eastAsia"/>
                <w:color w:val="auto"/>
                <w:kern w:val="24"/>
              </w:rPr>
              <w:t>排放，</w:t>
            </w:r>
            <w:r>
              <w:rPr>
                <w:color w:val="auto"/>
                <w:kern w:val="24"/>
              </w:rPr>
              <w:t>碳排放源强主要为能源间接排放源，间接碳排放源主要来自于电力消耗。</w:t>
            </w:r>
          </w:p>
          <w:p w14:paraId="79299C54">
            <w:pPr>
              <w:pStyle w:val="70"/>
              <w:ind w:firstLine="480"/>
              <w:rPr>
                <w:color w:val="auto"/>
              </w:rPr>
            </w:pPr>
            <w:r>
              <w:rPr>
                <w:rFonts w:hint="eastAsia"/>
                <w:color w:val="auto"/>
              </w:rPr>
              <w:t>外购电力CO</w:t>
            </w:r>
            <w:r>
              <w:rPr>
                <w:rFonts w:hint="eastAsia"/>
                <w:color w:val="auto"/>
                <w:vertAlign w:val="subscript"/>
              </w:rPr>
              <w:t>2</w:t>
            </w:r>
            <w:r>
              <w:rPr>
                <w:rFonts w:hint="eastAsia"/>
                <w:color w:val="auto"/>
              </w:rPr>
              <w:t>排放计算公式如下：</w:t>
            </w:r>
          </w:p>
          <w:p w14:paraId="4C5F3B99">
            <w:pPr>
              <w:pStyle w:val="70"/>
              <w:ind w:firstLine="480"/>
              <w:jc w:val="center"/>
              <w:rPr>
                <w:color w:val="auto"/>
              </w:rPr>
            </w:pPr>
            <w:r>
              <w:rPr>
                <w:color w:val="auto"/>
              </w:rPr>
              <w:drawing>
                <wp:inline distT="0" distB="0" distL="0" distR="0">
                  <wp:extent cx="1352550" cy="51435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18"/>
                          <a:stretch>
                            <a:fillRect/>
                          </a:stretch>
                        </pic:blipFill>
                        <pic:spPr>
                          <a:xfrm>
                            <a:off x="0" y="0"/>
                            <a:ext cx="1352550" cy="514350"/>
                          </a:xfrm>
                          <a:prstGeom prst="rect">
                            <a:avLst/>
                          </a:prstGeom>
                        </pic:spPr>
                      </pic:pic>
                    </a:graphicData>
                  </a:graphic>
                </wp:inline>
              </w:drawing>
            </w:r>
          </w:p>
          <w:p w14:paraId="7C7E4ACC">
            <w:pPr>
              <w:pStyle w:val="70"/>
              <w:ind w:firstLine="480"/>
              <w:rPr>
                <w:color w:val="auto"/>
              </w:rPr>
            </w:pPr>
            <w:r>
              <w:rPr>
                <w:rFonts w:hint="eastAsia"/>
                <w:color w:val="auto"/>
              </w:rPr>
              <w:t>式中：</w:t>
            </w:r>
          </w:p>
          <w:p w14:paraId="14087BBC">
            <w:pPr>
              <w:pStyle w:val="70"/>
              <w:ind w:firstLine="960" w:firstLineChars="400"/>
              <w:rPr>
                <w:color w:val="auto"/>
              </w:rPr>
            </w:pPr>
            <w:r>
              <w:rPr>
                <w:rFonts w:hint="eastAsia"/>
                <w:i/>
                <w:color w:val="auto"/>
              </w:rPr>
              <w:t>E</w:t>
            </w:r>
            <w:r>
              <w:rPr>
                <w:rFonts w:hint="eastAsia"/>
                <w:i/>
                <w:color w:val="auto"/>
                <w:vertAlign w:val="subscript"/>
              </w:rPr>
              <w:t>购电</w:t>
            </w:r>
            <w:r>
              <w:rPr>
                <w:rFonts w:hint="eastAsia"/>
                <w:color w:val="auto"/>
              </w:rPr>
              <w:t xml:space="preserve"> —报告期内外购电力对应的CO</w:t>
            </w:r>
            <w:r>
              <w:rPr>
                <w:rFonts w:hint="eastAsia"/>
                <w:color w:val="auto"/>
                <w:vertAlign w:val="subscript"/>
              </w:rPr>
              <w:t>2</w:t>
            </w:r>
            <w:r>
              <w:rPr>
                <w:rFonts w:hint="eastAsia"/>
                <w:color w:val="auto"/>
              </w:rPr>
              <w:t>间接排放量，单位为吨（t）；</w:t>
            </w:r>
          </w:p>
          <w:p w14:paraId="247F8615">
            <w:pPr>
              <w:pStyle w:val="70"/>
              <w:ind w:firstLine="960" w:firstLineChars="400"/>
              <w:rPr>
                <w:color w:val="auto"/>
              </w:rPr>
            </w:pPr>
            <w:r>
              <w:rPr>
                <w:rFonts w:hint="eastAsia"/>
                <w:i/>
                <w:color w:val="auto"/>
              </w:rPr>
              <w:t>Q</w:t>
            </w:r>
            <w:r>
              <w:rPr>
                <w:rFonts w:hint="eastAsia"/>
                <w:i/>
                <w:color w:val="auto"/>
                <w:vertAlign w:val="subscript"/>
              </w:rPr>
              <w:t>E</w:t>
            </w:r>
            <w:r>
              <w:rPr>
                <w:rFonts w:hint="eastAsia"/>
                <w:color w:val="auto"/>
              </w:rPr>
              <w:t xml:space="preserve"> —报告期内外购电力总量，单位为千瓦·时（kW·h），取值3000000；</w:t>
            </w:r>
          </w:p>
          <w:p w14:paraId="4B47A29A">
            <w:pPr>
              <w:pStyle w:val="70"/>
              <w:ind w:firstLine="960" w:firstLineChars="400"/>
              <w:rPr>
                <w:color w:val="auto"/>
              </w:rPr>
            </w:pPr>
            <w:r>
              <w:rPr>
                <w:rFonts w:hint="eastAsia"/>
                <w:color w:val="auto"/>
              </w:rPr>
              <w:t>EF —外购电力CO</w:t>
            </w:r>
            <w:r>
              <w:rPr>
                <w:rFonts w:hint="eastAsia"/>
                <w:color w:val="auto"/>
                <w:vertAlign w:val="subscript"/>
              </w:rPr>
              <w:t>2</w:t>
            </w:r>
            <w:r>
              <w:rPr>
                <w:rFonts w:hint="eastAsia"/>
                <w:color w:val="auto"/>
              </w:rPr>
              <w:t>排放因子。参照根据</w:t>
            </w:r>
            <w:r>
              <w:rPr>
                <w:color w:val="auto"/>
              </w:rPr>
              <w:t>生态环境部</w:t>
            </w:r>
            <w:r>
              <w:rPr>
                <w:rFonts w:hint="eastAsia"/>
                <w:color w:val="auto"/>
              </w:rPr>
              <w:t>、</w:t>
            </w:r>
            <w:r>
              <w:rPr>
                <w:color w:val="auto"/>
              </w:rPr>
              <w:t>国家统计局</w:t>
            </w:r>
            <w:r>
              <w:rPr>
                <w:rFonts w:hint="eastAsia"/>
                <w:color w:val="auto"/>
              </w:rPr>
              <w:t>《</w:t>
            </w:r>
            <w:bookmarkStart w:id="86" w:name="OLE_LINK64"/>
            <w:r>
              <w:rPr>
                <w:color w:val="auto"/>
              </w:rPr>
              <w:t>关于发布2023年电力二氧化碳排放因子的公告</w:t>
            </w:r>
            <w:r>
              <w:rPr>
                <w:rFonts w:hint="eastAsia"/>
                <w:color w:val="auto"/>
              </w:rPr>
              <w:t>》（</w:t>
            </w:r>
            <w:r>
              <w:rPr>
                <w:color w:val="auto"/>
              </w:rPr>
              <w:t>公告2025年第47号</w:t>
            </w:r>
            <w:r>
              <w:rPr>
                <w:rFonts w:hint="eastAsia"/>
                <w:color w:val="auto"/>
              </w:rPr>
              <w:t>），</w:t>
            </w:r>
            <w:r>
              <w:rPr>
                <w:color w:val="auto"/>
              </w:rPr>
              <w:t>2023年全国电力平均二氧化碳排放因子</w:t>
            </w:r>
            <w:r>
              <w:rPr>
                <w:rFonts w:hint="eastAsia"/>
                <w:color w:val="auto"/>
              </w:rPr>
              <w:t>0.5306</w:t>
            </w:r>
            <w:bookmarkEnd w:id="86"/>
            <w:r>
              <w:rPr>
                <w:rFonts w:hint="eastAsia"/>
                <w:color w:val="auto"/>
              </w:rPr>
              <w:t xml:space="preserve"> kgCO</w:t>
            </w:r>
            <w:r>
              <w:rPr>
                <w:rFonts w:hint="eastAsia"/>
                <w:color w:val="auto"/>
                <w:vertAlign w:val="subscript"/>
              </w:rPr>
              <w:t>2</w:t>
            </w:r>
            <w:r>
              <w:rPr>
                <w:rFonts w:hint="eastAsia"/>
                <w:color w:val="auto"/>
              </w:rPr>
              <w:t>/kWh。</w:t>
            </w:r>
          </w:p>
          <w:p w14:paraId="1635D905">
            <w:pPr>
              <w:pStyle w:val="70"/>
              <w:ind w:firstLine="480"/>
              <w:rPr>
                <w:color w:val="auto"/>
              </w:rPr>
            </w:pPr>
            <w:r>
              <w:rPr>
                <w:color w:val="auto"/>
              </w:rPr>
              <w:t>根据计算，外购电力CO</w:t>
            </w:r>
            <w:r>
              <w:rPr>
                <w:color w:val="auto"/>
                <w:vertAlign w:val="subscript"/>
              </w:rPr>
              <w:t>2</w:t>
            </w:r>
            <w:r>
              <w:rPr>
                <w:color w:val="auto"/>
              </w:rPr>
              <w:t>排放量为</w:t>
            </w:r>
            <w:r>
              <w:rPr>
                <w:rFonts w:hint="eastAsia"/>
                <w:color w:val="auto"/>
              </w:rPr>
              <w:t>1591.8</w:t>
            </w:r>
            <w:r>
              <w:rPr>
                <w:color w:val="auto"/>
              </w:rPr>
              <w:t>t/a。</w:t>
            </w:r>
          </w:p>
          <w:p w14:paraId="57F1D8C0">
            <w:pPr>
              <w:pStyle w:val="70"/>
              <w:ind w:firstLine="480"/>
              <w:rPr>
                <w:rFonts w:hint="eastAsia"/>
                <w:color w:val="auto"/>
              </w:rPr>
            </w:pPr>
            <w:r>
              <w:rPr>
                <w:rFonts w:hint="eastAsia"/>
                <w:color w:val="auto"/>
              </w:rPr>
              <w:t>厂区应在后续建设中将生产设备</w:t>
            </w:r>
            <w:r>
              <w:rPr>
                <w:color w:val="auto"/>
              </w:rPr>
              <w:t>采用变频控制，车间照明全更换为LED节能灯具，降低单位产品电耗；</w:t>
            </w:r>
            <w:r>
              <w:rPr>
                <w:rFonts w:hint="eastAsia"/>
                <w:color w:val="auto"/>
              </w:rPr>
              <w:t>并</w:t>
            </w:r>
            <w:r>
              <w:rPr>
                <w:color w:val="auto"/>
              </w:rPr>
              <w:t>通过参与云南省绿电市场化交易，逐年提升生产环节绿电消费占比；稳步削减项目整体温室气体排放强度。</w:t>
            </w:r>
          </w:p>
          <w:p w14:paraId="3AE646CD">
            <w:pPr>
              <w:spacing w:line="360" w:lineRule="auto"/>
              <w:rPr>
                <w:b/>
                <w:bCs/>
                <w:color w:val="auto"/>
                <w:kern w:val="24"/>
                <w:sz w:val="24"/>
              </w:rPr>
            </w:pPr>
            <w:r>
              <w:rPr>
                <w:rFonts w:hint="eastAsia"/>
                <w:b/>
                <w:bCs/>
                <w:color w:val="auto"/>
                <w:kern w:val="24"/>
                <w:sz w:val="24"/>
              </w:rPr>
              <w:t>8、竣工环境保护验收</w:t>
            </w:r>
          </w:p>
          <w:p w14:paraId="52A4B4D0">
            <w:pPr>
              <w:pStyle w:val="70"/>
              <w:adjustRightInd w:val="0"/>
              <w:snapToGrid w:val="0"/>
              <w:ind w:firstLine="480"/>
              <w:rPr>
                <w:b/>
                <w:bCs/>
                <w:color w:val="auto"/>
                <w:kern w:val="0"/>
                <w:sz w:val="24"/>
              </w:rPr>
            </w:pPr>
            <w:r>
              <w:rPr>
                <w:rFonts w:hint="eastAsia"/>
                <w:color w:val="auto"/>
              </w:rPr>
              <w:t>本项目环保措施应当与整合主体工程同时设计、同时施工和同时投产，环保设施按照建设项目竣工环境保护验收管理办法，工程完成后在规定时间建设单位应向当地环保部门提出申请环保设施竣工验收，同时提交竣工环境保护验收调查报告。</w:t>
            </w:r>
          </w:p>
          <w:p w14:paraId="588F1904">
            <w:pPr>
              <w:autoSpaceDE w:val="0"/>
              <w:autoSpaceDN w:val="0"/>
              <w:adjustRightInd w:val="0"/>
              <w:snapToGrid w:val="0"/>
              <w:jc w:val="center"/>
              <w:rPr>
                <w:b/>
                <w:bCs/>
                <w:color w:val="auto"/>
                <w:kern w:val="0"/>
                <w:sz w:val="24"/>
              </w:rPr>
            </w:pPr>
            <w:r>
              <w:rPr>
                <w:b/>
                <w:bCs/>
                <w:color w:val="auto"/>
                <w:kern w:val="0"/>
                <w:sz w:val="24"/>
              </w:rPr>
              <w:t>表</w:t>
            </w:r>
            <w:r>
              <w:rPr>
                <w:rFonts w:hint="eastAsia"/>
                <w:b/>
                <w:bCs/>
                <w:color w:val="auto"/>
                <w:kern w:val="0"/>
                <w:sz w:val="24"/>
              </w:rPr>
              <w:t xml:space="preserve">4-21  </w:t>
            </w:r>
            <w:r>
              <w:rPr>
                <w:b/>
                <w:bCs/>
                <w:color w:val="auto"/>
                <w:kern w:val="0"/>
                <w:sz w:val="24"/>
              </w:rPr>
              <w:t>项目环保设施竣工验收一览表</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778"/>
              <w:gridCol w:w="1384"/>
              <w:gridCol w:w="3926"/>
              <w:gridCol w:w="2798"/>
            </w:tblGrid>
            <w:tr w14:paraId="7EF04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trPr>
              <w:tc>
                <w:tcPr>
                  <w:tcW w:w="438" w:type="pct"/>
                  <w:shd w:val="clear" w:color="auto" w:fill="FFFFFF"/>
                  <w:vAlign w:val="center"/>
                </w:tcPr>
                <w:p w14:paraId="04BF8BD1">
                  <w:pPr>
                    <w:autoSpaceDE w:val="0"/>
                    <w:autoSpaceDN w:val="0"/>
                    <w:adjustRightInd w:val="0"/>
                    <w:snapToGrid w:val="0"/>
                    <w:jc w:val="center"/>
                    <w:rPr>
                      <w:color w:val="auto"/>
                      <w:kern w:val="0"/>
                      <w:szCs w:val="21"/>
                    </w:rPr>
                  </w:pPr>
                  <w:r>
                    <w:rPr>
                      <w:color w:val="auto"/>
                      <w:kern w:val="0"/>
                      <w:szCs w:val="21"/>
                    </w:rPr>
                    <w:t>项目</w:t>
                  </w:r>
                </w:p>
              </w:tc>
              <w:tc>
                <w:tcPr>
                  <w:tcW w:w="779" w:type="pct"/>
                  <w:shd w:val="clear" w:color="auto" w:fill="FFFFFF"/>
                  <w:vAlign w:val="center"/>
                </w:tcPr>
                <w:p w14:paraId="436390D7">
                  <w:pPr>
                    <w:autoSpaceDE w:val="0"/>
                    <w:autoSpaceDN w:val="0"/>
                    <w:adjustRightInd w:val="0"/>
                    <w:snapToGrid w:val="0"/>
                    <w:jc w:val="center"/>
                    <w:rPr>
                      <w:color w:val="auto"/>
                      <w:kern w:val="0"/>
                      <w:szCs w:val="21"/>
                    </w:rPr>
                  </w:pPr>
                  <w:r>
                    <w:rPr>
                      <w:color w:val="auto"/>
                      <w:kern w:val="0"/>
                      <w:szCs w:val="21"/>
                    </w:rPr>
                    <w:t>验收对象</w:t>
                  </w:r>
                </w:p>
              </w:tc>
              <w:tc>
                <w:tcPr>
                  <w:tcW w:w="2209" w:type="pct"/>
                  <w:shd w:val="clear" w:color="auto" w:fill="FFFFFF"/>
                  <w:vAlign w:val="center"/>
                </w:tcPr>
                <w:p w14:paraId="5DB85F9F">
                  <w:pPr>
                    <w:autoSpaceDE w:val="0"/>
                    <w:autoSpaceDN w:val="0"/>
                    <w:adjustRightInd w:val="0"/>
                    <w:snapToGrid w:val="0"/>
                    <w:jc w:val="center"/>
                    <w:rPr>
                      <w:color w:val="auto"/>
                      <w:kern w:val="0"/>
                      <w:szCs w:val="21"/>
                    </w:rPr>
                  </w:pPr>
                  <w:r>
                    <w:rPr>
                      <w:color w:val="auto"/>
                      <w:kern w:val="0"/>
                      <w:szCs w:val="21"/>
                    </w:rPr>
                    <w:t>治理措施</w:t>
                  </w:r>
                </w:p>
              </w:tc>
              <w:tc>
                <w:tcPr>
                  <w:tcW w:w="1574" w:type="pct"/>
                  <w:shd w:val="clear" w:color="auto" w:fill="FFFFFF"/>
                  <w:vAlign w:val="center"/>
                </w:tcPr>
                <w:p w14:paraId="05393699">
                  <w:pPr>
                    <w:autoSpaceDE w:val="0"/>
                    <w:autoSpaceDN w:val="0"/>
                    <w:adjustRightInd w:val="0"/>
                    <w:snapToGrid w:val="0"/>
                    <w:jc w:val="center"/>
                    <w:rPr>
                      <w:color w:val="auto"/>
                      <w:kern w:val="0"/>
                      <w:szCs w:val="21"/>
                    </w:rPr>
                  </w:pPr>
                  <w:r>
                    <w:rPr>
                      <w:color w:val="auto"/>
                      <w:kern w:val="0"/>
                      <w:szCs w:val="21"/>
                    </w:rPr>
                    <w:t>验收标准</w:t>
                  </w:r>
                </w:p>
              </w:tc>
            </w:tr>
            <w:tr w14:paraId="60279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621" w:hRule="atLeast"/>
              </w:trPr>
              <w:tc>
                <w:tcPr>
                  <w:tcW w:w="438" w:type="pct"/>
                  <w:vMerge w:val="restart"/>
                  <w:shd w:val="clear" w:color="auto" w:fill="FFFFFF"/>
                  <w:vAlign w:val="center"/>
                </w:tcPr>
                <w:p w14:paraId="63847F0A">
                  <w:pPr>
                    <w:autoSpaceDE w:val="0"/>
                    <w:autoSpaceDN w:val="0"/>
                    <w:adjustRightInd w:val="0"/>
                    <w:snapToGrid w:val="0"/>
                    <w:jc w:val="center"/>
                    <w:rPr>
                      <w:color w:val="auto"/>
                      <w:kern w:val="0"/>
                      <w:szCs w:val="21"/>
                    </w:rPr>
                  </w:pPr>
                  <w:r>
                    <w:rPr>
                      <w:color w:val="auto"/>
                      <w:kern w:val="0"/>
                      <w:szCs w:val="21"/>
                    </w:rPr>
                    <w:t>大气污染防治措施</w:t>
                  </w:r>
                </w:p>
              </w:tc>
              <w:tc>
                <w:tcPr>
                  <w:tcW w:w="779" w:type="pct"/>
                  <w:tcBorders>
                    <w:bottom w:val="single" w:color="000000" w:sz="4" w:space="0"/>
                  </w:tcBorders>
                  <w:shd w:val="clear" w:color="auto" w:fill="FFFFFF"/>
                  <w:vAlign w:val="center"/>
                </w:tcPr>
                <w:p w14:paraId="6D0A8EE7">
                  <w:pPr>
                    <w:autoSpaceDE w:val="0"/>
                    <w:autoSpaceDN w:val="0"/>
                    <w:adjustRightInd w:val="0"/>
                    <w:snapToGrid w:val="0"/>
                    <w:jc w:val="center"/>
                    <w:rPr>
                      <w:color w:val="auto"/>
                      <w:kern w:val="0"/>
                      <w:szCs w:val="21"/>
                    </w:rPr>
                  </w:pPr>
                  <w:r>
                    <w:rPr>
                      <w:rFonts w:hint="eastAsia"/>
                      <w:color w:val="auto"/>
                      <w:kern w:val="0"/>
                      <w:szCs w:val="21"/>
                    </w:rPr>
                    <w:t>焊接废气、补焊缝烟尘</w:t>
                  </w:r>
                </w:p>
              </w:tc>
              <w:tc>
                <w:tcPr>
                  <w:tcW w:w="2209" w:type="pct"/>
                  <w:tcBorders>
                    <w:bottom w:val="single" w:color="000000" w:sz="4" w:space="0"/>
                  </w:tcBorders>
                  <w:shd w:val="clear" w:color="auto" w:fill="FFFFFF"/>
                  <w:vAlign w:val="center"/>
                </w:tcPr>
                <w:p w14:paraId="509BC44C">
                  <w:pPr>
                    <w:autoSpaceDE w:val="0"/>
                    <w:autoSpaceDN w:val="0"/>
                    <w:adjustRightInd w:val="0"/>
                    <w:snapToGrid w:val="0"/>
                    <w:rPr>
                      <w:color w:val="auto"/>
                      <w:kern w:val="0"/>
                      <w:szCs w:val="21"/>
                    </w:rPr>
                  </w:pPr>
                  <w:r>
                    <w:rPr>
                      <w:rFonts w:ascii="Cambria Math" w:hAnsi="Cambria Math" w:cs="Cambria Math"/>
                      <w:color w:val="auto"/>
                      <w:kern w:val="0"/>
                      <w:szCs w:val="21"/>
                    </w:rPr>
                    <w:t>①</w:t>
                  </w:r>
                  <w:r>
                    <w:rPr>
                      <w:color w:val="auto"/>
                      <w:kern w:val="0"/>
                      <w:szCs w:val="21"/>
                    </w:rPr>
                    <w:t>1#生产线焊接烟尘经集气罩+布袋除尘器（TA001）处理后经一根15m高排气筒（DA001）排放；</w:t>
                  </w:r>
                </w:p>
                <w:p w14:paraId="02C68A07">
                  <w:pPr>
                    <w:autoSpaceDE w:val="0"/>
                    <w:autoSpaceDN w:val="0"/>
                    <w:adjustRightInd w:val="0"/>
                    <w:snapToGrid w:val="0"/>
                    <w:rPr>
                      <w:color w:val="auto"/>
                      <w:kern w:val="0"/>
                      <w:szCs w:val="21"/>
                    </w:rPr>
                  </w:pPr>
                  <w:r>
                    <w:rPr>
                      <w:rFonts w:ascii="Cambria Math" w:hAnsi="Cambria Math" w:cs="Cambria Math"/>
                      <w:color w:val="auto"/>
                      <w:kern w:val="0"/>
                      <w:szCs w:val="21"/>
                    </w:rPr>
                    <w:t>②</w:t>
                  </w:r>
                  <w:r>
                    <w:rPr>
                      <w:color w:val="auto"/>
                      <w:kern w:val="0"/>
                      <w:szCs w:val="21"/>
                    </w:rPr>
                    <w:t>2#~5#生产线焊接烟尘经集气罩+布袋除尘器（TA002~TA005）处理后合并由一根15m高排气筒（DA002）排放；</w:t>
                  </w:r>
                </w:p>
                <w:p w14:paraId="63E65DFB">
                  <w:pPr>
                    <w:autoSpaceDE w:val="0"/>
                    <w:autoSpaceDN w:val="0"/>
                    <w:adjustRightInd w:val="0"/>
                    <w:snapToGrid w:val="0"/>
                    <w:jc w:val="center"/>
                    <w:rPr>
                      <w:color w:val="auto"/>
                      <w:kern w:val="0"/>
                      <w:szCs w:val="21"/>
                    </w:rPr>
                  </w:pPr>
                  <w:r>
                    <w:rPr>
                      <w:rFonts w:ascii="Cambria Math" w:hAnsi="Cambria Math" w:cs="Cambria Math"/>
                      <w:color w:val="auto"/>
                      <w:kern w:val="0"/>
                      <w:szCs w:val="21"/>
                    </w:rPr>
                    <w:t>③</w:t>
                  </w:r>
                  <w:r>
                    <w:rPr>
                      <w:color w:val="auto"/>
                      <w:kern w:val="0"/>
                      <w:szCs w:val="21"/>
                    </w:rPr>
                    <w:t>6#~9#生产线焊接烟尘经集气罩+布袋除尘器（TA006~TA009）处理后合并由一根15m高排气筒（DA003）排放。</w:t>
                  </w:r>
                </w:p>
              </w:tc>
              <w:tc>
                <w:tcPr>
                  <w:tcW w:w="1574" w:type="pct"/>
                  <w:tcBorders>
                    <w:bottom w:val="single" w:color="000000" w:sz="4" w:space="0"/>
                  </w:tcBorders>
                  <w:shd w:val="clear" w:color="auto" w:fill="FFFFFF"/>
                  <w:vAlign w:val="center"/>
                </w:tcPr>
                <w:p w14:paraId="17B043D9">
                  <w:pPr>
                    <w:autoSpaceDE w:val="0"/>
                    <w:autoSpaceDN w:val="0"/>
                    <w:adjustRightInd w:val="0"/>
                    <w:snapToGrid w:val="0"/>
                    <w:jc w:val="center"/>
                    <w:rPr>
                      <w:color w:val="auto"/>
                      <w:kern w:val="0"/>
                      <w:szCs w:val="21"/>
                    </w:rPr>
                  </w:pPr>
                  <w:r>
                    <w:rPr>
                      <w:rFonts w:hint="eastAsia"/>
                      <w:color w:val="auto"/>
                      <w:kern w:val="0"/>
                      <w:szCs w:val="21"/>
                    </w:rPr>
                    <w:t>《大气污染物综合排放标准》（GB16297-1996）表2</w:t>
                  </w:r>
                  <w:r>
                    <w:rPr>
                      <w:color w:val="auto"/>
                      <w:kern w:val="0"/>
                      <w:szCs w:val="21"/>
                    </w:rPr>
                    <w:t>新污染源大气污染物排放限值中二级排放限值</w:t>
                  </w:r>
                </w:p>
              </w:tc>
            </w:tr>
            <w:tr w14:paraId="404E7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93" w:hRule="atLeast"/>
              </w:trPr>
              <w:tc>
                <w:tcPr>
                  <w:tcW w:w="438" w:type="pct"/>
                  <w:vMerge w:val="continue"/>
                  <w:shd w:val="clear" w:color="auto" w:fill="FFFFFF"/>
                  <w:vAlign w:val="center"/>
                </w:tcPr>
                <w:p w14:paraId="68FC5802">
                  <w:pPr>
                    <w:autoSpaceDE w:val="0"/>
                    <w:autoSpaceDN w:val="0"/>
                    <w:adjustRightInd w:val="0"/>
                    <w:snapToGrid w:val="0"/>
                    <w:jc w:val="center"/>
                    <w:rPr>
                      <w:color w:val="auto"/>
                      <w:kern w:val="0"/>
                      <w:szCs w:val="21"/>
                    </w:rPr>
                  </w:pPr>
                </w:p>
              </w:tc>
              <w:tc>
                <w:tcPr>
                  <w:tcW w:w="779" w:type="pct"/>
                  <w:tcBorders>
                    <w:top w:val="single" w:color="000000" w:sz="4" w:space="0"/>
                  </w:tcBorders>
                  <w:shd w:val="clear" w:color="auto" w:fill="FFFFFF"/>
                  <w:vAlign w:val="center"/>
                </w:tcPr>
                <w:p w14:paraId="33C9260F">
                  <w:pPr>
                    <w:autoSpaceDE w:val="0"/>
                    <w:autoSpaceDN w:val="0"/>
                    <w:adjustRightInd w:val="0"/>
                    <w:snapToGrid w:val="0"/>
                    <w:jc w:val="center"/>
                    <w:rPr>
                      <w:color w:val="auto"/>
                      <w:kern w:val="0"/>
                      <w:szCs w:val="21"/>
                    </w:rPr>
                  </w:pPr>
                  <w:r>
                    <w:rPr>
                      <w:rFonts w:hint="eastAsia"/>
                      <w:color w:val="auto"/>
                      <w:kern w:val="0"/>
                      <w:szCs w:val="21"/>
                    </w:rPr>
                    <w:t>未收集焊接废气、切割废气</w:t>
                  </w:r>
                </w:p>
              </w:tc>
              <w:tc>
                <w:tcPr>
                  <w:tcW w:w="2209" w:type="pct"/>
                  <w:tcBorders>
                    <w:top w:val="single" w:color="000000" w:sz="4" w:space="0"/>
                  </w:tcBorders>
                  <w:shd w:val="clear" w:color="auto" w:fill="FFFFFF"/>
                  <w:vAlign w:val="center"/>
                </w:tcPr>
                <w:p w14:paraId="46C5E56A">
                  <w:pPr>
                    <w:autoSpaceDE w:val="0"/>
                    <w:autoSpaceDN w:val="0"/>
                    <w:adjustRightInd w:val="0"/>
                    <w:snapToGrid w:val="0"/>
                    <w:jc w:val="center"/>
                    <w:rPr>
                      <w:color w:val="auto"/>
                      <w:kern w:val="0"/>
                      <w:szCs w:val="21"/>
                    </w:rPr>
                  </w:pPr>
                  <w:r>
                    <w:rPr>
                      <w:rFonts w:hint="eastAsia"/>
                      <w:color w:val="auto"/>
                      <w:kern w:val="0"/>
                      <w:szCs w:val="21"/>
                    </w:rPr>
                    <w:t>生产线内各加工单元</w:t>
                  </w:r>
                  <w:r>
                    <w:rPr>
                      <w:color w:val="auto"/>
                      <w:kern w:val="0"/>
                      <w:szCs w:val="21"/>
                    </w:rPr>
                    <w:t>均设置在封闭</w:t>
                  </w:r>
                  <w:r>
                    <w:rPr>
                      <w:rFonts w:hint="eastAsia"/>
                      <w:color w:val="auto"/>
                      <w:kern w:val="0"/>
                      <w:szCs w:val="21"/>
                    </w:rPr>
                    <w:t>车间内，并增加各个设备的密闭性。</w:t>
                  </w:r>
                </w:p>
              </w:tc>
              <w:tc>
                <w:tcPr>
                  <w:tcW w:w="1574" w:type="pct"/>
                  <w:tcBorders>
                    <w:top w:val="single" w:color="000000" w:sz="4" w:space="0"/>
                  </w:tcBorders>
                  <w:shd w:val="clear" w:color="auto" w:fill="FFFFFF"/>
                  <w:vAlign w:val="center"/>
                </w:tcPr>
                <w:p w14:paraId="30FEF6CA">
                  <w:pPr>
                    <w:autoSpaceDE w:val="0"/>
                    <w:autoSpaceDN w:val="0"/>
                    <w:adjustRightInd w:val="0"/>
                    <w:snapToGrid w:val="0"/>
                    <w:jc w:val="center"/>
                    <w:rPr>
                      <w:color w:val="auto"/>
                      <w:kern w:val="0"/>
                      <w:szCs w:val="21"/>
                    </w:rPr>
                  </w:pPr>
                  <w:r>
                    <w:rPr>
                      <w:rFonts w:hint="eastAsia"/>
                      <w:color w:val="auto"/>
                      <w:kern w:val="0"/>
                      <w:szCs w:val="21"/>
                    </w:rPr>
                    <w:t>《大气污染物综合排放标准》（</w:t>
                  </w:r>
                  <w:r>
                    <w:rPr>
                      <w:color w:val="auto"/>
                      <w:kern w:val="0"/>
                      <w:szCs w:val="21"/>
                    </w:rPr>
                    <w:t>GB16297-1996）表2标准</w:t>
                  </w:r>
                  <w:r>
                    <w:rPr>
                      <w:rFonts w:hint="eastAsia"/>
                      <w:color w:val="auto"/>
                      <w:kern w:val="0"/>
                      <w:szCs w:val="21"/>
                    </w:rPr>
                    <w:t>中无组织排放监控浓度限值</w:t>
                  </w:r>
                </w:p>
              </w:tc>
            </w:tr>
            <w:tr w14:paraId="6504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trPr>
              <w:tc>
                <w:tcPr>
                  <w:tcW w:w="438" w:type="pct"/>
                  <w:shd w:val="clear" w:color="auto" w:fill="FFFFFF"/>
                  <w:vAlign w:val="center"/>
                </w:tcPr>
                <w:p w14:paraId="1C46BAFB">
                  <w:pPr>
                    <w:autoSpaceDE w:val="0"/>
                    <w:autoSpaceDN w:val="0"/>
                    <w:adjustRightInd w:val="0"/>
                    <w:snapToGrid w:val="0"/>
                    <w:jc w:val="center"/>
                    <w:rPr>
                      <w:color w:val="auto"/>
                      <w:kern w:val="0"/>
                      <w:szCs w:val="21"/>
                    </w:rPr>
                  </w:pPr>
                  <w:r>
                    <w:rPr>
                      <w:color w:val="auto"/>
                      <w:kern w:val="0"/>
                      <w:szCs w:val="21"/>
                    </w:rPr>
                    <w:t>噪声防治措施</w:t>
                  </w:r>
                </w:p>
              </w:tc>
              <w:tc>
                <w:tcPr>
                  <w:tcW w:w="779" w:type="pct"/>
                  <w:shd w:val="clear" w:color="auto" w:fill="FFFFFF"/>
                  <w:vAlign w:val="center"/>
                </w:tcPr>
                <w:p w14:paraId="607FDFE3">
                  <w:pPr>
                    <w:autoSpaceDE w:val="0"/>
                    <w:autoSpaceDN w:val="0"/>
                    <w:adjustRightInd w:val="0"/>
                    <w:snapToGrid w:val="0"/>
                    <w:jc w:val="center"/>
                    <w:rPr>
                      <w:color w:val="auto"/>
                      <w:kern w:val="0"/>
                      <w:szCs w:val="21"/>
                    </w:rPr>
                  </w:pPr>
                  <w:r>
                    <w:rPr>
                      <w:color w:val="auto"/>
                      <w:kern w:val="0"/>
                      <w:szCs w:val="21"/>
                    </w:rPr>
                    <w:t>生产车间</w:t>
                  </w:r>
                </w:p>
              </w:tc>
              <w:tc>
                <w:tcPr>
                  <w:tcW w:w="2209" w:type="pct"/>
                  <w:shd w:val="clear" w:color="auto" w:fill="FFFFFF"/>
                  <w:vAlign w:val="center"/>
                </w:tcPr>
                <w:p w14:paraId="24BCE3DA">
                  <w:pPr>
                    <w:autoSpaceDE w:val="0"/>
                    <w:autoSpaceDN w:val="0"/>
                    <w:adjustRightInd w:val="0"/>
                    <w:snapToGrid w:val="0"/>
                    <w:jc w:val="center"/>
                    <w:rPr>
                      <w:color w:val="auto"/>
                      <w:kern w:val="0"/>
                      <w:szCs w:val="21"/>
                    </w:rPr>
                  </w:pPr>
                  <w:r>
                    <w:rPr>
                      <w:color w:val="auto"/>
                      <w:kern w:val="0"/>
                      <w:szCs w:val="21"/>
                    </w:rPr>
                    <w:t>选用低噪设备、安装减震垫、厂房隔音</w:t>
                  </w:r>
                  <w:r>
                    <w:rPr>
                      <w:rFonts w:hint="eastAsia"/>
                      <w:color w:val="auto"/>
                      <w:kern w:val="0"/>
                      <w:szCs w:val="21"/>
                    </w:rPr>
                    <w:t>。</w:t>
                  </w:r>
                </w:p>
              </w:tc>
              <w:tc>
                <w:tcPr>
                  <w:tcW w:w="1574" w:type="pct"/>
                  <w:shd w:val="clear" w:color="auto" w:fill="FFFFFF"/>
                  <w:vAlign w:val="center"/>
                </w:tcPr>
                <w:p w14:paraId="7D7DFA9B">
                  <w:pPr>
                    <w:autoSpaceDE w:val="0"/>
                    <w:autoSpaceDN w:val="0"/>
                    <w:adjustRightInd w:val="0"/>
                    <w:snapToGrid w:val="0"/>
                    <w:jc w:val="center"/>
                    <w:rPr>
                      <w:color w:val="auto"/>
                      <w:kern w:val="0"/>
                      <w:szCs w:val="21"/>
                    </w:rPr>
                  </w:pPr>
                  <w:r>
                    <w:rPr>
                      <w:color w:val="auto"/>
                      <w:kern w:val="0"/>
                      <w:szCs w:val="21"/>
                    </w:rPr>
                    <w:t>GB12348-2008《工业企业厂界环境噪声排放标准》</w:t>
                  </w:r>
                  <w:r>
                    <w:rPr>
                      <w:rFonts w:hint="eastAsia"/>
                      <w:color w:val="auto"/>
                      <w:kern w:val="0"/>
                      <w:szCs w:val="21"/>
                    </w:rPr>
                    <w:t>2</w:t>
                  </w:r>
                  <w:r>
                    <w:rPr>
                      <w:color w:val="auto"/>
                      <w:kern w:val="0"/>
                      <w:szCs w:val="21"/>
                    </w:rPr>
                    <w:t>类</w:t>
                  </w:r>
                </w:p>
              </w:tc>
            </w:tr>
            <w:tr w14:paraId="31C90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trPr>
              <w:tc>
                <w:tcPr>
                  <w:tcW w:w="438" w:type="pct"/>
                  <w:vMerge w:val="restart"/>
                  <w:shd w:val="clear" w:color="auto" w:fill="FFFFFF"/>
                  <w:vAlign w:val="center"/>
                </w:tcPr>
                <w:p w14:paraId="694F3917">
                  <w:pPr>
                    <w:autoSpaceDE w:val="0"/>
                    <w:autoSpaceDN w:val="0"/>
                    <w:adjustRightInd w:val="0"/>
                    <w:snapToGrid w:val="0"/>
                    <w:jc w:val="center"/>
                    <w:rPr>
                      <w:color w:val="auto"/>
                      <w:kern w:val="0"/>
                      <w:szCs w:val="21"/>
                    </w:rPr>
                  </w:pPr>
                  <w:r>
                    <w:rPr>
                      <w:color w:val="auto"/>
                      <w:kern w:val="0"/>
                      <w:szCs w:val="21"/>
                    </w:rPr>
                    <w:t>废水防治措施</w:t>
                  </w:r>
                </w:p>
              </w:tc>
              <w:tc>
                <w:tcPr>
                  <w:tcW w:w="779" w:type="pct"/>
                  <w:shd w:val="clear" w:color="auto" w:fill="FFFFFF"/>
                  <w:vAlign w:val="center"/>
                </w:tcPr>
                <w:p w14:paraId="1F4E1BCC">
                  <w:pPr>
                    <w:autoSpaceDE w:val="0"/>
                    <w:autoSpaceDN w:val="0"/>
                    <w:adjustRightInd w:val="0"/>
                    <w:snapToGrid w:val="0"/>
                    <w:jc w:val="center"/>
                    <w:rPr>
                      <w:color w:val="auto"/>
                      <w:kern w:val="0"/>
                      <w:szCs w:val="21"/>
                    </w:rPr>
                  </w:pPr>
                  <w:r>
                    <w:rPr>
                      <w:color w:val="auto"/>
                      <w:kern w:val="0"/>
                      <w:szCs w:val="21"/>
                    </w:rPr>
                    <w:t>生产废水</w:t>
                  </w:r>
                </w:p>
              </w:tc>
              <w:tc>
                <w:tcPr>
                  <w:tcW w:w="2209" w:type="pct"/>
                  <w:shd w:val="clear" w:color="auto" w:fill="FFFFFF"/>
                  <w:vAlign w:val="center"/>
                </w:tcPr>
                <w:p w14:paraId="4AE83E51">
                  <w:pPr>
                    <w:autoSpaceDE w:val="0"/>
                    <w:autoSpaceDN w:val="0"/>
                    <w:adjustRightInd w:val="0"/>
                    <w:snapToGrid w:val="0"/>
                    <w:rPr>
                      <w:color w:val="auto"/>
                      <w:kern w:val="0"/>
                      <w:szCs w:val="21"/>
                    </w:rPr>
                  </w:pPr>
                  <w:r>
                    <w:rPr>
                      <w:color w:val="auto"/>
                      <w:kern w:val="0"/>
                      <w:szCs w:val="21"/>
                    </w:rPr>
                    <w:t>生产车间3号设一个循环水池，容积150m</w:t>
                  </w:r>
                  <w:r>
                    <w:rPr>
                      <w:color w:val="auto"/>
                      <w:kern w:val="0"/>
                      <w:szCs w:val="21"/>
                      <w:vertAlign w:val="superscript"/>
                    </w:rPr>
                    <w:t>3</w:t>
                  </w:r>
                  <w:r>
                    <w:rPr>
                      <w:color w:val="auto"/>
                      <w:kern w:val="0"/>
                      <w:szCs w:val="21"/>
                    </w:rPr>
                    <w:t>；生产车间4号外设一个循环水池，容积150m</w:t>
                  </w:r>
                  <w:r>
                    <w:rPr>
                      <w:color w:val="auto"/>
                      <w:kern w:val="0"/>
                      <w:szCs w:val="21"/>
                      <w:vertAlign w:val="superscript"/>
                    </w:rPr>
                    <w:t>3</w:t>
                  </w:r>
                  <w:r>
                    <w:rPr>
                      <w:color w:val="auto"/>
                      <w:kern w:val="0"/>
                      <w:szCs w:val="21"/>
                    </w:rPr>
                    <w:t>。</w:t>
                  </w:r>
                </w:p>
              </w:tc>
              <w:tc>
                <w:tcPr>
                  <w:tcW w:w="1574" w:type="pct"/>
                  <w:shd w:val="clear" w:color="auto" w:fill="FFFFFF"/>
                  <w:vAlign w:val="center"/>
                </w:tcPr>
                <w:p w14:paraId="4AAB898F">
                  <w:pPr>
                    <w:autoSpaceDE w:val="0"/>
                    <w:autoSpaceDN w:val="0"/>
                    <w:adjustRightInd w:val="0"/>
                    <w:snapToGrid w:val="0"/>
                    <w:jc w:val="center"/>
                    <w:rPr>
                      <w:color w:val="auto"/>
                      <w:kern w:val="0"/>
                      <w:szCs w:val="21"/>
                    </w:rPr>
                  </w:pPr>
                  <w:r>
                    <w:rPr>
                      <w:color w:val="auto"/>
                      <w:kern w:val="0"/>
                      <w:szCs w:val="21"/>
                    </w:rPr>
                    <w:t>不外排</w:t>
                  </w:r>
                </w:p>
              </w:tc>
            </w:tr>
            <w:tr w14:paraId="165D2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trPr>
              <w:tc>
                <w:tcPr>
                  <w:tcW w:w="438" w:type="pct"/>
                  <w:vMerge w:val="continue"/>
                  <w:shd w:val="clear" w:color="auto" w:fill="FFFFFF"/>
                  <w:vAlign w:val="center"/>
                </w:tcPr>
                <w:p w14:paraId="093E9015">
                  <w:pPr>
                    <w:autoSpaceDE w:val="0"/>
                    <w:autoSpaceDN w:val="0"/>
                    <w:adjustRightInd w:val="0"/>
                    <w:snapToGrid w:val="0"/>
                    <w:jc w:val="center"/>
                    <w:rPr>
                      <w:color w:val="auto"/>
                      <w:kern w:val="0"/>
                      <w:szCs w:val="21"/>
                    </w:rPr>
                  </w:pPr>
                </w:p>
              </w:tc>
              <w:tc>
                <w:tcPr>
                  <w:tcW w:w="779" w:type="pct"/>
                  <w:shd w:val="clear" w:color="auto" w:fill="FFFFFF"/>
                  <w:vAlign w:val="center"/>
                </w:tcPr>
                <w:p w14:paraId="402A3CF6">
                  <w:pPr>
                    <w:autoSpaceDE w:val="0"/>
                    <w:autoSpaceDN w:val="0"/>
                    <w:adjustRightInd w:val="0"/>
                    <w:snapToGrid w:val="0"/>
                    <w:jc w:val="center"/>
                    <w:rPr>
                      <w:color w:val="auto"/>
                      <w:kern w:val="0"/>
                      <w:szCs w:val="21"/>
                    </w:rPr>
                  </w:pPr>
                  <w:r>
                    <w:rPr>
                      <w:color w:val="auto"/>
                      <w:kern w:val="0"/>
                      <w:szCs w:val="21"/>
                    </w:rPr>
                    <w:t>生活污水</w:t>
                  </w:r>
                </w:p>
              </w:tc>
              <w:tc>
                <w:tcPr>
                  <w:tcW w:w="2209" w:type="pct"/>
                  <w:shd w:val="clear" w:color="auto" w:fill="FFFFFF"/>
                  <w:vAlign w:val="center"/>
                </w:tcPr>
                <w:p w14:paraId="2F718036">
                  <w:pPr>
                    <w:autoSpaceDE w:val="0"/>
                    <w:autoSpaceDN w:val="0"/>
                    <w:adjustRightInd w:val="0"/>
                    <w:snapToGrid w:val="0"/>
                    <w:jc w:val="center"/>
                    <w:rPr>
                      <w:color w:val="auto"/>
                      <w:kern w:val="0"/>
                      <w:szCs w:val="21"/>
                    </w:rPr>
                  </w:pPr>
                  <w:r>
                    <w:rPr>
                      <w:color w:val="auto"/>
                      <w:kern w:val="0"/>
                      <w:szCs w:val="21"/>
                    </w:rPr>
                    <w:t>2个化粪池，有效容积为2m</w:t>
                  </w:r>
                  <w:r>
                    <w:rPr>
                      <w:color w:val="auto"/>
                      <w:kern w:val="0"/>
                      <w:szCs w:val="21"/>
                      <w:vertAlign w:val="superscript"/>
                    </w:rPr>
                    <w:t>3</w:t>
                  </w:r>
                  <w:r>
                    <w:rPr>
                      <w:color w:val="auto"/>
                      <w:kern w:val="0"/>
                      <w:szCs w:val="21"/>
                    </w:rPr>
                    <w:t>和5 m</w:t>
                  </w:r>
                  <w:r>
                    <w:rPr>
                      <w:color w:val="auto"/>
                      <w:kern w:val="0"/>
                      <w:szCs w:val="21"/>
                      <w:vertAlign w:val="superscript"/>
                    </w:rPr>
                    <w:t>3</w:t>
                  </w:r>
                  <w:r>
                    <w:rPr>
                      <w:color w:val="auto"/>
                      <w:kern w:val="0"/>
                      <w:szCs w:val="21"/>
                    </w:rPr>
                    <w:t>，</w:t>
                  </w:r>
                  <w:r>
                    <w:rPr>
                      <w:rFonts w:hint="eastAsia"/>
                      <w:color w:val="auto"/>
                      <w:kern w:val="0"/>
                      <w:szCs w:val="21"/>
                    </w:rPr>
                    <w:t>利用罐车拉运至纳古镇污水处理站处理</w:t>
                  </w:r>
                  <w:r>
                    <w:rPr>
                      <w:color w:val="auto"/>
                      <w:kern w:val="0"/>
                      <w:szCs w:val="21"/>
                    </w:rPr>
                    <w:t>。</w:t>
                  </w:r>
                </w:p>
              </w:tc>
              <w:tc>
                <w:tcPr>
                  <w:tcW w:w="1574" w:type="pct"/>
                  <w:shd w:val="clear" w:color="auto" w:fill="FFFFFF"/>
                  <w:vAlign w:val="center"/>
                </w:tcPr>
                <w:p w14:paraId="30505F1A">
                  <w:pPr>
                    <w:autoSpaceDE w:val="0"/>
                    <w:autoSpaceDN w:val="0"/>
                    <w:adjustRightInd w:val="0"/>
                    <w:snapToGrid w:val="0"/>
                    <w:jc w:val="center"/>
                    <w:rPr>
                      <w:color w:val="auto"/>
                      <w:kern w:val="0"/>
                      <w:szCs w:val="21"/>
                    </w:rPr>
                  </w:pPr>
                  <w:r>
                    <w:rPr>
                      <w:rFonts w:hint="eastAsia"/>
                      <w:color w:val="auto"/>
                      <w:kern w:val="0"/>
                      <w:szCs w:val="21"/>
                    </w:rPr>
                    <w:t>出水水质参考《污水综合排放标准》（GB8978-1996）表4三级标准后，并满足氨氮、总磷指标符合《污水排入城镇下水道水质标准》（GB/T 31962—2015）表1（B）级标准</w:t>
                  </w:r>
                </w:p>
              </w:tc>
            </w:tr>
            <w:tr w14:paraId="60734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trPr>
              <w:tc>
                <w:tcPr>
                  <w:tcW w:w="438" w:type="pct"/>
                  <w:vMerge w:val="continue"/>
                  <w:shd w:val="clear" w:color="auto" w:fill="FFFFFF"/>
                  <w:vAlign w:val="center"/>
                </w:tcPr>
                <w:p w14:paraId="188562C3">
                  <w:pPr>
                    <w:autoSpaceDE w:val="0"/>
                    <w:autoSpaceDN w:val="0"/>
                    <w:adjustRightInd w:val="0"/>
                    <w:snapToGrid w:val="0"/>
                    <w:jc w:val="center"/>
                    <w:rPr>
                      <w:color w:val="auto"/>
                      <w:kern w:val="0"/>
                      <w:szCs w:val="21"/>
                    </w:rPr>
                  </w:pPr>
                </w:p>
              </w:tc>
              <w:tc>
                <w:tcPr>
                  <w:tcW w:w="779" w:type="pct"/>
                  <w:tcBorders>
                    <w:top w:val="single" w:color="auto" w:sz="4" w:space="0"/>
                    <w:left w:val="single" w:color="auto" w:sz="4" w:space="0"/>
                    <w:bottom w:val="single" w:color="auto" w:sz="4" w:space="0"/>
                    <w:right w:val="single" w:color="auto" w:sz="4" w:space="0"/>
                  </w:tcBorders>
                  <w:shd w:val="clear" w:color="auto" w:fill="FFFFFF"/>
                  <w:vAlign w:val="center"/>
                </w:tcPr>
                <w:p w14:paraId="502A9C1E">
                  <w:pPr>
                    <w:autoSpaceDE w:val="0"/>
                    <w:autoSpaceDN w:val="0"/>
                    <w:adjustRightInd w:val="0"/>
                    <w:snapToGrid w:val="0"/>
                    <w:jc w:val="center"/>
                    <w:rPr>
                      <w:color w:val="auto"/>
                      <w:kern w:val="0"/>
                      <w:szCs w:val="21"/>
                    </w:rPr>
                  </w:pPr>
                  <w:r>
                    <w:rPr>
                      <w:rFonts w:hint="eastAsia"/>
                      <w:color w:val="auto"/>
                      <w:szCs w:val="21"/>
                    </w:rPr>
                    <w:t>初期雨水</w:t>
                  </w:r>
                </w:p>
              </w:tc>
              <w:tc>
                <w:tcPr>
                  <w:tcW w:w="2209" w:type="pct"/>
                  <w:tcBorders>
                    <w:top w:val="single" w:color="auto" w:sz="4" w:space="0"/>
                    <w:left w:val="single" w:color="auto" w:sz="4" w:space="0"/>
                    <w:bottom w:val="single" w:color="auto" w:sz="4" w:space="0"/>
                    <w:right w:val="single" w:color="auto" w:sz="4" w:space="0"/>
                  </w:tcBorders>
                  <w:shd w:val="clear" w:color="auto" w:fill="FFFFFF"/>
                  <w:vAlign w:val="center"/>
                </w:tcPr>
                <w:p w14:paraId="0DB41D78">
                  <w:pPr>
                    <w:autoSpaceDE w:val="0"/>
                    <w:autoSpaceDN w:val="0"/>
                    <w:adjustRightInd w:val="0"/>
                    <w:snapToGrid w:val="0"/>
                    <w:jc w:val="center"/>
                    <w:rPr>
                      <w:color w:val="auto"/>
                      <w:kern w:val="0"/>
                      <w:szCs w:val="21"/>
                    </w:rPr>
                  </w:pPr>
                  <w:r>
                    <w:rPr>
                      <w:rFonts w:hint="eastAsia"/>
                      <w:color w:val="auto"/>
                    </w:rPr>
                    <w:t>设置</w:t>
                  </w:r>
                  <w:r>
                    <w:rPr>
                      <w:color w:val="auto"/>
                    </w:rPr>
                    <w:t>1</w:t>
                  </w:r>
                  <w:r>
                    <w:rPr>
                      <w:rFonts w:hint="eastAsia"/>
                      <w:color w:val="auto"/>
                    </w:rPr>
                    <w:t>个容积为</w:t>
                  </w:r>
                  <w:r>
                    <w:rPr>
                      <w:color w:val="auto"/>
                    </w:rPr>
                    <w:t>50m</w:t>
                  </w:r>
                  <w:r>
                    <w:rPr>
                      <w:color w:val="auto"/>
                      <w:vertAlign w:val="superscript"/>
                    </w:rPr>
                    <w:t>3</w:t>
                  </w:r>
                  <w:r>
                    <w:rPr>
                      <w:rFonts w:hint="eastAsia"/>
                      <w:color w:val="auto"/>
                    </w:rPr>
                    <w:t>的初期雨水收集池，用于收集厂区初期雨水，位于生产厂房</w:t>
                  </w:r>
                  <w:r>
                    <w:rPr>
                      <w:color w:val="auto"/>
                    </w:rPr>
                    <w:t>1</w:t>
                  </w:r>
                  <w:r>
                    <w:rPr>
                      <w:rFonts w:hint="eastAsia"/>
                      <w:color w:val="auto"/>
                    </w:rPr>
                    <w:t>号东侧。</w:t>
                  </w:r>
                </w:p>
              </w:tc>
              <w:tc>
                <w:tcPr>
                  <w:tcW w:w="1574" w:type="pct"/>
                  <w:shd w:val="clear" w:color="auto" w:fill="FFFFFF"/>
                  <w:vAlign w:val="center"/>
                </w:tcPr>
                <w:p w14:paraId="51DB2DA7">
                  <w:pPr>
                    <w:autoSpaceDE w:val="0"/>
                    <w:autoSpaceDN w:val="0"/>
                    <w:adjustRightInd w:val="0"/>
                    <w:snapToGrid w:val="0"/>
                    <w:jc w:val="center"/>
                    <w:rPr>
                      <w:color w:val="auto"/>
                      <w:kern w:val="0"/>
                      <w:szCs w:val="21"/>
                    </w:rPr>
                  </w:pPr>
                  <w:r>
                    <w:rPr>
                      <w:rFonts w:hint="eastAsia"/>
                      <w:color w:val="auto"/>
                      <w:kern w:val="0"/>
                      <w:szCs w:val="21"/>
                    </w:rPr>
                    <w:t>初期雨水不外排</w:t>
                  </w:r>
                </w:p>
              </w:tc>
            </w:tr>
            <w:tr w14:paraId="22D00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trPr>
              <w:tc>
                <w:tcPr>
                  <w:tcW w:w="438" w:type="pct"/>
                  <w:vMerge w:val="continue"/>
                  <w:shd w:val="clear" w:color="auto" w:fill="FFFFFF"/>
                  <w:vAlign w:val="center"/>
                </w:tcPr>
                <w:p w14:paraId="0EA8AB87">
                  <w:pPr>
                    <w:autoSpaceDE w:val="0"/>
                    <w:autoSpaceDN w:val="0"/>
                    <w:adjustRightInd w:val="0"/>
                    <w:snapToGrid w:val="0"/>
                    <w:jc w:val="center"/>
                    <w:rPr>
                      <w:color w:val="auto"/>
                      <w:kern w:val="0"/>
                      <w:szCs w:val="21"/>
                    </w:rPr>
                  </w:pPr>
                </w:p>
              </w:tc>
              <w:tc>
                <w:tcPr>
                  <w:tcW w:w="779" w:type="pct"/>
                  <w:shd w:val="clear" w:color="auto" w:fill="FFFFFF"/>
                  <w:vAlign w:val="center"/>
                </w:tcPr>
                <w:p w14:paraId="77C91934">
                  <w:pPr>
                    <w:autoSpaceDE w:val="0"/>
                    <w:autoSpaceDN w:val="0"/>
                    <w:adjustRightInd w:val="0"/>
                    <w:snapToGrid w:val="0"/>
                    <w:jc w:val="center"/>
                    <w:rPr>
                      <w:color w:val="auto"/>
                      <w:kern w:val="0"/>
                      <w:szCs w:val="21"/>
                    </w:rPr>
                  </w:pPr>
                  <w:r>
                    <w:rPr>
                      <w:rFonts w:hint="eastAsia"/>
                      <w:color w:val="auto"/>
                      <w:kern w:val="0"/>
                      <w:szCs w:val="21"/>
                    </w:rPr>
                    <w:t>事故废水</w:t>
                  </w:r>
                </w:p>
              </w:tc>
              <w:tc>
                <w:tcPr>
                  <w:tcW w:w="2209" w:type="pct"/>
                  <w:shd w:val="clear" w:color="auto" w:fill="FFFFFF"/>
                  <w:vAlign w:val="center"/>
                </w:tcPr>
                <w:p w14:paraId="78D8E4CF">
                  <w:pPr>
                    <w:autoSpaceDE w:val="0"/>
                    <w:autoSpaceDN w:val="0"/>
                    <w:adjustRightInd w:val="0"/>
                    <w:snapToGrid w:val="0"/>
                    <w:jc w:val="center"/>
                    <w:rPr>
                      <w:color w:val="auto"/>
                      <w:kern w:val="0"/>
                      <w:szCs w:val="21"/>
                    </w:rPr>
                  </w:pPr>
                  <w:r>
                    <w:rPr>
                      <w:color w:val="auto"/>
                      <w:kern w:val="0"/>
                      <w:szCs w:val="21"/>
                    </w:rPr>
                    <w:t>2个，1个位于危废暂存间旁，容积30m</w:t>
                  </w:r>
                  <w:r>
                    <w:rPr>
                      <w:color w:val="auto"/>
                      <w:kern w:val="0"/>
                      <w:szCs w:val="21"/>
                      <w:vertAlign w:val="superscript"/>
                    </w:rPr>
                    <w:t>3</w:t>
                  </w:r>
                  <w:r>
                    <w:rPr>
                      <w:color w:val="auto"/>
                      <w:kern w:val="0"/>
                      <w:szCs w:val="21"/>
                    </w:rPr>
                    <w:t>；1个位于生产车间1号的中段，容积30m</w:t>
                  </w:r>
                  <w:r>
                    <w:rPr>
                      <w:color w:val="auto"/>
                      <w:kern w:val="0"/>
                      <w:szCs w:val="21"/>
                      <w:vertAlign w:val="superscript"/>
                    </w:rPr>
                    <w:t>3</w:t>
                  </w:r>
                  <w:r>
                    <w:rPr>
                      <w:color w:val="auto"/>
                      <w:kern w:val="0"/>
                      <w:szCs w:val="21"/>
                    </w:rPr>
                    <w:t>。</w:t>
                  </w:r>
                </w:p>
              </w:tc>
              <w:tc>
                <w:tcPr>
                  <w:tcW w:w="1574" w:type="pct"/>
                  <w:shd w:val="clear" w:color="auto" w:fill="FFFFFF"/>
                  <w:vAlign w:val="center"/>
                </w:tcPr>
                <w:p w14:paraId="33CEE265">
                  <w:pPr>
                    <w:autoSpaceDE w:val="0"/>
                    <w:autoSpaceDN w:val="0"/>
                    <w:adjustRightInd w:val="0"/>
                    <w:snapToGrid w:val="0"/>
                    <w:jc w:val="center"/>
                    <w:rPr>
                      <w:color w:val="auto"/>
                      <w:kern w:val="0"/>
                      <w:szCs w:val="21"/>
                    </w:rPr>
                  </w:pPr>
                  <w:r>
                    <w:rPr>
                      <w:rFonts w:hint="eastAsia"/>
                      <w:color w:val="auto"/>
                      <w:kern w:val="0"/>
                      <w:szCs w:val="21"/>
                    </w:rPr>
                    <w:t>防止冷却废水事故外溢</w:t>
                  </w:r>
                </w:p>
              </w:tc>
            </w:tr>
            <w:tr w14:paraId="4C4D4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trPr>
              <w:tc>
                <w:tcPr>
                  <w:tcW w:w="438" w:type="pct"/>
                  <w:vMerge w:val="restart"/>
                  <w:shd w:val="clear" w:color="auto" w:fill="FFFFFF"/>
                  <w:vAlign w:val="center"/>
                </w:tcPr>
                <w:p w14:paraId="219BCC7F">
                  <w:pPr>
                    <w:autoSpaceDE w:val="0"/>
                    <w:autoSpaceDN w:val="0"/>
                    <w:adjustRightInd w:val="0"/>
                    <w:snapToGrid w:val="0"/>
                    <w:jc w:val="center"/>
                    <w:rPr>
                      <w:color w:val="auto"/>
                      <w:kern w:val="0"/>
                      <w:szCs w:val="21"/>
                    </w:rPr>
                  </w:pPr>
                  <w:r>
                    <w:rPr>
                      <w:color w:val="auto"/>
                      <w:kern w:val="0"/>
                      <w:szCs w:val="21"/>
                    </w:rPr>
                    <w:t>固废防治措施</w:t>
                  </w:r>
                </w:p>
              </w:tc>
              <w:tc>
                <w:tcPr>
                  <w:tcW w:w="779" w:type="pct"/>
                  <w:shd w:val="clear" w:color="auto" w:fill="FFFFFF"/>
                  <w:vAlign w:val="center"/>
                </w:tcPr>
                <w:p w14:paraId="7100F4D5">
                  <w:pPr>
                    <w:autoSpaceDE w:val="0"/>
                    <w:autoSpaceDN w:val="0"/>
                    <w:adjustRightInd w:val="0"/>
                    <w:snapToGrid w:val="0"/>
                    <w:jc w:val="center"/>
                    <w:rPr>
                      <w:color w:val="auto"/>
                      <w:kern w:val="0"/>
                      <w:szCs w:val="21"/>
                    </w:rPr>
                  </w:pPr>
                  <w:r>
                    <w:rPr>
                      <w:color w:val="auto"/>
                      <w:kern w:val="0"/>
                      <w:szCs w:val="21"/>
                    </w:rPr>
                    <w:t>焊渣、边角废料及切割碎屑、除尘灰和不合格品</w:t>
                  </w:r>
                </w:p>
              </w:tc>
              <w:tc>
                <w:tcPr>
                  <w:tcW w:w="2209" w:type="pct"/>
                  <w:shd w:val="clear" w:color="auto" w:fill="FFFFFF"/>
                  <w:vAlign w:val="center"/>
                </w:tcPr>
                <w:p w14:paraId="4CBD8145">
                  <w:pPr>
                    <w:autoSpaceDE w:val="0"/>
                    <w:autoSpaceDN w:val="0"/>
                    <w:adjustRightInd w:val="0"/>
                    <w:snapToGrid w:val="0"/>
                    <w:jc w:val="center"/>
                    <w:rPr>
                      <w:color w:val="auto"/>
                      <w:kern w:val="0"/>
                      <w:szCs w:val="21"/>
                    </w:rPr>
                  </w:pPr>
                  <w:r>
                    <w:rPr>
                      <w:color w:val="auto"/>
                      <w:kern w:val="0"/>
                      <w:szCs w:val="21"/>
                    </w:rPr>
                    <w:t>项目设置一间一般固废暂存间（占地面积</w:t>
                  </w:r>
                  <w:r>
                    <w:rPr>
                      <w:rFonts w:hint="eastAsia"/>
                      <w:color w:val="auto"/>
                      <w:kern w:val="0"/>
                      <w:szCs w:val="21"/>
                    </w:rPr>
                    <w:t>2</w:t>
                  </w:r>
                  <w:r>
                    <w:rPr>
                      <w:color w:val="auto"/>
                      <w:kern w:val="0"/>
                      <w:szCs w:val="21"/>
                    </w:rPr>
                    <w:t>0m2），用于统一堆存项目产生的一般固废，定期外售给废旧物资回收单位</w:t>
                  </w:r>
                  <w:r>
                    <w:rPr>
                      <w:rFonts w:hint="eastAsia"/>
                      <w:color w:val="auto"/>
                      <w:kern w:val="0"/>
                      <w:szCs w:val="21"/>
                    </w:rPr>
                    <w:t>。</w:t>
                  </w:r>
                </w:p>
              </w:tc>
              <w:tc>
                <w:tcPr>
                  <w:tcW w:w="1574" w:type="pct"/>
                  <w:vMerge w:val="restart"/>
                  <w:shd w:val="clear" w:color="auto" w:fill="FFFFFF"/>
                  <w:vAlign w:val="center"/>
                </w:tcPr>
                <w:p w14:paraId="1D151181">
                  <w:pPr>
                    <w:autoSpaceDE w:val="0"/>
                    <w:autoSpaceDN w:val="0"/>
                    <w:adjustRightInd w:val="0"/>
                    <w:snapToGrid w:val="0"/>
                    <w:jc w:val="center"/>
                    <w:rPr>
                      <w:color w:val="auto"/>
                      <w:kern w:val="0"/>
                      <w:szCs w:val="21"/>
                    </w:rPr>
                  </w:pPr>
                  <w:r>
                    <w:rPr>
                      <w:color w:val="auto"/>
                      <w:kern w:val="0"/>
                      <w:szCs w:val="21"/>
                    </w:rPr>
                    <w:t>处置率100%</w:t>
                  </w:r>
                </w:p>
              </w:tc>
            </w:tr>
            <w:tr w14:paraId="4B99E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trPr>
              <w:tc>
                <w:tcPr>
                  <w:tcW w:w="438" w:type="pct"/>
                  <w:vMerge w:val="continue"/>
                  <w:shd w:val="clear" w:color="auto" w:fill="FFFFFF"/>
                  <w:vAlign w:val="center"/>
                </w:tcPr>
                <w:p w14:paraId="4BEC9AC8">
                  <w:pPr>
                    <w:autoSpaceDE w:val="0"/>
                    <w:autoSpaceDN w:val="0"/>
                    <w:adjustRightInd w:val="0"/>
                    <w:snapToGrid w:val="0"/>
                    <w:jc w:val="center"/>
                    <w:rPr>
                      <w:color w:val="auto"/>
                      <w:kern w:val="0"/>
                      <w:szCs w:val="21"/>
                    </w:rPr>
                  </w:pPr>
                </w:p>
              </w:tc>
              <w:tc>
                <w:tcPr>
                  <w:tcW w:w="779" w:type="pct"/>
                  <w:shd w:val="clear" w:color="auto" w:fill="FFFFFF"/>
                  <w:vAlign w:val="center"/>
                </w:tcPr>
                <w:p w14:paraId="4EFACADD">
                  <w:pPr>
                    <w:autoSpaceDE w:val="0"/>
                    <w:autoSpaceDN w:val="0"/>
                    <w:adjustRightInd w:val="0"/>
                    <w:snapToGrid w:val="0"/>
                    <w:jc w:val="center"/>
                    <w:rPr>
                      <w:color w:val="auto"/>
                      <w:kern w:val="0"/>
                      <w:szCs w:val="21"/>
                    </w:rPr>
                  </w:pPr>
                  <w:r>
                    <w:rPr>
                      <w:color w:val="auto"/>
                      <w:kern w:val="0"/>
                      <w:szCs w:val="21"/>
                    </w:rPr>
                    <w:t>循环水池沉渣</w:t>
                  </w:r>
                </w:p>
              </w:tc>
              <w:tc>
                <w:tcPr>
                  <w:tcW w:w="2209" w:type="pct"/>
                  <w:shd w:val="clear" w:color="auto" w:fill="FFFFFF"/>
                  <w:vAlign w:val="center"/>
                </w:tcPr>
                <w:p w14:paraId="064562D2">
                  <w:pPr>
                    <w:autoSpaceDE w:val="0"/>
                    <w:autoSpaceDN w:val="0"/>
                    <w:adjustRightInd w:val="0"/>
                    <w:snapToGrid w:val="0"/>
                    <w:jc w:val="center"/>
                    <w:rPr>
                      <w:color w:val="auto"/>
                      <w:kern w:val="0"/>
                      <w:szCs w:val="21"/>
                    </w:rPr>
                  </w:pPr>
                  <w:r>
                    <w:rPr>
                      <w:color w:val="auto"/>
                      <w:kern w:val="0"/>
                      <w:szCs w:val="21"/>
                    </w:rPr>
                    <w:t>循环水池金属沉渣定期清掏，每次清掏</w:t>
                  </w:r>
                  <w:r>
                    <w:rPr>
                      <w:rFonts w:hint="eastAsia"/>
                      <w:color w:val="auto"/>
                      <w:kern w:val="0"/>
                      <w:szCs w:val="21"/>
                    </w:rPr>
                    <w:t>前</w:t>
                  </w:r>
                  <w:r>
                    <w:rPr>
                      <w:color w:val="auto"/>
                      <w:kern w:val="0"/>
                      <w:szCs w:val="21"/>
                    </w:rPr>
                    <w:t>需进行浸出毒性检测，按照依据《危险废物鉴别标准 浸出毒性鉴别》（GB 5085.3-2007）中相关方法进行浸出浓度鉴定，若固体废物浸出液中任何一种危害成分含量超过标准浓度限值，则作为具有浸出毒性特征的危险废物进行处置，委托有相应资质单位进行处置；否则可以按照一般固废进行处置。</w:t>
                  </w:r>
                </w:p>
              </w:tc>
              <w:tc>
                <w:tcPr>
                  <w:tcW w:w="1574" w:type="pct"/>
                  <w:vMerge w:val="continue"/>
                  <w:shd w:val="clear" w:color="auto" w:fill="FFFFFF"/>
                  <w:vAlign w:val="center"/>
                </w:tcPr>
                <w:p w14:paraId="2EECC04C">
                  <w:pPr>
                    <w:autoSpaceDE w:val="0"/>
                    <w:autoSpaceDN w:val="0"/>
                    <w:adjustRightInd w:val="0"/>
                    <w:snapToGrid w:val="0"/>
                    <w:jc w:val="center"/>
                    <w:rPr>
                      <w:color w:val="auto"/>
                      <w:kern w:val="0"/>
                      <w:szCs w:val="21"/>
                    </w:rPr>
                  </w:pPr>
                </w:p>
              </w:tc>
            </w:tr>
            <w:tr w14:paraId="65D41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90" w:hRule="atLeast"/>
              </w:trPr>
              <w:tc>
                <w:tcPr>
                  <w:tcW w:w="438" w:type="pct"/>
                  <w:vMerge w:val="continue"/>
                  <w:shd w:val="clear" w:color="auto" w:fill="FFFFFF"/>
                  <w:vAlign w:val="center"/>
                </w:tcPr>
                <w:p w14:paraId="6AE555BE">
                  <w:pPr>
                    <w:autoSpaceDE w:val="0"/>
                    <w:autoSpaceDN w:val="0"/>
                    <w:adjustRightInd w:val="0"/>
                    <w:snapToGrid w:val="0"/>
                    <w:jc w:val="center"/>
                    <w:rPr>
                      <w:color w:val="auto"/>
                      <w:kern w:val="0"/>
                      <w:szCs w:val="21"/>
                    </w:rPr>
                  </w:pPr>
                </w:p>
              </w:tc>
              <w:tc>
                <w:tcPr>
                  <w:tcW w:w="779" w:type="pct"/>
                  <w:shd w:val="clear" w:color="auto" w:fill="FFFFFF"/>
                  <w:vAlign w:val="center"/>
                </w:tcPr>
                <w:p w14:paraId="7B17599F">
                  <w:pPr>
                    <w:autoSpaceDE w:val="0"/>
                    <w:autoSpaceDN w:val="0"/>
                    <w:adjustRightInd w:val="0"/>
                    <w:snapToGrid w:val="0"/>
                    <w:jc w:val="center"/>
                    <w:rPr>
                      <w:color w:val="auto"/>
                      <w:kern w:val="0"/>
                      <w:szCs w:val="21"/>
                    </w:rPr>
                  </w:pPr>
                  <w:r>
                    <w:rPr>
                      <w:rFonts w:hint="eastAsia"/>
                      <w:color w:val="auto"/>
                      <w:kern w:val="0"/>
                      <w:szCs w:val="21"/>
                    </w:rPr>
                    <w:t>废机油、废油桶和含油废抹布</w:t>
                  </w:r>
                </w:p>
              </w:tc>
              <w:tc>
                <w:tcPr>
                  <w:tcW w:w="2209" w:type="pct"/>
                  <w:shd w:val="clear" w:color="auto" w:fill="FFFFFF"/>
                  <w:vAlign w:val="center"/>
                </w:tcPr>
                <w:p w14:paraId="49D635DA">
                  <w:pPr>
                    <w:autoSpaceDE w:val="0"/>
                    <w:autoSpaceDN w:val="0"/>
                    <w:adjustRightInd w:val="0"/>
                    <w:snapToGrid w:val="0"/>
                    <w:jc w:val="center"/>
                    <w:rPr>
                      <w:color w:val="auto"/>
                      <w:kern w:val="0"/>
                      <w:szCs w:val="21"/>
                    </w:rPr>
                  </w:pPr>
                  <w:r>
                    <w:rPr>
                      <w:color w:val="auto"/>
                      <w:kern w:val="0"/>
                      <w:szCs w:val="21"/>
                    </w:rPr>
                    <w:t>设置1间</w:t>
                  </w:r>
                  <w:r>
                    <w:rPr>
                      <w:rFonts w:hint="eastAsia"/>
                      <w:color w:val="auto"/>
                      <w:kern w:val="0"/>
                      <w:szCs w:val="21"/>
                    </w:rPr>
                    <w:t>5</w:t>
                  </w:r>
                  <w:r>
                    <w:rPr>
                      <w:color w:val="auto"/>
                      <w:kern w:val="0"/>
                      <w:szCs w:val="21"/>
                    </w:rPr>
                    <w:t>m</w:t>
                  </w:r>
                  <w:r>
                    <w:rPr>
                      <w:color w:val="auto"/>
                      <w:kern w:val="0"/>
                      <w:szCs w:val="21"/>
                      <w:vertAlign w:val="superscript"/>
                    </w:rPr>
                    <w:t>2</w:t>
                  </w:r>
                  <w:r>
                    <w:rPr>
                      <w:color w:val="auto"/>
                      <w:kern w:val="0"/>
                      <w:szCs w:val="21"/>
                    </w:rPr>
                    <w:t>危废暂存间，使用收集桶分区分类收集暂存于危废暂存间内，委托</w:t>
                  </w:r>
                  <w:r>
                    <w:rPr>
                      <w:rFonts w:hint="eastAsia"/>
                      <w:color w:val="auto"/>
                      <w:kern w:val="0"/>
                      <w:szCs w:val="21"/>
                    </w:rPr>
                    <w:t>有资质单位</w:t>
                  </w:r>
                  <w:r>
                    <w:rPr>
                      <w:color w:val="auto"/>
                      <w:kern w:val="0"/>
                      <w:szCs w:val="21"/>
                    </w:rPr>
                    <w:t>清运处置</w:t>
                  </w:r>
                </w:p>
              </w:tc>
              <w:tc>
                <w:tcPr>
                  <w:tcW w:w="1574" w:type="pct"/>
                  <w:vMerge w:val="continue"/>
                  <w:shd w:val="clear" w:color="auto" w:fill="FFFFFF"/>
                  <w:vAlign w:val="center"/>
                </w:tcPr>
                <w:p w14:paraId="39DCC73C">
                  <w:pPr>
                    <w:autoSpaceDE w:val="0"/>
                    <w:autoSpaceDN w:val="0"/>
                    <w:adjustRightInd w:val="0"/>
                    <w:snapToGrid w:val="0"/>
                    <w:jc w:val="center"/>
                    <w:rPr>
                      <w:color w:val="auto"/>
                      <w:kern w:val="0"/>
                      <w:szCs w:val="21"/>
                    </w:rPr>
                  </w:pPr>
                </w:p>
              </w:tc>
            </w:tr>
            <w:tr w14:paraId="38ED1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 w:hRule="atLeast"/>
              </w:trPr>
              <w:tc>
                <w:tcPr>
                  <w:tcW w:w="438" w:type="pct"/>
                  <w:shd w:val="clear" w:color="auto" w:fill="FFFFFF"/>
                  <w:vAlign w:val="center"/>
                </w:tcPr>
                <w:p w14:paraId="147E4D32">
                  <w:pPr>
                    <w:autoSpaceDE w:val="0"/>
                    <w:autoSpaceDN w:val="0"/>
                    <w:adjustRightInd w:val="0"/>
                    <w:snapToGrid w:val="0"/>
                    <w:jc w:val="center"/>
                    <w:rPr>
                      <w:color w:val="auto"/>
                      <w:kern w:val="0"/>
                      <w:szCs w:val="21"/>
                    </w:rPr>
                  </w:pPr>
                  <w:r>
                    <w:rPr>
                      <w:color w:val="auto"/>
                      <w:kern w:val="0"/>
                      <w:szCs w:val="21"/>
                    </w:rPr>
                    <w:t>土壤及地下水污染防治措施</w:t>
                  </w:r>
                </w:p>
              </w:tc>
              <w:tc>
                <w:tcPr>
                  <w:tcW w:w="4562" w:type="pct"/>
                  <w:gridSpan w:val="3"/>
                  <w:shd w:val="clear" w:color="auto" w:fill="FFFFFF"/>
                  <w:vAlign w:val="center"/>
                </w:tcPr>
                <w:p w14:paraId="4C642505">
                  <w:pPr>
                    <w:autoSpaceDE w:val="0"/>
                    <w:autoSpaceDN w:val="0"/>
                    <w:adjustRightInd w:val="0"/>
                    <w:snapToGrid w:val="0"/>
                    <w:jc w:val="left"/>
                    <w:rPr>
                      <w:color w:val="auto"/>
                      <w:kern w:val="0"/>
                      <w:szCs w:val="21"/>
                    </w:rPr>
                  </w:pPr>
                  <w:r>
                    <w:rPr>
                      <w:color w:val="auto"/>
                      <w:kern w:val="0"/>
                      <w:szCs w:val="21"/>
                    </w:rPr>
                    <w:t>危废暂存间</w:t>
                  </w:r>
                  <w:r>
                    <w:rPr>
                      <w:rFonts w:hint="eastAsia"/>
                      <w:color w:val="auto"/>
                      <w:kern w:val="0"/>
                      <w:szCs w:val="21"/>
                    </w:rPr>
                    <w:t>作为</w:t>
                  </w:r>
                  <w:r>
                    <w:rPr>
                      <w:color w:val="auto"/>
                      <w:kern w:val="0"/>
                      <w:szCs w:val="21"/>
                    </w:rPr>
                    <w:t>重点防渗</w:t>
                  </w:r>
                  <w:r>
                    <w:rPr>
                      <w:rFonts w:hint="eastAsia"/>
                      <w:color w:val="auto"/>
                      <w:kern w:val="0"/>
                      <w:szCs w:val="21"/>
                    </w:rPr>
                    <w:t>区，</w:t>
                  </w:r>
                  <w:r>
                    <w:rPr>
                      <w:color w:val="auto"/>
                      <w:kern w:val="0"/>
                      <w:szCs w:val="21"/>
                    </w:rPr>
                    <w:t>防渗层为抗渗混凝土+2mm厚高密度聚乙烯膜+环氧树脂涂层。渗透系数</w:t>
                  </w:r>
                  <w:r>
                    <w:rPr>
                      <w:rFonts w:ascii="Cambria Math" w:hAnsi="Cambria Math" w:cs="Cambria Math"/>
                      <w:color w:val="auto"/>
                      <w:kern w:val="0"/>
                      <w:szCs w:val="21"/>
                    </w:rPr>
                    <w:t>≦</w:t>
                  </w:r>
                  <w:r>
                    <w:rPr>
                      <w:color w:val="auto"/>
                      <w:kern w:val="0"/>
                      <w:szCs w:val="21"/>
                    </w:rPr>
                    <w:t>10</w:t>
                  </w:r>
                  <w:r>
                    <w:rPr>
                      <w:color w:val="auto"/>
                      <w:kern w:val="0"/>
                      <w:szCs w:val="21"/>
                      <w:vertAlign w:val="superscript"/>
                    </w:rPr>
                    <w:t>-10</w:t>
                  </w:r>
                  <w:r>
                    <w:rPr>
                      <w:color w:val="auto"/>
                      <w:kern w:val="0"/>
                      <w:szCs w:val="21"/>
                    </w:rPr>
                    <w:t>cm/s，</w:t>
                  </w:r>
                  <w:r>
                    <w:rPr>
                      <w:rFonts w:hint="eastAsia"/>
                      <w:color w:val="auto"/>
                      <w:kern w:val="0"/>
                      <w:szCs w:val="21"/>
                    </w:rPr>
                    <w:t>参照执行《危险废物贮存污染控制标准》（</w:t>
                  </w:r>
                  <w:r>
                    <w:rPr>
                      <w:color w:val="auto"/>
                      <w:kern w:val="0"/>
                      <w:szCs w:val="21"/>
                    </w:rPr>
                    <w:t>GB18597-20</w:t>
                  </w:r>
                  <w:r>
                    <w:rPr>
                      <w:rFonts w:hint="eastAsia"/>
                      <w:color w:val="auto"/>
                      <w:kern w:val="0"/>
                      <w:szCs w:val="21"/>
                    </w:rPr>
                    <w:t>23）相关要求；一般防渗区：事故水池、化粪池、循环水池，</w:t>
                  </w:r>
                  <w:r>
                    <w:rPr>
                      <w:color w:val="auto"/>
                      <w:kern w:val="0"/>
                      <w:szCs w:val="21"/>
                    </w:rPr>
                    <w:t>采用抗渗混凝土硬化。渗透系数≤10</w:t>
                  </w:r>
                  <w:r>
                    <w:rPr>
                      <w:color w:val="auto"/>
                      <w:kern w:val="0"/>
                      <w:szCs w:val="21"/>
                      <w:vertAlign w:val="superscript"/>
                    </w:rPr>
                    <w:t>-7</w:t>
                  </w:r>
                  <w:r>
                    <w:rPr>
                      <w:color w:val="auto"/>
                      <w:kern w:val="0"/>
                      <w:szCs w:val="21"/>
                    </w:rPr>
                    <w:t>cm/s</w:t>
                  </w:r>
                  <w:r>
                    <w:rPr>
                      <w:rFonts w:hint="eastAsia"/>
                      <w:color w:val="auto"/>
                      <w:kern w:val="0"/>
                      <w:szCs w:val="21"/>
                    </w:rPr>
                    <w:t>，或参照GB16889执行。其他区域为简单防渗区，水泥地面硬化。</w:t>
                  </w:r>
                </w:p>
              </w:tc>
            </w:tr>
          </w:tbl>
          <w:p w14:paraId="6F5318AE">
            <w:pPr>
              <w:adjustRightInd w:val="0"/>
              <w:snapToGrid w:val="0"/>
              <w:spacing w:line="360" w:lineRule="auto"/>
              <w:rPr>
                <w:bCs/>
                <w:color w:val="auto"/>
                <w:spacing w:val="-10"/>
                <w:sz w:val="24"/>
              </w:rPr>
            </w:pPr>
          </w:p>
          <w:p w14:paraId="69E97EAA">
            <w:pPr>
              <w:adjustRightInd w:val="0"/>
              <w:snapToGrid w:val="0"/>
              <w:spacing w:line="360" w:lineRule="auto"/>
              <w:rPr>
                <w:bCs/>
                <w:color w:val="auto"/>
                <w:spacing w:val="-10"/>
                <w:sz w:val="24"/>
              </w:rPr>
            </w:pPr>
          </w:p>
          <w:p w14:paraId="7967118A">
            <w:pPr>
              <w:adjustRightInd w:val="0"/>
              <w:snapToGrid w:val="0"/>
              <w:spacing w:line="360" w:lineRule="auto"/>
              <w:rPr>
                <w:bCs/>
                <w:color w:val="auto"/>
                <w:spacing w:val="-10"/>
                <w:sz w:val="24"/>
              </w:rPr>
            </w:pPr>
          </w:p>
          <w:p w14:paraId="1936D208">
            <w:pPr>
              <w:adjustRightInd w:val="0"/>
              <w:snapToGrid w:val="0"/>
              <w:spacing w:line="360" w:lineRule="auto"/>
              <w:rPr>
                <w:bCs/>
                <w:color w:val="auto"/>
                <w:spacing w:val="-10"/>
                <w:sz w:val="24"/>
              </w:rPr>
            </w:pPr>
          </w:p>
          <w:p w14:paraId="74F1C3B8">
            <w:pPr>
              <w:adjustRightInd w:val="0"/>
              <w:snapToGrid w:val="0"/>
              <w:spacing w:line="360" w:lineRule="auto"/>
              <w:rPr>
                <w:bCs/>
                <w:color w:val="auto"/>
                <w:spacing w:val="-10"/>
                <w:sz w:val="24"/>
              </w:rPr>
            </w:pPr>
          </w:p>
          <w:p w14:paraId="4A13C3EE">
            <w:pPr>
              <w:adjustRightInd w:val="0"/>
              <w:snapToGrid w:val="0"/>
              <w:spacing w:line="360" w:lineRule="auto"/>
              <w:rPr>
                <w:bCs/>
                <w:color w:val="auto"/>
                <w:spacing w:val="-10"/>
                <w:sz w:val="24"/>
              </w:rPr>
            </w:pPr>
          </w:p>
          <w:p w14:paraId="6F7D4B9B">
            <w:pPr>
              <w:adjustRightInd w:val="0"/>
              <w:snapToGrid w:val="0"/>
              <w:spacing w:line="360" w:lineRule="auto"/>
              <w:rPr>
                <w:bCs/>
                <w:color w:val="auto"/>
                <w:spacing w:val="-10"/>
                <w:sz w:val="24"/>
              </w:rPr>
            </w:pPr>
          </w:p>
          <w:p w14:paraId="50212E27">
            <w:pPr>
              <w:adjustRightInd w:val="0"/>
              <w:snapToGrid w:val="0"/>
              <w:spacing w:line="360" w:lineRule="auto"/>
              <w:rPr>
                <w:bCs/>
                <w:color w:val="auto"/>
                <w:spacing w:val="-10"/>
                <w:sz w:val="24"/>
              </w:rPr>
            </w:pPr>
          </w:p>
          <w:p w14:paraId="7034F9BA">
            <w:pPr>
              <w:adjustRightInd w:val="0"/>
              <w:snapToGrid w:val="0"/>
              <w:spacing w:line="360" w:lineRule="auto"/>
              <w:rPr>
                <w:bCs/>
                <w:color w:val="auto"/>
                <w:spacing w:val="-10"/>
                <w:sz w:val="24"/>
              </w:rPr>
            </w:pPr>
          </w:p>
          <w:p w14:paraId="23D6CC9C">
            <w:pPr>
              <w:adjustRightInd w:val="0"/>
              <w:snapToGrid w:val="0"/>
              <w:spacing w:line="360" w:lineRule="auto"/>
              <w:rPr>
                <w:bCs/>
                <w:color w:val="auto"/>
                <w:spacing w:val="-10"/>
                <w:sz w:val="24"/>
              </w:rPr>
            </w:pPr>
          </w:p>
          <w:p w14:paraId="246831C7">
            <w:pPr>
              <w:adjustRightInd w:val="0"/>
              <w:snapToGrid w:val="0"/>
              <w:spacing w:line="360" w:lineRule="auto"/>
              <w:rPr>
                <w:bCs/>
                <w:color w:val="auto"/>
                <w:spacing w:val="-10"/>
                <w:sz w:val="24"/>
              </w:rPr>
            </w:pPr>
          </w:p>
          <w:p w14:paraId="75F642BA">
            <w:pPr>
              <w:adjustRightInd w:val="0"/>
              <w:snapToGrid w:val="0"/>
              <w:spacing w:line="360" w:lineRule="auto"/>
              <w:rPr>
                <w:bCs/>
                <w:color w:val="auto"/>
                <w:spacing w:val="-10"/>
                <w:sz w:val="24"/>
              </w:rPr>
            </w:pPr>
          </w:p>
          <w:p w14:paraId="1FB8622B">
            <w:pPr>
              <w:adjustRightInd w:val="0"/>
              <w:snapToGrid w:val="0"/>
              <w:spacing w:line="360" w:lineRule="auto"/>
              <w:rPr>
                <w:bCs/>
                <w:color w:val="auto"/>
                <w:spacing w:val="-10"/>
                <w:sz w:val="24"/>
              </w:rPr>
            </w:pPr>
          </w:p>
          <w:p w14:paraId="04CBC5F7">
            <w:pPr>
              <w:adjustRightInd w:val="0"/>
              <w:snapToGrid w:val="0"/>
              <w:spacing w:line="360" w:lineRule="auto"/>
              <w:rPr>
                <w:bCs/>
                <w:color w:val="auto"/>
                <w:spacing w:val="-10"/>
                <w:sz w:val="24"/>
              </w:rPr>
            </w:pPr>
          </w:p>
          <w:p w14:paraId="2029316C">
            <w:pPr>
              <w:adjustRightInd w:val="0"/>
              <w:snapToGrid w:val="0"/>
              <w:spacing w:line="360" w:lineRule="auto"/>
              <w:rPr>
                <w:bCs/>
                <w:color w:val="auto"/>
                <w:spacing w:val="-10"/>
                <w:sz w:val="24"/>
              </w:rPr>
            </w:pPr>
          </w:p>
          <w:p w14:paraId="5EED1C87">
            <w:pPr>
              <w:adjustRightInd w:val="0"/>
              <w:snapToGrid w:val="0"/>
              <w:spacing w:line="360" w:lineRule="auto"/>
              <w:rPr>
                <w:bCs/>
                <w:color w:val="auto"/>
                <w:spacing w:val="-10"/>
                <w:sz w:val="24"/>
              </w:rPr>
            </w:pPr>
          </w:p>
          <w:p w14:paraId="5DA19E3C">
            <w:pPr>
              <w:adjustRightInd w:val="0"/>
              <w:snapToGrid w:val="0"/>
              <w:spacing w:line="360" w:lineRule="auto"/>
              <w:rPr>
                <w:bCs/>
                <w:color w:val="auto"/>
                <w:spacing w:val="-10"/>
                <w:sz w:val="24"/>
              </w:rPr>
            </w:pPr>
          </w:p>
          <w:p w14:paraId="60F11B08">
            <w:pPr>
              <w:adjustRightInd w:val="0"/>
              <w:snapToGrid w:val="0"/>
              <w:spacing w:line="360" w:lineRule="auto"/>
              <w:rPr>
                <w:bCs/>
                <w:color w:val="auto"/>
                <w:spacing w:val="-10"/>
                <w:sz w:val="24"/>
              </w:rPr>
            </w:pPr>
          </w:p>
          <w:p w14:paraId="7B3511ED">
            <w:pPr>
              <w:adjustRightInd w:val="0"/>
              <w:snapToGrid w:val="0"/>
              <w:spacing w:line="360" w:lineRule="auto"/>
              <w:rPr>
                <w:bCs/>
                <w:color w:val="auto"/>
                <w:spacing w:val="-10"/>
                <w:sz w:val="24"/>
              </w:rPr>
            </w:pPr>
          </w:p>
          <w:p w14:paraId="0CCE5828">
            <w:pPr>
              <w:adjustRightInd w:val="0"/>
              <w:snapToGrid w:val="0"/>
              <w:spacing w:line="360" w:lineRule="auto"/>
              <w:rPr>
                <w:bCs/>
                <w:color w:val="auto"/>
                <w:spacing w:val="-10"/>
                <w:sz w:val="24"/>
              </w:rPr>
            </w:pPr>
          </w:p>
          <w:p w14:paraId="57EF0F7E">
            <w:pPr>
              <w:adjustRightInd w:val="0"/>
              <w:snapToGrid w:val="0"/>
              <w:spacing w:line="360" w:lineRule="auto"/>
              <w:rPr>
                <w:bCs/>
                <w:color w:val="auto"/>
                <w:spacing w:val="-10"/>
                <w:sz w:val="24"/>
              </w:rPr>
            </w:pPr>
          </w:p>
          <w:p w14:paraId="5EF2C46E">
            <w:pPr>
              <w:adjustRightInd w:val="0"/>
              <w:snapToGrid w:val="0"/>
              <w:spacing w:line="360" w:lineRule="auto"/>
              <w:rPr>
                <w:bCs/>
                <w:color w:val="auto"/>
                <w:spacing w:val="-10"/>
                <w:sz w:val="24"/>
              </w:rPr>
            </w:pPr>
          </w:p>
        </w:tc>
      </w:tr>
    </w:tbl>
    <w:p w14:paraId="53738720">
      <w:pPr>
        <w:adjustRightInd w:val="0"/>
        <w:snapToGrid w:val="0"/>
        <w:spacing w:line="360" w:lineRule="auto"/>
        <w:rPr>
          <w:b/>
          <w:color w:val="auto"/>
          <w:kern w:val="0"/>
          <w:sz w:val="28"/>
          <w:szCs w:val="28"/>
        </w:rPr>
        <w:sectPr>
          <w:pgSz w:w="11907" w:h="16840"/>
          <w:pgMar w:top="1701" w:right="1531" w:bottom="2127" w:left="1531" w:header="851" w:footer="851" w:gutter="0"/>
          <w:cols w:space="720" w:num="1"/>
          <w:docGrid w:linePitch="312" w:charSpace="0"/>
        </w:sectPr>
      </w:pPr>
    </w:p>
    <w:p w14:paraId="1213BD0E">
      <w:pPr>
        <w:pStyle w:val="28"/>
        <w:jc w:val="center"/>
        <w:outlineLvl w:val="0"/>
        <w:rPr>
          <w:rFonts w:ascii="Times New Roman" w:hAnsi="Times New Roman" w:eastAsia="黑体"/>
          <w:snapToGrid w:val="0"/>
          <w:color w:val="auto"/>
          <w:sz w:val="30"/>
          <w:szCs w:val="30"/>
        </w:rPr>
      </w:pPr>
      <w:bookmarkStart w:id="87" w:name="_Toc152840733"/>
      <w:r>
        <w:rPr>
          <w:rFonts w:ascii="Times New Roman" w:hAnsi="黑体" w:eastAsia="黑体"/>
          <w:snapToGrid w:val="0"/>
          <w:color w:val="auto"/>
          <w:sz w:val="30"/>
          <w:szCs w:val="30"/>
        </w:rPr>
        <w:t>五、</w:t>
      </w:r>
      <w:bookmarkStart w:id="88" w:name="_Hlk54167917"/>
      <w:r>
        <w:rPr>
          <w:rFonts w:ascii="Times New Roman" w:hAnsi="黑体" w:eastAsia="黑体"/>
          <w:snapToGrid w:val="0"/>
          <w:color w:val="auto"/>
          <w:sz w:val="30"/>
          <w:szCs w:val="30"/>
        </w:rPr>
        <w:t>环境保护措施监督检查清单</w:t>
      </w:r>
      <w:bookmarkEnd w:id="87"/>
      <w:bookmarkEnd w:id="88"/>
    </w:p>
    <w:tbl>
      <w:tblPr>
        <w:tblStyle w:val="32"/>
        <w:tblW w:w="963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816"/>
        <w:gridCol w:w="1701"/>
        <w:gridCol w:w="1843"/>
        <w:gridCol w:w="2354"/>
        <w:gridCol w:w="1925"/>
      </w:tblGrid>
      <w:tr w14:paraId="28A6F5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816" w:type="dxa"/>
            <w:tcBorders>
              <w:tl2br w:val="single" w:color="auto" w:sz="4" w:space="0"/>
            </w:tcBorders>
          </w:tcPr>
          <w:p w14:paraId="1A48812E">
            <w:pPr>
              <w:adjustRightInd w:val="0"/>
              <w:snapToGrid w:val="0"/>
              <w:ind w:firstLine="840"/>
              <w:rPr>
                <w:color w:val="auto"/>
                <w:szCs w:val="21"/>
              </w:rPr>
            </w:pPr>
            <w:r>
              <w:rPr>
                <w:rFonts w:hAnsi="宋体"/>
                <w:color w:val="auto"/>
                <w:szCs w:val="21"/>
              </w:rPr>
              <w:t>内容</w:t>
            </w:r>
          </w:p>
          <w:p w14:paraId="6A9072F0">
            <w:pPr>
              <w:adjustRightInd w:val="0"/>
              <w:snapToGrid w:val="0"/>
              <w:rPr>
                <w:color w:val="auto"/>
                <w:szCs w:val="21"/>
              </w:rPr>
            </w:pPr>
            <w:r>
              <w:rPr>
                <w:rFonts w:hAnsi="宋体"/>
                <w:color w:val="auto"/>
                <w:szCs w:val="21"/>
              </w:rPr>
              <w:t>要素</w:t>
            </w:r>
          </w:p>
        </w:tc>
        <w:tc>
          <w:tcPr>
            <w:tcW w:w="1701" w:type="dxa"/>
            <w:vAlign w:val="center"/>
          </w:tcPr>
          <w:p w14:paraId="429647FD">
            <w:pPr>
              <w:adjustRightInd w:val="0"/>
              <w:snapToGrid w:val="0"/>
              <w:jc w:val="center"/>
              <w:rPr>
                <w:color w:val="auto"/>
                <w:szCs w:val="21"/>
              </w:rPr>
            </w:pPr>
            <w:r>
              <w:rPr>
                <w:rFonts w:hAnsi="宋体"/>
                <w:color w:val="auto"/>
                <w:szCs w:val="21"/>
              </w:rPr>
              <w:t>排放口</w:t>
            </w:r>
            <w:r>
              <w:rPr>
                <w:color w:val="auto"/>
                <w:szCs w:val="21"/>
              </w:rPr>
              <w:t>(</w:t>
            </w:r>
            <w:r>
              <w:rPr>
                <w:rFonts w:hAnsi="宋体"/>
                <w:color w:val="auto"/>
                <w:szCs w:val="21"/>
              </w:rPr>
              <w:t>编号、</w:t>
            </w:r>
          </w:p>
          <w:p w14:paraId="1A5496D8">
            <w:pPr>
              <w:adjustRightInd w:val="0"/>
              <w:snapToGrid w:val="0"/>
              <w:jc w:val="center"/>
              <w:rPr>
                <w:color w:val="auto"/>
                <w:szCs w:val="21"/>
              </w:rPr>
            </w:pPr>
            <w:r>
              <w:rPr>
                <w:rFonts w:hAnsi="宋体"/>
                <w:color w:val="auto"/>
                <w:szCs w:val="21"/>
              </w:rPr>
              <w:t>名称</w:t>
            </w:r>
            <w:r>
              <w:rPr>
                <w:color w:val="auto"/>
                <w:szCs w:val="21"/>
              </w:rPr>
              <w:t>)/</w:t>
            </w:r>
            <w:r>
              <w:rPr>
                <w:rFonts w:hAnsi="宋体"/>
                <w:color w:val="auto"/>
                <w:szCs w:val="21"/>
              </w:rPr>
              <w:t>污染源</w:t>
            </w:r>
          </w:p>
        </w:tc>
        <w:tc>
          <w:tcPr>
            <w:tcW w:w="1843" w:type="dxa"/>
            <w:vAlign w:val="center"/>
          </w:tcPr>
          <w:p w14:paraId="3A2B9F75">
            <w:pPr>
              <w:adjustRightInd w:val="0"/>
              <w:snapToGrid w:val="0"/>
              <w:jc w:val="center"/>
              <w:rPr>
                <w:color w:val="auto"/>
                <w:szCs w:val="21"/>
              </w:rPr>
            </w:pPr>
            <w:r>
              <w:rPr>
                <w:rFonts w:hAnsi="宋体"/>
                <w:color w:val="auto"/>
                <w:szCs w:val="21"/>
              </w:rPr>
              <w:t>污染物项目</w:t>
            </w:r>
          </w:p>
        </w:tc>
        <w:tc>
          <w:tcPr>
            <w:tcW w:w="2354" w:type="dxa"/>
            <w:vAlign w:val="center"/>
          </w:tcPr>
          <w:p w14:paraId="36910DD1">
            <w:pPr>
              <w:adjustRightInd w:val="0"/>
              <w:snapToGrid w:val="0"/>
              <w:jc w:val="center"/>
              <w:rPr>
                <w:color w:val="auto"/>
                <w:szCs w:val="21"/>
              </w:rPr>
            </w:pPr>
            <w:r>
              <w:rPr>
                <w:rFonts w:hAnsi="宋体"/>
                <w:color w:val="auto"/>
                <w:szCs w:val="21"/>
              </w:rPr>
              <w:t>环境保护措施</w:t>
            </w:r>
          </w:p>
        </w:tc>
        <w:tc>
          <w:tcPr>
            <w:tcW w:w="1925" w:type="dxa"/>
            <w:vAlign w:val="center"/>
          </w:tcPr>
          <w:p w14:paraId="75CBDB3F">
            <w:pPr>
              <w:adjustRightInd w:val="0"/>
              <w:snapToGrid w:val="0"/>
              <w:jc w:val="center"/>
              <w:rPr>
                <w:color w:val="auto"/>
                <w:szCs w:val="21"/>
              </w:rPr>
            </w:pPr>
            <w:r>
              <w:rPr>
                <w:rFonts w:hAnsi="宋体"/>
                <w:color w:val="auto"/>
                <w:szCs w:val="21"/>
              </w:rPr>
              <w:t>执行标准</w:t>
            </w:r>
          </w:p>
        </w:tc>
      </w:tr>
      <w:tr w14:paraId="356DCE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816" w:type="dxa"/>
            <w:vMerge w:val="restart"/>
            <w:vAlign w:val="center"/>
          </w:tcPr>
          <w:p w14:paraId="281D56BA">
            <w:pPr>
              <w:adjustRightInd w:val="0"/>
              <w:snapToGrid w:val="0"/>
              <w:jc w:val="center"/>
              <w:rPr>
                <w:color w:val="auto"/>
                <w:szCs w:val="21"/>
              </w:rPr>
            </w:pPr>
            <w:bookmarkStart w:id="89" w:name="_Hlk218389449"/>
            <w:r>
              <w:rPr>
                <w:rFonts w:hAnsi="宋体"/>
                <w:color w:val="auto"/>
                <w:szCs w:val="21"/>
              </w:rPr>
              <w:t>大气环境</w:t>
            </w:r>
          </w:p>
        </w:tc>
        <w:tc>
          <w:tcPr>
            <w:tcW w:w="1701" w:type="dxa"/>
            <w:vAlign w:val="center"/>
          </w:tcPr>
          <w:p w14:paraId="53D080BE">
            <w:pPr>
              <w:adjustRightInd w:val="0"/>
              <w:snapToGrid w:val="0"/>
              <w:jc w:val="center"/>
              <w:rPr>
                <w:color w:val="auto"/>
                <w:szCs w:val="21"/>
              </w:rPr>
            </w:pPr>
            <w:r>
              <w:rPr>
                <w:rFonts w:hint="eastAsia"/>
                <w:color w:val="auto"/>
                <w:kern w:val="24"/>
                <w:szCs w:val="21"/>
              </w:rPr>
              <w:t>生产车间高频焊接、补焊缝烟尘(DA001~DA003)</w:t>
            </w:r>
            <w:r>
              <w:rPr>
                <w:color w:val="auto"/>
                <w:szCs w:val="21"/>
              </w:rPr>
              <w:t xml:space="preserve"> </w:t>
            </w:r>
          </w:p>
        </w:tc>
        <w:tc>
          <w:tcPr>
            <w:tcW w:w="1843" w:type="dxa"/>
            <w:vAlign w:val="center"/>
          </w:tcPr>
          <w:p w14:paraId="00E7CD8C">
            <w:pPr>
              <w:adjustRightInd w:val="0"/>
              <w:snapToGrid w:val="0"/>
              <w:jc w:val="center"/>
              <w:rPr>
                <w:color w:val="auto"/>
                <w:szCs w:val="21"/>
              </w:rPr>
            </w:pPr>
            <w:r>
              <w:rPr>
                <w:rFonts w:hint="eastAsia" w:eastAsiaTheme="minorEastAsia"/>
                <w:color w:val="auto"/>
                <w:kern w:val="24"/>
                <w:szCs w:val="21"/>
              </w:rPr>
              <w:t>颗粒物</w:t>
            </w:r>
          </w:p>
        </w:tc>
        <w:tc>
          <w:tcPr>
            <w:tcW w:w="2354" w:type="dxa"/>
            <w:vAlign w:val="center"/>
          </w:tcPr>
          <w:p w14:paraId="57C52323">
            <w:pPr>
              <w:adjustRightInd w:val="0"/>
              <w:snapToGrid w:val="0"/>
              <w:jc w:val="center"/>
              <w:rPr>
                <w:color w:val="auto"/>
                <w:szCs w:val="21"/>
              </w:rPr>
            </w:pPr>
            <w:r>
              <w:rPr>
                <w:rFonts w:hint="eastAsia"/>
                <w:color w:val="auto"/>
                <w:szCs w:val="21"/>
              </w:rPr>
              <w:t>项目车间高频焊接产生焊接、补焊缝烟尘，分别经各条生产线焊接工段配套的9套集气罩+布袋除尘器（TA001~TA009）收集处理后，经管道引入</w:t>
            </w:r>
            <w:r>
              <w:rPr>
                <w:color w:val="auto"/>
                <w:szCs w:val="21"/>
              </w:rPr>
              <w:t>15m</w:t>
            </w:r>
            <w:r>
              <w:rPr>
                <w:rFonts w:hint="eastAsia"/>
                <w:color w:val="auto"/>
                <w:szCs w:val="21"/>
              </w:rPr>
              <w:t>高排气筒排放（DA001~DA003）。</w:t>
            </w:r>
          </w:p>
        </w:tc>
        <w:tc>
          <w:tcPr>
            <w:tcW w:w="1925" w:type="dxa"/>
            <w:vAlign w:val="center"/>
          </w:tcPr>
          <w:p w14:paraId="40E1E728">
            <w:pPr>
              <w:adjustRightInd w:val="0"/>
              <w:snapToGrid w:val="0"/>
              <w:jc w:val="center"/>
              <w:rPr>
                <w:color w:val="auto"/>
                <w:szCs w:val="21"/>
              </w:rPr>
            </w:pPr>
            <w:r>
              <w:rPr>
                <w:rFonts w:hint="eastAsia" w:eastAsiaTheme="minorEastAsia"/>
                <w:color w:val="auto"/>
              </w:rPr>
              <w:t>《大气污染物综合排放标准》（GB16297-1996）表2 中二级标准限值</w:t>
            </w:r>
          </w:p>
        </w:tc>
      </w:tr>
      <w:tr w14:paraId="075A4E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816" w:type="dxa"/>
            <w:vMerge w:val="continue"/>
            <w:vAlign w:val="center"/>
          </w:tcPr>
          <w:p w14:paraId="697BB4AD">
            <w:pPr>
              <w:adjustRightInd w:val="0"/>
              <w:snapToGrid w:val="0"/>
              <w:jc w:val="center"/>
              <w:rPr>
                <w:rFonts w:hint="eastAsia" w:hAnsi="宋体"/>
                <w:color w:val="auto"/>
                <w:szCs w:val="21"/>
              </w:rPr>
            </w:pPr>
          </w:p>
        </w:tc>
        <w:tc>
          <w:tcPr>
            <w:tcW w:w="1701" w:type="dxa"/>
            <w:vAlign w:val="center"/>
          </w:tcPr>
          <w:p w14:paraId="49CF40B7">
            <w:pPr>
              <w:adjustRightInd w:val="0"/>
              <w:snapToGrid w:val="0"/>
              <w:jc w:val="center"/>
              <w:rPr>
                <w:color w:val="auto"/>
                <w:kern w:val="24"/>
                <w:szCs w:val="21"/>
              </w:rPr>
            </w:pPr>
            <w:r>
              <w:rPr>
                <w:rFonts w:hint="eastAsia"/>
                <w:color w:val="auto"/>
                <w:kern w:val="24"/>
                <w:szCs w:val="21"/>
              </w:rPr>
              <w:t>项目车间未收集焊接烟尘、切割粉尘（无组织）</w:t>
            </w:r>
          </w:p>
        </w:tc>
        <w:tc>
          <w:tcPr>
            <w:tcW w:w="1843" w:type="dxa"/>
            <w:vAlign w:val="center"/>
          </w:tcPr>
          <w:p w14:paraId="2EF28D97">
            <w:pPr>
              <w:adjustRightInd w:val="0"/>
              <w:snapToGrid w:val="0"/>
              <w:jc w:val="center"/>
              <w:rPr>
                <w:rFonts w:eastAsiaTheme="minorEastAsia"/>
                <w:color w:val="auto"/>
                <w:kern w:val="24"/>
                <w:szCs w:val="21"/>
              </w:rPr>
            </w:pPr>
            <w:r>
              <w:rPr>
                <w:rFonts w:hint="eastAsia" w:eastAsiaTheme="minorEastAsia"/>
                <w:color w:val="auto"/>
                <w:kern w:val="24"/>
                <w:szCs w:val="21"/>
              </w:rPr>
              <w:t>颗粒物</w:t>
            </w:r>
          </w:p>
        </w:tc>
        <w:tc>
          <w:tcPr>
            <w:tcW w:w="2354" w:type="dxa"/>
            <w:vAlign w:val="center"/>
          </w:tcPr>
          <w:p w14:paraId="2A2E9CEB">
            <w:pPr>
              <w:adjustRightInd w:val="0"/>
              <w:snapToGrid w:val="0"/>
              <w:jc w:val="center"/>
              <w:rPr>
                <w:color w:val="auto"/>
                <w:szCs w:val="21"/>
              </w:rPr>
            </w:pPr>
            <w:r>
              <w:rPr>
                <w:color w:val="auto"/>
                <w:szCs w:val="21"/>
              </w:rPr>
              <w:t>生产线内各加工单元均设置在封闭车间内</w:t>
            </w:r>
            <w:r>
              <w:rPr>
                <w:rFonts w:hint="eastAsia"/>
                <w:color w:val="auto"/>
                <w:szCs w:val="21"/>
              </w:rPr>
              <w:t>。</w:t>
            </w:r>
          </w:p>
        </w:tc>
        <w:tc>
          <w:tcPr>
            <w:tcW w:w="1925" w:type="dxa"/>
            <w:vAlign w:val="center"/>
          </w:tcPr>
          <w:p w14:paraId="5946ACA6">
            <w:pPr>
              <w:adjustRightInd w:val="0"/>
              <w:snapToGrid w:val="0"/>
              <w:jc w:val="center"/>
              <w:rPr>
                <w:color w:val="auto"/>
                <w:szCs w:val="21"/>
              </w:rPr>
            </w:pPr>
            <w:r>
              <w:rPr>
                <w:rFonts w:hint="eastAsia"/>
                <w:color w:val="auto"/>
                <w:szCs w:val="21"/>
              </w:rPr>
              <w:t>《大气污染物综合排放标准》（GB16297-1996）表2中新污染源大气污染物排放限值</w:t>
            </w:r>
          </w:p>
        </w:tc>
      </w:tr>
      <w:tr w14:paraId="5247A3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816" w:type="dxa"/>
            <w:vMerge w:val="restart"/>
            <w:vAlign w:val="center"/>
          </w:tcPr>
          <w:p w14:paraId="407757BA">
            <w:pPr>
              <w:adjustRightInd w:val="0"/>
              <w:snapToGrid w:val="0"/>
              <w:jc w:val="center"/>
              <w:rPr>
                <w:color w:val="auto"/>
                <w:szCs w:val="21"/>
              </w:rPr>
            </w:pPr>
            <w:r>
              <w:rPr>
                <w:rFonts w:hAnsi="宋体"/>
                <w:color w:val="auto"/>
                <w:szCs w:val="21"/>
              </w:rPr>
              <w:t>地表水环境</w:t>
            </w:r>
          </w:p>
        </w:tc>
        <w:tc>
          <w:tcPr>
            <w:tcW w:w="1701" w:type="dxa"/>
            <w:vAlign w:val="center"/>
          </w:tcPr>
          <w:p w14:paraId="3D6D4008">
            <w:pPr>
              <w:adjustRightInd w:val="0"/>
              <w:snapToGrid w:val="0"/>
              <w:jc w:val="center"/>
              <w:rPr>
                <w:color w:val="auto"/>
                <w:szCs w:val="21"/>
              </w:rPr>
            </w:pPr>
            <w:r>
              <w:rPr>
                <w:rFonts w:hint="eastAsia"/>
                <w:color w:val="auto"/>
                <w:szCs w:val="21"/>
              </w:rPr>
              <w:t>生活污水</w:t>
            </w:r>
          </w:p>
        </w:tc>
        <w:tc>
          <w:tcPr>
            <w:tcW w:w="1843" w:type="dxa"/>
            <w:vAlign w:val="center"/>
          </w:tcPr>
          <w:p w14:paraId="233E34FF">
            <w:pPr>
              <w:adjustRightInd w:val="0"/>
              <w:snapToGrid w:val="0"/>
              <w:jc w:val="center"/>
              <w:rPr>
                <w:color w:val="auto"/>
                <w:szCs w:val="21"/>
              </w:rPr>
            </w:pPr>
            <w:r>
              <w:rPr>
                <w:color w:val="auto"/>
                <w:szCs w:val="21"/>
              </w:rPr>
              <w:t>COD</w:t>
            </w:r>
            <w:r>
              <w:rPr>
                <w:rFonts w:hint="eastAsia"/>
                <w:color w:val="auto"/>
                <w:szCs w:val="21"/>
                <w:vertAlign w:val="subscript"/>
              </w:rPr>
              <w:t>C</w:t>
            </w:r>
            <w:r>
              <w:rPr>
                <w:color w:val="auto"/>
                <w:szCs w:val="21"/>
                <w:vertAlign w:val="subscript"/>
              </w:rPr>
              <w:t>r</w:t>
            </w:r>
            <w:r>
              <w:rPr>
                <w:rFonts w:hint="eastAsia"/>
                <w:color w:val="auto"/>
                <w:szCs w:val="21"/>
              </w:rPr>
              <w:t>、</w:t>
            </w:r>
            <w:r>
              <w:rPr>
                <w:color w:val="auto"/>
                <w:szCs w:val="21"/>
              </w:rPr>
              <w:t>BOD</w:t>
            </w:r>
            <w:r>
              <w:rPr>
                <w:color w:val="auto"/>
                <w:szCs w:val="21"/>
                <w:vertAlign w:val="subscript"/>
              </w:rPr>
              <w:t>5</w:t>
            </w:r>
            <w:r>
              <w:rPr>
                <w:rFonts w:hint="eastAsia"/>
                <w:color w:val="auto"/>
                <w:szCs w:val="21"/>
              </w:rPr>
              <w:t>、</w:t>
            </w:r>
            <w:r>
              <w:rPr>
                <w:color w:val="auto"/>
                <w:szCs w:val="21"/>
              </w:rPr>
              <w:t>NH</w:t>
            </w:r>
            <w:r>
              <w:rPr>
                <w:color w:val="auto"/>
                <w:szCs w:val="21"/>
                <w:vertAlign w:val="subscript"/>
              </w:rPr>
              <w:t>3</w:t>
            </w:r>
            <w:r>
              <w:rPr>
                <w:color w:val="auto"/>
                <w:szCs w:val="21"/>
              </w:rPr>
              <w:t>-N</w:t>
            </w:r>
            <w:r>
              <w:rPr>
                <w:rFonts w:hint="eastAsia"/>
                <w:color w:val="auto"/>
                <w:szCs w:val="21"/>
              </w:rPr>
              <w:t>、</w:t>
            </w:r>
            <w:r>
              <w:rPr>
                <w:color w:val="auto"/>
                <w:szCs w:val="21"/>
              </w:rPr>
              <w:t>SS</w:t>
            </w:r>
            <w:r>
              <w:rPr>
                <w:rFonts w:hint="eastAsia"/>
                <w:color w:val="auto"/>
                <w:szCs w:val="21"/>
              </w:rPr>
              <w:t>、</w:t>
            </w:r>
            <w:r>
              <w:rPr>
                <w:color w:val="auto"/>
                <w:szCs w:val="21"/>
              </w:rPr>
              <w:t>T</w:t>
            </w:r>
            <w:r>
              <w:rPr>
                <w:rFonts w:hint="eastAsia"/>
                <w:color w:val="auto"/>
                <w:szCs w:val="21"/>
              </w:rPr>
              <w:t>P、TN、LAS、动植物油</w:t>
            </w:r>
          </w:p>
        </w:tc>
        <w:tc>
          <w:tcPr>
            <w:tcW w:w="2354" w:type="dxa"/>
            <w:vAlign w:val="center"/>
          </w:tcPr>
          <w:p w14:paraId="2483D60F">
            <w:pPr>
              <w:adjustRightInd w:val="0"/>
              <w:snapToGrid w:val="0"/>
              <w:jc w:val="center"/>
              <w:rPr>
                <w:color w:val="auto"/>
                <w:szCs w:val="21"/>
              </w:rPr>
            </w:pPr>
            <w:r>
              <w:rPr>
                <w:rFonts w:hint="eastAsia"/>
                <w:color w:val="auto"/>
                <w:szCs w:val="21"/>
              </w:rPr>
              <w:t>项目生活污水经化粪池预处理后，由罐车运至纳古镇污水处理站处理。</w:t>
            </w:r>
          </w:p>
        </w:tc>
        <w:tc>
          <w:tcPr>
            <w:tcW w:w="1925" w:type="dxa"/>
            <w:vAlign w:val="center"/>
          </w:tcPr>
          <w:p w14:paraId="70B7B27F">
            <w:pPr>
              <w:adjustRightInd w:val="0"/>
              <w:snapToGrid w:val="0"/>
              <w:jc w:val="center"/>
              <w:rPr>
                <w:color w:val="auto"/>
                <w:szCs w:val="21"/>
              </w:rPr>
            </w:pPr>
            <w:r>
              <w:rPr>
                <w:rFonts w:hint="eastAsia"/>
                <w:color w:val="auto"/>
              </w:rPr>
              <w:t>《污水综合排放标准》（GB8978-1996）表4三级标准和《污水排入城镇下水道水质标准》（GB/T31962-2015）表1B等级标准</w:t>
            </w:r>
          </w:p>
        </w:tc>
      </w:tr>
      <w:tr w14:paraId="61B786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816" w:type="dxa"/>
            <w:vMerge w:val="continue"/>
            <w:vAlign w:val="center"/>
          </w:tcPr>
          <w:p w14:paraId="7EF47B40">
            <w:pPr>
              <w:adjustRightInd w:val="0"/>
              <w:snapToGrid w:val="0"/>
              <w:jc w:val="center"/>
              <w:rPr>
                <w:color w:val="auto"/>
                <w:szCs w:val="21"/>
              </w:rPr>
            </w:pPr>
          </w:p>
        </w:tc>
        <w:tc>
          <w:tcPr>
            <w:tcW w:w="1701" w:type="dxa"/>
            <w:vAlign w:val="center"/>
          </w:tcPr>
          <w:p w14:paraId="04294D33">
            <w:pPr>
              <w:adjustRightInd w:val="0"/>
              <w:snapToGrid w:val="0"/>
              <w:jc w:val="center"/>
              <w:rPr>
                <w:color w:val="auto"/>
                <w:kern w:val="24"/>
                <w:szCs w:val="21"/>
              </w:rPr>
            </w:pPr>
            <w:r>
              <w:rPr>
                <w:rFonts w:hint="eastAsia"/>
                <w:bCs/>
                <w:color w:val="auto"/>
              </w:rPr>
              <w:t>产品直接冷却水</w:t>
            </w:r>
          </w:p>
        </w:tc>
        <w:tc>
          <w:tcPr>
            <w:tcW w:w="1843" w:type="dxa"/>
            <w:vAlign w:val="center"/>
          </w:tcPr>
          <w:p w14:paraId="3F835640">
            <w:pPr>
              <w:adjustRightInd w:val="0"/>
              <w:snapToGrid w:val="0"/>
              <w:jc w:val="center"/>
              <w:rPr>
                <w:color w:val="auto"/>
                <w:szCs w:val="21"/>
              </w:rPr>
            </w:pPr>
            <w:r>
              <w:rPr>
                <w:rFonts w:hint="eastAsia"/>
                <w:color w:val="auto"/>
                <w:szCs w:val="21"/>
              </w:rPr>
              <w:t>COD</w:t>
            </w:r>
            <w:r>
              <w:rPr>
                <w:rFonts w:hint="eastAsia"/>
                <w:color w:val="auto"/>
                <w:szCs w:val="21"/>
                <w:vertAlign w:val="subscript"/>
              </w:rPr>
              <w:t>Cr</w:t>
            </w:r>
            <w:r>
              <w:rPr>
                <w:rFonts w:hint="eastAsia"/>
                <w:color w:val="auto"/>
                <w:szCs w:val="21"/>
              </w:rPr>
              <w:t>、SS</w:t>
            </w:r>
          </w:p>
        </w:tc>
        <w:tc>
          <w:tcPr>
            <w:tcW w:w="2354" w:type="dxa"/>
            <w:vAlign w:val="center"/>
          </w:tcPr>
          <w:p w14:paraId="7671F507">
            <w:pPr>
              <w:adjustRightInd w:val="0"/>
              <w:snapToGrid w:val="0"/>
              <w:jc w:val="center"/>
              <w:rPr>
                <w:color w:val="auto"/>
              </w:rPr>
            </w:pPr>
            <w:r>
              <w:rPr>
                <w:rFonts w:hint="eastAsia"/>
                <w:color w:val="auto"/>
              </w:rPr>
              <w:t>经焊管车间循环水池冷却后循环使用，不外排。</w:t>
            </w:r>
          </w:p>
          <w:p w14:paraId="2C909BFC">
            <w:pPr>
              <w:adjustRightInd w:val="0"/>
              <w:snapToGrid w:val="0"/>
              <w:jc w:val="center"/>
              <w:rPr>
                <w:color w:val="auto"/>
                <w:szCs w:val="21"/>
              </w:rPr>
            </w:pPr>
            <w:r>
              <w:rPr>
                <w:rFonts w:hint="eastAsia"/>
                <w:color w:val="auto"/>
                <w:kern w:val="0"/>
                <w:szCs w:val="21"/>
              </w:rPr>
              <w:t>项目共设置直接冷却循环水池2个，每个容积为150</w:t>
            </w:r>
            <w:r>
              <w:rPr>
                <w:color w:val="auto"/>
                <w:kern w:val="0"/>
                <w:szCs w:val="21"/>
              </w:rPr>
              <w:t>m</w:t>
            </w:r>
            <w:r>
              <w:rPr>
                <w:rFonts w:hint="eastAsia"/>
                <w:color w:val="auto"/>
                <w:kern w:val="0"/>
                <w:szCs w:val="21"/>
                <w:vertAlign w:val="superscript"/>
              </w:rPr>
              <w:t>3</w:t>
            </w:r>
            <w:r>
              <w:rPr>
                <w:rFonts w:hint="eastAsia"/>
                <w:color w:val="auto"/>
                <w:kern w:val="0"/>
                <w:szCs w:val="21"/>
              </w:rPr>
              <w:t>，总容积300m</w:t>
            </w:r>
            <w:r>
              <w:rPr>
                <w:rFonts w:hint="eastAsia"/>
                <w:color w:val="auto"/>
                <w:kern w:val="0"/>
                <w:szCs w:val="21"/>
                <w:vertAlign w:val="superscript"/>
              </w:rPr>
              <w:t>3</w:t>
            </w:r>
            <w:r>
              <w:rPr>
                <w:rFonts w:hint="eastAsia"/>
                <w:color w:val="auto"/>
                <w:kern w:val="0"/>
                <w:szCs w:val="21"/>
              </w:rPr>
              <w:t>。</w:t>
            </w:r>
          </w:p>
        </w:tc>
        <w:tc>
          <w:tcPr>
            <w:tcW w:w="1925" w:type="dxa"/>
            <w:vAlign w:val="center"/>
          </w:tcPr>
          <w:p w14:paraId="42BCD801">
            <w:pPr>
              <w:adjustRightInd w:val="0"/>
              <w:snapToGrid w:val="0"/>
              <w:jc w:val="center"/>
              <w:rPr>
                <w:color w:val="auto"/>
                <w:kern w:val="24"/>
                <w:szCs w:val="21"/>
              </w:rPr>
            </w:pPr>
            <w:r>
              <w:rPr>
                <w:rFonts w:hint="eastAsia"/>
                <w:color w:val="auto"/>
                <w:szCs w:val="21"/>
              </w:rPr>
              <w:t>不外排</w:t>
            </w:r>
          </w:p>
        </w:tc>
      </w:tr>
      <w:tr w14:paraId="53AC92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816" w:type="dxa"/>
            <w:vMerge w:val="continue"/>
            <w:vAlign w:val="center"/>
          </w:tcPr>
          <w:p w14:paraId="56B95052">
            <w:pPr>
              <w:adjustRightInd w:val="0"/>
              <w:snapToGrid w:val="0"/>
              <w:jc w:val="center"/>
              <w:rPr>
                <w:color w:val="auto"/>
                <w:szCs w:val="21"/>
              </w:rPr>
            </w:pPr>
          </w:p>
        </w:tc>
        <w:tc>
          <w:tcPr>
            <w:tcW w:w="1701" w:type="dxa"/>
            <w:vAlign w:val="center"/>
          </w:tcPr>
          <w:p w14:paraId="1E4B4038">
            <w:pPr>
              <w:adjustRightInd w:val="0"/>
              <w:snapToGrid w:val="0"/>
              <w:jc w:val="center"/>
              <w:rPr>
                <w:bCs/>
                <w:color w:val="auto"/>
              </w:rPr>
            </w:pPr>
            <w:r>
              <w:rPr>
                <w:rFonts w:hint="eastAsia"/>
                <w:bCs/>
                <w:color w:val="auto"/>
              </w:rPr>
              <w:t>事故废水</w:t>
            </w:r>
          </w:p>
        </w:tc>
        <w:tc>
          <w:tcPr>
            <w:tcW w:w="1843" w:type="dxa"/>
            <w:vAlign w:val="center"/>
          </w:tcPr>
          <w:p w14:paraId="47EB636F">
            <w:pPr>
              <w:adjustRightInd w:val="0"/>
              <w:snapToGrid w:val="0"/>
              <w:jc w:val="center"/>
              <w:rPr>
                <w:color w:val="auto"/>
                <w:szCs w:val="21"/>
              </w:rPr>
            </w:pPr>
            <w:r>
              <w:rPr>
                <w:rFonts w:hint="eastAsia"/>
                <w:color w:val="auto"/>
                <w:szCs w:val="21"/>
              </w:rPr>
              <w:t>COD</w:t>
            </w:r>
            <w:r>
              <w:rPr>
                <w:rFonts w:hint="eastAsia"/>
                <w:color w:val="auto"/>
                <w:szCs w:val="21"/>
                <w:vertAlign w:val="subscript"/>
              </w:rPr>
              <w:t>Cr</w:t>
            </w:r>
            <w:r>
              <w:rPr>
                <w:rFonts w:hint="eastAsia"/>
                <w:color w:val="auto"/>
                <w:szCs w:val="21"/>
              </w:rPr>
              <w:t>、SS</w:t>
            </w:r>
          </w:p>
        </w:tc>
        <w:tc>
          <w:tcPr>
            <w:tcW w:w="2354" w:type="dxa"/>
            <w:vAlign w:val="center"/>
          </w:tcPr>
          <w:p w14:paraId="2C5270EB">
            <w:pPr>
              <w:adjustRightInd w:val="0"/>
              <w:snapToGrid w:val="0"/>
              <w:jc w:val="center"/>
              <w:rPr>
                <w:color w:val="auto"/>
              </w:rPr>
            </w:pPr>
            <w:r>
              <w:rPr>
                <w:rFonts w:hint="eastAsia"/>
                <w:color w:val="auto"/>
              </w:rPr>
              <w:t>利用厂区已有的2个池子，</w:t>
            </w:r>
            <w:r>
              <w:rPr>
                <w:color w:val="auto"/>
              </w:rPr>
              <w:t>2个，1个位于危废暂存间旁，容积30m</w:t>
            </w:r>
            <w:r>
              <w:rPr>
                <w:color w:val="auto"/>
                <w:vertAlign w:val="superscript"/>
              </w:rPr>
              <w:t>3</w:t>
            </w:r>
            <w:r>
              <w:rPr>
                <w:color w:val="auto"/>
              </w:rPr>
              <w:t>；1个位于生产车间1号的中段，容积30m</w:t>
            </w:r>
            <w:r>
              <w:rPr>
                <w:color w:val="auto"/>
                <w:vertAlign w:val="superscript"/>
              </w:rPr>
              <w:t>3</w:t>
            </w:r>
            <w:r>
              <w:rPr>
                <w:color w:val="auto"/>
              </w:rPr>
              <w:t>。用于暂时储存因</w:t>
            </w:r>
            <w:r>
              <w:rPr>
                <w:rFonts w:hint="eastAsia"/>
                <w:color w:val="auto"/>
              </w:rPr>
              <w:t>冷却水泵</w:t>
            </w:r>
            <w:r>
              <w:rPr>
                <w:color w:val="auto"/>
              </w:rPr>
              <w:t>故障不能</w:t>
            </w:r>
            <w:r>
              <w:rPr>
                <w:rFonts w:hint="eastAsia"/>
                <w:color w:val="auto"/>
              </w:rPr>
              <w:t>及时回用的冷却水，正常情况保持空置状态。</w:t>
            </w:r>
          </w:p>
        </w:tc>
        <w:tc>
          <w:tcPr>
            <w:tcW w:w="1925" w:type="dxa"/>
            <w:vAlign w:val="center"/>
          </w:tcPr>
          <w:p w14:paraId="71C2A7CF">
            <w:pPr>
              <w:adjustRightInd w:val="0"/>
              <w:snapToGrid w:val="0"/>
              <w:jc w:val="center"/>
              <w:rPr>
                <w:color w:val="auto"/>
                <w:szCs w:val="21"/>
              </w:rPr>
            </w:pPr>
            <w:r>
              <w:rPr>
                <w:rFonts w:hint="eastAsia"/>
                <w:color w:val="auto"/>
                <w:szCs w:val="21"/>
              </w:rPr>
              <w:t>不外排</w:t>
            </w:r>
          </w:p>
        </w:tc>
      </w:tr>
      <w:tr w14:paraId="47B2F9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816" w:type="dxa"/>
            <w:vAlign w:val="center"/>
          </w:tcPr>
          <w:p w14:paraId="1705CDAE">
            <w:pPr>
              <w:adjustRightInd w:val="0"/>
              <w:snapToGrid w:val="0"/>
              <w:jc w:val="center"/>
              <w:rPr>
                <w:color w:val="auto"/>
                <w:szCs w:val="21"/>
              </w:rPr>
            </w:pPr>
            <w:r>
              <w:rPr>
                <w:rFonts w:hAnsi="宋体"/>
                <w:color w:val="auto"/>
                <w:szCs w:val="21"/>
              </w:rPr>
              <w:t>声环境</w:t>
            </w:r>
          </w:p>
        </w:tc>
        <w:tc>
          <w:tcPr>
            <w:tcW w:w="1701" w:type="dxa"/>
            <w:vAlign w:val="center"/>
          </w:tcPr>
          <w:p w14:paraId="54B047C7">
            <w:pPr>
              <w:adjustRightInd w:val="0"/>
              <w:snapToGrid w:val="0"/>
              <w:jc w:val="center"/>
              <w:rPr>
                <w:color w:val="auto"/>
                <w:szCs w:val="21"/>
              </w:rPr>
            </w:pPr>
            <w:r>
              <w:rPr>
                <w:color w:val="auto"/>
                <w:szCs w:val="21"/>
              </w:rPr>
              <w:t>生产设备</w:t>
            </w:r>
          </w:p>
        </w:tc>
        <w:tc>
          <w:tcPr>
            <w:tcW w:w="1843" w:type="dxa"/>
            <w:vAlign w:val="center"/>
          </w:tcPr>
          <w:p w14:paraId="09BE86A5">
            <w:pPr>
              <w:adjustRightInd w:val="0"/>
              <w:snapToGrid w:val="0"/>
              <w:jc w:val="center"/>
              <w:rPr>
                <w:color w:val="auto"/>
                <w:szCs w:val="21"/>
              </w:rPr>
            </w:pPr>
            <w:r>
              <w:rPr>
                <w:color w:val="auto"/>
                <w:szCs w:val="21"/>
              </w:rPr>
              <w:t>机械噪声</w:t>
            </w:r>
          </w:p>
        </w:tc>
        <w:tc>
          <w:tcPr>
            <w:tcW w:w="2354" w:type="dxa"/>
            <w:vAlign w:val="center"/>
          </w:tcPr>
          <w:p w14:paraId="6D402A40">
            <w:pPr>
              <w:adjustRightInd w:val="0"/>
              <w:snapToGrid w:val="0"/>
              <w:jc w:val="center"/>
              <w:rPr>
                <w:color w:val="auto"/>
                <w:szCs w:val="21"/>
              </w:rPr>
            </w:pPr>
            <w:r>
              <w:rPr>
                <w:rFonts w:hint="eastAsia"/>
                <w:color w:val="auto"/>
                <w:szCs w:val="21"/>
              </w:rPr>
              <w:t>基础减振、厂房隔声、对空气动力性噪声设备安装消声器、合理布局</w:t>
            </w:r>
          </w:p>
        </w:tc>
        <w:tc>
          <w:tcPr>
            <w:tcW w:w="1925" w:type="dxa"/>
            <w:vAlign w:val="center"/>
          </w:tcPr>
          <w:p w14:paraId="51A1CFF0">
            <w:pPr>
              <w:adjustRightInd w:val="0"/>
              <w:snapToGrid w:val="0"/>
              <w:jc w:val="center"/>
              <w:rPr>
                <w:color w:val="auto"/>
                <w:szCs w:val="21"/>
              </w:rPr>
            </w:pPr>
            <w:r>
              <w:rPr>
                <w:rFonts w:hint="eastAsia"/>
                <w:color w:val="auto"/>
                <w:szCs w:val="21"/>
              </w:rPr>
              <w:t>《工业企业厂界环境噪声排放标准》（GB12348-2008）2类标准</w:t>
            </w:r>
          </w:p>
        </w:tc>
      </w:tr>
      <w:tr w14:paraId="62A9AA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816" w:type="dxa"/>
            <w:vAlign w:val="center"/>
          </w:tcPr>
          <w:p w14:paraId="381064D7">
            <w:pPr>
              <w:adjustRightInd w:val="0"/>
              <w:snapToGrid w:val="0"/>
              <w:jc w:val="center"/>
              <w:rPr>
                <w:color w:val="auto"/>
                <w:szCs w:val="21"/>
              </w:rPr>
            </w:pPr>
            <w:r>
              <w:rPr>
                <w:rFonts w:hAnsi="宋体"/>
                <w:color w:val="auto"/>
                <w:szCs w:val="21"/>
              </w:rPr>
              <w:t>电磁辐射</w:t>
            </w:r>
          </w:p>
        </w:tc>
        <w:tc>
          <w:tcPr>
            <w:tcW w:w="7823" w:type="dxa"/>
            <w:gridSpan w:val="4"/>
            <w:vAlign w:val="center"/>
          </w:tcPr>
          <w:p w14:paraId="67F9511D">
            <w:pPr>
              <w:adjustRightInd w:val="0"/>
              <w:snapToGrid w:val="0"/>
              <w:jc w:val="center"/>
              <w:rPr>
                <w:color w:val="auto"/>
                <w:szCs w:val="21"/>
              </w:rPr>
            </w:pPr>
            <w:r>
              <w:rPr>
                <w:rFonts w:hint="eastAsia"/>
                <w:color w:val="auto"/>
                <w:szCs w:val="21"/>
              </w:rPr>
              <w:t>/</w:t>
            </w:r>
          </w:p>
        </w:tc>
      </w:tr>
      <w:tr w14:paraId="7E1BD9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816" w:type="dxa"/>
            <w:vMerge w:val="restart"/>
            <w:vAlign w:val="center"/>
          </w:tcPr>
          <w:p w14:paraId="22004448">
            <w:pPr>
              <w:adjustRightInd w:val="0"/>
              <w:snapToGrid w:val="0"/>
              <w:jc w:val="center"/>
              <w:rPr>
                <w:rFonts w:hint="eastAsia" w:hAnsi="宋体"/>
                <w:color w:val="auto"/>
                <w:szCs w:val="21"/>
              </w:rPr>
            </w:pPr>
            <w:r>
              <w:rPr>
                <w:rFonts w:hAnsi="宋体"/>
                <w:color w:val="auto"/>
                <w:szCs w:val="21"/>
              </w:rPr>
              <w:t>固体废物</w:t>
            </w:r>
          </w:p>
        </w:tc>
        <w:tc>
          <w:tcPr>
            <w:tcW w:w="1701" w:type="dxa"/>
            <w:vAlign w:val="center"/>
          </w:tcPr>
          <w:p w14:paraId="7F4830F4">
            <w:pPr>
              <w:pStyle w:val="8"/>
              <w:spacing w:line="280" w:lineRule="exact"/>
              <w:ind w:firstLine="0"/>
              <w:jc w:val="center"/>
              <w:rPr>
                <w:color w:val="auto"/>
                <w:sz w:val="21"/>
                <w:szCs w:val="21"/>
              </w:rPr>
            </w:pPr>
            <w:r>
              <w:rPr>
                <w:rFonts w:hint="eastAsia"/>
                <w:color w:val="auto"/>
                <w:sz w:val="21"/>
                <w:szCs w:val="21"/>
              </w:rPr>
              <w:t>办公生活</w:t>
            </w:r>
          </w:p>
        </w:tc>
        <w:tc>
          <w:tcPr>
            <w:tcW w:w="1843" w:type="dxa"/>
            <w:vAlign w:val="center"/>
          </w:tcPr>
          <w:p w14:paraId="0F8B06B1">
            <w:pPr>
              <w:pStyle w:val="8"/>
              <w:spacing w:line="280" w:lineRule="exact"/>
              <w:ind w:firstLine="0"/>
              <w:jc w:val="center"/>
              <w:rPr>
                <w:color w:val="auto"/>
                <w:sz w:val="21"/>
                <w:szCs w:val="21"/>
              </w:rPr>
            </w:pPr>
            <w:r>
              <w:rPr>
                <w:rFonts w:hint="eastAsia"/>
                <w:color w:val="auto"/>
                <w:kern w:val="24"/>
                <w:sz w:val="21"/>
                <w:szCs w:val="21"/>
              </w:rPr>
              <w:t>生活垃圾</w:t>
            </w:r>
          </w:p>
        </w:tc>
        <w:tc>
          <w:tcPr>
            <w:tcW w:w="2354" w:type="dxa"/>
            <w:vAlign w:val="center"/>
          </w:tcPr>
          <w:p w14:paraId="638C6620">
            <w:pPr>
              <w:pStyle w:val="8"/>
              <w:spacing w:line="280" w:lineRule="exact"/>
              <w:ind w:firstLine="0"/>
              <w:jc w:val="center"/>
              <w:rPr>
                <w:color w:val="auto"/>
                <w:sz w:val="21"/>
                <w:szCs w:val="21"/>
              </w:rPr>
            </w:pPr>
            <w:r>
              <w:rPr>
                <w:rFonts w:hint="eastAsia"/>
                <w:color w:val="auto"/>
                <w:kern w:val="24"/>
                <w:sz w:val="21"/>
                <w:szCs w:val="21"/>
              </w:rPr>
              <w:t>集中收集后由当地环卫部门清运处置</w:t>
            </w:r>
          </w:p>
        </w:tc>
        <w:tc>
          <w:tcPr>
            <w:tcW w:w="1925" w:type="dxa"/>
            <w:vMerge w:val="restart"/>
            <w:vAlign w:val="center"/>
          </w:tcPr>
          <w:p w14:paraId="19B9A008">
            <w:pPr>
              <w:jc w:val="center"/>
              <w:rPr>
                <w:color w:val="auto"/>
                <w:szCs w:val="21"/>
              </w:rPr>
            </w:pPr>
            <w:r>
              <w:rPr>
                <w:rFonts w:hint="eastAsia"/>
                <w:color w:val="auto"/>
                <w:szCs w:val="21"/>
              </w:rPr>
              <w:t>《一般工业固体废物贮存和填埋污染控制标准》（GB 18599-2020），</w:t>
            </w:r>
          </w:p>
          <w:p w14:paraId="1C36D1D0">
            <w:pPr>
              <w:jc w:val="center"/>
              <w:rPr>
                <w:color w:val="auto"/>
                <w:szCs w:val="21"/>
              </w:rPr>
            </w:pPr>
            <w:r>
              <w:rPr>
                <w:color w:val="auto"/>
                <w:kern w:val="0"/>
                <w:szCs w:val="21"/>
                <w:lang w:bidi="ar"/>
              </w:rPr>
              <w:t>处置</w:t>
            </w:r>
            <w:r>
              <w:rPr>
                <w:rFonts w:hint="eastAsia"/>
                <w:color w:val="auto"/>
                <w:kern w:val="0"/>
                <w:szCs w:val="21"/>
                <w:lang w:bidi="ar"/>
              </w:rPr>
              <w:t>率</w:t>
            </w:r>
            <w:r>
              <w:rPr>
                <w:color w:val="auto"/>
                <w:kern w:val="0"/>
                <w:szCs w:val="21"/>
                <w:lang w:bidi="ar"/>
              </w:rPr>
              <w:t>100%</w:t>
            </w:r>
          </w:p>
        </w:tc>
      </w:tr>
      <w:tr w14:paraId="235FBF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816" w:type="dxa"/>
            <w:vMerge w:val="continue"/>
            <w:vAlign w:val="center"/>
          </w:tcPr>
          <w:p w14:paraId="0D74D608">
            <w:pPr>
              <w:adjustRightInd w:val="0"/>
              <w:snapToGrid w:val="0"/>
              <w:jc w:val="center"/>
              <w:rPr>
                <w:rFonts w:hint="eastAsia" w:hAnsi="宋体"/>
                <w:color w:val="auto"/>
                <w:szCs w:val="21"/>
              </w:rPr>
            </w:pPr>
          </w:p>
        </w:tc>
        <w:tc>
          <w:tcPr>
            <w:tcW w:w="1701" w:type="dxa"/>
            <w:vAlign w:val="center"/>
          </w:tcPr>
          <w:p w14:paraId="56439732">
            <w:pPr>
              <w:pStyle w:val="8"/>
              <w:spacing w:line="280" w:lineRule="exact"/>
              <w:ind w:firstLine="0"/>
              <w:jc w:val="center"/>
              <w:rPr>
                <w:color w:val="auto"/>
                <w:kern w:val="24"/>
                <w:sz w:val="21"/>
                <w:szCs w:val="21"/>
              </w:rPr>
            </w:pPr>
            <w:r>
              <w:rPr>
                <w:rFonts w:hint="eastAsia"/>
                <w:color w:val="auto"/>
                <w:sz w:val="21"/>
                <w:szCs w:val="21"/>
                <w:lang w:bidi="ar"/>
              </w:rPr>
              <w:t>袋式除尘器</w:t>
            </w:r>
          </w:p>
        </w:tc>
        <w:tc>
          <w:tcPr>
            <w:tcW w:w="1843" w:type="dxa"/>
            <w:vAlign w:val="center"/>
          </w:tcPr>
          <w:p w14:paraId="7A0C2C08">
            <w:pPr>
              <w:pStyle w:val="8"/>
              <w:spacing w:line="280" w:lineRule="exact"/>
              <w:ind w:firstLine="0"/>
              <w:jc w:val="center"/>
              <w:rPr>
                <w:color w:val="auto"/>
                <w:kern w:val="24"/>
                <w:sz w:val="21"/>
                <w:szCs w:val="21"/>
              </w:rPr>
            </w:pPr>
            <w:r>
              <w:rPr>
                <w:rFonts w:hint="eastAsia"/>
                <w:color w:val="auto"/>
                <w:kern w:val="24"/>
                <w:sz w:val="21"/>
                <w:szCs w:val="21"/>
              </w:rPr>
              <w:t>除尘灰</w:t>
            </w:r>
          </w:p>
        </w:tc>
        <w:tc>
          <w:tcPr>
            <w:tcW w:w="2354" w:type="dxa"/>
            <w:vAlign w:val="center"/>
          </w:tcPr>
          <w:p w14:paraId="40022B10">
            <w:pPr>
              <w:pStyle w:val="8"/>
              <w:spacing w:line="280" w:lineRule="exact"/>
              <w:ind w:firstLine="0"/>
              <w:jc w:val="center"/>
              <w:rPr>
                <w:color w:val="auto"/>
                <w:kern w:val="24"/>
                <w:sz w:val="21"/>
                <w:szCs w:val="21"/>
              </w:rPr>
            </w:pPr>
            <w:r>
              <w:rPr>
                <w:rFonts w:hint="eastAsia"/>
                <w:color w:val="auto"/>
                <w:kern w:val="24"/>
                <w:sz w:val="21"/>
                <w:szCs w:val="21"/>
              </w:rPr>
              <w:t>收集后暂存于一般固废暂存间，外售处置</w:t>
            </w:r>
          </w:p>
        </w:tc>
        <w:tc>
          <w:tcPr>
            <w:tcW w:w="1925" w:type="dxa"/>
            <w:vMerge w:val="continue"/>
            <w:vAlign w:val="center"/>
          </w:tcPr>
          <w:p w14:paraId="2E3ADDE7">
            <w:pPr>
              <w:jc w:val="center"/>
              <w:rPr>
                <w:color w:val="auto"/>
                <w:szCs w:val="21"/>
              </w:rPr>
            </w:pPr>
          </w:p>
        </w:tc>
      </w:tr>
      <w:tr w14:paraId="411023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816" w:type="dxa"/>
            <w:vMerge w:val="continue"/>
            <w:vAlign w:val="center"/>
          </w:tcPr>
          <w:p w14:paraId="6828FD71">
            <w:pPr>
              <w:adjustRightInd w:val="0"/>
              <w:snapToGrid w:val="0"/>
              <w:jc w:val="center"/>
              <w:rPr>
                <w:rFonts w:hint="eastAsia" w:hAnsi="宋体"/>
                <w:color w:val="auto"/>
                <w:szCs w:val="21"/>
              </w:rPr>
            </w:pPr>
          </w:p>
        </w:tc>
        <w:tc>
          <w:tcPr>
            <w:tcW w:w="1701" w:type="dxa"/>
            <w:vAlign w:val="center"/>
          </w:tcPr>
          <w:p w14:paraId="078FD64F">
            <w:pPr>
              <w:pStyle w:val="8"/>
              <w:spacing w:line="280" w:lineRule="exact"/>
              <w:ind w:firstLine="0"/>
              <w:jc w:val="center"/>
              <w:rPr>
                <w:color w:val="auto"/>
                <w:sz w:val="21"/>
                <w:szCs w:val="21"/>
                <w:lang w:bidi="ar"/>
              </w:rPr>
            </w:pPr>
            <w:r>
              <w:rPr>
                <w:rFonts w:hint="eastAsia"/>
                <w:color w:val="auto"/>
                <w:kern w:val="24"/>
                <w:sz w:val="21"/>
                <w:szCs w:val="21"/>
              </w:rPr>
              <w:t>焊管生产</w:t>
            </w:r>
          </w:p>
        </w:tc>
        <w:tc>
          <w:tcPr>
            <w:tcW w:w="1843" w:type="dxa"/>
            <w:vAlign w:val="center"/>
          </w:tcPr>
          <w:p w14:paraId="341D4AA6">
            <w:pPr>
              <w:pStyle w:val="8"/>
              <w:spacing w:line="280" w:lineRule="exact"/>
              <w:ind w:firstLine="0"/>
              <w:jc w:val="center"/>
              <w:rPr>
                <w:color w:val="auto"/>
                <w:kern w:val="24"/>
                <w:sz w:val="21"/>
                <w:szCs w:val="21"/>
              </w:rPr>
            </w:pPr>
            <w:r>
              <w:rPr>
                <w:color w:val="auto"/>
                <w:kern w:val="24"/>
                <w:sz w:val="21"/>
                <w:szCs w:val="21"/>
              </w:rPr>
              <w:t>废边角料</w:t>
            </w:r>
            <w:r>
              <w:rPr>
                <w:rFonts w:hint="eastAsia"/>
                <w:color w:val="auto"/>
                <w:kern w:val="24"/>
                <w:sz w:val="21"/>
                <w:szCs w:val="21"/>
              </w:rPr>
              <w:t>、不合格产品</w:t>
            </w:r>
          </w:p>
        </w:tc>
        <w:tc>
          <w:tcPr>
            <w:tcW w:w="2354" w:type="dxa"/>
            <w:vAlign w:val="center"/>
          </w:tcPr>
          <w:p w14:paraId="62C593C0">
            <w:pPr>
              <w:pStyle w:val="8"/>
              <w:spacing w:line="280" w:lineRule="exact"/>
              <w:ind w:firstLine="0"/>
              <w:jc w:val="center"/>
              <w:rPr>
                <w:color w:val="auto"/>
                <w:kern w:val="24"/>
                <w:sz w:val="21"/>
                <w:szCs w:val="21"/>
              </w:rPr>
            </w:pPr>
            <w:r>
              <w:rPr>
                <w:rFonts w:hint="eastAsia"/>
                <w:color w:val="auto"/>
                <w:kern w:val="24"/>
                <w:sz w:val="21"/>
                <w:szCs w:val="21"/>
              </w:rPr>
              <w:t>收集后暂存于一般固废暂存间，外售处置。</w:t>
            </w:r>
          </w:p>
        </w:tc>
        <w:tc>
          <w:tcPr>
            <w:tcW w:w="1925" w:type="dxa"/>
            <w:vMerge w:val="continue"/>
            <w:vAlign w:val="center"/>
          </w:tcPr>
          <w:p w14:paraId="50C21799">
            <w:pPr>
              <w:jc w:val="center"/>
              <w:rPr>
                <w:color w:val="auto"/>
                <w:szCs w:val="21"/>
              </w:rPr>
            </w:pPr>
          </w:p>
        </w:tc>
      </w:tr>
      <w:tr w14:paraId="2AE341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816" w:type="dxa"/>
            <w:vMerge w:val="continue"/>
            <w:vAlign w:val="center"/>
          </w:tcPr>
          <w:p w14:paraId="5DA809C0">
            <w:pPr>
              <w:adjustRightInd w:val="0"/>
              <w:snapToGrid w:val="0"/>
              <w:jc w:val="center"/>
              <w:rPr>
                <w:rFonts w:hint="eastAsia" w:hAnsi="宋体"/>
                <w:color w:val="auto"/>
                <w:szCs w:val="21"/>
              </w:rPr>
            </w:pPr>
          </w:p>
        </w:tc>
        <w:tc>
          <w:tcPr>
            <w:tcW w:w="1701" w:type="dxa"/>
            <w:vAlign w:val="center"/>
          </w:tcPr>
          <w:p w14:paraId="128AEEB5">
            <w:pPr>
              <w:pStyle w:val="8"/>
              <w:spacing w:line="280" w:lineRule="exact"/>
              <w:ind w:firstLine="0"/>
              <w:jc w:val="center"/>
              <w:rPr>
                <w:color w:val="auto"/>
                <w:kern w:val="24"/>
                <w:sz w:val="21"/>
                <w:szCs w:val="21"/>
              </w:rPr>
            </w:pPr>
            <w:r>
              <w:rPr>
                <w:rFonts w:hint="eastAsia"/>
                <w:color w:val="auto"/>
                <w:sz w:val="21"/>
                <w:szCs w:val="21"/>
              </w:rPr>
              <w:t>化粪池</w:t>
            </w:r>
          </w:p>
        </w:tc>
        <w:tc>
          <w:tcPr>
            <w:tcW w:w="1843" w:type="dxa"/>
            <w:vAlign w:val="center"/>
          </w:tcPr>
          <w:p w14:paraId="76F45511">
            <w:pPr>
              <w:pStyle w:val="8"/>
              <w:spacing w:line="280" w:lineRule="exact"/>
              <w:ind w:firstLine="0"/>
              <w:jc w:val="center"/>
              <w:rPr>
                <w:color w:val="auto"/>
                <w:kern w:val="24"/>
                <w:sz w:val="21"/>
                <w:szCs w:val="21"/>
              </w:rPr>
            </w:pPr>
            <w:r>
              <w:rPr>
                <w:rFonts w:hint="eastAsia"/>
                <w:color w:val="auto"/>
                <w:sz w:val="21"/>
                <w:szCs w:val="21"/>
              </w:rPr>
              <w:t>污泥</w:t>
            </w:r>
          </w:p>
        </w:tc>
        <w:tc>
          <w:tcPr>
            <w:tcW w:w="2354" w:type="dxa"/>
            <w:vAlign w:val="center"/>
          </w:tcPr>
          <w:p w14:paraId="167059AD">
            <w:pPr>
              <w:pStyle w:val="8"/>
              <w:spacing w:line="280" w:lineRule="exact"/>
              <w:ind w:firstLine="0"/>
              <w:jc w:val="center"/>
              <w:rPr>
                <w:color w:val="auto"/>
                <w:kern w:val="24"/>
                <w:sz w:val="21"/>
                <w:szCs w:val="21"/>
              </w:rPr>
            </w:pPr>
            <w:r>
              <w:rPr>
                <w:rFonts w:hint="eastAsia"/>
                <w:color w:val="auto"/>
                <w:sz w:val="21"/>
                <w:szCs w:val="21"/>
                <w:lang w:bidi="ar"/>
              </w:rPr>
              <w:t>委托环卫部门清掏处置</w:t>
            </w:r>
          </w:p>
        </w:tc>
        <w:tc>
          <w:tcPr>
            <w:tcW w:w="1925" w:type="dxa"/>
            <w:vMerge w:val="continue"/>
            <w:vAlign w:val="center"/>
          </w:tcPr>
          <w:p w14:paraId="6F2CF5EC">
            <w:pPr>
              <w:jc w:val="center"/>
              <w:rPr>
                <w:color w:val="auto"/>
                <w:szCs w:val="21"/>
              </w:rPr>
            </w:pPr>
          </w:p>
        </w:tc>
      </w:tr>
      <w:bookmarkEnd w:id="89"/>
      <w:tr w14:paraId="2C9E46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816" w:type="dxa"/>
            <w:vMerge w:val="continue"/>
            <w:vAlign w:val="center"/>
          </w:tcPr>
          <w:p w14:paraId="64417B45">
            <w:pPr>
              <w:adjustRightInd w:val="0"/>
              <w:snapToGrid w:val="0"/>
              <w:jc w:val="center"/>
              <w:rPr>
                <w:rFonts w:hint="eastAsia" w:hAnsi="宋体"/>
                <w:color w:val="auto"/>
                <w:szCs w:val="21"/>
              </w:rPr>
            </w:pPr>
          </w:p>
        </w:tc>
        <w:tc>
          <w:tcPr>
            <w:tcW w:w="1701" w:type="dxa"/>
            <w:vAlign w:val="center"/>
          </w:tcPr>
          <w:p w14:paraId="3F22EAD8">
            <w:pPr>
              <w:pStyle w:val="8"/>
              <w:spacing w:line="280" w:lineRule="exact"/>
              <w:ind w:firstLine="0"/>
              <w:jc w:val="center"/>
              <w:rPr>
                <w:color w:val="auto"/>
                <w:sz w:val="21"/>
                <w:szCs w:val="21"/>
              </w:rPr>
            </w:pPr>
            <w:r>
              <w:rPr>
                <w:rFonts w:hint="eastAsia"/>
                <w:color w:val="auto"/>
                <w:kern w:val="24"/>
                <w:sz w:val="21"/>
                <w:szCs w:val="21"/>
              </w:rPr>
              <w:t>焊管生产</w:t>
            </w:r>
          </w:p>
        </w:tc>
        <w:tc>
          <w:tcPr>
            <w:tcW w:w="1843" w:type="dxa"/>
            <w:vAlign w:val="center"/>
          </w:tcPr>
          <w:p w14:paraId="39984612">
            <w:pPr>
              <w:pStyle w:val="8"/>
              <w:spacing w:line="280" w:lineRule="exact"/>
              <w:ind w:firstLine="0"/>
              <w:jc w:val="center"/>
              <w:rPr>
                <w:color w:val="auto"/>
                <w:sz w:val="21"/>
                <w:szCs w:val="21"/>
              </w:rPr>
            </w:pPr>
            <w:r>
              <w:rPr>
                <w:rFonts w:hint="eastAsia"/>
                <w:color w:val="auto"/>
                <w:sz w:val="21"/>
                <w:szCs w:val="21"/>
              </w:rPr>
              <w:t>循环水池金属沉渣</w:t>
            </w:r>
          </w:p>
        </w:tc>
        <w:tc>
          <w:tcPr>
            <w:tcW w:w="2354" w:type="dxa"/>
            <w:vAlign w:val="center"/>
          </w:tcPr>
          <w:p w14:paraId="21C50612">
            <w:pPr>
              <w:pStyle w:val="8"/>
              <w:spacing w:line="280" w:lineRule="exact"/>
              <w:ind w:firstLine="0"/>
              <w:jc w:val="center"/>
              <w:rPr>
                <w:color w:val="auto"/>
                <w:sz w:val="21"/>
                <w:szCs w:val="21"/>
                <w:lang w:bidi="ar"/>
              </w:rPr>
            </w:pPr>
            <w:r>
              <w:rPr>
                <w:color w:val="auto"/>
                <w:sz w:val="21"/>
                <w:szCs w:val="21"/>
              </w:rPr>
              <w:t>循环水池金属沉渣定期清掏，每次清掏</w:t>
            </w:r>
            <w:r>
              <w:rPr>
                <w:rFonts w:hint="eastAsia"/>
                <w:color w:val="auto"/>
                <w:sz w:val="21"/>
                <w:szCs w:val="21"/>
              </w:rPr>
              <w:t>前</w:t>
            </w:r>
            <w:r>
              <w:rPr>
                <w:color w:val="auto"/>
                <w:sz w:val="21"/>
                <w:szCs w:val="21"/>
              </w:rPr>
              <w:t>需进行浸出毒性检测，按照依据《危险废物鉴别标准 浸出毒性鉴别》（GB 5085.3-2007）中相关方法进行浸出浓度鉴定，若固体废物浸出液中任何一种危害成分含量超过标准浓度限值，则作为具有浸出毒性特征的危险废物进行处置，委托有相应资质单位进行处置；否则可以按照一般固废进行处置。</w:t>
            </w:r>
          </w:p>
        </w:tc>
        <w:tc>
          <w:tcPr>
            <w:tcW w:w="1925" w:type="dxa"/>
            <w:vAlign w:val="center"/>
          </w:tcPr>
          <w:p w14:paraId="1E8698BD">
            <w:pPr>
              <w:jc w:val="center"/>
              <w:rPr>
                <w:color w:val="auto"/>
                <w:szCs w:val="21"/>
              </w:rPr>
            </w:pPr>
            <w:r>
              <w:rPr>
                <w:color w:val="auto"/>
                <w:szCs w:val="21"/>
              </w:rPr>
              <w:t>定期清掏，每次清掏</w:t>
            </w:r>
            <w:r>
              <w:rPr>
                <w:rFonts w:hint="eastAsia"/>
                <w:color w:val="auto"/>
                <w:szCs w:val="21"/>
              </w:rPr>
              <w:t>前</w:t>
            </w:r>
            <w:r>
              <w:rPr>
                <w:color w:val="auto"/>
                <w:szCs w:val="21"/>
              </w:rPr>
              <w:t>需进行浸出毒性检测，若固体废物浸出液中任何一种危害成分含量超过标准浓度限值，则作为具有浸出毒性特征的危险废物进行处置，委托有相应资质单位进行处置；否则可以按照一般固废进行外售处置。</w:t>
            </w:r>
          </w:p>
        </w:tc>
      </w:tr>
      <w:tr w14:paraId="3CB777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816" w:type="dxa"/>
            <w:vMerge w:val="continue"/>
            <w:vAlign w:val="center"/>
          </w:tcPr>
          <w:p w14:paraId="6B5FC151">
            <w:pPr>
              <w:adjustRightInd w:val="0"/>
              <w:snapToGrid w:val="0"/>
              <w:jc w:val="center"/>
              <w:rPr>
                <w:rFonts w:hint="eastAsia" w:hAnsi="宋体"/>
                <w:color w:val="auto"/>
                <w:szCs w:val="21"/>
              </w:rPr>
            </w:pPr>
          </w:p>
        </w:tc>
        <w:tc>
          <w:tcPr>
            <w:tcW w:w="1701" w:type="dxa"/>
            <w:vAlign w:val="center"/>
          </w:tcPr>
          <w:p w14:paraId="53881F95">
            <w:pPr>
              <w:pStyle w:val="8"/>
              <w:spacing w:line="280" w:lineRule="exact"/>
              <w:ind w:firstLine="0"/>
              <w:jc w:val="center"/>
              <w:rPr>
                <w:color w:val="auto"/>
                <w:kern w:val="24"/>
                <w:sz w:val="21"/>
                <w:szCs w:val="21"/>
              </w:rPr>
            </w:pPr>
            <w:r>
              <w:rPr>
                <w:color w:val="auto"/>
                <w:sz w:val="21"/>
                <w:szCs w:val="21"/>
              </w:rPr>
              <w:t>机械设备保养</w:t>
            </w:r>
            <w:r>
              <w:rPr>
                <w:rFonts w:hint="eastAsia"/>
                <w:color w:val="auto"/>
                <w:sz w:val="21"/>
                <w:szCs w:val="21"/>
              </w:rPr>
              <w:t>、</w:t>
            </w:r>
            <w:r>
              <w:rPr>
                <w:color w:val="auto"/>
                <w:sz w:val="21"/>
                <w:szCs w:val="21"/>
              </w:rPr>
              <w:t>维修</w:t>
            </w:r>
          </w:p>
        </w:tc>
        <w:tc>
          <w:tcPr>
            <w:tcW w:w="1843" w:type="dxa"/>
            <w:vAlign w:val="center"/>
          </w:tcPr>
          <w:p w14:paraId="28308B58">
            <w:pPr>
              <w:pStyle w:val="8"/>
              <w:spacing w:line="280" w:lineRule="exact"/>
              <w:ind w:firstLine="0"/>
              <w:jc w:val="center"/>
              <w:rPr>
                <w:color w:val="auto"/>
                <w:kern w:val="24"/>
                <w:sz w:val="21"/>
                <w:szCs w:val="21"/>
              </w:rPr>
            </w:pPr>
            <w:r>
              <w:rPr>
                <w:rFonts w:hint="eastAsia"/>
                <w:color w:val="auto"/>
                <w:sz w:val="21"/>
                <w:szCs w:val="21"/>
              </w:rPr>
              <w:t>废机油、废机油桶、废劳保用品</w:t>
            </w:r>
          </w:p>
        </w:tc>
        <w:tc>
          <w:tcPr>
            <w:tcW w:w="2354" w:type="dxa"/>
            <w:vAlign w:val="center"/>
          </w:tcPr>
          <w:p w14:paraId="695E7E3E">
            <w:pPr>
              <w:pStyle w:val="8"/>
              <w:spacing w:line="280" w:lineRule="exact"/>
              <w:ind w:firstLine="0"/>
              <w:jc w:val="center"/>
              <w:rPr>
                <w:color w:val="auto"/>
                <w:kern w:val="24"/>
                <w:sz w:val="21"/>
                <w:szCs w:val="21"/>
              </w:rPr>
            </w:pPr>
            <w:r>
              <w:rPr>
                <w:rFonts w:hint="eastAsia"/>
                <w:color w:val="auto"/>
                <w:sz w:val="21"/>
                <w:szCs w:val="21"/>
                <w:lang w:bidi="ar"/>
              </w:rPr>
              <w:t>分类收集后暂存于危废暂存间，</w:t>
            </w:r>
            <w:r>
              <w:rPr>
                <w:color w:val="auto"/>
                <w:sz w:val="21"/>
                <w:szCs w:val="21"/>
                <w:lang w:bidi="ar"/>
              </w:rPr>
              <w:t>废机油用于厂区内机械设备擦拭润滑，其余危险废物委托有资质单位处置。</w:t>
            </w:r>
          </w:p>
        </w:tc>
        <w:tc>
          <w:tcPr>
            <w:tcW w:w="1925" w:type="dxa"/>
            <w:vAlign w:val="center"/>
          </w:tcPr>
          <w:p w14:paraId="691DF11B">
            <w:pPr>
              <w:jc w:val="center"/>
              <w:rPr>
                <w:color w:val="auto"/>
                <w:szCs w:val="21"/>
              </w:rPr>
            </w:pPr>
            <w:r>
              <w:rPr>
                <w:rFonts w:hint="eastAsia"/>
                <w:color w:val="auto"/>
                <w:szCs w:val="21"/>
              </w:rPr>
              <w:t>《危险废物贮存污染控制标准》（GB18597-2023）</w:t>
            </w:r>
          </w:p>
        </w:tc>
      </w:tr>
      <w:tr w14:paraId="4E6842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816" w:type="dxa"/>
            <w:vAlign w:val="center"/>
          </w:tcPr>
          <w:p w14:paraId="7B0E98C9">
            <w:pPr>
              <w:adjustRightInd w:val="0"/>
              <w:snapToGrid w:val="0"/>
              <w:jc w:val="center"/>
              <w:rPr>
                <w:color w:val="auto"/>
                <w:szCs w:val="21"/>
              </w:rPr>
            </w:pPr>
            <w:r>
              <w:rPr>
                <w:rFonts w:hAnsi="宋体"/>
                <w:color w:val="auto"/>
                <w:szCs w:val="21"/>
              </w:rPr>
              <w:t>土壤及地下水</w:t>
            </w:r>
          </w:p>
          <w:p w14:paraId="7A0854E5">
            <w:pPr>
              <w:adjustRightInd w:val="0"/>
              <w:snapToGrid w:val="0"/>
              <w:jc w:val="center"/>
              <w:rPr>
                <w:color w:val="auto"/>
                <w:szCs w:val="21"/>
              </w:rPr>
            </w:pPr>
            <w:r>
              <w:rPr>
                <w:rFonts w:hAnsi="宋体"/>
                <w:color w:val="auto"/>
                <w:szCs w:val="21"/>
              </w:rPr>
              <w:t>污染防治措施</w:t>
            </w:r>
          </w:p>
        </w:tc>
        <w:tc>
          <w:tcPr>
            <w:tcW w:w="7823" w:type="dxa"/>
            <w:gridSpan w:val="4"/>
            <w:vAlign w:val="center"/>
          </w:tcPr>
          <w:p w14:paraId="1618512A">
            <w:pPr>
              <w:pStyle w:val="31"/>
              <w:adjustRightInd w:val="0"/>
              <w:snapToGrid w:val="0"/>
              <w:spacing w:after="0" w:line="360" w:lineRule="auto"/>
              <w:ind w:left="0" w:leftChars="0"/>
              <w:rPr>
                <w:color w:val="auto"/>
                <w:szCs w:val="21"/>
              </w:rPr>
            </w:pPr>
            <w:r>
              <w:rPr>
                <w:rFonts w:hint="eastAsia"/>
                <w:color w:val="auto"/>
                <w:szCs w:val="21"/>
              </w:rPr>
              <w:t>本项目地下水、土壤污染防治措施按照“源头控制、分区防治、应急响应”相结合的原则，从污染物的产生、入渗、扩散、应急响应进行控制。</w:t>
            </w:r>
          </w:p>
          <w:p w14:paraId="3DEE79AC">
            <w:pPr>
              <w:pStyle w:val="31"/>
              <w:adjustRightInd w:val="0"/>
              <w:snapToGrid w:val="0"/>
              <w:spacing w:after="0" w:line="360" w:lineRule="auto"/>
              <w:ind w:left="48" w:leftChars="23"/>
              <w:rPr>
                <w:color w:val="auto"/>
                <w:szCs w:val="21"/>
              </w:rPr>
            </w:pPr>
            <w:r>
              <w:rPr>
                <w:rFonts w:hint="eastAsia"/>
                <w:color w:val="auto"/>
                <w:szCs w:val="21"/>
              </w:rPr>
              <w:t>①源头控制措施</w:t>
            </w:r>
          </w:p>
          <w:p w14:paraId="00BE84EB">
            <w:pPr>
              <w:pStyle w:val="31"/>
              <w:adjustRightInd w:val="0"/>
              <w:snapToGrid w:val="0"/>
              <w:spacing w:after="0" w:line="360" w:lineRule="auto"/>
              <w:ind w:left="48" w:leftChars="23"/>
              <w:rPr>
                <w:color w:val="auto"/>
                <w:szCs w:val="21"/>
              </w:rPr>
            </w:pPr>
            <w:r>
              <w:rPr>
                <w:rFonts w:hint="eastAsia"/>
                <w:color w:val="auto"/>
                <w:szCs w:val="21"/>
              </w:rPr>
              <w:t>污水管严格按照国家相关规范要求，使用合格的管材尽可能从源头上减少污染物的产生；防止和降低可能污染物的跑、冒、滴、漏，将废水泄漏的环境风险事故降低到最低程度。</w:t>
            </w:r>
          </w:p>
          <w:p w14:paraId="27FDDF26">
            <w:pPr>
              <w:pStyle w:val="31"/>
              <w:adjustRightInd w:val="0"/>
              <w:snapToGrid w:val="0"/>
              <w:spacing w:after="0" w:line="360" w:lineRule="auto"/>
              <w:ind w:left="48" w:leftChars="23"/>
              <w:rPr>
                <w:color w:val="auto"/>
                <w:szCs w:val="21"/>
              </w:rPr>
            </w:pPr>
            <w:r>
              <w:rPr>
                <w:rFonts w:hint="eastAsia"/>
                <w:color w:val="auto"/>
                <w:szCs w:val="21"/>
              </w:rPr>
              <w:t>②分区防控措施</w:t>
            </w:r>
          </w:p>
          <w:p w14:paraId="51667BFD">
            <w:pPr>
              <w:pStyle w:val="31"/>
              <w:adjustRightInd w:val="0"/>
              <w:snapToGrid w:val="0"/>
              <w:spacing w:after="0" w:line="360" w:lineRule="auto"/>
              <w:ind w:left="0" w:leftChars="0"/>
              <w:rPr>
                <w:color w:val="auto"/>
                <w:szCs w:val="21"/>
              </w:rPr>
            </w:pPr>
            <w:r>
              <w:rPr>
                <w:rFonts w:hint="eastAsia"/>
                <w:color w:val="auto"/>
                <w:szCs w:val="21"/>
              </w:rPr>
              <w:t>根据项目地下水、土壤污染分析，本项目按照分区防控的要求，将厂区分为重点防渗区、一般防渗区和简单防渗区，不同的分区采取相应的防渗措施。</w:t>
            </w:r>
          </w:p>
          <w:p w14:paraId="2B19F7C8">
            <w:pPr>
              <w:pStyle w:val="31"/>
              <w:adjustRightInd w:val="0"/>
              <w:snapToGrid w:val="0"/>
              <w:spacing w:after="0" w:line="360" w:lineRule="auto"/>
              <w:ind w:left="0" w:leftChars="0"/>
              <w:rPr>
                <w:b/>
                <w:color w:val="auto"/>
                <w:kern w:val="24"/>
                <w:szCs w:val="21"/>
              </w:rPr>
            </w:pPr>
            <w:r>
              <w:rPr>
                <w:rFonts w:hint="eastAsia"/>
                <w:color w:val="auto"/>
                <w:szCs w:val="21"/>
              </w:rPr>
              <w:t>本项目运行期地下水、土壤防控措施见下表。</w:t>
            </w:r>
          </w:p>
          <w:p w14:paraId="376BFD93">
            <w:pPr>
              <w:adjustRightInd w:val="0"/>
              <w:snapToGrid w:val="0"/>
              <w:spacing w:line="360" w:lineRule="auto"/>
              <w:ind w:firstLine="422" w:firstLineChars="200"/>
              <w:jc w:val="center"/>
              <w:rPr>
                <w:b/>
                <w:color w:val="auto"/>
                <w:kern w:val="24"/>
                <w:szCs w:val="21"/>
              </w:rPr>
            </w:pPr>
            <w:r>
              <w:rPr>
                <w:rFonts w:hint="eastAsia"/>
                <w:b/>
                <w:color w:val="auto"/>
                <w:kern w:val="24"/>
                <w:szCs w:val="21"/>
              </w:rPr>
              <w:t>表</w:t>
            </w:r>
            <w:r>
              <w:rPr>
                <w:b/>
                <w:color w:val="auto"/>
                <w:kern w:val="24"/>
                <w:szCs w:val="21"/>
              </w:rPr>
              <w:t>5-1</w:t>
            </w:r>
            <w:r>
              <w:rPr>
                <w:rFonts w:hint="eastAsia"/>
                <w:b/>
                <w:color w:val="auto"/>
                <w:kern w:val="24"/>
                <w:szCs w:val="21"/>
              </w:rPr>
              <w:t xml:space="preserve">  本项目分区防渗内容及要求汇总表</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1150"/>
              <w:gridCol w:w="1608"/>
              <w:gridCol w:w="4839"/>
            </w:tblGrid>
            <w:tr w14:paraId="75611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1321" w:type="dxa"/>
                  <w:vAlign w:val="center"/>
                </w:tcPr>
                <w:p w14:paraId="14DBF203">
                  <w:pPr>
                    <w:adjustRightInd w:val="0"/>
                    <w:snapToGrid w:val="0"/>
                    <w:jc w:val="center"/>
                    <w:rPr>
                      <w:color w:val="auto"/>
                      <w:kern w:val="24"/>
                      <w:sz w:val="18"/>
                      <w:szCs w:val="18"/>
                    </w:rPr>
                  </w:pPr>
                  <w:r>
                    <w:rPr>
                      <w:rFonts w:hint="eastAsia"/>
                      <w:color w:val="auto"/>
                      <w:kern w:val="24"/>
                      <w:sz w:val="18"/>
                      <w:szCs w:val="18"/>
                    </w:rPr>
                    <w:t>防渗分区</w:t>
                  </w:r>
                </w:p>
              </w:tc>
              <w:tc>
                <w:tcPr>
                  <w:tcW w:w="1866" w:type="dxa"/>
                  <w:vAlign w:val="center"/>
                </w:tcPr>
                <w:p w14:paraId="54E01D27">
                  <w:pPr>
                    <w:adjustRightInd w:val="0"/>
                    <w:snapToGrid w:val="0"/>
                    <w:jc w:val="center"/>
                    <w:rPr>
                      <w:color w:val="auto"/>
                      <w:kern w:val="24"/>
                      <w:sz w:val="18"/>
                      <w:szCs w:val="18"/>
                    </w:rPr>
                  </w:pPr>
                  <w:r>
                    <w:rPr>
                      <w:rFonts w:hint="eastAsia"/>
                      <w:color w:val="auto"/>
                      <w:kern w:val="24"/>
                      <w:sz w:val="18"/>
                      <w:szCs w:val="18"/>
                    </w:rPr>
                    <w:t>区域</w:t>
                  </w:r>
                </w:p>
              </w:tc>
              <w:tc>
                <w:tcPr>
                  <w:tcW w:w="5703" w:type="dxa"/>
                  <w:vAlign w:val="center"/>
                </w:tcPr>
                <w:p w14:paraId="34CB469F">
                  <w:pPr>
                    <w:adjustRightInd w:val="0"/>
                    <w:snapToGrid w:val="0"/>
                    <w:jc w:val="center"/>
                    <w:rPr>
                      <w:color w:val="auto"/>
                      <w:kern w:val="24"/>
                      <w:sz w:val="18"/>
                      <w:szCs w:val="18"/>
                    </w:rPr>
                  </w:pPr>
                  <w:r>
                    <w:rPr>
                      <w:rFonts w:hint="eastAsia"/>
                      <w:color w:val="auto"/>
                      <w:kern w:val="24"/>
                      <w:sz w:val="18"/>
                      <w:szCs w:val="18"/>
                    </w:rPr>
                    <w:t>防渗要求、措施</w:t>
                  </w:r>
                </w:p>
              </w:tc>
            </w:tr>
            <w:tr w14:paraId="701D9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1321" w:type="dxa"/>
                  <w:vAlign w:val="center"/>
                </w:tcPr>
                <w:p w14:paraId="29167880">
                  <w:pPr>
                    <w:adjustRightInd w:val="0"/>
                    <w:snapToGrid w:val="0"/>
                    <w:jc w:val="center"/>
                    <w:rPr>
                      <w:color w:val="auto"/>
                      <w:kern w:val="24"/>
                      <w:sz w:val="18"/>
                      <w:szCs w:val="18"/>
                    </w:rPr>
                  </w:pPr>
                  <w:r>
                    <w:rPr>
                      <w:rFonts w:hint="eastAsia"/>
                      <w:color w:val="auto"/>
                      <w:kern w:val="24"/>
                      <w:sz w:val="18"/>
                      <w:szCs w:val="18"/>
                    </w:rPr>
                    <w:t>重点防渗区</w:t>
                  </w:r>
                </w:p>
              </w:tc>
              <w:tc>
                <w:tcPr>
                  <w:tcW w:w="1866" w:type="dxa"/>
                  <w:vAlign w:val="center"/>
                </w:tcPr>
                <w:p w14:paraId="5E198211">
                  <w:pPr>
                    <w:adjustRightInd w:val="0"/>
                    <w:snapToGrid w:val="0"/>
                    <w:jc w:val="center"/>
                    <w:rPr>
                      <w:color w:val="auto"/>
                      <w:kern w:val="24"/>
                      <w:sz w:val="18"/>
                      <w:szCs w:val="18"/>
                    </w:rPr>
                  </w:pPr>
                  <w:r>
                    <w:rPr>
                      <w:rFonts w:hint="eastAsia"/>
                      <w:color w:val="auto"/>
                      <w:kern w:val="24"/>
                      <w:sz w:val="18"/>
                      <w:szCs w:val="18"/>
                    </w:rPr>
                    <w:t>危废暂存间</w:t>
                  </w:r>
                </w:p>
              </w:tc>
              <w:tc>
                <w:tcPr>
                  <w:tcW w:w="5703" w:type="dxa"/>
                  <w:vAlign w:val="center"/>
                </w:tcPr>
                <w:p w14:paraId="139FAF87">
                  <w:pPr>
                    <w:adjustRightInd w:val="0"/>
                    <w:snapToGrid w:val="0"/>
                    <w:jc w:val="center"/>
                    <w:rPr>
                      <w:color w:val="auto"/>
                      <w:kern w:val="24"/>
                      <w:sz w:val="18"/>
                      <w:szCs w:val="18"/>
                    </w:rPr>
                  </w:pPr>
                  <w:r>
                    <w:rPr>
                      <w:rFonts w:hint="eastAsia"/>
                      <w:color w:val="auto"/>
                      <w:kern w:val="0"/>
                      <w:sz w:val="18"/>
                      <w:szCs w:val="18"/>
                      <w:lang w:bidi="ar"/>
                    </w:rPr>
                    <w:t>采用抗渗混凝土+2mm厚高密度聚乙烯膜+环氧树脂涂层</w:t>
                  </w:r>
                  <w:r>
                    <w:rPr>
                      <w:color w:val="auto"/>
                      <w:kern w:val="0"/>
                      <w:sz w:val="18"/>
                      <w:szCs w:val="18"/>
                      <w:lang w:bidi="ar"/>
                    </w:rPr>
                    <w:t>。</w:t>
                  </w:r>
                  <w:r>
                    <w:rPr>
                      <w:rFonts w:hint="eastAsia"/>
                      <w:color w:val="auto"/>
                      <w:kern w:val="24"/>
                      <w:sz w:val="18"/>
                      <w:szCs w:val="18"/>
                    </w:rPr>
                    <w:t>渗透系数≦10</w:t>
                  </w:r>
                  <w:r>
                    <w:rPr>
                      <w:rFonts w:hint="eastAsia"/>
                      <w:color w:val="auto"/>
                      <w:kern w:val="24"/>
                      <w:sz w:val="18"/>
                      <w:szCs w:val="18"/>
                      <w:vertAlign w:val="superscript"/>
                    </w:rPr>
                    <w:t>-10</w:t>
                  </w:r>
                  <w:r>
                    <w:rPr>
                      <w:rFonts w:hint="eastAsia"/>
                      <w:color w:val="auto"/>
                      <w:kern w:val="24"/>
                      <w:sz w:val="18"/>
                      <w:szCs w:val="18"/>
                    </w:rPr>
                    <w:t>cm/s。</w:t>
                  </w:r>
                </w:p>
              </w:tc>
            </w:tr>
            <w:tr w14:paraId="130E2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59" w:hRule="atLeast"/>
                <w:jc w:val="center"/>
              </w:trPr>
              <w:tc>
                <w:tcPr>
                  <w:tcW w:w="1321" w:type="dxa"/>
                  <w:vAlign w:val="center"/>
                </w:tcPr>
                <w:p w14:paraId="3937C362">
                  <w:pPr>
                    <w:adjustRightInd w:val="0"/>
                    <w:snapToGrid w:val="0"/>
                    <w:jc w:val="center"/>
                    <w:rPr>
                      <w:color w:val="auto"/>
                      <w:kern w:val="24"/>
                      <w:sz w:val="18"/>
                      <w:szCs w:val="18"/>
                    </w:rPr>
                  </w:pPr>
                  <w:r>
                    <w:rPr>
                      <w:rFonts w:hint="eastAsia"/>
                      <w:color w:val="auto"/>
                      <w:kern w:val="24"/>
                      <w:sz w:val="18"/>
                      <w:szCs w:val="18"/>
                    </w:rPr>
                    <w:t>一般防渗区</w:t>
                  </w:r>
                </w:p>
              </w:tc>
              <w:tc>
                <w:tcPr>
                  <w:tcW w:w="1866" w:type="dxa"/>
                  <w:vAlign w:val="center"/>
                </w:tcPr>
                <w:p w14:paraId="2B4F55A7">
                  <w:pPr>
                    <w:adjustRightInd w:val="0"/>
                    <w:snapToGrid w:val="0"/>
                    <w:jc w:val="center"/>
                    <w:rPr>
                      <w:color w:val="auto"/>
                      <w:kern w:val="24"/>
                      <w:sz w:val="18"/>
                      <w:szCs w:val="18"/>
                    </w:rPr>
                  </w:pPr>
                  <w:r>
                    <w:rPr>
                      <w:rFonts w:hint="eastAsia"/>
                      <w:color w:val="auto"/>
                      <w:sz w:val="18"/>
                      <w:szCs w:val="18"/>
                    </w:rPr>
                    <w:t>化粪池、循环水池、应急事故水罐地面</w:t>
                  </w:r>
                </w:p>
              </w:tc>
              <w:tc>
                <w:tcPr>
                  <w:tcW w:w="5703" w:type="dxa"/>
                  <w:vAlign w:val="center"/>
                </w:tcPr>
                <w:p w14:paraId="1D95B359">
                  <w:pPr>
                    <w:adjustRightInd w:val="0"/>
                    <w:snapToGrid w:val="0"/>
                    <w:jc w:val="center"/>
                    <w:rPr>
                      <w:color w:val="auto"/>
                      <w:kern w:val="24"/>
                      <w:sz w:val="18"/>
                      <w:szCs w:val="18"/>
                    </w:rPr>
                  </w:pPr>
                  <w:r>
                    <w:rPr>
                      <w:rFonts w:hint="eastAsia"/>
                      <w:color w:val="auto"/>
                      <w:kern w:val="24"/>
                      <w:sz w:val="18"/>
                      <w:szCs w:val="18"/>
                    </w:rPr>
                    <w:t>采用抗渗混凝土硬化。渗透系数≤10</w:t>
                  </w:r>
                  <w:r>
                    <w:rPr>
                      <w:rFonts w:hint="eastAsia"/>
                      <w:color w:val="auto"/>
                      <w:kern w:val="24"/>
                      <w:sz w:val="18"/>
                      <w:szCs w:val="18"/>
                      <w:vertAlign w:val="superscript"/>
                    </w:rPr>
                    <w:t>-7</w:t>
                  </w:r>
                  <w:r>
                    <w:rPr>
                      <w:rFonts w:hint="eastAsia"/>
                      <w:color w:val="auto"/>
                      <w:kern w:val="24"/>
                      <w:sz w:val="18"/>
                      <w:szCs w:val="18"/>
                    </w:rPr>
                    <w:t>cm/s</w:t>
                  </w:r>
                </w:p>
              </w:tc>
            </w:tr>
            <w:tr w14:paraId="4FF82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1321" w:type="dxa"/>
                  <w:vAlign w:val="center"/>
                </w:tcPr>
                <w:p w14:paraId="2048489C">
                  <w:pPr>
                    <w:adjustRightInd w:val="0"/>
                    <w:snapToGrid w:val="0"/>
                    <w:jc w:val="center"/>
                    <w:rPr>
                      <w:color w:val="auto"/>
                      <w:kern w:val="24"/>
                      <w:sz w:val="18"/>
                      <w:szCs w:val="18"/>
                    </w:rPr>
                  </w:pPr>
                  <w:r>
                    <w:rPr>
                      <w:rFonts w:hint="eastAsia"/>
                      <w:color w:val="auto"/>
                      <w:kern w:val="24"/>
                      <w:sz w:val="18"/>
                      <w:szCs w:val="18"/>
                    </w:rPr>
                    <w:t>简单防渗区</w:t>
                  </w:r>
                </w:p>
              </w:tc>
              <w:tc>
                <w:tcPr>
                  <w:tcW w:w="1866" w:type="dxa"/>
                  <w:vAlign w:val="center"/>
                </w:tcPr>
                <w:p w14:paraId="10165CD2">
                  <w:pPr>
                    <w:adjustRightInd w:val="0"/>
                    <w:snapToGrid w:val="0"/>
                    <w:jc w:val="center"/>
                    <w:rPr>
                      <w:color w:val="auto"/>
                      <w:kern w:val="24"/>
                      <w:sz w:val="18"/>
                      <w:szCs w:val="18"/>
                    </w:rPr>
                  </w:pPr>
                  <w:r>
                    <w:rPr>
                      <w:rFonts w:hint="eastAsia"/>
                      <w:color w:val="auto"/>
                      <w:kern w:val="0"/>
                      <w:sz w:val="18"/>
                      <w:szCs w:val="18"/>
                      <w:lang w:bidi="ar"/>
                    </w:rPr>
                    <w:t>生产车间、厂内道路</w:t>
                  </w:r>
                </w:p>
              </w:tc>
              <w:tc>
                <w:tcPr>
                  <w:tcW w:w="5703" w:type="dxa"/>
                  <w:vAlign w:val="center"/>
                </w:tcPr>
                <w:p w14:paraId="44F39717">
                  <w:pPr>
                    <w:adjustRightInd w:val="0"/>
                    <w:snapToGrid w:val="0"/>
                    <w:jc w:val="center"/>
                    <w:rPr>
                      <w:color w:val="auto"/>
                      <w:kern w:val="24"/>
                      <w:sz w:val="18"/>
                      <w:szCs w:val="18"/>
                    </w:rPr>
                  </w:pPr>
                  <w:r>
                    <w:rPr>
                      <w:rFonts w:hint="eastAsia"/>
                      <w:color w:val="auto"/>
                      <w:kern w:val="24"/>
                      <w:sz w:val="18"/>
                      <w:szCs w:val="18"/>
                    </w:rPr>
                    <w:t>一般地面硬化</w:t>
                  </w:r>
                </w:p>
              </w:tc>
            </w:tr>
          </w:tbl>
          <w:p w14:paraId="536114D0">
            <w:pPr>
              <w:pStyle w:val="31"/>
              <w:adjustRightInd w:val="0"/>
              <w:snapToGrid w:val="0"/>
              <w:spacing w:after="0" w:line="360" w:lineRule="auto"/>
              <w:ind w:left="0" w:leftChars="0"/>
              <w:jc w:val="left"/>
              <w:rPr>
                <w:color w:val="auto"/>
                <w:szCs w:val="21"/>
              </w:rPr>
            </w:pPr>
          </w:p>
        </w:tc>
      </w:tr>
      <w:tr w14:paraId="756EAF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816" w:type="dxa"/>
            <w:vAlign w:val="center"/>
          </w:tcPr>
          <w:p w14:paraId="10C69240">
            <w:pPr>
              <w:adjustRightInd w:val="0"/>
              <w:snapToGrid w:val="0"/>
              <w:jc w:val="center"/>
              <w:rPr>
                <w:color w:val="auto"/>
                <w:szCs w:val="21"/>
              </w:rPr>
            </w:pPr>
            <w:r>
              <w:rPr>
                <w:rFonts w:hAnsi="宋体"/>
                <w:color w:val="auto"/>
                <w:szCs w:val="21"/>
              </w:rPr>
              <w:t>生态保护措施</w:t>
            </w:r>
          </w:p>
        </w:tc>
        <w:tc>
          <w:tcPr>
            <w:tcW w:w="7823" w:type="dxa"/>
            <w:gridSpan w:val="4"/>
            <w:vAlign w:val="center"/>
          </w:tcPr>
          <w:p w14:paraId="2CE55806">
            <w:pPr>
              <w:adjustRightInd w:val="0"/>
              <w:snapToGrid w:val="0"/>
              <w:jc w:val="center"/>
              <w:rPr>
                <w:color w:val="auto"/>
                <w:szCs w:val="21"/>
              </w:rPr>
            </w:pPr>
            <w:r>
              <w:rPr>
                <w:rFonts w:hint="eastAsia"/>
                <w:color w:val="auto"/>
                <w:szCs w:val="21"/>
              </w:rPr>
              <w:t>/</w:t>
            </w:r>
          </w:p>
        </w:tc>
      </w:tr>
      <w:tr w14:paraId="696CD7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816" w:type="dxa"/>
            <w:vAlign w:val="center"/>
          </w:tcPr>
          <w:p w14:paraId="3251981A">
            <w:pPr>
              <w:adjustRightInd w:val="0"/>
              <w:snapToGrid w:val="0"/>
              <w:jc w:val="center"/>
              <w:rPr>
                <w:color w:val="auto"/>
                <w:szCs w:val="21"/>
              </w:rPr>
            </w:pPr>
            <w:r>
              <w:rPr>
                <w:rFonts w:hAnsi="宋体"/>
                <w:color w:val="auto"/>
                <w:szCs w:val="21"/>
              </w:rPr>
              <w:t>环境风险</w:t>
            </w:r>
          </w:p>
          <w:p w14:paraId="7F44FC3A">
            <w:pPr>
              <w:adjustRightInd w:val="0"/>
              <w:snapToGrid w:val="0"/>
              <w:jc w:val="center"/>
              <w:rPr>
                <w:color w:val="auto"/>
                <w:szCs w:val="21"/>
              </w:rPr>
            </w:pPr>
            <w:r>
              <w:rPr>
                <w:rFonts w:hAnsi="宋体"/>
                <w:color w:val="auto"/>
                <w:szCs w:val="21"/>
              </w:rPr>
              <w:t>防范措施</w:t>
            </w:r>
          </w:p>
        </w:tc>
        <w:tc>
          <w:tcPr>
            <w:tcW w:w="7823" w:type="dxa"/>
            <w:gridSpan w:val="4"/>
            <w:vAlign w:val="center"/>
          </w:tcPr>
          <w:p w14:paraId="03DBF8BA">
            <w:pPr>
              <w:spacing w:line="360" w:lineRule="auto"/>
              <w:ind w:firstLine="420" w:firstLineChars="200"/>
              <w:rPr>
                <w:color w:val="auto"/>
                <w:kern w:val="24"/>
                <w:szCs w:val="21"/>
              </w:rPr>
            </w:pPr>
            <w:r>
              <w:rPr>
                <w:rFonts w:hint="eastAsia"/>
                <w:color w:val="auto"/>
                <w:kern w:val="24"/>
                <w:szCs w:val="21"/>
              </w:rPr>
              <w:t>（1）环境风险管理</w:t>
            </w:r>
          </w:p>
          <w:p w14:paraId="28E1BCF5">
            <w:pPr>
              <w:spacing w:line="360" w:lineRule="auto"/>
              <w:ind w:firstLine="420" w:firstLineChars="200"/>
              <w:rPr>
                <w:color w:val="auto"/>
                <w:kern w:val="24"/>
                <w:szCs w:val="21"/>
              </w:rPr>
            </w:pPr>
            <w:r>
              <w:rPr>
                <w:rFonts w:hint="eastAsia"/>
                <w:color w:val="auto"/>
                <w:kern w:val="24"/>
                <w:szCs w:val="21"/>
              </w:rPr>
              <w:t>项目建成运行后，建设单位应编制《突发事故环境风险应急预案》报送生态环境主管部门进行备案，并配备相应的风险应急物资。</w:t>
            </w:r>
          </w:p>
          <w:p w14:paraId="771ABE1F">
            <w:pPr>
              <w:spacing w:line="360" w:lineRule="auto"/>
              <w:ind w:firstLine="420" w:firstLineChars="200"/>
              <w:rPr>
                <w:color w:val="auto"/>
                <w:kern w:val="24"/>
                <w:szCs w:val="21"/>
              </w:rPr>
            </w:pPr>
            <w:r>
              <w:rPr>
                <w:rFonts w:hint="eastAsia"/>
                <w:color w:val="auto"/>
                <w:kern w:val="24"/>
                <w:szCs w:val="21"/>
              </w:rPr>
              <w:t>②危险废物在厂区使用专用容器，并将收集容器贴上标签，存储于现有项目危废暂存间内，委托有资质的单位处理。危废暂存间必须派专人进行管理，并严格执行危废暂存间的管理制度，降低管理产生的风险。</w:t>
            </w:r>
          </w:p>
          <w:p w14:paraId="57FC912A">
            <w:pPr>
              <w:spacing w:line="360" w:lineRule="auto"/>
              <w:ind w:firstLine="420" w:firstLineChars="200"/>
              <w:rPr>
                <w:color w:val="auto"/>
                <w:kern w:val="24"/>
                <w:szCs w:val="21"/>
              </w:rPr>
            </w:pPr>
            <w:r>
              <w:rPr>
                <w:rFonts w:hint="eastAsia"/>
                <w:color w:val="auto"/>
                <w:kern w:val="24"/>
                <w:szCs w:val="21"/>
              </w:rPr>
              <w:t>③加强职工安全环保教育，防止和减少因人为因素造成的事故，同时也要加强防火安全教育。</w:t>
            </w:r>
          </w:p>
          <w:p w14:paraId="0F59D34D">
            <w:pPr>
              <w:spacing w:line="360" w:lineRule="auto"/>
              <w:ind w:firstLine="420" w:firstLineChars="200"/>
              <w:rPr>
                <w:color w:val="auto"/>
                <w:kern w:val="24"/>
                <w:szCs w:val="21"/>
              </w:rPr>
            </w:pPr>
            <w:r>
              <w:rPr>
                <w:rFonts w:hint="eastAsia"/>
                <w:color w:val="auto"/>
                <w:kern w:val="24"/>
                <w:szCs w:val="21"/>
              </w:rPr>
              <w:t>④应配备足够的消防设施，落实安全管理责任。</w:t>
            </w:r>
          </w:p>
          <w:p w14:paraId="040BD8B0">
            <w:pPr>
              <w:spacing w:line="360" w:lineRule="auto"/>
              <w:ind w:firstLine="420" w:firstLineChars="200"/>
              <w:rPr>
                <w:color w:val="auto"/>
                <w:kern w:val="24"/>
                <w:szCs w:val="21"/>
              </w:rPr>
            </w:pPr>
            <w:r>
              <w:rPr>
                <w:rFonts w:hint="eastAsia"/>
                <w:color w:val="auto"/>
                <w:kern w:val="24"/>
                <w:szCs w:val="21"/>
              </w:rPr>
              <w:t>⑤强化设备检修，减少因设备损坏、老化带来的遗漏。</w:t>
            </w:r>
          </w:p>
          <w:p w14:paraId="558495C1">
            <w:pPr>
              <w:spacing w:line="360" w:lineRule="auto"/>
              <w:ind w:firstLine="420" w:firstLineChars="200"/>
              <w:rPr>
                <w:color w:val="auto"/>
                <w:kern w:val="24"/>
                <w:szCs w:val="21"/>
              </w:rPr>
            </w:pPr>
            <w:r>
              <w:rPr>
                <w:rFonts w:hint="eastAsia"/>
                <w:color w:val="auto"/>
                <w:kern w:val="24"/>
                <w:szCs w:val="21"/>
              </w:rPr>
              <w:t>（2）环境风险防范措施</w:t>
            </w:r>
          </w:p>
          <w:p w14:paraId="5A71E155">
            <w:pPr>
              <w:spacing w:line="360" w:lineRule="auto"/>
              <w:ind w:firstLine="420" w:firstLineChars="200"/>
              <w:rPr>
                <w:color w:val="auto"/>
                <w:kern w:val="24"/>
                <w:szCs w:val="21"/>
              </w:rPr>
            </w:pPr>
            <w:r>
              <w:rPr>
                <w:rFonts w:hint="eastAsia"/>
                <w:color w:val="auto"/>
                <w:kern w:val="24"/>
                <w:szCs w:val="21"/>
              </w:rPr>
              <w:t>①危废暂存间按照《危险废物贮存污染控制标准》(GB 18597-2023) 中相关要求设置防渗层，并分类存放、贮存，并必须采取防扬散、防流失、防渗漏及其他防止污染环境的措施，不得随意露天堆放。</w:t>
            </w:r>
          </w:p>
          <w:p w14:paraId="5DDE5A03">
            <w:pPr>
              <w:spacing w:line="360" w:lineRule="auto"/>
              <w:ind w:firstLine="420" w:firstLineChars="200"/>
              <w:rPr>
                <w:color w:val="auto"/>
                <w:kern w:val="24"/>
                <w:szCs w:val="21"/>
              </w:rPr>
            </w:pPr>
            <w:r>
              <w:rPr>
                <w:rFonts w:hint="eastAsia"/>
                <w:color w:val="auto"/>
                <w:kern w:val="24"/>
                <w:szCs w:val="21"/>
              </w:rPr>
              <w:t>②应具有液体泄漏堵截设施，设置围堰、导流沟、集液池，对围堰区进行防渗处理。</w:t>
            </w:r>
          </w:p>
          <w:p w14:paraId="363000A7">
            <w:pPr>
              <w:spacing w:line="360" w:lineRule="auto"/>
              <w:ind w:firstLine="420" w:firstLineChars="200"/>
              <w:rPr>
                <w:color w:val="auto"/>
                <w:kern w:val="24"/>
                <w:szCs w:val="21"/>
              </w:rPr>
            </w:pPr>
            <w:r>
              <w:rPr>
                <w:rFonts w:hint="eastAsia"/>
                <w:color w:val="auto"/>
                <w:kern w:val="24"/>
                <w:szCs w:val="21"/>
              </w:rPr>
              <w:t>③机油泄漏时，迅速撤离泄漏污染区人员至安全区，并进行隔离，严格限制出入。切断火源。建议应急处理人员戴自给正压式呼吸器，穿消防防护服。尽可能切断泄漏源。防止进入下水道、排洪沟等限制性空间。小量泄漏：用砂土、蛭石或其它惰性材料吸收。</w:t>
            </w:r>
          </w:p>
          <w:p w14:paraId="6A95DF28">
            <w:pPr>
              <w:spacing w:line="360" w:lineRule="auto"/>
              <w:ind w:firstLine="420" w:firstLineChars="200"/>
              <w:rPr>
                <w:color w:val="auto"/>
                <w:kern w:val="24"/>
                <w:szCs w:val="21"/>
              </w:rPr>
            </w:pPr>
            <w:r>
              <w:rPr>
                <w:rFonts w:hint="eastAsia"/>
                <w:color w:val="auto"/>
                <w:kern w:val="24"/>
                <w:szCs w:val="21"/>
              </w:rPr>
              <w:t>④因火灾事故产生的消防废水应将储存于事故水池中，不得外排。</w:t>
            </w:r>
          </w:p>
          <w:p w14:paraId="129EEF3B">
            <w:pPr>
              <w:spacing w:line="360" w:lineRule="auto"/>
              <w:ind w:firstLine="420" w:firstLineChars="200"/>
              <w:rPr>
                <w:color w:val="auto"/>
                <w:kern w:val="24"/>
                <w:szCs w:val="21"/>
              </w:rPr>
            </w:pPr>
            <w:r>
              <w:rPr>
                <w:rFonts w:hint="eastAsia"/>
                <w:color w:val="auto"/>
                <w:kern w:val="24"/>
                <w:szCs w:val="21"/>
              </w:rPr>
              <w:t>⑤库房远离火源、电源、同时加强管理，严禁烟火。</w:t>
            </w:r>
          </w:p>
          <w:p w14:paraId="764C5AE9">
            <w:pPr>
              <w:spacing w:line="360" w:lineRule="auto"/>
              <w:ind w:firstLine="420" w:firstLineChars="200"/>
              <w:rPr>
                <w:color w:val="auto"/>
                <w:kern w:val="24"/>
                <w:szCs w:val="21"/>
              </w:rPr>
            </w:pPr>
            <w:r>
              <w:rPr>
                <w:rFonts w:hint="eastAsia"/>
                <w:color w:val="auto"/>
                <w:kern w:val="24"/>
                <w:szCs w:val="21"/>
              </w:rPr>
              <w:t>⑥严格执行防火、防爆、防雷击、防毒害等各项要求；按照GB50140-2005《建筑灭火器配置设计规范》规定，配置相应的灭火器类型(干粉灭火器等)与数量，并在火灾危险场所设置报警装置；严禁区内有明火出现。</w:t>
            </w:r>
          </w:p>
          <w:p w14:paraId="35ADD90F">
            <w:pPr>
              <w:spacing w:line="360" w:lineRule="auto"/>
              <w:ind w:firstLine="420" w:firstLineChars="200"/>
              <w:rPr>
                <w:color w:val="auto"/>
                <w:kern w:val="24"/>
                <w:szCs w:val="21"/>
              </w:rPr>
            </w:pPr>
            <w:r>
              <w:rPr>
                <w:rFonts w:hint="eastAsia"/>
                <w:color w:val="auto"/>
                <w:kern w:val="24"/>
                <w:szCs w:val="21"/>
              </w:rPr>
              <w:t>⑦待火灾或爆炸彻底排除或安全隐患彻底消除后，应立即清理现场，残留的灭火剂或使用过的惰性吸附和灭火材料集中收集后，作为危险废物送专门危险废物处理场所处置，禁止乱堆、乱放、乱倒。</w:t>
            </w:r>
          </w:p>
        </w:tc>
      </w:tr>
      <w:tr w14:paraId="69978A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816" w:type="dxa"/>
            <w:vAlign w:val="center"/>
          </w:tcPr>
          <w:p w14:paraId="0FA2E53A">
            <w:pPr>
              <w:adjustRightInd w:val="0"/>
              <w:snapToGrid w:val="0"/>
              <w:jc w:val="center"/>
              <w:rPr>
                <w:color w:val="auto"/>
                <w:szCs w:val="21"/>
              </w:rPr>
            </w:pPr>
            <w:r>
              <w:rPr>
                <w:rFonts w:hAnsi="宋体"/>
                <w:color w:val="auto"/>
                <w:szCs w:val="21"/>
              </w:rPr>
              <w:t>其他环境</w:t>
            </w:r>
          </w:p>
          <w:p w14:paraId="774099AA">
            <w:pPr>
              <w:adjustRightInd w:val="0"/>
              <w:snapToGrid w:val="0"/>
              <w:jc w:val="center"/>
              <w:rPr>
                <w:color w:val="auto"/>
                <w:spacing w:val="-8"/>
                <w:szCs w:val="21"/>
              </w:rPr>
            </w:pPr>
            <w:r>
              <w:rPr>
                <w:rFonts w:hAnsi="宋体"/>
                <w:color w:val="auto"/>
                <w:szCs w:val="21"/>
              </w:rPr>
              <w:t>管理要求</w:t>
            </w:r>
          </w:p>
        </w:tc>
        <w:tc>
          <w:tcPr>
            <w:tcW w:w="7823" w:type="dxa"/>
            <w:gridSpan w:val="4"/>
            <w:vAlign w:val="center"/>
          </w:tcPr>
          <w:p w14:paraId="0454066C">
            <w:pPr>
              <w:adjustRightInd w:val="0"/>
              <w:snapToGrid w:val="0"/>
              <w:spacing w:line="360" w:lineRule="auto"/>
              <w:rPr>
                <w:b/>
                <w:color w:val="auto"/>
                <w:szCs w:val="21"/>
              </w:rPr>
            </w:pPr>
            <w:r>
              <w:rPr>
                <w:rFonts w:hint="eastAsia"/>
                <w:b/>
                <w:color w:val="auto"/>
                <w:szCs w:val="21"/>
              </w:rPr>
              <w:t>1、环境管理</w:t>
            </w:r>
          </w:p>
          <w:p w14:paraId="7DD9EF4A">
            <w:pPr>
              <w:adjustRightInd w:val="0"/>
              <w:snapToGrid w:val="0"/>
              <w:spacing w:line="360" w:lineRule="auto"/>
              <w:ind w:firstLine="420" w:firstLineChars="200"/>
              <w:rPr>
                <w:color w:val="auto"/>
                <w:szCs w:val="21"/>
              </w:rPr>
            </w:pPr>
            <w:r>
              <w:rPr>
                <w:rFonts w:hint="eastAsia"/>
                <w:color w:val="auto"/>
                <w:szCs w:val="21"/>
              </w:rPr>
              <w:t>建立环境保护管理机构，根据工程环境影响评价中提出的施工期和营运期环境保护措施，落实环境保护经费，实施环境保护对策措施；协调政府环境管理与工程环境管理间的关系，具体管理内容如下：</w:t>
            </w:r>
          </w:p>
          <w:p w14:paraId="2CBDD734">
            <w:pPr>
              <w:adjustRightInd w:val="0"/>
              <w:snapToGrid w:val="0"/>
              <w:spacing w:line="360" w:lineRule="auto"/>
              <w:ind w:firstLine="420" w:firstLineChars="200"/>
              <w:rPr>
                <w:color w:val="auto"/>
                <w:szCs w:val="21"/>
              </w:rPr>
            </w:pPr>
            <w:r>
              <w:rPr>
                <w:rFonts w:hint="eastAsia"/>
                <w:color w:val="auto"/>
                <w:szCs w:val="21"/>
              </w:rPr>
              <w:t>（1）项目在建设和运行中应认真执行国家、地方环境保护的有关规定和要求。按照当地</w:t>
            </w:r>
            <w:r>
              <w:rPr>
                <w:rFonts w:hint="eastAsia"/>
                <w:color w:val="auto"/>
                <w:kern w:val="24"/>
                <w:szCs w:val="21"/>
              </w:rPr>
              <w:t>生态环境主管部门</w:t>
            </w:r>
            <w:r>
              <w:rPr>
                <w:rFonts w:hint="eastAsia"/>
                <w:color w:val="auto"/>
                <w:szCs w:val="21"/>
              </w:rPr>
              <w:t>的要求及时反映发生的环保问题，接受</w:t>
            </w:r>
            <w:r>
              <w:rPr>
                <w:rFonts w:hint="eastAsia"/>
                <w:color w:val="auto"/>
                <w:kern w:val="24"/>
                <w:szCs w:val="21"/>
              </w:rPr>
              <w:t>生态环境主管部门</w:t>
            </w:r>
            <w:r>
              <w:rPr>
                <w:rFonts w:hint="eastAsia"/>
                <w:color w:val="auto"/>
                <w:szCs w:val="21"/>
              </w:rPr>
              <w:t>的检查监督。</w:t>
            </w:r>
          </w:p>
          <w:p w14:paraId="09F5C055">
            <w:pPr>
              <w:adjustRightInd w:val="0"/>
              <w:snapToGrid w:val="0"/>
              <w:spacing w:line="360" w:lineRule="auto"/>
              <w:ind w:firstLine="420" w:firstLineChars="200"/>
              <w:rPr>
                <w:color w:val="auto"/>
                <w:szCs w:val="21"/>
              </w:rPr>
            </w:pPr>
            <w:r>
              <w:rPr>
                <w:rFonts w:hint="eastAsia"/>
                <w:color w:val="auto"/>
                <w:szCs w:val="21"/>
              </w:rPr>
              <w:t>（2）项目建成运行后，建设单位应自主组织相关人员进行环保验收，并编制《突发事故环境风险应急预案》报送</w:t>
            </w:r>
            <w:r>
              <w:rPr>
                <w:rFonts w:hint="eastAsia"/>
                <w:color w:val="auto"/>
                <w:kern w:val="24"/>
                <w:szCs w:val="21"/>
              </w:rPr>
              <w:t>生态环境主管部门</w:t>
            </w:r>
            <w:r>
              <w:rPr>
                <w:rFonts w:hint="eastAsia"/>
                <w:color w:val="auto"/>
                <w:szCs w:val="21"/>
              </w:rPr>
              <w:t>进行备案。</w:t>
            </w:r>
          </w:p>
          <w:p w14:paraId="33E03992">
            <w:pPr>
              <w:adjustRightInd w:val="0"/>
              <w:snapToGrid w:val="0"/>
              <w:spacing w:line="360" w:lineRule="auto"/>
              <w:ind w:firstLine="420" w:firstLineChars="200"/>
              <w:rPr>
                <w:color w:val="auto"/>
                <w:szCs w:val="21"/>
              </w:rPr>
            </w:pPr>
            <w:r>
              <w:rPr>
                <w:rFonts w:hint="eastAsia"/>
                <w:color w:val="auto"/>
                <w:szCs w:val="21"/>
              </w:rPr>
              <w:t>（</w:t>
            </w:r>
            <w:r>
              <w:rPr>
                <w:color w:val="auto"/>
                <w:szCs w:val="21"/>
              </w:rPr>
              <w:t>3</w:t>
            </w:r>
            <w:r>
              <w:rPr>
                <w:rFonts w:hint="eastAsia"/>
                <w:color w:val="auto"/>
                <w:szCs w:val="21"/>
              </w:rPr>
              <w:t>）加强风险事故防范机制，避免污染性的突发事件发生。</w:t>
            </w:r>
          </w:p>
          <w:p w14:paraId="3C0D74D3">
            <w:pPr>
              <w:adjustRightInd w:val="0"/>
              <w:snapToGrid w:val="0"/>
              <w:spacing w:line="360" w:lineRule="auto"/>
              <w:ind w:firstLine="420" w:firstLineChars="200"/>
              <w:rPr>
                <w:color w:val="auto"/>
                <w:szCs w:val="21"/>
              </w:rPr>
            </w:pPr>
            <w:r>
              <w:rPr>
                <w:rFonts w:hint="eastAsia"/>
                <w:color w:val="auto"/>
                <w:szCs w:val="21"/>
              </w:rPr>
              <w:t>（</w:t>
            </w:r>
            <w:r>
              <w:rPr>
                <w:color w:val="auto"/>
                <w:szCs w:val="21"/>
              </w:rPr>
              <w:t>4</w:t>
            </w:r>
            <w:r>
              <w:rPr>
                <w:rFonts w:hint="eastAsia"/>
                <w:color w:val="auto"/>
                <w:szCs w:val="21"/>
              </w:rPr>
              <w:t>）加强宣传教育，增强施工及管理人员的环保意识。</w:t>
            </w:r>
          </w:p>
          <w:p w14:paraId="2B270FA5">
            <w:pPr>
              <w:adjustRightInd w:val="0"/>
              <w:snapToGrid w:val="0"/>
              <w:spacing w:line="360" w:lineRule="auto"/>
              <w:rPr>
                <w:b/>
                <w:color w:val="auto"/>
                <w:szCs w:val="21"/>
              </w:rPr>
            </w:pPr>
            <w:r>
              <w:rPr>
                <w:rFonts w:hint="eastAsia"/>
                <w:b/>
                <w:color w:val="auto"/>
                <w:szCs w:val="21"/>
              </w:rPr>
              <w:t>2、排污许可证办理</w:t>
            </w:r>
          </w:p>
          <w:p w14:paraId="2C77C9EC">
            <w:pPr>
              <w:adjustRightInd w:val="0"/>
              <w:snapToGrid w:val="0"/>
              <w:spacing w:line="360" w:lineRule="auto"/>
              <w:ind w:firstLine="420" w:firstLineChars="200"/>
              <w:rPr>
                <w:color w:val="auto"/>
                <w:szCs w:val="21"/>
              </w:rPr>
            </w:pPr>
            <w:r>
              <w:rPr>
                <w:rFonts w:hint="eastAsia"/>
                <w:color w:val="auto"/>
                <w:szCs w:val="21"/>
              </w:rPr>
              <w:t>根据《排污许可管理条例》（中华人民共和国国务院令 第736号），本项目应当在启动生产设施或者发生实际排污之前，向玉溪市生态环境局申请取得排污许可证。</w:t>
            </w:r>
          </w:p>
          <w:p w14:paraId="0A8A3888">
            <w:pPr>
              <w:adjustRightInd w:val="0"/>
              <w:snapToGrid w:val="0"/>
              <w:spacing w:line="360" w:lineRule="auto"/>
              <w:ind w:firstLine="420" w:firstLineChars="200"/>
              <w:rPr>
                <w:color w:val="auto"/>
                <w:szCs w:val="21"/>
              </w:rPr>
            </w:pPr>
            <w:r>
              <w:rPr>
                <w:rFonts w:hint="eastAsia"/>
                <w:color w:val="auto"/>
                <w:szCs w:val="21"/>
              </w:rPr>
              <w:t>根据《固定污染源排污许可分类管理名录（2019年版）》，本项目属于“二十六、黑色金属冶炼和压延加工业31”中的“钢压延加工313”“其他”，属于排污许可登记管理的排污单位。</w:t>
            </w:r>
          </w:p>
          <w:p w14:paraId="10A48560">
            <w:pPr>
              <w:adjustRightInd w:val="0"/>
              <w:snapToGrid w:val="0"/>
              <w:spacing w:line="360" w:lineRule="auto"/>
              <w:rPr>
                <w:b/>
                <w:color w:val="auto"/>
                <w:szCs w:val="21"/>
              </w:rPr>
            </w:pPr>
            <w:r>
              <w:rPr>
                <w:rFonts w:hint="eastAsia"/>
                <w:b/>
                <w:color w:val="auto"/>
                <w:szCs w:val="21"/>
              </w:rPr>
              <w:t>3、建设项目竣工环境保护验收</w:t>
            </w:r>
          </w:p>
          <w:p w14:paraId="129D66C1">
            <w:pPr>
              <w:adjustRightInd w:val="0"/>
              <w:snapToGrid w:val="0"/>
              <w:spacing w:line="360" w:lineRule="auto"/>
              <w:ind w:firstLine="420" w:firstLineChars="200"/>
              <w:rPr>
                <w:bCs/>
                <w:color w:val="auto"/>
                <w:szCs w:val="21"/>
              </w:rPr>
            </w:pPr>
            <w:r>
              <w:rPr>
                <w:bCs/>
                <w:color w:val="auto"/>
                <w:szCs w:val="21"/>
              </w:rPr>
              <w:t>本项目环保设施竣工验收由</w:t>
            </w:r>
            <w:r>
              <w:rPr>
                <w:rFonts w:hint="eastAsia"/>
                <w:bCs/>
                <w:color w:val="auto"/>
                <w:szCs w:val="21"/>
              </w:rPr>
              <w:t>建设单位自行</w:t>
            </w:r>
            <w:r>
              <w:rPr>
                <w:bCs/>
                <w:color w:val="auto"/>
                <w:szCs w:val="21"/>
              </w:rPr>
              <w:t>组织实施验收。</w:t>
            </w:r>
          </w:p>
          <w:p w14:paraId="3B7BBA67">
            <w:pPr>
              <w:adjustRightInd w:val="0"/>
              <w:snapToGrid w:val="0"/>
              <w:spacing w:line="360" w:lineRule="auto"/>
              <w:ind w:firstLine="420" w:firstLineChars="200"/>
              <w:rPr>
                <w:bCs/>
                <w:color w:val="auto"/>
                <w:szCs w:val="21"/>
              </w:rPr>
            </w:pPr>
            <w:r>
              <w:rPr>
                <w:rFonts w:hint="eastAsia"/>
                <w:bCs/>
                <w:color w:val="auto"/>
                <w:szCs w:val="21"/>
              </w:rPr>
              <w:t>建设单位是建设项目竣工环境保护验收的责任主体，应当按照《建设项目竣工环境保护验收暂行办法》规定的程序和标准，组织对配套建设的环境保护设施进行验收，编制验收报告，公开相关信息，接受社会监督，确保建设项目需要配套建设的环境保护设施与主体工程同时投产或者使用，并对验收内容、结论和所公开信息的真实性、准确性和完整性负责，不得在验收过程中弄虚作假。</w:t>
            </w:r>
          </w:p>
          <w:p w14:paraId="00E8394C">
            <w:pPr>
              <w:spacing w:line="360" w:lineRule="auto"/>
              <w:rPr>
                <w:b/>
                <w:bCs/>
                <w:color w:val="auto"/>
                <w:kern w:val="24"/>
                <w:szCs w:val="21"/>
              </w:rPr>
            </w:pPr>
            <w:r>
              <w:rPr>
                <w:b/>
                <w:bCs/>
                <w:color w:val="auto"/>
                <w:kern w:val="24"/>
                <w:szCs w:val="21"/>
              </w:rPr>
              <w:t>4</w:t>
            </w:r>
            <w:r>
              <w:rPr>
                <w:rFonts w:hint="eastAsia"/>
                <w:b/>
                <w:bCs/>
                <w:color w:val="auto"/>
                <w:kern w:val="24"/>
                <w:szCs w:val="21"/>
              </w:rPr>
              <w:t>、</w:t>
            </w:r>
            <w:r>
              <w:rPr>
                <w:rFonts w:hint="eastAsia"/>
                <w:b/>
                <w:color w:val="auto"/>
                <w:szCs w:val="21"/>
              </w:rPr>
              <w:t>项目运营期自行监测计划汇总</w:t>
            </w:r>
          </w:p>
          <w:p w14:paraId="11EC3A56">
            <w:pPr>
              <w:adjustRightInd w:val="0"/>
              <w:snapToGrid w:val="0"/>
              <w:spacing w:line="360" w:lineRule="auto"/>
              <w:ind w:firstLine="422" w:firstLineChars="200"/>
              <w:jc w:val="center"/>
              <w:rPr>
                <w:b/>
                <w:bCs/>
                <w:color w:val="auto"/>
                <w:kern w:val="24"/>
                <w:szCs w:val="21"/>
              </w:rPr>
            </w:pPr>
            <w:r>
              <w:rPr>
                <w:b/>
                <w:bCs/>
                <w:color w:val="auto"/>
                <w:kern w:val="24"/>
                <w:szCs w:val="21"/>
              </w:rPr>
              <w:t>表</w:t>
            </w:r>
            <w:r>
              <w:rPr>
                <w:rFonts w:hint="eastAsia"/>
                <w:b/>
                <w:bCs/>
                <w:color w:val="auto"/>
                <w:kern w:val="24"/>
                <w:szCs w:val="21"/>
              </w:rPr>
              <w:t>5-</w:t>
            </w:r>
            <w:r>
              <w:rPr>
                <w:b/>
                <w:bCs/>
                <w:color w:val="auto"/>
                <w:kern w:val="24"/>
                <w:szCs w:val="21"/>
              </w:rPr>
              <w:t xml:space="preserve">2  </w:t>
            </w:r>
            <w:r>
              <w:rPr>
                <w:rFonts w:hint="eastAsia"/>
                <w:b/>
                <w:bCs/>
                <w:color w:val="auto"/>
                <w:kern w:val="24"/>
                <w:szCs w:val="21"/>
              </w:rPr>
              <w:t>项目运营期自行</w:t>
            </w:r>
            <w:r>
              <w:rPr>
                <w:b/>
                <w:bCs/>
                <w:color w:val="auto"/>
                <w:kern w:val="24"/>
                <w:szCs w:val="21"/>
              </w:rPr>
              <w:t>监测计划一览表</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220"/>
              <w:gridCol w:w="1728"/>
              <w:gridCol w:w="1060"/>
              <w:gridCol w:w="2804"/>
            </w:tblGrid>
            <w:tr w14:paraId="4AAFE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vAlign w:val="center"/>
                </w:tcPr>
                <w:p w14:paraId="2E86BD66">
                  <w:pPr>
                    <w:jc w:val="center"/>
                    <w:rPr>
                      <w:color w:val="auto"/>
                      <w:szCs w:val="21"/>
                    </w:rPr>
                  </w:pPr>
                  <w:r>
                    <w:rPr>
                      <w:rFonts w:hint="eastAsia"/>
                      <w:color w:val="auto"/>
                      <w:szCs w:val="21"/>
                    </w:rPr>
                    <w:t>项目</w:t>
                  </w:r>
                </w:p>
              </w:tc>
              <w:tc>
                <w:tcPr>
                  <w:tcW w:w="1220" w:type="dxa"/>
                  <w:vAlign w:val="center"/>
                </w:tcPr>
                <w:p w14:paraId="021CC8D3">
                  <w:pPr>
                    <w:jc w:val="center"/>
                    <w:rPr>
                      <w:color w:val="auto"/>
                      <w:szCs w:val="21"/>
                    </w:rPr>
                  </w:pPr>
                  <w:r>
                    <w:rPr>
                      <w:rFonts w:hint="eastAsia"/>
                      <w:color w:val="auto"/>
                      <w:szCs w:val="21"/>
                    </w:rPr>
                    <w:t>监测点位</w:t>
                  </w:r>
                </w:p>
              </w:tc>
              <w:tc>
                <w:tcPr>
                  <w:tcW w:w="1728" w:type="dxa"/>
                  <w:vAlign w:val="center"/>
                </w:tcPr>
                <w:p w14:paraId="2551072B">
                  <w:pPr>
                    <w:jc w:val="center"/>
                    <w:rPr>
                      <w:color w:val="auto"/>
                      <w:szCs w:val="21"/>
                    </w:rPr>
                  </w:pPr>
                  <w:r>
                    <w:rPr>
                      <w:rFonts w:hint="eastAsia"/>
                      <w:color w:val="auto"/>
                      <w:szCs w:val="21"/>
                    </w:rPr>
                    <w:t>监测因子</w:t>
                  </w:r>
                </w:p>
              </w:tc>
              <w:tc>
                <w:tcPr>
                  <w:tcW w:w="1060" w:type="dxa"/>
                  <w:vAlign w:val="center"/>
                </w:tcPr>
                <w:p w14:paraId="308CBF29">
                  <w:pPr>
                    <w:jc w:val="center"/>
                    <w:rPr>
                      <w:color w:val="auto"/>
                      <w:szCs w:val="21"/>
                    </w:rPr>
                  </w:pPr>
                  <w:r>
                    <w:rPr>
                      <w:rFonts w:hint="eastAsia"/>
                      <w:color w:val="auto"/>
                      <w:szCs w:val="21"/>
                    </w:rPr>
                    <w:t>监测频次</w:t>
                  </w:r>
                </w:p>
              </w:tc>
              <w:tc>
                <w:tcPr>
                  <w:tcW w:w="2804" w:type="dxa"/>
                  <w:vAlign w:val="center"/>
                </w:tcPr>
                <w:p w14:paraId="228E5DC4">
                  <w:pPr>
                    <w:jc w:val="center"/>
                    <w:rPr>
                      <w:color w:val="auto"/>
                      <w:szCs w:val="21"/>
                    </w:rPr>
                  </w:pPr>
                  <w:r>
                    <w:rPr>
                      <w:rFonts w:hint="eastAsia"/>
                      <w:color w:val="auto"/>
                      <w:szCs w:val="21"/>
                    </w:rPr>
                    <w:t>执行标准</w:t>
                  </w:r>
                </w:p>
              </w:tc>
            </w:tr>
            <w:tr w14:paraId="0E840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vAlign w:val="center"/>
                </w:tcPr>
                <w:p w14:paraId="37E7A5A5">
                  <w:pPr>
                    <w:jc w:val="center"/>
                    <w:rPr>
                      <w:color w:val="auto"/>
                      <w:szCs w:val="21"/>
                    </w:rPr>
                  </w:pPr>
                  <w:r>
                    <w:rPr>
                      <w:rFonts w:hint="eastAsia"/>
                      <w:color w:val="auto"/>
                      <w:szCs w:val="21"/>
                    </w:rPr>
                    <w:t>有组织废气</w:t>
                  </w:r>
                </w:p>
              </w:tc>
              <w:tc>
                <w:tcPr>
                  <w:tcW w:w="1220" w:type="dxa"/>
                  <w:vAlign w:val="center"/>
                </w:tcPr>
                <w:p w14:paraId="4CCA6F20">
                  <w:pPr>
                    <w:jc w:val="center"/>
                    <w:rPr>
                      <w:color w:val="auto"/>
                      <w:szCs w:val="21"/>
                    </w:rPr>
                  </w:pPr>
                  <w:r>
                    <w:rPr>
                      <w:rFonts w:hint="eastAsia"/>
                      <w:color w:val="auto"/>
                      <w:kern w:val="24"/>
                      <w:szCs w:val="21"/>
                    </w:rPr>
                    <w:t>高频焊接烟尘（DA00</w:t>
                  </w:r>
                  <w:r>
                    <w:rPr>
                      <w:color w:val="auto"/>
                      <w:kern w:val="24"/>
                      <w:szCs w:val="21"/>
                    </w:rPr>
                    <w:t>1</w:t>
                  </w:r>
                  <w:r>
                    <w:rPr>
                      <w:rFonts w:hint="eastAsia"/>
                      <w:color w:val="auto"/>
                      <w:kern w:val="24"/>
                      <w:szCs w:val="21"/>
                    </w:rPr>
                    <w:t>~DA003）</w:t>
                  </w:r>
                </w:p>
              </w:tc>
              <w:tc>
                <w:tcPr>
                  <w:tcW w:w="1728" w:type="dxa"/>
                  <w:vAlign w:val="center"/>
                </w:tcPr>
                <w:p w14:paraId="0D1603B5">
                  <w:pPr>
                    <w:jc w:val="center"/>
                    <w:rPr>
                      <w:color w:val="auto"/>
                      <w:szCs w:val="21"/>
                    </w:rPr>
                  </w:pPr>
                  <w:r>
                    <w:rPr>
                      <w:rFonts w:hint="eastAsia" w:eastAsiaTheme="minorEastAsia"/>
                      <w:color w:val="auto"/>
                      <w:kern w:val="24"/>
                      <w:szCs w:val="21"/>
                    </w:rPr>
                    <w:t>颗粒物</w:t>
                  </w:r>
                </w:p>
              </w:tc>
              <w:tc>
                <w:tcPr>
                  <w:tcW w:w="1060" w:type="dxa"/>
                  <w:vAlign w:val="center"/>
                </w:tcPr>
                <w:p w14:paraId="2098EB81">
                  <w:pPr>
                    <w:jc w:val="center"/>
                    <w:rPr>
                      <w:color w:val="auto"/>
                      <w:szCs w:val="21"/>
                    </w:rPr>
                  </w:pPr>
                  <w:r>
                    <w:rPr>
                      <w:color w:val="auto"/>
                      <w:kern w:val="0"/>
                      <w:szCs w:val="21"/>
                      <w:lang w:bidi="ar"/>
                    </w:rPr>
                    <w:t>1次/</w:t>
                  </w:r>
                  <w:r>
                    <w:rPr>
                      <w:rFonts w:hint="eastAsia"/>
                      <w:color w:val="auto"/>
                      <w:kern w:val="0"/>
                      <w:szCs w:val="21"/>
                      <w:lang w:bidi="ar"/>
                    </w:rPr>
                    <w:t>两</w:t>
                  </w:r>
                  <w:r>
                    <w:rPr>
                      <w:rFonts w:hint="eastAsia"/>
                      <w:color w:val="auto"/>
                      <w:szCs w:val="21"/>
                    </w:rPr>
                    <w:t>年</w:t>
                  </w:r>
                </w:p>
              </w:tc>
              <w:tc>
                <w:tcPr>
                  <w:tcW w:w="2804" w:type="dxa"/>
                  <w:vAlign w:val="center"/>
                </w:tcPr>
                <w:p w14:paraId="258F88E9">
                  <w:pPr>
                    <w:jc w:val="center"/>
                    <w:rPr>
                      <w:color w:val="auto"/>
                      <w:szCs w:val="21"/>
                    </w:rPr>
                  </w:pPr>
                  <w:r>
                    <w:rPr>
                      <w:rFonts w:hint="eastAsia" w:eastAsiaTheme="minorEastAsia"/>
                      <w:color w:val="auto"/>
                      <w:szCs w:val="21"/>
                    </w:rPr>
                    <w:t>《大气污染物综合排放标准》（GB16297-1996）表2 中二级标准限值</w:t>
                  </w:r>
                </w:p>
              </w:tc>
            </w:tr>
            <w:tr w14:paraId="6C181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vAlign w:val="center"/>
                </w:tcPr>
                <w:p w14:paraId="58772947">
                  <w:pPr>
                    <w:jc w:val="center"/>
                    <w:rPr>
                      <w:color w:val="auto"/>
                      <w:szCs w:val="21"/>
                    </w:rPr>
                  </w:pPr>
                  <w:r>
                    <w:rPr>
                      <w:rFonts w:hint="eastAsia"/>
                      <w:color w:val="auto"/>
                      <w:szCs w:val="21"/>
                    </w:rPr>
                    <w:t>无组织</w:t>
                  </w:r>
                </w:p>
              </w:tc>
              <w:tc>
                <w:tcPr>
                  <w:tcW w:w="1220" w:type="dxa"/>
                  <w:vAlign w:val="center"/>
                </w:tcPr>
                <w:p w14:paraId="6E776986">
                  <w:pPr>
                    <w:jc w:val="center"/>
                    <w:rPr>
                      <w:color w:val="auto"/>
                      <w:kern w:val="24"/>
                      <w:szCs w:val="21"/>
                    </w:rPr>
                  </w:pPr>
                  <w:r>
                    <w:rPr>
                      <w:rFonts w:hint="eastAsia"/>
                      <w:color w:val="auto"/>
                      <w:szCs w:val="21"/>
                    </w:rPr>
                    <w:t>项目厂界上风向设置1个，项目厂界下风向设置3个</w:t>
                  </w:r>
                </w:p>
              </w:tc>
              <w:tc>
                <w:tcPr>
                  <w:tcW w:w="1728" w:type="dxa"/>
                  <w:vAlign w:val="center"/>
                </w:tcPr>
                <w:p w14:paraId="7618269F">
                  <w:pPr>
                    <w:jc w:val="center"/>
                    <w:rPr>
                      <w:rFonts w:eastAsiaTheme="minorEastAsia"/>
                      <w:color w:val="auto"/>
                      <w:kern w:val="24"/>
                      <w:szCs w:val="21"/>
                    </w:rPr>
                  </w:pPr>
                  <w:r>
                    <w:rPr>
                      <w:rFonts w:hint="eastAsia" w:eastAsiaTheme="minorEastAsia"/>
                      <w:color w:val="auto"/>
                      <w:kern w:val="24"/>
                      <w:szCs w:val="21"/>
                    </w:rPr>
                    <w:t>颗粒物</w:t>
                  </w:r>
                </w:p>
              </w:tc>
              <w:tc>
                <w:tcPr>
                  <w:tcW w:w="1060" w:type="dxa"/>
                  <w:vAlign w:val="center"/>
                </w:tcPr>
                <w:p w14:paraId="178EA62A">
                  <w:pPr>
                    <w:jc w:val="center"/>
                    <w:rPr>
                      <w:color w:val="auto"/>
                      <w:szCs w:val="21"/>
                    </w:rPr>
                  </w:pPr>
                  <w:r>
                    <w:rPr>
                      <w:color w:val="auto"/>
                      <w:kern w:val="0"/>
                      <w:szCs w:val="21"/>
                      <w:lang w:bidi="ar"/>
                    </w:rPr>
                    <w:t>1次/</w:t>
                  </w:r>
                  <w:r>
                    <w:rPr>
                      <w:rFonts w:hint="eastAsia"/>
                      <w:color w:val="auto"/>
                      <w:szCs w:val="21"/>
                    </w:rPr>
                    <w:t>季度</w:t>
                  </w:r>
                </w:p>
              </w:tc>
              <w:tc>
                <w:tcPr>
                  <w:tcW w:w="2804" w:type="dxa"/>
                  <w:vAlign w:val="center"/>
                </w:tcPr>
                <w:p w14:paraId="56894B3C">
                  <w:pPr>
                    <w:jc w:val="center"/>
                    <w:rPr>
                      <w:color w:val="auto"/>
                      <w:szCs w:val="21"/>
                    </w:rPr>
                  </w:pPr>
                  <w:r>
                    <w:rPr>
                      <w:rFonts w:hint="eastAsia"/>
                      <w:color w:val="auto"/>
                      <w:szCs w:val="21"/>
                    </w:rPr>
                    <w:t>《大气污染物综合排放标准》（GB16297-1996）表2中新污染源大气污染物排放限值</w:t>
                  </w:r>
                </w:p>
              </w:tc>
            </w:tr>
            <w:tr w14:paraId="65EF9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vAlign w:val="center"/>
                </w:tcPr>
                <w:p w14:paraId="0C46ACDA">
                  <w:pPr>
                    <w:jc w:val="center"/>
                    <w:rPr>
                      <w:color w:val="auto"/>
                      <w:szCs w:val="21"/>
                    </w:rPr>
                  </w:pPr>
                  <w:r>
                    <w:rPr>
                      <w:color w:val="auto"/>
                      <w:szCs w:val="21"/>
                    </w:rPr>
                    <w:t>噪声</w:t>
                  </w:r>
                </w:p>
              </w:tc>
              <w:tc>
                <w:tcPr>
                  <w:tcW w:w="1220" w:type="dxa"/>
                  <w:vAlign w:val="center"/>
                </w:tcPr>
                <w:p w14:paraId="0E61E012">
                  <w:pPr>
                    <w:jc w:val="center"/>
                    <w:rPr>
                      <w:color w:val="auto"/>
                      <w:szCs w:val="21"/>
                    </w:rPr>
                  </w:pPr>
                  <w:r>
                    <w:rPr>
                      <w:rFonts w:hint="eastAsia"/>
                      <w:color w:val="auto"/>
                      <w:szCs w:val="21"/>
                    </w:rPr>
                    <w:t>东、南、西、北厂界</w:t>
                  </w:r>
                </w:p>
              </w:tc>
              <w:tc>
                <w:tcPr>
                  <w:tcW w:w="1728" w:type="dxa"/>
                  <w:vAlign w:val="center"/>
                </w:tcPr>
                <w:p w14:paraId="5BDDC0D8">
                  <w:pPr>
                    <w:jc w:val="center"/>
                    <w:rPr>
                      <w:color w:val="auto"/>
                      <w:szCs w:val="21"/>
                    </w:rPr>
                  </w:pPr>
                  <w:r>
                    <w:rPr>
                      <w:rFonts w:hint="eastAsia"/>
                      <w:color w:val="auto"/>
                      <w:szCs w:val="21"/>
                    </w:rPr>
                    <w:t>昼间、夜间等效声级 Leq(A)</w:t>
                  </w:r>
                </w:p>
              </w:tc>
              <w:tc>
                <w:tcPr>
                  <w:tcW w:w="1060" w:type="dxa"/>
                  <w:vAlign w:val="center"/>
                </w:tcPr>
                <w:p w14:paraId="653C020C">
                  <w:pPr>
                    <w:jc w:val="center"/>
                    <w:rPr>
                      <w:color w:val="auto"/>
                      <w:szCs w:val="21"/>
                    </w:rPr>
                  </w:pPr>
                  <w:r>
                    <w:rPr>
                      <w:rFonts w:hint="eastAsia"/>
                      <w:color w:val="auto"/>
                      <w:szCs w:val="21"/>
                    </w:rPr>
                    <w:t>1次/季度</w:t>
                  </w:r>
                </w:p>
              </w:tc>
              <w:tc>
                <w:tcPr>
                  <w:tcW w:w="2804" w:type="dxa"/>
                  <w:vAlign w:val="center"/>
                </w:tcPr>
                <w:p w14:paraId="4A276F8F">
                  <w:pPr>
                    <w:jc w:val="center"/>
                    <w:rPr>
                      <w:color w:val="auto"/>
                      <w:szCs w:val="21"/>
                    </w:rPr>
                  </w:pPr>
                  <w:r>
                    <w:rPr>
                      <w:rFonts w:hint="eastAsia"/>
                      <w:color w:val="auto"/>
                      <w:szCs w:val="21"/>
                    </w:rPr>
                    <w:t>《工业企业厂界环境噪声排放标准》（GB12348-2008）中</w:t>
                  </w:r>
                  <w:r>
                    <w:rPr>
                      <w:color w:val="auto"/>
                      <w:szCs w:val="21"/>
                    </w:rPr>
                    <w:t>2类</w:t>
                  </w:r>
                  <w:r>
                    <w:rPr>
                      <w:rFonts w:hint="eastAsia"/>
                      <w:color w:val="auto"/>
                      <w:szCs w:val="21"/>
                    </w:rPr>
                    <w:t>标准</w:t>
                  </w:r>
                </w:p>
              </w:tc>
            </w:tr>
          </w:tbl>
          <w:p w14:paraId="18CCBFD7">
            <w:pPr>
              <w:adjustRightInd w:val="0"/>
              <w:snapToGrid w:val="0"/>
              <w:spacing w:line="360" w:lineRule="auto"/>
              <w:ind w:firstLine="420" w:firstLineChars="200"/>
              <w:rPr>
                <w:bCs/>
                <w:color w:val="auto"/>
                <w:szCs w:val="21"/>
              </w:rPr>
            </w:pPr>
          </w:p>
          <w:p w14:paraId="5E1411E3">
            <w:pPr>
              <w:adjustRightInd w:val="0"/>
              <w:snapToGrid w:val="0"/>
              <w:spacing w:line="360" w:lineRule="auto"/>
              <w:rPr>
                <w:color w:val="auto"/>
                <w:szCs w:val="21"/>
              </w:rPr>
            </w:pPr>
          </w:p>
          <w:p w14:paraId="78AD7631">
            <w:pPr>
              <w:adjustRightInd w:val="0"/>
              <w:snapToGrid w:val="0"/>
              <w:spacing w:line="360" w:lineRule="auto"/>
              <w:rPr>
                <w:color w:val="auto"/>
                <w:szCs w:val="21"/>
              </w:rPr>
            </w:pPr>
          </w:p>
          <w:p w14:paraId="7BDBB5DF">
            <w:pPr>
              <w:adjustRightInd w:val="0"/>
              <w:snapToGrid w:val="0"/>
              <w:spacing w:line="360" w:lineRule="auto"/>
              <w:rPr>
                <w:color w:val="auto"/>
                <w:szCs w:val="21"/>
              </w:rPr>
            </w:pPr>
          </w:p>
          <w:p w14:paraId="775ABCC7">
            <w:pPr>
              <w:adjustRightInd w:val="0"/>
              <w:snapToGrid w:val="0"/>
              <w:spacing w:line="360" w:lineRule="auto"/>
              <w:rPr>
                <w:color w:val="auto"/>
                <w:szCs w:val="21"/>
              </w:rPr>
            </w:pPr>
          </w:p>
          <w:p w14:paraId="66A541A5">
            <w:pPr>
              <w:adjustRightInd w:val="0"/>
              <w:snapToGrid w:val="0"/>
              <w:spacing w:line="360" w:lineRule="auto"/>
              <w:rPr>
                <w:color w:val="auto"/>
                <w:szCs w:val="21"/>
              </w:rPr>
            </w:pPr>
          </w:p>
          <w:p w14:paraId="33E424BC">
            <w:pPr>
              <w:adjustRightInd w:val="0"/>
              <w:snapToGrid w:val="0"/>
              <w:spacing w:line="360" w:lineRule="auto"/>
              <w:rPr>
                <w:color w:val="auto"/>
                <w:szCs w:val="21"/>
              </w:rPr>
            </w:pPr>
          </w:p>
          <w:p w14:paraId="2245E748">
            <w:pPr>
              <w:adjustRightInd w:val="0"/>
              <w:snapToGrid w:val="0"/>
              <w:spacing w:line="360" w:lineRule="auto"/>
              <w:rPr>
                <w:color w:val="auto"/>
                <w:szCs w:val="21"/>
              </w:rPr>
            </w:pPr>
          </w:p>
          <w:p w14:paraId="7FC32B5E">
            <w:pPr>
              <w:adjustRightInd w:val="0"/>
              <w:snapToGrid w:val="0"/>
              <w:spacing w:line="360" w:lineRule="auto"/>
              <w:rPr>
                <w:color w:val="auto"/>
                <w:szCs w:val="21"/>
              </w:rPr>
            </w:pPr>
          </w:p>
          <w:p w14:paraId="3E8B2274">
            <w:pPr>
              <w:adjustRightInd w:val="0"/>
              <w:snapToGrid w:val="0"/>
              <w:spacing w:line="360" w:lineRule="auto"/>
              <w:rPr>
                <w:color w:val="auto"/>
                <w:szCs w:val="21"/>
              </w:rPr>
            </w:pPr>
          </w:p>
          <w:p w14:paraId="3EAEAED8">
            <w:pPr>
              <w:adjustRightInd w:val="0"/>
              <w:snapToGrid w:val="0"/>
              <w:spacing w:line="360" w:lineRule="auto"/>
              <w:rPr>
                <w:color w:val="auto"/>
                <w:szCs w:val="21"/>
              </w:rPr>
            </w:pPr>
          </w:p>
          <w:p w14:paraId="6BD25AD7">
            <w:pPr>
              <w:adjustRightInd w:val="0"/>
              <w:snapToGrid w:val="0"/>
              <w:spacing w:line="360" w:lineRule="auto"/>
              <w:rPr>
                <w:color w:val="auto"/>
                <w:szCs w:val="21"/>
              </w:rPr>
            </w:pPr>
          </w:p>
          <w:p w14:paraId="3466CB60">
            <w:pPr>
              <w:adjustRightInd w:val="0"/>
              <w:snapToGrid w:val="0"/>
              <w:spacing w:line="360" w:lineRule="auto"/>
              <w:rPr>
                <w:color w:val="auto"/>
                <w:szCs w:val="21"/>
              </w:rPr>
            </w:pPr>
          </w:p>
          <w:p w14:paraId="2D7D69AF">
            <w:pPr>
              <w:adjustRightInd w:val="0"/>
              <w:snapToGrid w:val="0"/>
              <w:spacing w:line="360" w:lineRule="auto"/>
              <w:rPr>
                <w:color w:val="auto"/>
                <w:szCs w:val="21"/>
              </w:rPr>
            </w:pPr>
          </w:p>
          <w:p w14:paraId="2DAFF768">
            <w:pPr>
              <w:adjustRightInd w:val="0"/>
              <w:snapToGrid w:val="0"/>
              <w:spacing w:line="360" w:lineRule="auto"/>
              <w:rPr>
                <w:color w:val="auto"/>
                <w:szCs w:val="21"/>
              </w:rPr>
            </w:pPr>
          </w:p>
          <w:p w14:paraId="201F4B33">
            <w:pPr>
              <w:adjustRightInd w:val="0"/>
              <w:snapToGrid w:val="0"/>
              <w:spacing w:line="360" w:lineRule="auto"/>
              <w:rPr>
                <w:color w:val="auto"/>
                <w:szCs w:val="21"/>
              </w:rPr>
            </w:pPr>
          </w:p>
          <w:p w14:paraId="66B2A54A">
            <w:pPr>
              <w:adjustRightInd w:val="0"/>
              <w:snapToGrid w:val="0"/>
              <w:spacing w:line="360" w:lineRule="auto"/>
              <w:rPr>
                <w:color w:val="auto"/>
                <w:szCs w:val="21"/>
              </w:rPr>
            </w:pPr>
          </w:p>
          <w:p w14:paraId="0B1C8B5B">
            <w:pPr>
              <w:adjustRightInd w:val="0"/>
              <w:snapToGrid w:val="0"/>
              <w:spacing w:line="360" w:lineRule="auto"/>
              <w:rPr>
                <w:color w:val="auto"/>
                <w:szCs w:val="21"/>
              </w:rPr>
            </w:pPr>
          </w:p>
          <w:p w14:paraId="4CF47C5F">
            <w:pPr>
              <w:adjustRightInd w:val="0"/>
              <w:snapToGrid w:val="0"/>
              <w:spacing w:line="360" w:lineRule="auto"/>
              <w:rPr>
                <w:color w:val="auto"/>
                <w:szCs w:val="21"/>
              </w:rPr>
            </w:pPr>
          </w:p>
          <w:p w14:paraId="62077C09">
            <w:pPr>
              <w:adjustRightInd w:val="0"/>
              <w:snapToGrid w:val="0"/>
              <w:spacing w:line="360" w:lineRule="auto"/>
              <w:rPr>
                <w:color w:val="auto"/>
                <w:szCs w:val="21"/>
              </w:rPr>
            </w:pPr>
          </w:p>
          <w:p w14:paraId="2B3D59E8">
            <w:pPr>
              <w:adjustRightInd w:val="0"/>
              <w:snapToGrid w:val="0"/>
              <w:spacing w:line="360" w:lineRule="auto"/>
              <w:rPr>
                <w:color w:val="auto"/>
                <w:szCs w:val="21"/>
              </w:rPr>
            </w:pPr>
          </w:p>
          <w:p w14:paraId="6D5242BB">
            <w:pPr>
              <w:adjustRightInd w:val="0"/>
              <w:snapToGrid w:val="0"/>
              <w:spacing w:line="360" w:lineRule="auto"/>
              <w:rPr>
                <w:color w:val="auto"/>
                <w:szCs w:val="21"/>
              </w:rPr>
            </w:pPr>
          </w:p>
          <w:p w14:paraId="723D07A9">
            <w:pPr>
              <w:adjustRightInd w:val="0"/>
              <w:snapToGrid w:val="0"/>
              <w:spacing w:line="360" w:lineRule="auto"/>
              <w:rPr>
                <w:color w:val="auto"/>
                <w:szCs w:val="21"/>
              </w:rPr>
            </w:pPr>
          </w:p>
          <w:p w14:paraId="2CC7DD69">
            <w:pPr>
              <w:adjustRightInd w:val="0"/>
              <w:snapToGrid w:val="0"/>
              <w:spacing w:line="360" w:lineRule="auto"/>
              <w:rPr>
                <w:color w:val="auto"/>
                <w:szCs w:val="21"/>
              </w:rPr>
            </w:pPr>
          </w:p>
          <w:p w14:paraId="73B9341A">
            <w:pPr>
              <w:adjustRightInd w:val="0"/>
              <w:snapToGrid w:val="0"/>
              <w:spacing w:line="360" w:lineRule="auto"/>
              <w:rPr>
                <w:color w:val="auto"/>
                <w:szCs w:val="21"/>
              </w:rPr>
            </w:pPr>
          </w:p>
          <w:p w14:paraId="4E86307E">
            <w:pPr>
              <w:adjustRightInd w:val="0"/>
              <w:snapToGrid w:val="0"/>
              <w:spacing w:line="360" w:lineRule="auto"/>
              <w:rPr>
                <w:color w:val="auto"/>
                <w:szCs w:val="21"/>
              </w:rPr>
            </w:pPr>
          </w:p>
          <w:p w14:paraId="34B49226">
            <w:pPr>
              <w:adjustRightInd w:val="0"/>
              <w:snapToGrid w:val="0"/>
              <w:spacing w:line="360" w:lineRule="auto"/>
              <w:rPr>
                <w:color w:val="auto"/>
                <w:szCs w:val="21"/>
              </w:rPr>
            </w:pPr>
          </w:p>
          <w:p w14:paraId="4D743663">
            <w:pPr>
              <w:adjustRightInd w:val="0"/>
              <w:snapToGrid w:val="0"/>
              <w:spacing w:line="360" w:lineRule="auto"/>
              <w:rPr>
                <w:color w:val="auto"/>
                <w:szCs w:val="21"/>
              </w:rPr>
            </w:pPr>
          </w:p>
          <w:p w14:paraId="7481DE54">
            <w:pPr>
              <w:adjustRightInd w:val="0"/>
              <w:snapToGrid w:val="0"/>
              <w:spacing w:line="360" w:lineRule="auto"/>
              <w:rPr>
                <w:color w:val="auto"/>
                <w:szCs w:val="21"/>
              </w:rPr>
            </w:pPr>
          </w:p>
          <w:p w14:paraId="38791FED">
            <w:pPr>
              <w:adjustRightInd w:val="0"/>
              <w:snapToGrid w:val="0"/>
              <w:spacing w:line="360" w:lineRule="auto"/>
              <w:rPr>
                <w:color w:val="auto"/>
                <w:szCs w:val="21"/>
              </w:rPr>
            </w:pPr>
          </w:p>
          <w:p w14:paraId="0A98EAE0">
            <w:pPr>
              <w:adjustRightInd w:val="0"/>
              <w:snapToGrid w:val="0"/>
              <w:spacing w:line="360" w:lineRule="auto"/>
              <w:rPr>
                <w:color w:val="auto"/>
                <w:szCs w:val="21"/>
              </w:rPr>
            </w:pPr>
          </w:p>
          <w:p w14:paraId="27477AF6">
            <w:pPr>
              <w:adjustRightInd w:val="0"/>
              <w:snapToGrid w:val="0"/>
              <w:spacing w:line="360" w:lineRule="auto"/>
              <w:rPr>
                <w:color w:val="auto"/>
                <w:szCs w:val="21"/>
              </w:rPr>
            </w:pPr>
          </w:p>
          <w:p w14:paraId="1DEEB4B7">
            <w:pPr>
              <w:adjustRightInd w:val="0"/>
              <w:snapToGrid w:val="0"/>
              <w:spacing w:line="360" w:lineRule="auto"/>
              <w:rPr>
                <w:color w:val="auto"/>
                <w:szCs w:val="21"/>
              </w:rPr>
            </w:pPr>
          </w:p>
        </w:tc>
      </w:tr>
    </w:tbl>
    <w:p w14:paraId="75BC5384">
      <w:pPr>
        <w:pStyle w:val="28"/>
        <w:jc w:val="center"/>
        <w:outlineLvl w:val="0"/>
        <w:rPr>
          <w:rFonts w:ascii="Times New Roman" w:hAnsi="Times New Roman" w:eastAsia="黑体"/>
          <w:snapToGrid w:val="0"/>
          <w:color w:val="auto"/>
          <w:sz w:val="30"/>
          <w:szCs w:val="30"/>
        </w:rPr>
      </w:pPr>
      <w:r>
        <w:rPr>
          <w:rFonts w:ascii="Times New Roman" w:hAnsi="Times New Roman"/>
          <w:snapToGrid w:val="0"/>
          <w:color w:val="auto"/>
        </w:rPr>
        <w:br w:type="page"/>
      </w:r>
      <w:bookmarkStart w:id="90" w:name="_Toc152840734"/>
      <w:r>
        <w:rPr>
          <w:rFonts w:ascii="Times New Roman" w:hAnsi="黑体" w:eastAsia="黑体"/>
          <w:snapToGrid w:val="0"/>
          <w:color w:val="auto"/>
          <w:sz w:val="30"/>
          <w:szCs w:val="30"/>
        </w:rPr>
        <w:t>六、结论</w:t>
      </w:r>
      <w:bookmarkEnd w:id="90"/>
    </w:p>
    <w:tbl>
      <w:tblPr>
        <w:tblStyle w:val="3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24"/>
      </w:tblGrid>
      <w:tr w14:paraId="2B5091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tcPr>
          <w:p w14:paraId="54DCEAF5">
            <w:pPr>
              <w:spacing w:line="360" w:lineRule="auto"/>
              <w:ind w:firstLine="480" w:firstLineChars="200"/>
              <w:rPr>
                <w:color w:val="auto"/>
                <w:kern w:val="24"/>
                <w:sz w:val="24"/>
              </w:rPr>
            </w:pPr>
          </w:p>
          <w:p w14:paraId="3A2EAA85">
            <w:pPr>
              <w:spacing w:line="360" w:lineRule="auto"/>
              <w:ind w:firstLine="480" w:firstLineChars="200"/>
              <w:rPr>
                <w:color w:val="auto"/>
                <w:sz w:val="24"/>
              </w:rPr>
            </w:pPr>
            <w:r>
              <w:rPr>
                <w:color w:val="auto"/>
                <w:kern w:val="24"/>
                <w:sz w:val="24"/>
              </w:rPr>
              <w:t>综上所述，本项目建设符合</w:t>
            </w:r>
            <w:r>
              <w:rPr>
                <w:rFonts w:hint="eastAsia"/>
                <w:color w:val="auto"/>
                <w:kern w:val="24"/>
                <w:sz w:val="24"/>
              </w:rPr>
              <w:t>所在地生态环境分区管控的相关要求，符合相关生态环境保护法律法规政策。</w:t>
            </w:r>
            <w:r>
              <w:rPr>
                <w:color w:val="auto"/>
                <w:kern w:val="24"/>
                <w:sz w:val="24"/>
              </w:rPr>
              <w:t>项目运营期产生的废气、废水、噪声、固废通过采取相应的措施处理、处置后，能够达标排放，不会对项目区及外环境造成大的影响。通过分析，项目采取的污染控制措施有效、可行。在认真落实环评中提出的污染防治对策措施，保证治理设施正常运转，确保污染物达标排放的情况下，项目建设不会降低和改变该区域的环境质量和环境功能。从环境保护角度看，项目的建设是可行的。</w:t>
            </w:r>
          </w:p>
        </w:tc>
      </w:tr>
    </w:tbl>
    <w:p w14:paraId="4CE205EB">
      <w:pPr>
        <w:rPr>
          <w:color w:val="auto"/>
        </w:rPr>
        <w:sectPr>
          <w:pgSz w:w="11906" w:h="16838"/>
          <w:pgMar w:top="1701" w:right="1531" w:bottom="1701" w:left="1531" w:header="851" w:footer="851" w:gutter="0"/>
          <w:cols w:space="720" w:num="1"/>
          <w:docGrid w:linePitch="312" w:charSpace="0"/>
        </w:sectPr>
      </w:pPr>
    </w:p>
    <w:p w14:paraId="1609D9E5">
      <w:pPr>
        <w:pStyle w:val="28"/>
        <w:adjustRightInd w:val="0"/>
        <w:snapToGrid w:val="0"/>
        <w:spacing w:before="0" w:beforeAutospacing="0" w:after="0" w:afterAutospacing="0" w:line="648" w:lineRule="auto"/>
        <w:outlineLvl w:val="0"/>
        <w:rPr>
          <w:rFonts w:ascii="Times New Roman" w:hAnsi="Times New Roman" w:eastAsia="黑体"/>
          <w:snapToGrid w:val="0"/>
          <w:color w:val="auto"/>
          <w:sz w:val="32"/>
          <w:szCs w:val="32"/>
        </w:rPr>
      </w:pPr>
      <w:bookmarkStart w:id="91" w:name="_Toc152840735"/>
      <w:r>
        <w:rPr>
          <w:rFonts w:ascii="Times New Roman" w:hAnsi="黑体" w:eastAsia="黑体"/>
          <w:snapToGrid w:val="0"/>
          <w:color w:val="auto"/>
          <w:sz w:val="32"/>
          <w:szCs w:val="32"/>
        </w:rPr>
        <w:t>附表</w:t>
      </w:r>
      <w:bookmarkEnd w:id="91"/>
    </w:p>
    <w:p w14:paraId="12F8F1A6">
      <w:pPr>
        <w:pStyle w:val="28"/>
        <w:adjustRightInd w:val="0"/>
        <w:snapToGrid w:val="0"/>
        <w:spacing w:before="0" w:beforeAutospacing="0" w:after="0" w:afterAutospacing="0" w:line="360" w:lineRule="auto"/>
        <w:jc w:val="center"/>
        <w:outlineLvl w:val="0"/>
        <w:rPr>
          <w:rFonts w:ascii="Times New Roman" w:hAnsi="Times New Roman" w:eastAsia="方正小标宋_GBK"/>
          <w:snapToGrid w:val="0"/>
          <w:color w:val="auto"/>
          <w:sz w:val="38"/>
          <w:szCs w:val="38"/>
        </w:rPr>
      </w:pPr>
      <w:bookmarkStart w:id="92" w:name="_Toc152840736"/>
      <w:r>
        <w:rPr>
          <w:rFonts w:ascii="Times New Roman" w:hAnsi="Times New Roman" w:eastAsia="方正小标宋_GBK"/>
          <w:snapToGrid w:val="0"/>
          <w:color w:val="auto"/>
          <w:sz w:val="38"/>
          <w:szCs w:val="38"/>
        </w:rPr>
        <w:t>建设项目污染物排放量汇总表</w:t>
      </w:r>
      <w:bookmarkEnd w:id="92"/>
    </w:p>
    <w:tbl>
      <w:tblPr>
        <w:tblStyle w:val="32"/>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559"/>
        <w:gridCol w:w="1761"/>
        <w:gridCol w:w="1887"/>
        <w:gridCol w:w="898"/>
      </w:tblGrid>
      <w:tr w14:paraId="0555EB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88" w:type="dxa"/>
            <w:tcBorders>
              <w:tl2br w:val="single" w:color="auto" w:sz="4" w:space="0"/>
            </w:tcBorders>
            <w:tcMar>
              <w:left w:w="28" w:type="dxa"/>
              <w:right w:w="28" w:type="dxa"/>
            </w:tcMar>
            <w:vAlign w:val="center"/>
          </w:tcPr>
          <w:p w14:paraId="6F0B2930">
            <w:pPr>
              <w:pStyle w:val="47"/>
              <w:spacing w:beforeLines="0" w:afterLines="0" w:line="240" w:lineRule="auto"/>
              <w:jc w:val="right"/>
              <w:rPr>
                <w:rFonts w:eastAsia="黑体" w:asciiTheme="majorBidi" w:hAnsiTheme="majorBidi" w:cstheme="majorBidi"/>
                <w:snapToGrid w:val="0"/>
                <w:color w:val="auto"/>
                <w:spacing w:val="-6"/>
                <w:kern w:val="21"/>
                <w:szCs w:val="21"/>
              </w:rPr>
            </w:pPr>
            <w:r>
              <w:rPr>
                <w:rFonts w:eastAsia="黑体" w:asciiTheme="majorBidi" w:hAnsiTheme="majorBidi" w:cstheme="majorBidi"/>
                <w:snapToGrid w:val="0"/>
                <w:color w:val="auto"/>
                <w:spacing w:val="-6"/>
                <w:kern w:val="21"/>
                <w:szCs w:val="21"/>
              </w:rPr>
              <w:t>项目</w:t>
            </w:r>
          </w:p>
          <w:p w14:paraId="1A381AB0">
            <w:pPr>
              <w:pStyle w:val="47"/>
              <w:spacing w:beforeLines="0" w:afterLines="0" w:line="240" w:lineRule="auto"/>
              <w:jc w:val="left"/>
              <w:rPr>
                <w:rFonts w:eastAsia="黑体" w:asciiTheme="majorBidi" w:hAnsiTheme="majorBidi" w:cstheme="majorBidi"/>
                <w:snapToGrid w:val="0"/>
                <w:color w:val="auto"/>
                <w:spacing w:val="-6"/>
                <w:kern w:val="21"/>
                <w:szCs w:val="21"/>
              </w:rPr>
            </w:pPr>
            <w:r>
              <w:rPr>
                <w:rFonts w:eastAsia="黑体" w:asciiTheme="majorBidi" w:hAnsiTheme="majorBidi" w:cstheme="majorBidi"/>
                <w:snapToGrid w:val="0"/>
                <w:color w:val="auto"/>
                <w:spacing w:val="-6"/>
                <w:kern w:val="21"/>
                <w:szCs w:val="21"/>
              </w:rPr>
              <w:t>分类</w:t>
            </w:r>
          </w:p>
        </w:tc>
        <w:tc>
          <w:tcPr>
            <w:tcW w:w="1417" w:type="dxa"/>
            <w:tcMar>
              <w:left w:w="28" w:type="dxa"/>
              <w:right w:w="28" w:type="dxa"/>
            </w:tcMar>
            <w:vAlign w:val="center"/>
          </w:tcPr>
          <w:p w14:paraId="75649C57">
            <w:pPr>
              <w:pStyle w:val="47"/>
              <w:spacing w:beforeLines="0" w:afterLines="0" w:line="240" w:lineRule="auto"/>
              <w:rPr>
                <w:rFonts w:eastAsia="黑体" w:asciiTheme="majorBidi" w:hAnsiTheme="majorBidi" w:cstheme="majorBidi"/>
                <w:snapToGrid w:val="0"/>
                <w:color w:val="auto"/>
                <w:spacing w:val="-6"/>
                <w:kern w:val="21"/>
                <w:szCs w:val="21"/>
              </w:rPr>
            </w:pPr>
            <w:r>
              <w:rPr>
                <w:rFonts w:eastAsia="黑体" w:asciiTheme="majorBidi" w:hAnsiTheme="majorBidi" w:cstheme="majorBidi"/>
                <w:snapToGrid w:val="0"/>
                <w:color w:val="auto"/>
                <w:spacing w:val="-6"/>
                <w:kern w:val="21"/>
                <w:szCs w:val="21"/>
              </w:rPr>
              <w:t>污染物名称</w:t>
            </w:r>
          </w:p>
        </w:tc>
        <w:tc>
          <w:tcPr>
            <w:tcW w:w="1701" w:type="dxa"/>
            <w:tcMar>
              <w:left w:w="28" w:type="dxa"/>
              <w:right w:w="28" w:type="dxa"/>
            </w:tcMar>
            <w:vAlign w:val="center"/>
          </w:tcPr>
          <w:p w14:paraId="2FCE9D9B">
            <w:pPr>
              <w:pStyle w:val="47"/>
              <w:spacing w:beforeLines="0" w:afterLines="0" w:line="240" w:lineRule="auto"/>
              <w:rPr>
                <w:rFonts w:eastAsia="黑体" w:asciiTheme="majorBidi" w:hAnsiTheme="majorBidi" w:cstheme="majorBidi"/>
                <w:snapToGrid w:val="0"/>
                <w:color w:val="auto"/>
                <w:spacing w:val="-6"/>
                <w:kern w:val="21"/>
                <w:szCs w:val="21"/>
              </w:rPr>
            </w:pPr>
            <w:r>
              <w:rPr>
                <w:rFonts w:eastAsia="黑体" w:asciiTheme="majorBidi" w:hAnsiTheme="majorBidi" w:cstheme="majorBidi"/>
                <w:snapToGrid w:val="0"/>
                <w:color w:val="auto"/>
                <w:spacing w:val="-6"/>
                <w:kern w:val="21"/>
                <w:szCs w:val="21"/>
              </w:rPr>
              <w:t>现有工程</w:t>
            </w:r>
          </w:p>
          <w:p w14:paraId="248121A5">
            <w:pPr>
              <w:pStyle w:val="47"/>
              <w:spacing w:beforeLines="0" w:afterLines="0" w:line="240" w:lineRule="auto"/>
              <w:rPr>
                <w:rFonts w:eastAsia="黑体" w:asciiTheme="majorBidi" w:hAnsiTheme="majorBidi" w:cstheme="majorBidi"/>
                <w:snapToGrid w:val="0"/>
                <w:color w:val="auto"/>
                <w:spacing w:val="-6"/>
                <w:kern w:val="21"/>
                <w:szCs w:val="21"/>
              </w:rPr>
            </w:pPr>
            <w:r>
              <w:rPr>
                <w:rFonts w:eastAsia="黑体" w:asciiTheme="majorBidi" w:hAnsiTheme="majorBidi" w:cstheme="majorBidi"/>
                <w:snapToGrid w:val="0"/>
                <w:color w:val="auto"/>
                <w:spacing w:val="-6"/>
                <w:kern w:val="21"/>
                <w:szCs w:val="21"/>
              </w:rPr>
              <w:t>排放量（固体废物产生量）</w:t>
            </w:r>
            <w:r>
              <w:rPr>
                <w:rFonts w:eastAsia="黑体" w:asciiTheme="majorBidi" w:hAnsiTheme="majorBidi" w:cstheme="majorBidi"/>
                <w:snapToGrid w:val="0"/>
                <w:color w:val="auto"/>
                <w:spacing w:val="-6"/>
                <w:kern w:val="21"/>
                <w:szCs w:val="21"/>
              </w:rPr>
              <w:fldChar w:fldCharType="begin"/>
            </w:r>
            <w:r>
              <w:rPr>
                <w:rFonts w:eastAsia="黑体" w:asciiTheme="majorBidi" w:hAnsiTheme="majorBidi" w:cstheme="majorBidi"/>
                <w:snapToGrid w:val="0"/>
                <w:color w:val="auto"/>
                <w:spacing w:val="-6"/>
                <w:kern w:val="21"/>
                <w:szCs w:val="21"/>
              </w:rPr>
              <w:instrText xml:space="preserve"> = 1 \* GB3 \* MERGEFORMAT </w:instrText>
            </w:r>
            <w:r>
              <w:rPr>
                <w:rFonts w:eastAsia="黑体" w:asciiTheme="majorBidi" w:hAnsiTheme="majorBidi" w:cstheme="majorBidi"/>
                <w:snapToGrid w:val="0"/>
                <w:color w:val="auto"/>
                <w:spacing w:val="-6"/>
                <w:kern w:val="21"/>
                <w:szCs w:val="21"/>
              </w:rPr>
              <w:fldChar w:fldCharType="separate"/>
            </w:r>
            <w:r>
              <w:rPr>
                <w:rFonts w:hint="eastAsia" w:hAnsi="宋体" w:cs="宋体"/>
                <w:color w:val="auto"/>
                <w:kern w:val="2"/>
                <w:szCs w:val="21"/>
              </w:rPr>
              <w:t>①</w:t>
            </w:r>
            <w:r>
              <w:rPr>
                <w:rFonts w:eastAsia="黑体" w:asciiTheme="majorBidi" w:hAnsiTheme="majorBidi" w:cstheme="majorBidi"/>
                <w:snapToGrid w:val="0"/>
                <w:color w:val="auto"/>
                <w:spacing w:val="-6"/>
                <w:kern w:val="21"/>
                <w:szCs w:val="21"/>
              </w:rPr>
              <w:fldChar w:fldCharType="end"/>
            </w:r>
          </w:p>
        </w:tc>
        <w:tc>
          <w:tcPr>
            <w:tcW w:w="1276" w:type="dxa"/>
            <w:tcMar>
              <w:left w:w="28" w:type="dxa"/>
              <w:right w:w="28" w:type="dxa"/>
            </w:tcMar>
            <w:vAlign w:val="center"/>
          </w:tcPr>
          <w:p w14:paraId="08F484B8">
            <w:pPr>
              <w:pStyle w:val="47"/>
              <w:spacing w:beforeLines="0" w:afterLines="0" w:line="240" w:lineRule="auto"/>
              <w:rPr>
                <w:rFonts w:eastAsia="黑体" w:asciiTheme="majorBidi" w:hAnsiTheme="majorBidi" w:cstheme="majorBidi"/>
                <w:snapToGrid w:val="0"/>
                <w:color w:val="auto"/>
                <w:spacing w:val="-6"/>
                <w:kern w:val="21"/>
                <w:szCs w:val="21"/>
              </w:rPr>
            </w:pPr>
            <w:r>
              <w:rPr>
                <w:rFonts w:eastAsia="黑体" w:asciiTheme="majorBidi" w:hAnsiTheme="majorBidi" w:cstheme="majorBidi"/>
                <w:snapToGrid w:val="0"/>
                <w:color w:val="auto"/>
                <w:spacing w:val="-6"/>
                <w:kern w:val="21"/>
                <w:szCs w:val="21"/>
              </w:rPr>
              <w:t>现有工程</w:t>
            </w:r>
          </w:p>
          <w:p w14:paraId="27944F27">
            <w:pPr>
              <w:pStyle w:val="47"/>
              <w:spacing w:beforeLines="0" w:afterLines="0" w:line="240" w:lineRule="auto"/>
              <w:rPr>
                <w:rFonts w:eastAsia="黑体" w:asciiTheme="majorBidi" w:hAnsiTheme="majorBidi" w:cstheme="majorBidi"/>
                <w:snapToGrid w:val="0"/>
                <w:color w:val="auto"/>
                <w:spacing w:val="-6"/>
                <w:kern w:val="21"/>
                <w:szCs w:val="21"/>
              </w:rPr>
            </w:pPr>
            <w:r>
              <w:rPr>
                <w:rFonts w:eastAsia="黑体" w:asciiTheme="majorBidi" w:hAnsiTheme="majorBidi" w:cstheme="majorBidi"/>
                <w:snapToGrid w:val="0"/>
                <w:color w:val="auto"/>
                <w:spacing w:val="-6"/>
                <w:kern w:val="21"/>
                <w:szCs w:val="21"/>
              </w:rPr>
              <w:t>许可排放量</w:t>
            </w:r>
          </w:p>
          <w:p w14:paraId="7FAD4981">
            <w:pPr>
              <w:pStyle w:val="47"/>
              <w:spacing w:beforeLines="0" w:afterLines="0" w:line="240" w:lineRule="auto"/>
              <w:rPr>
                <w:rFonts w:eastAsia="黑体" w:asciiTheme="majorBidi" w:hAnsiTheme="majorBidi" w:cstheme="majorBidi"/>
                <w:snapToGrid w:val="0"/>
                <w:color w:val="auto"/>
                <w:spacing w:val="-6"/>
                <w:kern w:val="21"/>
                <w:szCs w:val="21"/>
              </w:rPr>
            </w:pPr>
            <w:r>
              <w:rPr>
                <w:rFonts w:eastAsia="黑体" w:asciiTheme="majorBidi" w:hAnsiTheme="majorBidi" w:cstheme="majorBidi"/>
                <w:snapToGrid w:val="0"/>
                <w:color w:val="auto"/>
                <w:spacing w:val="-6"/>
                <w:kern w:val="21"/>
                <w:szCs w:val="21"/>
              </w:rPr>
              <w:fldChar w:fldCharType="begin"/>
            </w:r>
            <w:r>
              <w:rPr>
                <w:rFonts w:eastAsia="黑体" w:asciiTheme="majorBidi" w:hAnsiTheme="majorBidi" w:cstheme="majorBidi"/>
                <w:snapToGrid w:val="0"/>
                <w:color w:val="auto"/>
                <w:spacing w:val="-6"/>
                <w:kern w:val="21"/>
                <w:szCs w:val="21"/>
              </w:rPr>
              <w:instrText xml:space="preserve"> = 2 \* GB3 \* MERGEFORMAT </w:instrText>
            </w:r>
            <w:r>
              <w:rPr>
                <w:rFonts w:eastAsia="黑体" w:asciiTheme="majorBidi" w:hAnsiTheme="majorBidi" w:cstheme="majorBidi"/>
                <w:snapToGrid w:val="0"/>
                <w:color w:val="auto"/>
                <w:spacing w:val="-6"/>
                <w:kern w:val="21"/>
                <w:szCs w:val="21"/>
              </w:rPr>
              <w:fldChar w:fldCharType="separate"/>
            </w:r>
            <w:r>
              <w:rPr>
                <w:rFonts w:hint="eastAsia" w:hAnsi="宋体" w:cs="宋体"/>
                <w:snapToGrid w:val="0"/>
                <w:color w:val="auto"/>
                <w:spacing w:val="-6"/>
                <w:kern w:val="21"/>
                <w:szCs w:val="21"/>
              </w:rPr>
              <w:t>②</w:t>
            </w:r>
            <w:r>
              <w:rPr>
                <w:rFonts w:eastAsia="黑体" w:asciiTheme="majorBidi" w:hAnsiTheme="majorBidi" w:cstheme="majorBidi"/>
                <w:snapToGrid w:val="0"/>
                <w:color w:val="auto"/>
                <w:spacing w:val="-6"/>
                <w:kern w:val="21"/>
                <w:szCs w:val="21"/>
              </w:rPr>
              <w:fldChar w:fldCharType="end"/>
            </w:r>
          </w:p>
        </w:tc>
        <w:tc>
          <w:tcPr>
            <w:tcW w:w="1701" w:type="dxa"/>
            <w:tcMar>
              <w:left w:w="28" w:type="dxa"/>
              <w:right w:w="28" w:type="dxa"/>
            </w:tcMar>
            <w:vAlign w:val="center"/>
          </w:tcPr>
          <w:p w14:paraId="35E9DEDD">
            <w:pPr>
              <w:pStyle w:val="47"/>
              <w:spacing w:beforeLines="0" w:afterLines="0" w:line="240" w:lineRule="auto"/>
              <w:rPr>
                <w:rFonts w:eastAsia="黑体" w:asciiTheme="majorBidi" w:hAnsiTheme="majorBidi" w:cstheme="majorBidi"/>
                <w:snapToGrid w:val="0"/>
                <w:color w:val="auto"/>
                <w:spacing w:val="-6"/>
                <w:kern w:val="21"/>
                <w:szCs w:val="21"/>
              </w:rPr>
            </w:pPr>
            <w:r>
              <w:rPr>
                <w:rFonts w:eastAsia="黑体" w:asciiTheme="majorBidi" w:hAnsiTheme="majorBidi" w:cstheme="majorBidi"/>
                <w:snapToGrid w:val="0"/>
                <w:color w:val="auto"/>
                <w:spacing w:val="-6"/>
                <w:kern w:val="21"/>
                <w:szCs w:val="21"/>
              </w:rPr>
              <w:t>在建工程</w:t>
            </w:r>
          </w:p>
          <w:p w14:paraId="681787A5">
            <w:pPr>
              <w:pStyle w:val="47"/>
              <w:spacing w:beforeLines="0" w:afterLines="0" w:line="240" w:lineRule="auto"/>
              <w:rPr>
                <w:rFonts w:eastAsia="黑体" w:asciiTheme="majorBidi" w:hAnsiTheme="majorBidi" w:cstheme="majorBidi"/>
                <w:snapToGrid w:val="0"/>
                <w:color w:val="auto"/>
                <w:spacing w:val="-6"/>
                <w:kern w:val="21"/>
                <w:szCs w:val="21"/>
              </w:rPr>
            </w:pPr>
            <w:r>
              <w:rPr>
                <w:rFonts w:eastAsia="黑体" w:asciiTheme="majorBidi" w:hAnsiTheme="majorBidi" w:cstheme="majorBidi"/>
                <w:snapToGrid w:val="0"/>
                <w:color w:val="auto"/>
                <w:spacing w:val="-6"/>
                <w:kern w:val="21"/>
                <w:szCs w:val="21"/>
              </w:rPr>
              <w:t>排放量（固体废物产生量）</w:t>
            </w:r>
            <w:r>
              <w:rPr>
                <w:rFonts w:eastAsia="黑体" w:asciiTheme="majorBidi" w:hAnsiTheme="majorBidi" w:cstheme="majorBidi"/>
                <w:snapToGrid w:val="0"/>
                <w:color w:val="auto"/>
                <w:spacing w:val="-6"/>
                <w:kern w:val="21"/>
                <w:szCs w:val="21"/>
              </w:rPr>
              <w:fldChar w:fldCharType="begin"/>
            </w:r>
            <w:r>
              <w:rPr>
                <w:rFonts w:eastAsia="黑体" w:asciiTheme="majorBidi" w:hAnsiTheme="majorBidi" w:cstheme="majorBidi"/>
                <w:snapToGrid w:val="0"/>
                <w:color w:val="auto"/>
                <w:spacing w:val="-6"/>
                <w:kern w:val="21"/>
                <w:szCs w:val="21"/>
              </w:rPr>
              <w:instrText xml:space="preserve"> = 3 \* GB3 \* MERGEFORMAT </w:instrText>
            </w:r>
            <w:r>
              <w:rPr>
                <w:rFonts w:eastAsia="黑体" w:asciiTheme="majorBidi" w:hAnsiTheme="majorBidi" w:cstheme="majorBidi"/>
                <w:snapToGrid w:val="0"/>
                <w:color w:val="auto"/>
                <w:spacing w:val="-6"/>
                <w:kern w:val="21"/>
                <w:szCs w:val="21"/>
              </w:rPr>
              <w:fldChar w:fldCharType="separate"/>
            </w:r>
            <w:r>
              <w:rPr>
                <w:rFonts w:hint="eastAsia" w:hAnsi="宋体" w:cs="宋体"/>
                <w:color w:val="auto"/>
                <w:kern w:val="2"/>
                <w:szCs w:val="21"/>
              </w:rPr>
              <w:t>③</w:t>
            </w:r>
            <w:r>
              <w:rPr>
                <w:rFonts w:eastAsia="黑体" w:asciiTheme="majorBidi" w:hAnsiTheme="majorBidi" w:cstheme="majorBidi"/>
                <w:snapToGrid w:val="0"/>
                <w:color w:val="auto"/>
                <w:spacing w:val="-6"/>
                <w:kern w:val="21"/>
                <w:szCs w:val="21"/>
              </w:rPr>
              <w:fldChar w:fldCharType="end"/>
            </w:r>
          </w:p>
        </w:tc>
        <w:tc>
          <w:tcPr>
            <w:tcW w:w="1559" w:type="dxa"/>
            <w:tcMar>
              <w:left w:w="28" w:type="dxa"/>
              <w:right w:w="28" w:type="dxa"/>
            </w:tcMar>
            <w:vAlign w:val="center"/>
          </w:tcPr>
          <w:p w14:paraId="69BBAA18">
            <w:pPr>
              <w:pStyle w:val="47"/>
              <w:spacing w:beforeLines="0" w:afterLines="0" w:line="240" w:lineRule="auto"/>
              <w:rPr>
                <w:rFonts w:eastAsia="黑体" w:asciiTheme="majorBidi" w:hAnsiTheme="majorBidi" w:cstheme="majorBidi"/>
                <w:snapToGrid w:val="0"/>
                <w:color w:val="auto"/>
                <w:spacing w:val="-6"/>
                <w:kern w:val="21"/>
                <w:szCs w:val="21"/>
              </w:rPr>
            </w:pPr>
            <w:r>
              <w:rPr>
                <w:rFonts w:eastAsia="黑体" w:asciiTheme="majorBidi" w:hAnsiTheme="majorBidi" w:cstheme="majorBidi"/>
                <w:snapToGrid w:val="0"/>
                <w:color w:val="auto"/>
                <w:spacing w:val="-6"/>
                <w:kern w:val="21"/>
                <w:szCs w:val="21"/>
              </w:rPr>
              <w:t>本项目</w:t>
            </w:r>
          </w:p>
          <w:p w14:paraId="5F793CCC">
            <w:pPr>
              <w:pStyle w:val="47"/>
              <w:spacing w:beforeLines="0" w:afterLines="0" w:line="240" w:lineRule="auto"/>
              <w:rPr>
                <w:rFonts w:eastAsia="黑体" w:asciiTheme="majorBidi" w:hAnsiTheme="majorBidi" w:cstheme="majorBidi"/>
                <w:snapToGrid w:val="0"/>
                <w:color w:val="auto"/>
                <w:spacing w:val="-6"/>
                <w:kern w:val="21"/>
                <w:szCs w:val="21"/>
              </w:rPr>
            </w:pPr>
            <w:r>
              <w:rPr>
                <w:rFonts w:eastAsia="黑体" w:asciiTheme="majorBidi" w:hAnsiTheme="majorBidi" w:cstheme="majorBidi"/>
                <w:snapToGrid w:val="0"/>
                <w:color w:val="auto"/>
                <w:spacing w:val="-6"/>
                <w:kern w:val="21"/>
                <w:szCs w:val="21"/>
              </w:rPr>
              <w:t>排放量（固体废物产生量）</w:t>
            </w:r>
            <w:r>
              <w:rPr>
                <w:rFonts w:eastAsia="黑体" w:asciiTheme="majorBidi" w:hAnsiTheme="majorBidi" w:cstheme="majorBidi"/>
                <w:snapToGrid w:val="0"/>
                <w:color w:val="auto"/>
                <w:spacing w:val="-6"/>
                <w:kern w:val="21"/>
                <w:szCs w:val="21"/>
              </w:rPr>
              <w:fldChar w:fldCharType="begin"/>
            </w:r>
            <w:r>
              <w:rPr>
                <w:rFonts w:eastAsia="黑体" w:asciiTheme="majorBidi" w:hAnsiTheme="majorBidi" w:cstheme="majorBidi"/>
                <w:snapToGrid w:val="0"/>
                <w:color w:val="auto"/>
                <w:spacing w:val="-6"/>
                <w:kern w:val="21"/>
                <w:szCs w:val="21"/>
              </w:rPr>
              <w:instrText xml:space="preserve"> = 4 \* GB3 \* MERGEFORMAT </w:instrText>
            </w:r>
            <w:r>
              <w:rPr>
                <w:rFonts w:eastAsia="黑体" w:asciiTheme="majorBidi" w:hAnsiTheme="majorBidi" w:cstheme="majorBidi"/>
                <w:snapToGrid w:val="0"/>
                <w:color w:val="auto"/>
                <w:spacing w:val="-6"/>
                <w:kern w:val="21"/>
                <w:szCs w:val="21"/>
              </w:rPr>
              <w:fldChar w:fldCharType="separate"/>
            </w:r>
            <w:r>
              <w:rPr>
                <w:rFonts w:hint="eastAsia" w:hAnsi="宋体" w:cs="宋体"/>
                <w:color w:val="auto"/>
                <w:kern w:val="2"/>
                <w:szCs w:val="21"/>
              </w:rPr>
              <w:t>④</w:t>
            </w:r>
            <w:r>
              <w:rPr>
                <w:rFonts w:eastAsia="黑体" w:asciiTheme="majorBidi" w:hAnsiTheme="majorBidi" w:cstheme="majorBidi"/>
                <w:snapToGrid w:val="0"/>
                <w:color w:val="auto"/>
                <w:spacing w:val="-6"/>
                <w:kern w:val="21"/>
                <w:szCs w:val="21"/>
              </w:rPr>
              <w:fldChar w:fldCharType="end"/>
            </w:r>
          </w:p>
        </w:tc>
        <w:tc>
          <w:tcPr>
            <w:tcW w:w="1761" w:type="dxa"/>
            <w:tcMar>
              <w:left w:w="28" w:type="dxa"/>
              <w:right w:w="28" w:type="dxa"/>
            </w:tcMar>
            <w:vAlign w:val="center"/>
          </w:tcPr>
          <w:p w14:paraId="491E5565">
            <w:pPr>
              <w:pStyle w:val="47"/>
              <w:spacing w:beforeLines="0" w:afterLines="0" w:line="240" w:lineRule="auto"/>
              <w:rPr>
                <w:rFonts w:eastAsia="黑体" w:asciiTheme="majorBidi" w:hAnsiTheme="majorBidi" w:cstheme="majorBidi"/>
                <w:snapToGrid w:val="0"/>
                <w:color w:val="auto"/>
                <w:spacing w:val="-16"/>
                <w:kern w:val="21"/>
                <w:szCs w:val="21"/>
              </w:rPr>
            </w:pPr>
            <w:r>
              <w:rPr>
                <w:rFonts w:eastAsia="黑体" w:asciiTheme="majorBidi" w:hAnsiTheme="majorBidi" w:cstheme="majorBidi"/>
                <w:snapToGrid w:val="0"/>
                <w:color w:val="auto"/>
                <w:spacing w:val="-16"/>
                <w:kern w:val="21"/>
                <w:szCs w:val="21"/>
              </w:rPr>
              <w:t>以新带老削减量</w:t>
            </w:r>
          </w:p>
          <w:p w14:paraId="2BBEE420">
            <w:pPr>
              <w:pStyle w:val="47"/>
              <w:spacing w:beforeLines="0" w:afterLines="0" w:line="240" w:lineRule="auto"/>
              <w:rPr>
                <w:rFonts w:eastAsia="黑体" w:asciiTheme="majorBidi" w:hAnsiTheme="majorBidi" w:cstheme="majorBidi"/>
                <w:snapToGrid w:val="0"/>
                <w:color w:val="auto"/>
                <w:spacing w:val="-16"/>
                <w:kern w:val="21"/>
                <w:szCs w:val="21"/>
              </w:rPr>
            </w:pPr>
            <w:r>
              <w:rPr>
                <w:rFonts w:eastAsia="黑体" w:asciiTheme="majorBidi" w:hAnsiTheme="majorBidi" w:cstheme="majorBidi"/>
                <w:snapToGrid w:val="0"/>
                <w:color w:val="auto"/>
                <w:spacing w:val="-16"/>
                <w:kern w:val="21"/>
                <w:szCs w:val="21"/>
              </w:rPr>
              <w:t>（新建项目不填）</w:t>
            </w:r>
            <w:r>
              <w:rPr>
                <w:rFonts w:eastAsia="黑体" w:asciiTheme="majorBidi" w:hAnsiTheme="majorBidi" w:cstheme="majorBidi"/>
                <w:snapToGrid w:val="0"/>
                <w:color w:val="auto"/>
                <w:spacing w:val="-16"/>
                <w:kern w:val="21"/>
                <w:szCs w:val="21"/>
              </w:rPr>
              <w:fldChar w:fldCharType="begin"/>
            </w:r>
            <w:r>
              <w:rPr>
                <w:rFonts w:eastAsia="黑体" w:asciiTheme="majorBidi" w:hAnsiTheme="majorBidi" w:cstheme="majorBidi"/>
                <w:snapToGrid w:val="0"/>
                <w:color w:val="auto"/>
                <w:spacing w:val="-16"/>
                <w:kern w:val="21"/>
                <w:szCs w:val="21"/>
              </w:rPr>
              <w:instrText xml:space="preserve"> = 5 \* GB3 \* MERGEFORMAT </w:instrText>
            </w:r>
            <w:r>
              <w:rPr>
                <w:rFonts w:eastAsia="黑体" w:asciiTheme="majorBidi" w:hAnsiTheme="majorBidi" w:cstheme="majorBidi"/>
                <w:snapToGrid w:val="0"/>
                <w:color w:val="auto"/>
                <w:spacing w:val="-16"/>
                <w:kern w:val="21"/>
                <w:szCs w:val="21"/>
              </w:rPr>
              <w:fldChar w:fldCharType="separate"/>
            </w:r>
            <w:r>
              <w:rPr>
                <w:rFonts w:hint="eastAsia" w:hAnsi="宋体" w:cs="宋体"/>
                <w:color w:val="auto"/>
                <w:kern w:val="2"/>
                <w:szCs w:val="21"/>
              </w:rPr>
              <w:t>⑤</w:t>
            </w:r>
            <w:r>
              <w:rPr>
                <w:rFonts w:eastAsia="黑体" w:asciiTheme="majorBidi" w:hAnsiTheme="majorBidi" w:cstheme="majorBidi"/>
                <w:snapToGrid w:val="0"/>
                <w:color w:val="auto"/>
                <w:spacing w:val="-16"/>
                <w:kern w:val="21"/>
                <w:szCs w:val="21"/>
              </w:rPr>
              <w:fldChar w:fldCharType="end"/>
            </w:r>
          </w:p>
        </w:tc>
        <w:tc>
          <w:tcPr>
            <w:tcW w:w="1887" w:type="dxa"/>
            <w:tcMar>
              <w:left w:w="28" w:type="dxa"/>
              <w:right w:w="28" w:type="dxa"/>
            </w:tcMar>
            <w:vAlign w:val="center"/>
          </w:tcPr>
          <w:p w14:paraId="554270B2">
            <w:pPr>
              <w:pStyle w:val="47"/>
              <w:spacing w:beforeLines="0" w:afterLines="0" w:line="240" w:lineRule="auto"/>
              <w:rPr>
                <w:rFonts w:eastAsia="黑体" w:asciiTheme="majorBidi" w:hAnsiTheme="majorBidi" w:cstheme="majorBidi"/>
                <w:snapToGrid w:val="0"/>
                <w:color w:val="auto"/>
                <w:spacing w:val="-16"/>
                <w:kern w:val="21"/>
                <w:szCs w:val="21"/>
              </w:rPr>
            </w:pPr>
            <w:r>
              <w:rPr>
                <w:rFonts w:eastAsia="黑体" w:asciiTheme="majorBidi" w:hAnsiTheme="majorBidi" w:cstheme="majorBidi"/>
                <w:snapToGrid w:val="0"/>
                <w:color w:val="auto"/>
                <w:spacing w:val="-16"/>
                <w:kern w:val="21"/>
                <w:szCs w:val="21"/>
              </w:rPr>
              <w:t>本项目建成后</w:t>
            </w:r>
          </w:p>
          <w:p w14:paraId="70EA4B08">
            <w:pPr>
              <w:pStyle w:val="47"/>
              <w:spacing w:beforeLines="0" w:afterLines="0" w:line="240" w:lineRule="auto"/>
              <w:rPr>
                <w:rFonts w:eastAsia="黑体" w:asciiTheme="majorBidi" w:hAnsiTheme="majorBidi" w:cstheme="majorBidi"/>
                <w:snapToGrid w:val="0"/>
                <w:color w:val="auto"/>
                <w:spacing w:val="-16"/>
                <w:kern w:val="21"/>
                <w:szCs w:val="21"/>
              </w:rPr>
            </w:pPr>
            <w:r>
              <w:rPr>
                <w:rFonts w:eastAsia="黑体" w:asciiTheme="majorBidi" w:hAnsiTheme="majorBidi" w:cstheme="majorBidi"/>
                <w:snapToGrid w:val="0"/>
                <w:color w:val="auto"/>
                <w:spacing w:val="-16"/>
                <w:kern w:val="21"/>
                <w:szCs w:val="21"/>
              </w:rPr>
              <w:t>全厂排放量（固体废物产生量）</w:t>
            </w:r>
            <w:r>
              <w:rPr>
                <w:rFonts w:eastAsia="黑体" w:asciiTheme="majorBidi" w:hAnsiTheme="majorBidi" w:cstheme="majorBidi"/>
                <w:snapToGrid w:val="0"/>
                <w:color w:val="auto"/>
                <w:spacing w:val="-16"/>
                <w:kern w:val="21"/>
                <w:szCs w:val="21"/>
              </w:rPr>
              <w:fldChar w:fldCharType="begin"/>
            </w:r>
            <w:r>
              <w:rPr>
                <w:rFonts w:eastAsia="黑体" w:asciiTheme="majorBidi" w:hAnsiTheme="majorBidi" w:cstheme="majorBidi"/>
                <w:snapToGrid w:val="0"/>
                <w:color w:val="auto"/>
                <w:spacing w:val="-16"/>
                <w:kern w:val="21"/>
                <w:szCs w:val="21"/>
              </w:rPr>
              <w:instrText xml:space="preserve"> = 6 \* GB3 \* MERGEFORMAT </w:instrText>
            </w:r>
            <w:r>
              <w:rPr>
                <w:rFonts w:eastAsia="黑体" w:asciiTheme="majorBidi" w:hAnsiTheme="majorBidi" w:cstheme="majorBidi"/>
                <w:snapToGrid w:val="0"/>
                <w:color w:val="auto"/>
                <w:spacing w:val="-16"/>
                <w:kern w:val="21"/>
                <w:szCs w:val="21"/>
              </w:rPr>
              <w:fldChar w:fldCharType="separate"/>
            </w:r>
            <w:r>
              <w:rPr>
                <w:rFonts w:hint="eastAsia" w:hAnsi="宋体" w:cs="宋体"/>
                <w:color w:val="auto"/>
                <w:kern w:val="2"/>
                <w:szCs w:val="21"/>
              </w:rPr>
              <w:t>⑥</w:t>
            </w:r>
            <w:r>
              <w:rPr>
                <w:rFonts w:eastAsia="黑体" w:asciiTheme="majorBidi" w:hAnsiTheme="majorBidi" w:cstheme="majorBidi"/>
                <w:snapToGrid w:val="0"/>
                <w:color w:val="auto"/>
                <w:spacing w:val="-16"/>
                <w:kern w:val="21"/>
                <w:szCs w:val="21"/>
              </w:rPr>
              <w:fldChar w:fldCharType="end"/>
            </w:r>
          </w:p>
        </w:tc>
        <w:tc>
          <w:tcPr>
            <w:tcW w:w="898" w:type="dxa"/>
            <w:tcMar>
              <w:left w:w="28" w:type="dxa"/>
              <w:right w:w="28" w:type="dxa"/>
            </w:tcMar>
            <w:vAlign w:val="center"/>
          </w:tcPr>
          <w:p w14:paraId="674D6119">
            <w:pPr>
              <w:pStyle w:val="47"/>
              <w:spacing w:beforeLines="0" w:afterLines="0" w:line="240" w:lineRule="auto"/>
              <w:rPr>
                <w:rFonts w:eastAsia="黑体" w:asciiTheme="majorBidi" w:hAnsiTheme="majorBidi" w:cstheme="majorBidi"/>
                <w:snapToGrid w:val="0"/>
                <w:color w:val="auto"/>
                <w:spacing w:val="-6"/>
                <w:kern w:val="21"/>
                <w:szCs w:val="21"/>
              </w:rPr>
            </w:pPr>
            <w:r>
              <w:rPr>
                <w:rFonts w:eastAsia="黑体" w:asciiTheme="majorBidi" w:hAnsiTheme="majorBidi" w:cstheme="majorBidi"/>
                <w:snapToGrid w:val="0"/>
                <w:color w:val="auto"/>
                <w:spacing w:val="-6"/>
                <w:kern w:val="21"/>
                <w:szCs w:val="21"/>
              </w:rPr>
              <w:t>变化量</w:t>
            </w:r>
          </w:p>
          <w:p w14:paraId="1E92EB34">
            <w:pPr>
              <w:pStyle w:val="47"/>
              <w:spacing w:beforeLines="0" w:afterLines="0" w:line="240" w:lineRule="auto"/>
              <w:rPr>
                <w:rFonts w:eastAsia="黑体" w:asciiTheme="majorBidi" w:hAnsiTheme="majorBidi" w:cstheme="majorBidi"/>
                <w:snapToGrid w:val="0"/>
                <w:color w:val="auto"/>
                <w:spacing w:val="-6"/>
                <w:kern w:val="21"/>
                <w:szCs w:val="21"/>
              </w:rPr>
            </w:pPr>
            <w:r>
              <w:rPr>
                <w:rFonts w:eastAsia="黑体" w:asciiTheme="majorBidi" w:hAnsiTheme="majorBidi" w:cstheme="majorBidi"/>
                <w:snapToGrid w:val="0"/>
                <w:color w:val="auto"/>
                <w:spacing w:val="-6"/>
                <w:kern w:val="21"/>
                <w:szCs w:val="21"/>
              </w:rPr>
              <w:fldChar w:fldCharType="begin"/>
            </w:r>
            <w:r>
              <w:rPr>
                <w:rFonts w:eastAsia="黑体" w:asciiTheme="majorBidi" w:hAnsiTheme="majorBidi" w:cstheme="majorBidi"/>
                <w:snapToGrid w:val="0"/>
                <w:color w:val="auto"/>
                <w:spacing w:val="-6"/>
                <w:kern w:val="21"/>
                <w:szCs w:val="21"/>
              </w:rPr>
              <w:instrText xml:space="preserve"> = 7 \* GB3 \* MERGEFORMAT </w:instrText>
            </w:r>
            <w:r>
              <w:rPr>
                <w:rFonts w:eastAsia="黑体" w:asciiTheme="majorBidi" w:hAnsiTheme="majorBidi" w:cstheme="majorBidi"/>
                <w:snapToGrid w:val="0"/>
                <w:color w:val="auto"/>
                <w:spacing w:val="-6"/>
                <w:kern w:val="21"/>
                <w:szCs w:val="21"/>
              </w:rPr>
              <w:fldChar w:fldCharType="separate"/>
            </w:r>
            <w:r>
              <w:rPr>
                <w:rFonts w:hint="eastAsia" w:hAnsi="宋体" w:cs="宋体"/>
                <w:color w:val="auto"/>
                <w:kern w:val="2"/>
                <w:szCs w:val="21"/>
              </w:rPr>
              <w:t>⑦</w:t>
            </w:r>
            <w:r>
              <w:rPr>
                <w:rFonts w:eastAsia="黑体" w:asciiTheme="majorBidi" w:hAnsiTheme="majorBidi" w:cstheme="majorBidi"/>
                <w:snapToGrid w:val="0"/>
                <w:color w:val="auto"/>
                <w:spacing w:val="-6"/>
                <w:kern w:val="21"/>
                <w:szCs w:val="21"/>
              </w:rPr>
              <w:fldChar w:fldCharType="end"/>
            </w:r>
          </w:p>
        </w:tc>
      </w:tr>
      <w:tr w14:paraId="6F1AB8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588" w:type="dxa"/>
            <w:vAlign w:val="center"/>
          </w:tcPr>
          <w:p w14:paraId="4C3F381E">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废气</w:t>
            </w:r>
          </w:p>
        </w:tc>
        <w:tc>
          <w:tcPr>
            <w:tcW w:w="1417" w:type="dxa"/>
            <w:vAlign w:val="center"/>
          </w:tcPr>
          <w:p w14:paraId="3058C2CC">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颗粒物</w:t>
            </w:r>
          </w:p>
        </w:tc>
        <w:tc>
          <w:tcPr>
            <w:tcW w:w="1701" w:type="dxa"/>
            <w:vAlign w:val="center"/>
          </w:tcPr>
          <w:p w14:paraId="5835D52A">
            <w:pPr>
              <w:pStyle w:val="47"/>
              <w:spacing w:beforeLines="0" w:afterLines="0" w:line="240" w:lineRule="auto"/>
              <w:rPr>
                <w:rFonts w:asciiTheme="majorBidi" w:hAnsiTheme="majorBidi" w:cstheme="majorBidi"/>
                <w:snapToGrid w:val="0"/>
                <w:color w:val="auto"/>
                <w:kern w:val="21"/>
                <w:szCs w:val="21"/>
              </w:rPr>
            </w:pPr>
            <w:r>
              <w:rPr>
                <w:rFonts w:hint="eastAsia" w:asciiTheme="majorBidi" w:hAnsiTheme="majorBidi" w:cstheme="majorBidi"/>
                <w:snapToGrid w:val="0"/>
                <w:color w:val="auto"/>
                <w:kern w:val="21"/>
                <w:szCs w:val="21"/>
              </w:rPr>
              <w:t>0.473</w:t>
            </w:r>
          </w:p>
        </w:tc>
        <w:tc>
          <w:tcPr>
            <w:tcW w:w="1276" w:type="dxa"/>
            <w:vAlign w:val="center"/>
          </w:tcPr>
          <w:p w14:paraId="243F89EC">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701" w:type="dxa"/>
            <w:vAlign w:val="center"/>
          </w:tcPr>
          <w:p w14:paraId="349AD829">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559" w:type="dxa"/>
            <w:vAlign w:val="center"/>
          </w:tcPr>
          <w:p w14:paraId="336363ED">
            <w:pPr>
              <w:pStyle w:val="47"/>
              <w:spacing w:beforeLines="0" w:afterLines="0" w:line="240" w:lineRule="auto"/>
              <w:rPr>
                <w:rFonts w:asciiTheme="majorBidi" w:hAnsiTheme="majorBidi" w:cstheme="majorBidi"/>
                <w:snapToGrid w:val="0"/>
                <w:color w:val="auto"/>
                <w:kern w:val="21"/>
                <w:szCs w:val="21"/>
              </w:rPr>
            </w:pPr>
            <w:r>
              <w:rPr>
                <w:rFonts w:hint="eastAsia" w:asciiTheme="majorBidi" w:hAnsiTheme="majorBidi" w:cstheme="majorBidi"/>
                <w:color w:val="auto"/>
                <w:szCs w:val="21"/>
              </w:rPr>
              <w:t>0.277</w:t>
            </w:r>
          </w:p>
        </w:tc>
        <w:tc>
          <w:tcPr>
            <w:tcW w:w="1761" w:type="dxa"/>
            <w:vAlign w:val="center"/>
          </w:tcPr>
          <w:p w14:paraId="06FD5C6F">
            <w:pPr>
              <w:pStyle w:val="47"/>
              <w:spacing w:beforeLines="0" w:afterLines="0" w:line="240" w:lineRule="auto"/>
              <w:rPr>
                <w:rFonts w:asciiTheme="majorBidi" w:hAnsiTheme="majorBidi" w:cstheme="majorBidi"/>
                <w:snapToGrid w:val="0"/>
                <w:color w:val="auto"/>
                <w:kern w:val="21"/>
                <w:szCs w:val="21"/>
              </w:rPr>
            </w:pPr>
            <w:r>
              <w:rPr>
                <w:rFonts w:hint="eastAsia" w:asciiTheme="majorBidi" w:hAnsiTheme="majorBidi" w:cstheme="majorBidi"/>
                <w:snapToGrid w:val="0"/>
                <w:color w:val="auto"/>
                <w:kern w:val="21"/>
                <w:szCs w:val="21"/>
              </w:rPr>
              <w:t>0.473</w:t>
            </w:r>
          </w:p>
        </w:tc>
        <w:tc>
          <w:tcPr>
            <w:tcW w:w="1887" w:type="dxa"/>
            <w:vAlign w:val="center"/>
          </w:tcPr>
          <w:p w14:paraId="40CFBFED">
            <w:pPr>
              <w:pStyle w:val="47"/>
              <w:spacing w:beforeLines="0" w:afterLines="0" w:line="240" w:lineRule="auto"/>
              <w:rPr>
                <w:rFonts w:asciiTheme="majorBidi" w:hAnsiTheme="majorBidi" w:cstheme="majorBidi"/>
                <w:snapToGrid w:val="0"/>
                <w:color w:val="auto"/>
                <w:kern w:val="21"/>
                <w:szCs w:val="21"/>
              </w:rPr>
            </w:pPr>
            <w:r>
              <w:rPr>
                <w:rFonts w:hint="eastAsia" w:asciiTheme="majorBidi" w:hAnsiTheme="majorBidi" w:cstheme="majorBidi"/>
                <w:snapToGrid w:val="0"/>
                <w:color w:val="auto"/>
                <w:kern w:val="21"/>
                <w:szCs w:val="21"/>
              </w:rPr>
              <w:t>0.277</w:t>
            </w:r>
          </w:p>
        </w:tc>
        <w:tc>
          <w:tcPr>
            <w:tcW w:w="898" w:type="dxa"/>
            <w:vAlign w:val="center"/>
          </w:tcPr>
          <w:p w14:paraId="7D02CA60">
            <w:pPr>
              <w:pStyle w:val="47"/>
              <w:spacing w:beforeLines="0" w:afterLines="0" w:line="240" w:lineRule="auto"/>
              <w:rPr>
                <w:rFonts w:asciiTheme="majorBidi" w:hAnsiTheme="majorBidi" w:cstheme="majorBidi"/>
                <w:snapToGrid w:val="0"/>
                <w:color w:val="auto"/>
                <w:kern w:val="21"/>
                <w:szCs w:val="21"/>
              </w:rPr>
            </w:pPr>
            <w:r>
              <w:rPr>
                <w:rFonts w:hint="eastAsia" w:asciiTheme="majorBidi" w:hAnsiTheme="majorBidi" w:cstheme="majorBidi"/>
                <w:snapToGrid w:val="0"/>
                <w:color w:val="auto"/>
                <w:kern w:val="21"/>
                <w:szCs w:val="21"/>
              </w:rPr>
              <w:t>-0.196</w:t>
            </w:r>
          </w:p>
        </w:tc>
      </w:tr>
      <w:tr w14:paraId="787D9E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588" w:type="dxa"/>
            <w:vMerge w:val="restart"/>
            <w:vAlign w:val="center"/>
          </w:tcPr>
          <w:p w14:paraId="6F275788">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废水</w:t>
            </w:r>
          </w:p>
        </w:tc>
        <w:tc>
          <w:tcPr>
            <w:tcW w:w="1417" w:type="dxa"/>
            <w:vAlign w:val="center"/>
          </w:tcPr>
          <w:p w14:paraId="5355F9E9">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color w:val="auto"/>
                <w:szCs w:val="21"/>
              </w:rPr>
              <w:t>COD</w:t>
            </w:r>
            <w:r>
              <w:rPr>
                <w:rFonts w:asciiTheme="majorBidi" w:hAnsiTheme="majorBidi" w:cstheme="majorBidi"/>
                <w:color w:val="auto"/>
                <w:szCs w:val="21"/>
                <w:vertAlign w:val="subscript"/>
              </w:rPr>
              <w:t>cr</w:t>
            </w:r>
          </w:p>
        </w:tc>
        <w:tc>
          <w:tcPr>
            <w:tcW w:w="1701" w:type="dxa"/>
            <w:vAlign w:val="center"/>
          </w:tcPr>
          <w:p w14:paraId="24614314">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276" w:type="dxa"/>
            <w:vAlign w:val="center"/>
          </w:tcPr>
          <w:p w14:paraId="42570B2A">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701" w:type="dxa"/>
            <w:vAlign w:val="center"/>
          </w:tcPr>
          <w:p w14:paraId="20542D3E">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559" w:type="dxa"/>
            <w:vAlign w:val="center"/>
          </w:tcPr>
          <w:p w14:paraId="585854FA">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761" w:type="dxa"/>
            <w:vAlign w:val="center"/>
          </w:tcPr>
          <w:p w14:paraId="4FC0D02A">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887" w:type="dxa"/>
            <w:vAlign w:val="center"/>
          </w:tcPr>
          <w:p w14:paraId="32FEB0D4">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898" w:type="dxa"/>
            <w:vAlign w:val="center"/>
          </w:tcPr>
          <w:p w14:paraId="6FD2791F">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r>
      <w:tr w14:paraId="5B4724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1588" w:type="dxa"/>
            <w:vMerge w:val="continue"/>
            <w:vAlign w:val="center"/>
          </w:tcPr>
          <w:p w14:paraId="3BD8AFD6">
            <w:pPr>
              <w:pStyle w:val="47"/>
              <w:spacing w:beforeLines="0" w:afterLines="0" w:line="240" w:lineRule="auto"/>
              <w:rPr>
                <w:rFonts w:asciiTheme="majorBidi" w:hAnsiTheme="majorBidi" w:cstheme="majorBidi"/>
                <w:snapToGrid w:val="0"/>
                <w:color w:val="auto"/>
                <w:kern w:val="21"/>
                <w:szCs w:val="21"/>
              </w:rPr>
            </w:pPr>
          </w:p>
        </w:tc>
        <w:tc>
          <w:tcPr>
            <w:tcW w:w="1417" w:type="dxa"/>
            <w:vAlign w:val="center"/>
          </w:tcPr>
          <w:p w14:paraId="02DE82EE">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color w:val="auto"/>
                <w:szCs w:val="21"/>
              </w:rPr>
              <w:t>BOD</w:t>
            </w:r>
            <w:r>
              <w:rPr>
                <w:rFonts w:asciiTheme="majorBidi" w:hAnsiTheme="majorBidi" w:cstheme="majorBidi"/>
                <w:color w:val="auto"/>
                <w:szCs w:val="21"/>
                <w:vertAlign w:val="subscript"/>
              </w:rPr>
              <w:t>5</w:t>
            </w:r>
          </w:p>
        </w:tc>
        <w:tc>
          <w:tcPr>
            <w:tcW w:w="1701" w:type="dxa"/>
            <w:vAlign w:val="center"/>
          </w:tcPr>
          <w:p w14:paraId="2D51A44D">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276" w:type="dxa"/>
            <w:vAlign w:val="center"/>
          </w:tcPr>
          <w:p w14:paraId="3018EE86">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701" w:type="dxa"/>
            <w:vAlign w:val="center"/>
          </w:tcPr>
          <w:p w14:paraId="47835F46">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559" w:type="dxa"/>
            <w:vAlign w:val="center"/>
          </w:tcPr>
          <w:p w14:paraId="15EADD0B">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761" w:type="dxa"/>
            <w:vAlign w:val="center"/>
          </w:tcPr>
          <w:p w14:paraId="6E2EB5F3">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887" w:type="dxa"/>
            <w:vAlign w:val="center"/>
          </w:tcPr>
          <w:p w14:paraId="11072C02">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898" w:type="dxa"/>
            <w:vAlign w:val="center"/>
          </w:tcPr>
          <w:p w14:paraId="5B2FFE99">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r>
      <w:tr w14:paraId="7EE214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588" w:type="dxa"/>
            <w:vMerge w:val="continue"/>
            <w:vAlign w:val="center"/>
          </w:tcPr>
          <w:p w14:paraId="5B7F76E9">
            <w:pPr>
              <w:pStyle w:val="47"/>
              <w:spacing w:beforeLines="0" w:afterLines="0" w:line="240" w:lineRule="auto"/>
              <w:rPr>
                <w:rFonts w:asciiTheme="majorBidi" w:hAnsiTheme="majorBidi" w:cstheme="majorBidi"/>
                <w:snapToGrid w:val="0"/>
                <w:color w:val="auto"/>
                <w:kern w:val="21"/>
                <w:szCs w:val="21"/>
              </w:rPr>
            </w:pPr>
          </w:p>
        </w:tc>
        <w:tc>
          <w:tcPr>
            <w:tcW w:w="1417" w:type="dxa"/>
            <w:vAlign w:val="center"/>
          </w:tcPr>
          <w:p w14:paraId="44019C90">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color w:val="auto"/>
                <w:szCs w:val="21"/>
              </w:rPr>
              <w:t>NH</w:t>
            </w:r>
            <w:r>
              <w:rPr>
                <w:rFonts w:asciiTheme="majorBidi" w:hAnsiTheme="majorBidi" w:cstheme="majorBidi"/>
                <w:color w:val="auto"/>
                <w:szCs w:val="21"/>
                <w:vertAlign w:val="subscript"/>
              </w:rPr>
              <w:t>3</w:t>
            </w:r>
            <w:r>
              <w:rPr>
                <w:rFonts w:asciiTheme="majorBidi" w:hAnsiTheme="majorBidi" w:cstheme="majorBidi"/>
                <w:color w:val="auto"/>
                <w:szCs w:val="21"/>
              </w:rPr>
              <w:t>-N</w:t>
            </w:r>
          </w:p>
        </w:tc>
        <w:tc>
          <w:tcPr>
            <w:tcW w:w="1701" w:type="dxa"/>
            <w:vAlign w:val="center"/>
          </w:tcPr>
          <w:p w14:paraId="0CE02AF0">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276" w:type="dxa"/>
            <w:vAlign w:val="center"/>
          </w:tcPr>
          <w:p w14:paraId="0EDBFEE0">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701" w:type="dxa"/>
            <w:vAlign w:val="center"/>
          </w:tcPr>
          <w:p w14:paraId="28CD8801">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559" w:type="dxa"/>
            <w:vAlign w:val="center"/>
          </w:tcPr>
          <w:p w14:paraId="6FE763C7">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761" w:type="dxa"/>
            <w:vAlign w:val="center"/>
          </w:tcPr>
          <w:p w14:paraId="1AEBCC32">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887" w:type="dxa"/>
            <w:vAlign w:val="center"/>
          </w:tcPr>
          <w:p w14:paraId="63055A3A">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898" w:type="dxa"/>
            <w:vAlign w:val="center"/>
          </w:tcPr>
          <w:p w14:paraId="5F634886">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r>
      <w:tr w14:paraId="5BB4B6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1588" w:type="dxa"/>
            <w:vMerge w:val="continue"/>
            <w:vAlign w:val="center"/>
          </w:tcPr>
          <w:p w14:paraId="5FFEA867">
            <w:pPr>
              <w:pStyle w:val="47"/>
              <w:spacing w:beforeLines="0" w:afterLines="0" w:line="240" w:lineRule="auto"/>
              <w:rPr>
                <w:rFonts w:asciiTheme="majorBidi" w:hAnsiTheme="majorBidi" w:cstheme="majorBidi"/>
                <w:snapToGrid w:val="0"/>
                <w:color w:val="auto"/>
                <w:kern w:val="21"/>
                <w:szCs w:val="21"/>
              </w:rPr>
            </w:pPr>
          </w:p>
        </w:tc>
        <w:tc>
          <w:tcPr>
            <w:tcW w:w="1417" w:type="dxa"/>
            <w:vAlign w:val="center"/>
          </w:tcPr>
          <w:p w14:paraId="478F736D">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color w:val="auto"/>
                <w:szCs w:val="21"/>
              </w:rPr>
              <w:t>SS</w:t>
            </w:r>
          </w:p>
        </w:tc>
        <w:tc>
          <w:tcPr>
            <w:tcW w:w="1701" w:type="dxa"/>
            <w:vAlign w:val="center"/>
          </w:tcPr>
          <w:p w14:paraId="654BE7AD">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276" w:type="dxa"/>
            <w:vAlign w:val="center"/>
          </w:tcPr>
          <w:p w14:paraId="2C03B1D7">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701" w:type="dxa"/>
            <w:vAlign w:val="center"/>
          </w:tcPr>
          <w:p w14:paraId="24CA3E5A">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559" w:type="dxa"/>
            <w:vAlign w:val="center"/>
          </w:tcPr>
          <w:p w14:paraId="7DC6D3D7">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761" w:type="dxa"/>
            <w:vAlign w:val="center"/>
          </w:tcPr>
          <w:p w14:paraId="4FB9D471">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887" w:type="dxa"/>
            <w:vAlign w:val="center"/>
          </w:tcPr>
          <w:p w14:paraId="2717DE46">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898" w:type="dxa"/>
            <w:vAlign w:val="center"/>
          </w:tcPr>
          <w:p w14:paraId="59B6FA7F">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r>
      <w:tr w14:paraId="183205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88" w:type="dxa"/>
            <w:vMerge w:val="continue"/>
            <w:vAlign w:val="center"/>
          </w:tcPr>
          <w:p w14:paraId="40752B9C">
            <w:pPr>
              <w:pStyle w:val="47"/>
              <w:spacing w:beforeLines="0" w:afterLines="0" w:line="240" w:lineRule="auto"/>
              <w:rPr>
                <w:rFonts w:asciiTheme="majorBidi" w:hAnsiTheme="majorBidi" w:cstheme="majorBidi"/>
                <w:snapToGrid w:val="0"/>
                <w:color w:val="auto"/>
                <w:kern w:val="21"/>
                <w:szCs w:val="21"/>
              </w:rPr>
            </w:pPr>
          </w:p>
        </w:tc>
        <w:tc>
          <w:tcPr>
            <w:tcW w:w="1417" w:type="dxa"/>
            <w:vAlign w:val="center"/>
          </w:tcPr>
          <w:p w14:paraId="6A16C8BA">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color w:val="auto"/>
                <w:szCs w:val="21"/>
              </w:rPr>
              <w:t>TP</w:t>
            </w:r>
          </w:p>
        </w:tc>
        <w:tc>
          <w:tcPr>
            <w:tcW w:w="1701" w:type="dxa"/>
            <w:vAlign w:val="center"/>
          </w:tcPr>
          <w:p w14:paraId="071F653C">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276" w:type="dxa"/>
            <w:vAlign w:val="center"/>
          </w:tcPr>
          <w:p w14:paraId="5A7B6438">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701" w:type="dxa"/>
            <w:vAlign w:val="center"/>
          </w:tcPr>
          <w:p w14:paraId="4AC0A5BD">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559" w:type="dxa"/>
            <w:vAlign w:val="center"/>
          </w:tcPr>
          <w:p w14:paraId="5BA324FE">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761" w:type="dxa"/>
            <w:vAlign w:val="center"/>
          </w:tcPr>
          <w:p w14:paraId="1CCEFC3E">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887" w:type="dxa"/>
            <w:vAlign w:val="center"/>
          </w:tcPr>
          <w:p w14:paraId="4BAF9371">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898" w:type="dxa"/>
            <w:vAlign w:val="center"/>
          </w:tcPr>
          <w:p w14:paraId="29B82361">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r>
      <w:tr w14:paraId="02C1C3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588" w:type="dxa"/>
            <w:vMerge w:val="restart"/>
            <w:vAlign w:val="center"/>
          </w:tcPr>
          <w:p w14:paraId="063F7189">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一般工业</w:t>
            </w:r>
          </w:p>
          <w:p w14:paraId="4AF34326">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固体废物</w:t>
            </w:r>
          </w:p>
        </w:tc>
        <w:tc>
          <w:tcPr>
            <w:tcW w:w="1417" w:type="dxa"/>
            <w:vAlign w:val="center"/>
          </w:tcPr>
          <w:p w14:paraId="7163F35A">
            <w:pPr>
              <w:pStyle w:val="47"/>
              <w:spacing w:beforeLines="0" w:afterLines="0" w:line="240" w:lineRule="auto"/>
              <w:rPr>
                <w:rFonts w:asciiTheme="majorBidi" w:hAnsiTheme="majorBidi" w:cstheme="majorBidi"/>
                <w:snapToGrid w:val="0"/>
                <w:color w:val="auto"/>
                <w:kern w:val="21"/>
                <w:szCs w:val="21"/>
              </w:rPr>
            </w:pPr>
            <w:r>
              <w:rPr>
                <w:rFonts w:ascii="Times New Roman"/>
                <w:color w:val="auto"/>
                <w:szCs w:val="21"/>
              </w:rPr>
              <w:t>废边角料</w:t>
            </w:r>
          </w:p>
        </w:tc>
        <w:tc>
          <w:tcPr>
            <w:tcW w:w="1701" w:type="dxa"/>
            <w:vAlign w:val="center"/>
          </w:tcPr>
          <w:p w14:paraId="227BA8C7">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66.7</w:t>
            </w:r>
          </w:p>
        </w:tc>
        <w:tc>
          <w:tcPr>
            <w:tcW w:w="1276" w:type="dxa"/>
            <w:vAlign w:val="center"/>
          </w:tcPr>
          <w:p w14:paraId="7D068F1D">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701" w:type="dxa"/>
            <w:vAlign w:val="center"/>
          </w:tcPr>
          <w:p w14:paraId="7FAD4DE8">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559" w:type="dxa"/>
            <w:vAlign w:val="center"/>
          </w:tcPr>
          <w:p w14:paraId="3692BF95">
            <w:pPr>
              <w:pStyle w:val="47"/>
              <w:spacing w:beforeLines="0" w:afterLines="0" w:line="240" w:lineRule="auto"/>
              <w:rPr>
                <w:rFonts w:asciiTheme="majorBidi" w:hAnsiTheme="majorBidi" w:cstheme="majorBidi"/>
                <w:snapToGrid w:val="0"/>
                <w:color w:val="auto"/>
                <w:kern w:val="21"/>
                <w:szCs w:val="21"/>
              </w:rPr>
            </w:pPr>
            <w:r>
              <w:rPr>
                <w:rFonts w:hint="eastAsia" w:asciiTheme="majorBidi" w:hAnsiTheme="majorBidi" w:cstheme="majorBidi"/>
                <w:snapToGrid w:val="0"/>
                <w:color w:val="auto"/>
                <w:kern w:val="21"/>
                <w:szCs w:val="21"/>
              </w:rPr>
              <w:t>150</w:t>
            </w:r>
          </w:p>
        </w:tc>
        <w:tc>
          <w:tcPr>
            <w:tcW w:w="1761" w:type="dxa"/>
            <w:vAlign w:val="center"/>
          </w:tcPr>
          <w:p w14:paraId="36CC8C2C">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66.7</w:t>
            </w:r>
          </w:p>
        </w:tc>
        <w:tc>
          <w:tcPr>
            <w:tcW w:w="1887" w:type="dxa"/>
            <w:vAlign w:val="center"/>
          </w:tcPr>
          <w:p w14:paraId="602A540A">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150</w:t>
            </w:r>
          </w:p>
        </w:tc>
        <w:tc>
          <w:tcPr>
            <w:tcW w:w="898" w:type="dxa"/>
            <w:vAlign w:val="center"/>
          </w:tcPr>
          <w:p w14:paraId="52E6FE97">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+83.3</w:t>
            </w:r>
          </w:p>
        </w:tc>
      </w:tr>
      <w:tr w14:paraId="4B2E35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588" w:type="dxa"/>
            <w:vMerge w:val="continue"/>
            <w:vAlign w:val="center"/>
          </w:tcPr>
          <w:p w14:paraId="5E74998D">
            <w:pPr>
              <w:pStyle w:val="47"/>
              <w:spacing w:beforeLines="0" w:afterLines="0" w:line="240" w:lineRule="auto"/>
              <w:rPr>
                <w:rFonts w:asciiTheme="majorBidi" w:hAnsiTheme="majorBidi" w:cstheme="majorBidi"/>
                <w:snapToGrid w:val="0"/>
                <w:color w:val="auto"/>
                <w:kern w:val="21"/>
                <w:szCs w:val="21"/>
              </w:rPr>
            </w:pPr>
          </w:p>
        </w:tc>
        <w:tc>
          <w:tcPr>
            <w:tcW w:w="1417" w:type="dxa"/>
            <w:vAlign w:val="center"/>
          </w:tcPr>
          <w:p w14:paraId="3A339097">
            <w:pPr>
              <w:pStyle w:val="47"/>
              <w:spacing w:beforeLines="0" w:afterLines="0" w:line="240" w:lineRule="auto"/>
              <w:rPr>
                <w:rFonts w:asciiTheme="majorBidi" w:hAnsiTheme="majorBidi" w:cstheme="majorBidi"/>
                <w:snapToGrid w:val="0"/>
                <w:color w:val="auto"/>
                <w:kern w:val="21"/>
                <w:szCs w:val="21"/>
              </w:rPr>
            </w:pPr>
            <w:r>
              <w:rPr>
                <w:rFonts w:ascii="Times New Roman"/>
                <w:color w:val="auto"/>
                <w:szCs w:val="21"/>
              </w:rPr>
              <w:t>不合格产品</w:t>
            </w:r>
          </w:p>
        </w:tc>
        <w:tc>
          <w:tcPr>
            <w:tcW w:w="1701" w:type="dxa"/>
            <w:vAlign w:val="center"/>
          </w:tcPr>
          <w:p w14:paraId="673EBD94">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506.7</w:t>
            </w:r>
          </w:p>
        </w:tc>
        <w:tc>
          <w:tcPr>
            <w:tcW w:w="1276" w:type="dxa"/>
            <w:vAlign w:val="center"/>
          </w:tcPr>
          <w:p w14:paraId="6CFBD6F7">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701" w:type="dxa"/>
            <w:vAlign w:val="center"/>
          </w:tcPr>
          <w:p w14:paraId="1472B9C5">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559" w:type="dxa"/>
            <w:vAlign w:val="center"/>
          </w:tcPr>
          <w:p w14:paraId="104D6DBF">
            <w:pPr>
              <w:pStyle w:val="47"/>
              <w:spacing w:beforeLines="0" w:afterLines="0" w:line="240" w:lineRule="auto"/>
              <w:rPr>
                <w:rFonts w:asciiTheme="majorBidi" w:hAnsiTheme="majorBidi" w:cstheme="majorBidi"/>
                <w:snapToGrid w:val="0"/>
                <w:color w:val="auto"/>
                <w:kern w:val="21"/>
                <w:szCs w:val="21"/>
              </w:rPr>
            </w:pPr>
            <w:r>
              <w:rPr>
                <w:rFonts w:hint="eastAsia" w:asciiTheme="majorBidi" w:hAnsiTheme="majorBidi" w:cstheme="majorBidi"/>
                <w:snapToGrid w:val="0"/>
                <w:color w:val="auto"/>
                <w:kern w:val="21"/>
                <w:szCs w:val="21"/>
              </w:rPr>
              <w:t>847</w:t>
            </w:r>
          </w:p>
        </w:tc>
        <w:tc>
          <w:tcPr>
            <w:tcW w:w="1761" w:type="dxa"/>
            <w:vAlign w:val="center"/>
          </w:tcPr>
          <w:p w14:paraId="0577EE30">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506.7</w:t>
            </w:r>
          </w:p>
        </w:tc>
        <w:tc>
          <w:tcPr>
            <w:tcW w:w="1887" w:type="dxa"/>
            <w:vAlign w:val="center"/>
          </w:tcPr>
          <w:p w14:paraId="64F96AF2">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847</w:t>
            </w:r>
          </w:p>
        </w:tc>
        <w:tc>
          <w:tcPr>
            <w:tcW w:w="898" w:type="dxa"/>
            <w:vAlign w:val="center"/>
          </w:tcPr>
          <w:p w14:paraId="4F88B901">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+340.3</w:t>
            </w:r>
          </w:p>
        </w:tc>
      </w:tr>
      <w:tr w14:paraId="51F779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46BBDD90">
            <w:pPr>
              <w:pStyle w:val="47"/>
              <w:spacing w:beforeLines="0" w:afterLines="0" w:line="240" w:lineRule="auto"/>
              <w:rPr>
                <w:rFonts w:asciiTheme="majorBidi" w:hAnsiTheme="majorBidi" w:cstheme="majorBidi"/>
                <w:snapToGrid w:val="0"/>
                <w:color w:val="auto"/>
                <w:kern w:val="21"/>
                <w:szCs w:val="21"/>
              </w:rPr>
            </w:pPr>
          </w:p>
        </w:tc>
        <w:tc>
          <w:tcPr>
            <w:tcW w:w="1417" w:type="dxa"/>
            <w:vAlign w:val="center"/>
          </w:tcPr>
          <w:p w14:paraId="302FB6B4">
            <w:pPr>
              <w:pStyle w:val="47"/>
              <w:spacing w:beforeLines="0" w:afterLines="0" w:line="240" w:lineRule="auto"/>
              <w:rPr>
                <w:rFonts w:asciiTheme="majorBidi" w:hAnsiTheme="majorBidi" w:cstheme="majorBidi"/>
                <w:snapToGrid w:val="0"/>
                <w:color w:val="auto"/>
                <w:kern w:val="21"/>
                <w:szCs w:val="21"/>
              </w:rPr>
            </w:pPr>
            <w:r>
              <w:rPr>
                <w:rFonts w:ascii="Times New Roman"/>
                <w:color w:val="auto"/>
                <w:szCs w:val="21"/>
              </w:rPr>
              <w:t>循环水池金属沉渣</w:t>
            </w:r>
          </w:p>
        </w:tc>
        <w:tc>
          <w:tcPr>
            <w:tcW w:w="1701" w:type="dxa"/>
            <w:vAlign w:val="center"/>
          </w:tcPr>
          <w:p w14:paraId="3180E59E">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1</w:t>
            </w:r>
          </w:p>
        </w:tc>
        <w:tc>
          <w:tcPr>
            <w:tcW w:w="1276" w:type="dxa"/>
            <w:vAlign w:val="center"/>
          </w:tcPr>
          <w:p w14:paraId="38F5AA27">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701" w:type="dxa"/>
            <w:vAlign w:val="center"/>
          </w:tcPr>
          <w:p w14:paraId="438D6625">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559" w:type="dxa"/>
            <w:vAlign w:val="center"/>
          </w:tcPr>
          <w:p w14:paraId="22947A53">
            <w:pPr>
              <w:pStyle w:val="47"/>
              <w:spacing w:beforeLines="0" w:afterLines="0" w:line="240" w:lineRule="auto"/>
              <w:rPr>
                <w:rFonts w:asciiTheme="majorBidi" w:hAnsiTheme="majorBidi" w:cstheme="majorBidi"/>
                <w:snapToGrid w:val="0"/>
                <w:color w:val="auto"/>
                <w:kern w:val="21"/>
                <w:szCs w:val="21"/>
              </w:rPr>
            </w:pPr>
            <w:r>
              <w:rPr>
                <w:rFonts w:hint="eastAsia" w:asciiTheme="majorBidi" w:hAnsiTheme="majorBidi" w:cstheme="majorBidi"/>
                <w:snapToGrid w:val="0"/>
                <w:color w:val="auto"/>
                <w:kern w:val="21"/>
                <w:szCs w:val="21"/>
              </w:rPr>
              <w:t>2.1</w:t>
            </w:r>
          </w:p>
        </w:tc>
        <w:tc>
          <w:tcPr>
            <w:tcW w:w="1761" w:type="dxa"/>
            <w:vAlign w:val="center"/>
          </w:tcPr>
          <w:p w14:paraId="352596AC">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1</w:t>
            </w:r>
          </w:p>
        </w:tc>
        <w:tc>
          <w:tcPr>
            <w:tcW w:w="1887" w:type="dxa"/>
            <w:vAlign w:val="center"/>
          </w:tcPr>
          <w:p w14:paraId="7E121A20">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2.1</w:t>
            </w:r>
          </w:p>
        </w:tc>
        <w:tc>
          <w:tcPr>
            <w:tcW w:w="898" w:type="dxa"/>
            <w:vAlign w:val="center"/>
          </w:tcPr>
          <w:p w14:paraId="17812F12">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+1.1</w:t>
            </w:r>
          </w:p>
        </w:tc>
      </w:tr>
      <w:tr w14:paraId="36301D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1588" w:type="dxa"/>
            <w:vMerge w:val="continue"/>
            <w:vAlign w:val="center"/>
          </w:tcPr>
          <w:p w14:paraId="1DF5DF9C">
            <w:pPr>
              <w:pStyle w:val="47"/>
              <w:spacing w:beforeLines="0" w:afterLines="0" w:line="240" w:lineRule="auto"/>
              <w:rPr>
                <w:rFonts w:asciiTheme="majorBidi" w:hAnsiTheme="majorBidi" w:cstheme="majorBidi"/>
                <w:snapToGrid w:val="0"/>
                <w:color w:val="auto"/>
                <w:kern w:val="21"/>
                <w:szCs w:val="21"/>
              </w:rPr>
            </w:pPr>
          </w:p>
        </w:tc>
        <w:tc>
          <w:tcPr>
            <w:tcW w:w="1417" w:type="dxa"/>
            <w:vAlign w:val="center"/>
          </w:tcPr>
          <w:p w14:paraId="7C902C93">
            <w:pPr>
              <w:pStyle w:val="47"/>
              <w:spacing w:beforeLines="0" w:afterLines="0" w:line="240" w:lineRule="auto"/>
              <w:rPr>
                <w:rFonts w:asciiTheme="majorBidi" w:hAnsiTheme="majorBidi" w:cstheme="majorBidi"/>
                <w:color w:val="auto"/>
              </w:rPr>
            </w:pPr>
            <w:r>
              <w:rPr>
                <w:rFonts w:ascii="Times New Roman"/>
                <w:color w:val="auto"/>
                <w:szCs w:val="21"/>
              </w:rPr>
              <w:t>除尘灰</w:t>
            </w:r>
          </w:p>
        </w:tc>
        <w:tc>
          <w:tcPr>
            <w:tcW w:w="1701" w:type="dxa"/>
            <w:vAlign w:val="center"/>
          </w:tcPr>
          <w:p w14:paraId="420AF97D">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0</w:t>
            </w:r>
          </w:p>
        </w:tc>
        <w:tc>
          <w:tcPr>
            <w:tcW w:w="1276" w:type="dxa"/>
            <w:vAlign w:val="center"/>
          </w:tcPr>
          <w:p w14:paraId="3A121471">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701" w:type="dxa"/>
            <w:vAlign w:val="center"/>
          </w:tcPr>
          <w:p w14:paraId="62A6F955">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559" w:type="dxa"/>
            <w:vAlign w:val="center"/>
          </w:tcPr>
          <w:p w14:paraId="3AB81A41">
            <w:pPr>
              <w:pStyle w:val="47"/>
              <w:spacing w:beforeLines="0" w:afterLines="0" w:line="240" w:lineRule="auto"/>
              <w:rPr>
                <w:rFonts w:asciiTheme="majorBidi" w:hAnsiTheme="majorBidi" w:cstheme="majorBidi"/>
                <w:color w:val="auto"/>
                <w:szCs w:val="21"/>
              </w:rPr>
            </w:pPr>
            <w:r>
              <w:rPr>
                <w:rFonts w:hint="eastAsia" w:asciiTheme="majorBidi" w:hAnsiTheme="majorBidi" w:cstheme="majorBidi"/>
                <w:color w:val="auto"/>
                <w:szCs w:val="21"/>
              </w:rPr>
              <w:t>0.879</w:t>
            </w:r>
          </w:p>
        </w:tc>
        <w:tc>
          <w:tcPr>
            <w:tcW w:w="1761" w:type="dxa"/>
            <w:vAlign w:val="center"/>
          </w:tcPr>
          <w:p w14:paraId="43D40A6D">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0</w:t>
            </w:r>
          </w:p>
        </w:tc>
        <w:tc>
          <w:tcPr>
            <w:tcW w:w="1887" w:type="dxa"/>
            <w:vAlign w:val="center"/>
          </w:tcPr>
          <w:p w14:paraId="38A0D722">
            <w:pPr>
              <w:pStyle w:val="47"/>
              <w:spacing w:beforeLines="0" w:afterLines="0" w:line="240" w:lineRule="auto"/>
              <w:rPr>
                <w:rFonts w:asciiTheme="majorBidi" w:hAnsiTheme="majorBidi" w:cstheme="majorBidi"/>
                <w:color w:val="auto"/>
                <w:szCs w:val="21"/>
              </w:rPr>
            </w:pPr>
            <w:r>
              <w:rPr>
                <w:rFonts w:hint="eastAsia" w:ascii="Times New Roman"/>
                <w:color w:val="auto"/>
                <w:szCs w:val="21"/>
              </w:rPr>
              <w:t>0.879</w:t>
            </w:r>
          </w:p>
        </w:tc>
        <w:tc>
          <w:tcPr>
            <w:tcW w:w="898" w:type="dxa"/>
            <w:vAlign w:val="center"/>
          </w:tcPr>
          <w:p w14:paraId="0D69FD89">
            <w:pPr>
              <w:pStyle w:val="47"/>
              <w:spacing w:beforeLines="0" w:afterLines="0" w:line="240" w:lineRule="auto"/>
              <w:rPr>
                <w:rFonts w:asciiTheme="majorBidi" w:hAnsiTheme="majorBidi" w:cstheme="majorBidi"/>
                <w:color w:val="auto"/>
                <w:szCs w:val="21"/>
              </w:rPr>
            </w:pPr>
            <w:r>
              <w:rPr>
                <w:rFonts w:hint="eastAsia" w:ascii="Times New Roman"/>
                <w:color w:val="auto"/>
                <w:szCs w:val="21"/>
              </w:rPr>
              <w:t>+0.879</w:t>
            </w:r>
          </w:p>
        </w:tc>
      </w:tr>
      <w:tr w14:paraId="3AE345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1588" w:type="dxa"/>
            <w:vMerge w:val="continue"/>
            <w:vAlign w:val="center"/>
          </w:tcPr>
          <w:p w14:paraId="36CC16E2">
            <w:pPr>
              <w:pStyle w:val="47"/>
              <w:spacing w:beforeLines="0" w:afterLines="0" w:line="240" w:lineRule="auto"/>
              <w:rPr>
                <w:rFonts w:asciiTheme="majorBidi" w:hAnsiTheme="majorBidi" w:cstheme="majorBidi"/>
                <w:snapToGrid w:val="0"/>
                <w:color w:val="auto"/>
                <w:kern w:val="21"/>
                <w:szCs w:val="21"/>
              </w:rPr>
            </w:pPr>
          </w:p>
        </w:tc>
        <w:tc>
          <w:tcPr>
            <w:tcW w:w="1417" w:type="dxa"/>
            <w:vAlign w:val="center"/>
          </w:tcPr>
          <w:p w14:paraId="4E96B87D">
            <w:pPr>
              <w:pStyle w:val="47"/>
              <w:spacing w:beforeLines="0" w:afterLines="0" w:line="240" w:lineRule="auto"/>
              <w:rPr>
                <w:rFonts w:asciiTheme="majorBidi" w:hAnsiTheme="majorBidi" w:cstheme="majorBidi"/>
                <w:color w:val="auto"/>
              </w:rPr>
            </w:pPr>
            <w:r>
              <w:rPr>
                <w:rFonts w:ascii="Times New Roman"/>
                <w:snapToGrid w:val="0"/>
                <w:color w:val="auto"/>
                <w:kern w:val="21"/>
                <w:szCs w:val="21"/>
              </w:rPr>
              <w:t>化粪池污泥</w:t>
            </w:r>
          </w:p>
        </w:tc>
        <w:tc>
          <w:tcPr>
            <w:tcW w:w="1701" w:type="dxa"/>
            <w:vAlign w:val="center"/>
          </w:tcPr>
          <w:p w14:paraId="073082D5">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0</w:t>
            </w:r>
          </w:p>
        </w:tc>
        <w:tc>
          <w:tcPr>
            <w:tcW w:w="1276" w:type="dxa"/>
            <w:vAlign w:val="center"/>
          </w:tcPr>
          <w:p w14:paraId="6B17DCAC">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701" w:type="dxa"/>
            <w:vAlign w:val="center"/>
          </w:tcPr>
          <w:p w14:paraId="0D79B4A3">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559" w:type="dxa"/>
            <w:vAlign w:val="center"/>
          </w:tcPr>
          <w:p w14:paraId="11139853">
            <w:pPr>
              <w:pStyle w:val="47"/>
              <w:spacing w:beforeLines="0" w:afterLines="0" w:line="240" w:lineRule="auto"/>
              <w:rPr>
                <w:rFonts w:asciiTheme="majorBidi" w:hAnsiTheme="majorBidi" w:cstheme="majorBidi"/>
                <w:color w:val="auto"/>
                <w:szCs w:val="21"/>
              </w:rPr>
            </w:pPr>
            <w:r>
              <w:rPr>
                <w:rFonts w:hint="eastAsia" w:asciiTheme="majorBidi" w:hAnsiTheme="majorBidi" w:cstheme="majorBidi"/>
                <w:color w:val="auto"/>
                <w:szCs w:val="21"/>
              </w:rPr>
              <w:t>0.197</w:t>
            </w:r>
          </w:p>
        </w:tc>
        <w:tc>
          <w:tcPr>
            <w:tcW w:w="1761" w:type="dxa"/>
            <w:vAlign w:val="center"/>
          </w:tcPr>
          <w:p w14:paraId="37C76A17">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0</w:t>
            </w:r>
          </w:p>
        </w:tc>
        <w:tc>
          <w:tcPr>
            <w:tcW w:w="1887" w:type="dxa"/>
            <w:vAlign w:val="center"/>
          </w:tcPr>
          <w:p w14:paraId="783DC832">
            <w:pPr>
              <w:pStyle w:val="47"/>
              <w:spacing w:beforeLines="0" w:afterLines="0" w:line="240" w:lineRule="auto"/>
              <w:rPr>
                <w:rFonts w:asciiTheme="majorBidi" w:hAnsiTheme="majorBidi" w:cstheme="majorBidi"/>
                <w:color w:val="auto"/>
                <w:szCs w:val="21"/>
              </w:rPr>
            </w:pPr>
            <w:r>
              <w:rPr>
                <w:rFonts w:hint="eastAsia" w:ascii="Times New Roman"/>
                <w:snapToGrid w:val="0"/>
                <w:color w:val="auto"/>
                <w:kern w:val="21"/>
                <w:szCs w:val="21"/>
              </w:rPr>
              <w:t>0.197</w:t>
            </w:r>
          </w:p>
        </w:tc>
        <w:tc>
          <w:tcPr>
            <w:tcW w:w="898" w:type="dxa"/>
            <w:vAlign w:val="center"/>
          </w:tcPr>
          <w:p w14:paraId="7536302E">
            <w:pPr>
              <w:pStyle w:val="47"/>
              <w:spacing w:beforeLines="0" w:afterLines="0" w:line="240" w:lineRule="auto"/>
              <w:rPr>
                <w:rFonts w:asciiTheme="majorBidi" w:hAnsiTheme="majorBidi" w:cstheme="majorBidi"/>
                <w:color w:val="auto"/>
                <w:szCs w:val="21"/>
              </w:rPr>
            </w:pPr>
            <w:r>
              <w:rPr>
                <w:rFonts w:hint="eastAsia" w:ascii="Times New Roman"/>
                <w:snapToGrid w:val="0"/>
                <w:color w:val="auto"/>
                <w:kern w:val="21"/>
                <w:szCs w:val="21"/>
              </w:rPr>
              <w:t>+0.065</w:t>
            </w:r>
          </w:p>
        </w:tc>
      </w:tr>
      <w:tr w14:paraId="7A98A8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88" w:type="dxa"/>
            <w:vMerge w:val="restart"/>
            <w:vAlign w:val="center"/>
          </w:tcPr>
          <w:p w14:paraId="38D6F1DB">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危险废物</w:t>
            </w:r>
          </w:p>
        </w:tc>
        <w:tc>
          <w:tcPr>
            <w:tcW w:w="1417" w:type="dxa"/>
            <w:vAlign w:val="center"/>
          </w:tcPr>
          <w:p w14:paraId="29091E66">
            <w:pPr>
              <w:pStyle w:val="47"/>
              <w:spacing w:beforeLines="0" w:afterLines="0" w:line="240" w:lineRule="auto"/>
              <w:rPr>
                <w:rFonts w:asciiTheme="majorBidi" w:hAnsiTheme="majorBidi" w:cstheme="majorBidi"/>
                <w:snapToGrid w:val="0"/>
                <w:color w:val="auto"/>
                <w:kern w:val="21"/>
                <w:szCs w:val="21"/>
              </w:rPr>
            </w:pPr>
            <w:r>
              <w:rPr>
                <w:rFonts w:ascii="Times New Roman"/>
                <w:snapToGrid w:val="0"/>
                <w:color w:val="auto"/>
                <w:kern w:val="21"/>
                <w:szCs w:val="21"/>
              </w:rPr>
              <w:t>废机油</w:t>
            </w:r>
          </w:p>
        </w:tc>
        <w:tc>
          <w:tcPr>
            <w:tcW w:w="1701" w:type="dxa"/>
            <w:vAlign w:val="center"/>
          </w:tcPr>
          <w:p w14:paraId="5DDFFF9A">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0.1</w:t>
            </w:r>
          </w:p>
        </w:tc>
        <w:tc>
          <w:tcPr>
            <w:tcW w:w="1276" w:type="dxa"/>
            <w:vAlign w:val="center"/>
          </w:tcPr>
          <w:p w14:paraId="755D9AE6">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701" w:type="dxa"/>
            <w:vAlign w:val="center"/>
          </w:tcPr>
          <w:p w14:paraId="230C4F3C">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559" w:type="dxa"/>
            <w:vAlign w:val="center"/>
          </w:tcPr>
          <w:p w14:paraId="2A487702">
            <w:pPr>
              <w:pStyle w:val="47"/>
              <w:spacing w:beforeLines="0" w:afterLines="0" w:line="240" w:lineRule="auto"/>
              <w:rPr>
                <w:rFonts w:asciiTheme="majorBidi" w:hAnsiTheme="majorBidi" w:cstheme="majorBidi"/>
                <w:snapToGrid w:val="0"/>
                <w:color w:val="auto"/>
                <w:kern w:val="21"/>
                <w:szCs w:val="21"/>
              </w:rPr>
            </w:pPr>
            <w:r>
              <w:rPr>
                <w:rFonts w:hint="eastAsia" w:asciiTheme="majorBidi" w:hAnsiTheme="majorBidi" w:cstheme="majorBidi"/>
                <w:snapToGrid w:val="0"/>
                <w:color w:val="auto"/>
                <w:kern w:val="21"/>
                <w:szCs w:val="21"/>
              </w:rPr>
              <w:t>0.2</w:t>
            </w:r>
          </w:p>
        </w:tc>
        <w:tc>
          <w:tcPr>
            <w:tcW w:w="1761" w:type="dxa"/>
            <w:vAlign w:val="center"/>
          </w:tcPr>
          <w:p w14:paraId="390A42C5">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0.1</w:t>
            </w:r>
          </w:p>
        </w:tc>
        <w:tc>
          <w:tcPr>
            <w:tcW w:w="1887" w:type="dxa"/>
            <w:vAlign w:val="center"/>
          </w:tcPr>
          <w:p w14:paraId="59B05E80">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0.2</w:t>
            </w:r>
          </w:p>
        </w:tc>
        <w:tc>
          <w:tcPr>
            <w:tcW w:w="898" w:type="dxa"/>
            <w:vAlign w:val="center"/>
          </w:tcPr>
          <w:p w14:paraId="5E2633A8">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+0.1</w:t>
            </w:r>
          </w:p>
        </w:tc>
      </w:tr>
      <w:tr w14:paraId="0A8760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1588" w:type="dxa"/>
            <w:vMerge w:val="continue"/>
            <w:vAlign w:val="center"/>
          </w:tcPr>
          <w:p w14:paraId="5D532B1A">
            <w:pPr>
              <w:pStyle w:val="47"/>
              <w:spacing w:beforeLines="0" w:afterLines="0" w:line="240" w:lineRule="auto"/>
              <w:rPr>
                <w:rFonts w:asciiTheme="majorBidi" w:hAnsiTheme="majorBidi" w:cstheme="majorBidi"/>
                <w:snapToGrid w:val="0"/>
                <w:color w:val="auto"/>
                <w:kern w:val="21"/>
                <w:szCs w:val="21"/>
              </w:rPr>
            </w:pPr>
          </w:p>
        </w:tc>
        <w:tc>
          <w:tcPr>
            <w:tcW w:w="1417" w:type="dxa"/>
            <w:vAlign w:val="center"/>
          </w:tcPr>
          <w:p w14:paraId="5AA97D01">
            <w:pPr>
              <w:pStyle w:val="47"/>
              <w:spacing w:beforeLines="0" w:afterLines="0" w:line="240" w:lineRule="auto"/>
              <w:rPr>
                <w:rFonts w:asciiTheme="majorBidi" w:hAnsiTheme="majorBidi" w:cstheme="majorBidi"/>
                <w:snapToGrid w:val="0"/>
                <w:color w:val="auto"/>
                <w:kern w:val="21"/>
                <w:szCs w:val="21"/>
              </w:rPr>
            </w:pPr>
            <w:r>
              <w:rPr>
                <w:rFonts w:ascii="Times New Roman"/>
                <w:snapToGrid w:val="0"/>
                <w:color w:val="auto"/>
                <w:kern w:val="21"/>
                <w:szCs w:val="21"/>
              </w:rPr>
              <w:t>废机油桶</w:t>
            </w:r>
          </w:p>
        </w:tc>
        <w:tc>
          <w:tcPr>
            <w:tcW w:w="1701" w:type="dxa"/>
            <w:vAlign w:val="center"/>
          </w:tcPr>
          <w:p w14:paraId="332D732B">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0.02</w:t>
            </w:r>
          </w:p>
        </w:tc>
        <w:tc>
          <w:tcPr>
            <w:tcW w:w="1276" w:type="dxa"/>
            <w:vAlign w:val="center"/>
          </w:tcPr>
          <w:p w14:paraId="71A8105C">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701" w:type="dxa"/>
            <w:vAlign w:val="center"/>
          </w:tcPr>
          <w:p w14:paraId="57888E29">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559" w:type="dxa"/>
            <w:vAlign w:val="center"/>
          </w:tcPr>
          <w:p w14:paraId="2CC294BC">
            <w:pPr>
              <w:pStyle w:val="47"/>
              <w:spacing w:beforeLines="0" w:afterLines="0" w:line="240" w:lineRule="auto"/>
              <w:rPr>
                <w:rFonts w:ascii="Times New Roman"/>
                <w:snapToGrid w:val="0"/>
                <w:color w:val="auto"/>
                <w:kern w:val="21"/>
                <w:szCs w:val="21"/>
              </w:rPr>
            </w:pPr>
            <w:r>
              <w:rPr>
                <w:rFonts w:hint="eastAsia" w:ascii="Times New Roman"/>
                <w:snapToGrid w:val="0"/>
                <w:color w:val="auto"/>
                <w:kern w:val="21"/>
                <w:szCs w:val="21"/>
              </w:rPr>
              <w:t>0.1</w:t>
            </w:r>
          </w:p>
        </w:tc>
        <w:tc>
          <w:tcPr>
            <w:tcW w:w="1761" w:type="dxa"/>
            <w:vAlign w:val="center"/>
          </w:tcPr>
          <w:p w14:paraId="3FD0C1F8">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0.02</w:t>
            </w:r>
          </w:p>
        </w:tc>
        <w:tc>
          <w:tcPr>
            <w:tcW w:w="1887" w:type="dxa"/>
            <w:vAlign w:val="center"/>
          </w:tcPr>
          <w:p w14:paraId="46AE207C">
            <w:pPr>
              <w:pStyle w:val="47"/>
              <w:spacing w:beforeLines="0" w:afterLines="0" w:line="240" w:lineRule="auto"/>
              <w:rPr>
                <w:rFonts w:asciiTheme="majorBidi" w:hAnsiTheme="majorBidi" w:cstheme="majorBidi"/>
                <w:color w:val="auto"/>
                <w:szCs w:val="21"/>
                <w:lang w:bidi="ar"/>
              </w:rPr>
            </w:pPr>
            <w:r>
              <w:rPr>
                <w:rFonts w:hint="eastAsia" w:ascii="Times New Roman"/>
                <w:snapToGrid w:val="0"/>
                <w:color w:val="auto"/>
                <w:kern w:val="21"/>
                <w:szCs w:val="21"/>
              </w:rPr>
              <w:t>0.1</w:t>
            </w:r>
          </w:p>
        </w:tc>
        <w:tc>
          <w:tcPr>
            <w:tcW w:w="898" w:type="dxa"/>
            <w:vAlign w:val="center"/>
          </w:tcPr>
          <w:p w14:paraId="21210346">
            <w:pPr>
              <w:pStyle w:val="47"/>
              <w:spacing w:beforeLines="0" w:afterLines="0" w:line="240" w:lineRule="auto"/>
              <w:rPr>
                <w:rFonts w:asciiTheme="majorBidi" w:hAnsiTheme="majorBidi" w:cstheme="majorBidi"/>
                <w:color w:val="auto"/>
                <w:szCs w:val="21"/>
                <w:lang w:bidi="ar"/>
              </w:rPr>
            </w:pPr>
            <w:r>
              <w:rPr>
                <w:rFonts w:hint="eastAsia" w:ascii="Times New Roman"/>
                <w:snapToGrid w:val="0"/>
                <w:color w:val="auto"/>
                <w:kern w:val="21"/>
                <w:szCs w:val="21"/>
              </w:rPr>
              <w:t>+0.08</w:t>
            </w:r>
          </w:p>
        </w:tc>
      </w:tr>
      <w:tr w14:paraId="34C828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588" w:type="dxa"/>
            <w:vMerge w:val="continue"/>
            <w:vAlign w:val="center"/>
          </w:tcPr>
          <w:p w14:paraId="4D75886B">
            <w:pPr>
              <w:pStyle w:val="47"/>
              <w:spacing w:beforeLines="0" w:afterLines="0" w:line="240" w:lineRule="auto"/>
              <w:rPr>
                <w:rFonts w:asciiTheme="majorBidi" w:hAnsiTheme="majorBidi" w:cstheme="majorBidi"/>
                <w:snapToGrid w:val="0"/>
                <w:color w:val="auto"/>
                <w:kern w:val="21"/>
                <w:szCs w:val="21"/>
              </w:rPr>
            </w:pPr>
          </w:p>
        </w:tc>
        <w:tc>
          <w:tcPr>
            <w:tcW w:w="1417" w:type="dxa"/>
            <w:vAlign w:val="center"/>
          </w:tcPr>
          <w:p w14:paraId="30FF59B2">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废劳保用品</w:t>
            </w:r>
          </w:p>
        </w:tc>
        <w:tc>
          <w:tcPr>
            <w:tcW w:w="1701" w:type="dxa"/>
            <w:vAlign w:val="center"/>
          </w:tcPr>
          <w:p w14:paraId="4F20DFEC">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0.04</w:t>
            </w:r>
          </w:p>
        </w:tc>
        <w:tc>
          <w:tcPr>
            <w:tcW w:w="1276" w:type="dxa"/>
            <w:vAlign w:val="center"/>
          </w:tcPr>
          <w:p w14:paraId="3B3B4DE8">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701" w:type="dxa"/>
            <w:vAlign w:val="center"/>
          </w:tcPr>
          <w:p w14:paraId="6D2889B5">
            <w:pPr>
              <w:pStyle w:val="47"/>
              <w:spacing w:beforeLines="0" w:afterLines="0" w:line="240" w:lineRule="auto"/>
              <w:rPr>
                <w:rFonts w:asciiTheme="majorBidi" w:hAnsiTheme="majorBidi" w:cstheme="majorBidi"/>
                <w:snapToGrid w:val="0"/>
                <w:color w:val="auto"/>
                <w:kern w:val="21"/>
                <w:szCs w:val="21"/>
              </w:rPr>
            </w:pPr>
            <w:r>
              <w:rPr>
                <w:rFonts w:asciiTheme="majorBidi" w:hAnsiTheme="majorBidi" w:cstheme="majorBidi"/>
                <w:snapToGrid w:val="0"/>
                <w:color w:val="auto"/>
                <w:kern w:val="21"/>
                <w:szCs w:val="21"/>
              </w:rPr>
              <w:t>/</w:t>
            </w:r>
          </w:p>
        </w:tc>
        <w:tc>
          <w:tcPr>
            <w:tcW w:w="1559" w:type="dxa"/>
            <w:vAlign w:val="center"/>
          </w:tcPr>
          <w:p w14:paraId="4737C915">
            <w:pPr>
              <w:pStyle w:val="47"/>
              <w:spacing w:beforeLines="0" w:afterLines="0" w:line="240" w:lineRule="auto"/>
              <w:rPr>
                <w:rFonts w:asciiTheme="majorBidi" w:hAnsiTheme="majorBidi" w:cstheme="majorBidi"/>
                <w:snapToGrid w:val="0"/>
                <w:color w:val="auto"/>
                <w:kern w:val="21"/>
                <w:szCs w:val="21"/>
              </w:rPr>
            </w:pPr>
            <w:r>
              <w:rPr>
                <w:rFonts w:hint="eastAsia" w:asciiTheme="majorBidi" w:hAnsiTheme="majorBidi" w:cstheme="majorBidi"/>
                <w:snapToGrid w:val="0"/>
                <w:color w:val="auto"/>
                <w:kern w:val="21"/>
                <w:szCs w:val="21"/>
              </w:rPr>
              <w:t>0.07</w:t>
            </w:r>
          </w:p>
        </w:tc>
        <w:tc>
          <w:tcPr>
            <w:tcW w:w="1761" w:type="dxa"/>
            <w:vAlign w:val="center"/>
          </w:tcPr>
          <w:p w14:paraId="422A0CDC">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0.04</w:t>
            </w:r>
          </w:p>
        </w:tc>
        <w:tc>
          <w:tcPr>
            <w:tcW w:w="1887" w:type="dxa"/>
            <w:vAlign w:val="center"/>
          </w:tcPr>
          <w:p w14:paraId="623C32C8">
            <w:pPr>
              <w:pStyle w:val="47"/>
              <w:spacing w:beforeLines="0" w:afterLines="0" w:line="240" w:lineRule="auto"/>
              <w:rPr>
                <w:rFonts w:asciiTheme="majorBidi" w:hAnsiTheme="majorBidi" w:cstheme="majorBidi"/>
                <w:snapToGrid w:val="0"/>
                <w:color w:val="auto"/>
                <w:kern w:val="21"/>
                <w:szCs w:val="21"/>
              </w:rPr>
            </w:pPr>
            <w:r>
              <w:rPr>
                <w:rFonts w:hint="eastAsia" w:ascii="Times New Roman"/>
                <w:snapToGrid w:val="0"/>
                <w:color w:val="auto"/>
                <w:kern w:val="21"/>
                <w:szCs w:val="21"/>
              </w:rPr>
              <w:t>0.07</w:t>
            </w:r>
          </w:p>
        </w:tc>
        <w:tc>
          <w:tcPr>
            <w:tcW w:w="898" w:type="dxa"/>
            <w:vAlign w:val="center"/>
          </w:tcPr>
          <w:p w14:paraId="3A74FAD9">
            <w:pPr>
              <w:pStyle w:val="47"/>
              <w:spacing w:beforeLines="0" w:afterLines="0" w:line="240" w:lineRule="auto"/>
              <w:rPr>
                <w:rFonts w:asciiTheme="majorBidi" w:hAnsiTheme="majorBidi" w:cstheme="majorBidi"/>
                <w:snapToGrid w:val="0"/>
                <w:color w:val="auto"/>
                <w:kern w:val="21"/>
                <w:szCs w:val="21"/>
              </w:rPr>
            </w:pPr>
            <w:r>
              <w:rPr>
                <w:rFonts w:hint="eastAsia" w:ascii="Times New Roman"/>
                <w:color w:val="auto"/>
                <w:szCs w:val="21"/>
                <w:lang w:bidi="ar"/>
              </w:rPr>
              <w:t>+0.03</w:t>
            </w:r>
          </w:p>
        </w:tc>
      </w:tr>
    </w:tbl>
    <w:p w14:paraId="0C4E18D6">
      <w:pPr>
        <w:pStyle w:val="47"/>
        <w:spacing w:before="192" w:beforeLines="80" w:after="24"/>
        <w:jc w:val="left"/>
        <w:rPr>
          <w:rFonts w:ascii="Times New Roman"/>
          <w:snapToGrid w:val="0"/>
          <w:color w:val="auto"/>
          <w:spacing w:val="-6"/>
          <w:kern w:val="21"/>
          <w:szCs w:val="21"/>
        </w:rPr>
      </w:pPr>
      <w:r>
        <w:rPr>
          <w:rFonts w:ascii="Times New Roman" w:hAnsi="宋体"/>
          <w:snapToGrid w:val="0"/>
          <w:color w:val="auto"/>
          <w:kern w:val="21"/>
          <w:szCs w:val="21"/>
        </w:rPr>
        <w:t>注：</w:t>
      </w:r>
      <w:r>
        <w:rPr>
          <w:rFonts w:ascii="Times New Roman"/>
          <w:snapToGrid w:val="0"/>
          <w:color w:val="auto"/>
          <w:spacing w:val="-16"/>
          <w:kern w:val="21"/>
          <w:szCs w:val="21"/>
        </w:rPr>
        <w:fldChar w:fldCharType="begin"/>
      </w:r>
      <w:r>
        <w:rPr>
          <w:rFonts w:ascii="Times New Roman"/>
          <w:snapToGrid w:val="0"/>
          <w:color w:val="auto"/>
          <w:spacing w:val="-16"/>
          <w:kern w:val="21"/>
          <w:szCs w:val="21"/>
        </w:rPr>
        <w:instrText xml:space="preserve"> = 6 \* GB3 \* MERGEFORMAT </w:instrText>
      </w:r>
      <w:r>
        <w:rPr>
          <w:rFonts w:ascii="Times New Roman"/>
          <w:snapToGrid w:val="0"/>
          <w:color w:val="auto"/>
          <w:spacing w:val="-16"/>
          <w:kern w:val="21"/>
          <w:szCs w:val="21"/>
        </w:rPr>
        <w:fldChar w:fldCharType="separate"/>
      </w:r>
      <w:r>
        <w:rPr>
          <w:rFonts w:ascii="Times New Roman" w:hAnsi="宋体"/>
          <w:color w:val="auto"/>
          <w:szCs w:val="21"/>
        </w:rPr>
        <w:t>⑥</w:t>
      </w:r>
      <w:r>
        <w:rPr>
          <w:rFonts w:ascii="Times New Roman"/>
          <w:snapToGrid w:val="0"/>
          <w:color w:val="auto"/>
          <w:spacing w:val="-16"/>
          <w:kern w:val="21"/>
          <w:szCs w:val="21"/>
        </w:rPr>
        <w:fldChar w:fldCharType="end"/>
      </w:r>
      <w:r>
        <w:rPr>
          <w:rFonts w:ascii="Times New Roman"/>
          <w:snapToGrid w:val="0"/>
          <w:color w:val="auto"/>
          <w:spacing w:val="-1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1 \* GB3 \* MERGEFORMAT </w:instrText>
      </w:r>
      <w:r>
        <w:rPr>
          <w:rFonts w:ascii="Times New Roman"/>
          <w:snapToGrid w:val="0"/>
          <w:color w:val="auto"/>
          <w:spacing w:val="-6"/>
          <w:kern w:val="21"/>
          <w:szCs w:val="21"/>
        </w:rPr>
        <w:fldChar w:fldCharType="separate"/>
      </w:r>
      <w:r>
        <w:rPr>
          <w:rFonts w:ascii="Times New Roman" w:hAnsi="宋体"/>
          <w:color w:val="auto"/>
          <w:szCs w:val="21"/>
        </w:rPr>
        <w:t>①</w:t>
      </w:r>
      <w:r>
        <w:rPr>
          <w:rFonts w:ascii="Times New Roman"/>
          <w:snapToGrid w:val="0"/>
          <w:color w:val="auto"/>
          <w:spacing w:val="-6"/>
          <w:kern w:val="21"/>
          <w:szCs w:val="21"/>
        </w:rPr>
        <w:fldChar w:fldCharType="end"/>
      </w:r>
      <w:r>
        <w:rPr>
          <w:rFonts w:ascii="Times New Roman"/>
          <w:snapToGrid w:val="0"/>
          <w:color w:val="auto"/>
          <w:spacing w:val="-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3 \* GB3 \* MERGEFORMAT </w:instrText>
      </w:r>
      <w:r>
        <w:rPr>
          <w:rFonts w:ascii="Times New Roman"/>
          <w:snapToGrid w:val="0"/>
          <w:color w:val="auto"/>
          <w:spacing w:val="-6"/>
          <w:kern w:val="21"/>
          <w:szCs w:val="21"/>
        </w:rPr>
        <w:fldChar w:fldCharType="separate"/>
      </w:r>
      <w:r>
        <w:rPr>
          <w:rFonts w:ascii="Times New Roman" w:hAnsi="宋体"/>
          <w:color w:val="auto"/>
          <w:szCs w:val="21"/>
        </w:rPr>
        <w:t>③</w:t>
      </w:r>
      <w:r>
        <w:rPr>
          <w:rFonts w:ascii="Times New Roman"/>
          <w:snapToGrid w:val="0"/>
          <w:color w:val="auto"/>
          <w:spacing w:val="-6"/>
          <w:kern w:val="21"/>
          <w:szCs w:val="21"/>
        </w:rPr>
        <w:fldChar w:fldCharType="end"/>
      </w:r>
      <w:r>
        <w:rPr>
          <w:rFonts w:ascii="Times New Roman"/>
          <w:snapToGrid w:val="0"/>
          <w:color w:val="auto"/>
          <w:spacing w:val="-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4 \* GB3 \* MERGEFORMAT </w:instrText>
      </w:r>
      <w:r>
        <w:rPr>
          <w:rFonts w:ascii="Times New Roman"/>
          <w:snapToGrid w:val="0"/>
          <w:color w:val="auto"/>
          <w:spacing w:val="-6"/>
          <w:kern w:val="21"/>
          <w:szCs w:val="21"/>
        </w:rPr>
        <w:fldChar w:fldCharType="separate"/>
      </w:r>
      <w:r>
        <w:rPr>
          <w:rFonts w:ascii="Times New Roman" w:hAnsi="宋体"/>
          <w:color w:val="auto"/>
          <w:szCs w:val="21"/>
        </w:rPr>
        <w:t>④</w:t>
      </w:r>
      <w:r>
        <w:rPr>
          <w:rFonts w:ascii="Times New Roman"/>
          <w:snapToGrid w:val="0"/>
          <w:color w:val="auto"/>
          <w:spacing w:val="-6"/>
          <w:kern w:val="21"/>
          <w:szCs w:val="21"/>
        </w:rPr>
        <w:fldChar w:fldCharType="end"/>
      </w:r>
      <w:r>
        <w:rPr>
          <w:rFonts w:ascii="Times New Roman"/>
          <w:snapToGrid w:val="0"/>
          <w:color w:val="auto"/>
          <w:spacing w:val="-6"/>
          <w:kern w:val="21"/>
          <w:szCs w:val="21"/>
        </w:rPr>
        <w:t>-</w:t>
      </w:r>
      <w:r>
        <w:rPr>
          <w:rFonts w:ascii="Times New Roman"/>
          <w:snapToGrid w:val="0"/>
          <w:color w:val="auto"/>
          <w:spacing w:val="-16"/>
          <w:kern w:val="21"/>
          <w:szCs w:val="21"/>
        </w:rPr>
        <w:fldChar w:fldCharType="begin"/>
      </w:r>
      <w:r>
        <w:rPr>
          <w:rFonts w:ascii="Times New Roman"/>
          <w:snapToGrid w:val="0"/>
          <w:color w:val="auto"/>
          <w:spacing w:val="-16"/>
          <w:kern w:val="21"/>
          <w:szCs w:val="21"/>
        </w:rPr>
        <w:instrText xml:space="preserve"> = 5 \* GB3 \* MERGEFORMAT </w:instrText>
      </w:r>
      <w:r>
        <w:rPr>
          <w:rFonts w:ascii="Times New Roman"/>
          <w:snapToGrid w:val="0"/>
          <w:color w:val="auto"/>
          <w:spacing w:val="-16"/>
          <w:kern w:val="21"/>
          <w:szCs w:val="21"/>
        </w:rPr>
        <w:fldChar w:fldCharType="separate"/>
      </w:r>
      <w:r>
        <w:rPr>
          <w:rFonts w:ascii="Times New Roman" w:hAnsi="宋体"/>
          <w:color w:val="auto"/>
          <w:szCs w:val="21"/>
        </w:rPr>
        <w:t>⑤</w:t>
      </w:r>
      <w:r>
        <w:rPr>
          <w:rFonts w:ascii="Times New Roman"/>
          <w:snapToGrid w:val="0"/>
          <w:color w:val="auto"/>
          <w:spacing w:val="-16"/>
          <w:kern w:val="21"/>
          <w:szCs w:val="21"/>
        </w:rPr>
        <w:fldChar w:fldCharType="end"/>
      </w:r>
      <w:r>
        <w:rPr>
          <w:rFonts w:ascii="Times New Roman" w:hAnsi="宋体"/>
          <w:snapToGrid w:val="0"/>
          <w:color w:val="auto"/>
          <w:spacing w:val="-1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7 \* GB3 \* MERGEFORMAT </w:instrText>
      </w:r>
      <w:r>
        <w:rPr>
          <w:rFonts w:ascii="Times New Roman"/>
          <w:snapToGrid w:val="0"/>
          <w:color w:val="auto"/>
          <w:spacing w:val="-6"/>
          <w:kern w:val="21"/>
          <w:szCs w:val="21"/>
        </w:rPr>
        <w:fldChar w:fldCharType="separate"/>
      </w:r>
      <w:r>
        <w:rPr>
          <w:rFonts w:ascii="Times New Roman" w:hAnsi="宋体"/>
          <w:color w:val="auto"/>
          <w:szCs w:val="21"/>
        </w:rPr>
        <w:t>⑦</w:t>
      </w:r>
      <w:r>
        <w:rPr>
          <w:rFonts w:ascii="Times New Roman"/>
          <w:snapToGrid w:val="0"/>
          <w:color w:val="auto"/>
          <w:spacing w:val="-6"/>
          <w:kern w:val="21"/>
          <w:szCs w:val="21"/>
        </w:rPr>
        <w:fldChar w:fldCharType="end"/>
      </w:r>
      <w:r>
        <w:rPr>
          <w:rFonts w:ascii="Times New Roman"/>
          <w:snapToGrid w:val="0"/>
          <w:color w:val="auto"/>
          <w:spacing w:val="-6"/>
          <w:kern w:val="21"/>
          <w:szCs w:val="21"/>
        </w:rPr>
        <w:t>=</w:t>
      </w:r>
      <w:r>
        <w:rPr>
          <w:rFonts w:ascii="Times New Roman"/>
          <w:snapToGrid w:val="0"/>
          <w:color w:val="auto"/>
          <w:spacing w:val="-16"/>
          <w:kern w:val="21"/>
          <w:szCs w:val="21"/>
        </w:rPr>
        <w:fldChar w:fldCharType="begin"/>
      </w:r>
      <w:r>
        <w:rPr>
          <w:rFonts w:ascii="Times New Roman"/>
          <w:snapToGrid w:val="0"/>
          <w:color w:val="auto"/>
          <w:spacing w:val="-16"/>
          <w:kern w:val="21"/>
          <w:szCs w:val="21"/>
        </w:rPr>
        <w:instrText xml:space="preserve"> = 6 \* GB3 \* MERGEFORMAT </w:instrText>
      </w:r>
      <w:r>
        <w:rPr>
          <w:rFonts w:ascii="Times New Roman"/>
          <w:snapToGrid w:val="0"/>
          <w:color w:val="auto"/>
          <w:spacing w:val="-16"/>
          <w:kern w:val="21"/>
          <w:szCs w:val="21"/>
        </w:rPr>
        <w:fldChar w:fldCharType="separate"/>
      </w:r>
      <w:r>
        <w:rPr>
          <w:rFonts w:ascii="Times New Roman" w:hAnsi="宋体"/>
          <w:color w:val="auto"/>
          <w:szCs w:val="21"/>
        </w:rPr>
        <w:t>⑥</w:t>
      </w:r>
      <w:r>
        <w:rPr>
          <w:rFonts w:ascii="Times New Roman"/>
          <w:snapToGrid w:val="0"/>
          <w:color w:val="auto"/>
          <w:spacing w:val="-16"/>
          <w:kern w:val="21"/>
          <w:szCs w:val="21"/>
        </w:rPr>
        <w:fldChar w:fldCharType="end"/>
      </w:r>
      <w:r>
        <w:rPr>
          <w:rFonts w:ascii="Times New Roman"/>
          <w:snapToGrid w:val="0"/>
          <w:color w:val="auto"/>
          <w:spacing w:val="-1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1 \* GB3 \* MERGEFORMAT </w:instrText>
      </w:r>
      <w:r>
        <w:rPr>
          <w:rFonts w:ascii="Times New Roman"/>
          <w:snapToGrid w:val="0"/>
          <w:color w:val="auto"/>
          <w:spacing w:val="-6"/>
          <w:kern w:val="21"/>
          <w:szCs w:val="21"/>
        </w:rPr>
        <w:fldChar w:fldCharType="separate"/>
      </w:r>
      <w:r>
        <w:rPr>
          <w:rFonts w:ascii="Times New Roman" w:hAnsi="宋体"/>
          <w:color w:val="auto"/>
          <w:szCs w:val="21"/>
        </w:rPr>
        <w:t>①</w:t>
      </w:r>
      <w:r>
        <w:rPr>
          <w:rFonts w:ascii="Times New Roman"/>
          <w:snapToGrid w:val="0"/>
          <w:color w:val="auto"/>
          <w:spacing w:val="-6"/>
          <w:kern w:val="21"/>
          <w:szCs w:val="21"/>
        </w:rPr>
        <w:fldChar w:fldCharType="end"/>
      </w:r>
      <w:r>
        <w:rPr>
          <w:rFonts w:hint="eastAsia" w:ascii="Times New Roman"/>
          <w:snapToGrid w:val="0"/>
          <w:color w:val="auto"/>
          <w:spacing w:val="-6"/>
          <w:kern w:val="21"/>
          <w:szCs w:val="21"/>
        </w:rPr>
        <w:t>；单位：t/a。</w:t>
      </w:r>
    </w:p>
    <w:sectPr>
      <w:footerReference r:id="rId5" w:type="default"/>
      <w:pgSz w:w="16838" w:h="11906" w:orient="landscape"/>
      <w:pgMar w:top="1531" w:right="1701" w:bottom="1531" w:left="1701"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D76EA1F2-FC2B-4BD0-9673-32D794860A37}"/>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584ADB95-D6F0-49E0-96CA-35BFF57E22E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33CA2BA4-4A96-4EAC-A128-A28A3815614B}"/>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embedRegular r:id="rId4" w:fontKey="{17E79BEA-C73F-4DE8-8A0A-F0D203C29261}"/>
  </w:font>
  <w:font w:name="仿宋_GB2312">
    <w:panose1 w:val="02010609030101010101"/>
    <w:charset w:val="86"/>
    <w:family w:val="modern"/>
    <w:pitch w:val="default"/>
    <w:sig w:usb0="00000001" w:usb1="080E0000" w:usb2="00000000" w:usb3="00000000" w:csb0="00040000" w:csb1="00000000"/>
    <w:embedRegular r:id="rId5" w:fontKey="{93858D99-4884-4F4D-B18C-8D2563656CB2}"/>
  </w:font>
  <w:font w:name="TimesNewRomanPSMT">
    <w:altName w:val="Times New Roman"/>
    <w:panose1 w:val="00000000000000000000"/>
    <w:charset w:val="00"/>
    <w:family w:val="auto"/>
    <w:pitch w:val="default"/>
    <w:sig w:usb0="00000000" w:usb1="00000000" w:usb2="00000000" w:usb3="00000000" w:csb0="00040001" w:csb1="00000000"/>
  </w:font>
  <w:font w:name="Arial Unicode MS">
    <w:panose1 w:val="020B0604020202020204"/>
    <w:charset w:val="86"/>
    <w:family w:val="roman"/>
    <w:pitch w:val="default"/>
    <w:sig w:usb0="FFFFFFFF" w:usb1="E9FFFFFF" w:usb2="0000003F" w:usb3="00000000" w:csb0="603F01FF" w:csb1="FFFF0000"/>
  </w:font>
  <w:font w:name="方正小标宋_GBK">
    <w:panose1 w:val="02000000000000000000"/>
    <w:charset w:val="86"/>
    <w:family w:val="script"/>
    <w:pitch w:val="default"/>
    <w:sig w:usb0="A00002BF" w:usb1="38CF7CFA" w:usb2="00082016" w:usb3="00000000" w:csb0="00040001" w:csb1="00000000"/>
    <w:embedRegular r:id="rId6" w:fontKey="{D806DAEB-CD64-435F-8DBE-975A4A657BFC}"/>
  </w:font>
  <w:font w:name="仿宋">
    <w:panose1 w:val="02010609060101010101"/>
    <w:charset w:val="86"/>
    <w:family w:val="modern"/>
    <w:pitch w:val="default"/>
    <w:sig w:usb0="800002BF" w:usb1="38CF7CFA" w:usb2="00000016" w:usb3="00000000" w:csb0="00040001" w:csb1="00000000"/>
    <w:embedRegular r:id="rId7" w:fontKey="{2E7CC3FC-73B3-4E33-BC8F-91F0308D5606}"/>
  </w:font>
  <w:font w:name="Wingdings 2">
    <w:panose1 w:val="05020102010507070707"/>
    <w:charset w:val="02"/>
    <w:family w:val="roman"/>
    <w:pitch w:val="default"/>
    <w:sig w:usb0="00000000" w:usb1="00000000" w:usb2="00000000" w:usb3="00000000" w:csb0="80000000" w:csb1="00000000"/>
    <w:embedRegular r:id="rId8" w:fontKey="{5E68ED34-E566-4371-AD05-33E629976432}"/>
  </w:font>
  <w:font w:name="Cambria Math">
    <w:panose1 w:val="02040503050406030204"/>
    <w:charset w:val="00"/>
    <w:family w:val="roman"/>
    <w:pitch w:val="default"/>
    <w:sig w:usb0="E00006FF" w:usb1="420024FF" w:usb2="02000000" w:usb3="00000000" w:csb0="2000019F" w:csb1="00000000"/>
    <w:embedRegular r:id="rId9" w:fontKey="{66747C32-4AC0-4E3E-8305-489EC9CE418B}"/>
  </w:font>
  <w:font w:name="WPSEMBED1">
    <w:panose1 w:val="02000000000000000000"/>
    <w:charset w:val="86"/>
    <w:family w:val="auto"/>
    <w:pitch w:val="default"/>
    <w:sig w:usb0="A00002BF" w:usb1="38CF7CFA" w:usb2="00082016"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CDA67">
    <w:pPr>
      <w:pStyle w:val="21"/>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0D05D">
    <w:pPr>
      <w:pStyle w:val="21"/>
      <w:framePr w:wrap="around" w:vAnchor="text" w:hAnchor="margin" w:xAlign="outside" w:y="1"/>
      <w:rPr>
        <w:rStyle w:val="35"/>
        <w:rFonts w:hint="eastAsia" w:ascii="宋体" w:hAnsi="宋体"/>
        <w:sz w:val="28"/>
        <w:szCs w:val="28"/>
      </w:rPr>
    </w:pPr>
    <w:r>
      <w:rPr>
        <w:rStyle w:val="35"/>
        <w:rFonts w:hint="eastAsia" w:ascii="宋体" w:hAnsi="宋体"/>
        <w:sz w:val="28"/>
        <w:szCs w:val="28"/>
      </w:rPr>
      <w:t>—</w:t>
    </w:r>
    <w:r>
      <w:rPr>
        <w:rStyle w:val="35"/>
        <w:rFonts w:hint="eastAsia" w:ascii="宋体" w:hAnsi="宋体"/>
        <w:sz w:val="20"/>
      </w:rPr>
      <w:t xml:space="preserve">  </w:t>
    </w:r>
    <w:r>
      <w:rPr>
        <w:rStyle w:val="35"/>
        <w:rFonts w:ascii="宋体" w:hAnsi="宋体"/>
        <w:sz w:val="26"/>
        <w:szCs w:val="26"/>
      </w:rPr>
      <w:fldChar w:fldCharType="begin"/>
    </w:r>
    <w:r>
      <w:rPr>
        <w:rStyle w:val="35"/>
        <w:rFonts w:ascii="宋体" w:hAnsi="宋体"/>
        <w:sz w:val="26"/>
        <w:szCs w:val="26"/>
      </w:rPr>
      <w:instrText xml:space="preserve">PAGE  </w:instrText>
    </w:r>
    <w:r>
      <w:rPr>
        <w:rStyle w:val="35"/>
        <w:rFonts w:ascii="宋体" w:hAnsi="宋体"/>
        <w:sz w:val="26"/>
        <w:szCs w:val="26"/>
      </w:rPr>
      <w:fldChar w:fldCharType="separate"/>
    </w:r>
    <w:r>
      <w:rPr>
        <w:rStyle w:val="35"/>
        <w:rFonts w:ascii="宋体" w:hAnsi="宋体"/>
        <w:sz w:val="26"/>
        <w:szCs w:val="26"/>
      </w:rPr>
      <w:t>29</w:t>
    </w:r>
    <w:r>
      <w:rPr>
        <w:rStyle w:val="35"/>
        <w:rFonts w:ascii="宋体" w:hAnsi="宋体"/>
        <w:sz w:val="26"/>
        <w:szCs w:val="26"/>
      </w:rPr>
      <w:fldChar w:fldCharType="end"/>
    </w:r>
    <w:r>
      <w:rPr>
        <w:rStyle w:val="35"/>
        <w:rFonts w:hint="eastAsia" w:ascii="宋体" w:hAnsi="宋体"/>
        <w:sz w:val="20"/>
      </w:rPr>
      <w:t xml:space="preserve">  </w:t>
    </w:r>
    <w:r>
      <w:rPr>
        <w:rStyle w:val="35"/>
        <w:rFonts w:hint="eastAsia" w:ascii="宋体" w:hAnsi="宋体"/>
        <w:sz w:val="28"/>
        <w:szCs w:val="28"/>
      </w:rPr>
      <w:t>—</w:t>
    </w:r>
  </w:p>
  <w:p w14:paraId="33E63EA7">
    <w:pPr>
      <w:pStyle w:val="21"/>
      <w:ind w:right="360"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722DD">
    <w:pPr>
      <w:pStyle w:val="21"/>
      <w:ind w:right="360" w:firstLine="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AF4B00"/>
    <w:multiLevelType w:val="multilevel"/>
    <w:tmpl w:val="29AF4B00"/>
    <w:lvl w:ilvl="0" w:tentative="0">
      <w:start w:val="1"/>
      <w:numFmt w:val="decimalEnclosedCircle"/>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embedTrueTypeFonts/>
  <w:saveSubsetFonts/>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947"/>
    <w:rsid w:val="00000547"/>
    <w:rsid w:val="00002D10"/>
    <w:rsid w:val="00002DD8"/>
    <w:rsid w:val="00002DF8"/>
    <w:rsid w:val="00002E5A"/>
    <w:rsid w:val="000048FD"/>
    <w:rsid w:val="00004FA0"/>
    <w:rsid w:val="000058C7"/>
    <w:rsid w:val="000060B3"/>
    <w:rsid w:val="00007648"/>
    <w:rsid w:val="00007C57"/>
    <w:rsid w:val="0001182C"/>
    <w:rsid w:val="00011E08"/>
    <w:rsid w:val="000121D8"/>
    <w:rsid w:val="00012C6D"/>
    <w:rsid w:val="0001431B"/>
    <w:rsid w:val="00015142"/>
    <w:rsid w:val="00015FB1"/>
    <w:rsid w:val="00022374"/>
    <w:rsid w:val="00023D07"/>
    <w:rsid w:val="00023E57"/>
    <w:rsid w:val="00024741"/>
    <w:rsid w:val="000247D9"/>
    <w:rsid w:val="00024B03"/>
    <w:rsid w:val="00026732"/>
    <w:rsid w:val="00026F16"/>
    <w:rsid w:val="00027233"/>
    <w:rsid w:val="0003092B"/>
    <w:rsid w:val="00030FD0"/>
    <w:rsid w:val="00031FF6"/>
    <w:rsid w:val="000334FA"/>
    <w:rsid w:val="000335C8"/>
    <w:rsid w:val="00033B14"/>
    <w:rsid w:val="0003725D"/>
    <w:rsid w:val="00037371"/>
    <w:rsid w:val="00037826"/>
    <w:rsid w:val="00037954"/>
    <w:rsid w:val="00041AF7"/>
    <w:rsid w:val="000428EF"/>
    <w:rsid w:val="0004364B"/>
    <w:rsid w:val="00043B60"/>
    <w:rsid w:val="00043E31"/>
    <w:rsid w:val="0004417B"/>
    <w:rsid w:val="000447ED"/>
    <w:rsid w:val="00044F73"/>
    <w:rsid w:val="00045CBA"/>
    <w:rsid w:val="00046203"/>
    <w:rsid w:val="00047789"/>
    <w:rsid w:val="000503B5"/>
    <w:rsid w:val="00051233"/>
    <w:rsid w:val="00051D3B"/>
    <w:rsid w:val="00052C96"/>
    <w:rsid w:val="0005355A"/>
    <w:rsid w:val="00053804"/>
    <w:rsid w:val="000547A4"/>
    <w:rsid w:val="00054CC7"/>
    <w:rsid w:val="00055AF6"/>
    <w:rsid w:val="00060D24"/>
    <w:rsid w:val="00061B1F"/>
    <w:rsid w:val="00061BC2"/>
    <w:rsid w:val="00063256"/>
    <w:rsid w:val="000643E4"/>
    <w:rsid w:val="00064651"/>
    <w:rsid w:val="0006679E"/>
    <w:rsid w:val="00067737"/>
    <w:rsid w:val="0007147D"/>
    <w:rsid w:val="000733C4"/>
    <w:rsid w:val="000742B6"/>
    <w:rsid w:val="00074783"/>
    <w:rsid w:val="00074C98"/>
    <w:rsid w:val="000755A8"/>
    <w:rsid w:val="000779EB"/>
    <w:rsid w:val="00077C85"/>
    <w:rsid w:val="00080518"/>
    <w:rsid w:val="000806C4"/>
    <w:rsid w:val="0008070B"/>
    <w:rsid w:val="00081047"/>
    <w:rsid w:val="000810AC"/>
    <w:rsid w:val="00081A02"/>
    <w:rsid w:val="00081CC1"/>
    <w:rsid w:val="00082231"/>
    <w:rsid w:val="00082276"/>
    <w:rsid w:val="00083FB4"/>
    <w:rsid w:val="00085400"/>
    <w:rsid w:val="00085BD1"/>
    <w:rsid w:val="00085C0D"/>
    <w:rsid w:val="0008685C"/>
    <w:rsid w:val="00086FF0"/>
    <w:rsid w:val="00087F2D"/>
    <w:rsid w:val="00087F7F"/>
    <w:rsid w:val="000907A0"/>
    <w:rsid w:val="00090EBA"/>
    <w:rsid w:val="00092871"/>
    <w:rsid w:val="00092971"/>
    <w:rsid w:val="00092C6C"/>
    <w:rsid w:val="00092D38"/>
    <w:rsid w:val="0009348C"/>
    <w:rsid w:val="0009377B"/>
    <w:rsid w:val="00093EF9"/>
    <w:rsid w:val="00093F0F"/>
    <w:rsid w:val="000949C2"/>
    <w:rsid w:val="00095CB1"/>
    <w:rsid w:val="00096BEF"/>
    <w:rsid w:val="00096F9F"/>
    <w:rsid w:val="00096FF1"/>
    <w:rsid w:val="000A1A7A"/>
    <w:rsid w:val="000A20C9"/>
    <w:rsid w:val="000A2636"/>
    <w:rsid w:val="000A3B18"/>
    <w:rsid w:val="000A577F"/>
    <w:rsid w:val="000A623F"/>
    <w:rsid w:val="000A6379"/>
    <w:rsid w:val="000A7065"/>
    <w:rsid w:val="000A76E2"/>
    <w:rsid w:val="000A7EAD"/>
    <w:rsid w:val="000B058F"/>
    <w:rsid w:val="000B09BA"/>
    <w:rsid w:val="000B15C6"/>
    <w:rsid w:val="000B33F6"/>
    <w:rsid w:val="000B388B"/>
    <w:rsid w:val="000B3FBB"/>
    <w:rsid w:val="000B4467"/>
    <w:rsid w:val="000B4DB9"/>
    <w:rsid w:val="000B56A2"/>
    <w:rsid w:val="000B594C"/>
    <w:rsid w:val="000B5A26"/>
    <w:rsid w:val="000B5B4C"/>
    <w:rsid w:val="000B6ECA"/>
    <w:rsid w:val="000C09AC"/>
    <w:rsid w:val="000C0D71"/>
    <w:rsid w:val="000C0FC5"/>
    <w:rsid w:val="000C13C9"/>
    <w:rsid w:val="000C302F"/>
    <w:rsid w:val="000C3426"/>
    <w:rsid w:val="000C40AE"/>
    <w:rsid w:val="000C40FF"/>
    <w:rsid w:val="000C4CF5"/>
    <w:rsid w:val="000C65CE"/>
    <w:rsid w:val="000C6731"/>
    <w:rsid w:val="000C767F"/>
    <w:rsid w:val="000D10E3"/>
    <w:rsid w:val="000D24F2"/>
    <w:rsid w:val="000D2654"/>
    <w:rsid w:val="000D30A1"/>
    <w:rsid w:val="000D3176"/>
    <w:rsid w:val="000D4DEB"/>
    <w:rsid w:val="000D5A44"/>
    <w:rsid w:val="000D609E"/>
    <w:rsid w:val="000D6143"/>
    <w:rsid w:val="000D6293"/>
    <w:rsid w:val="000D6951"/>
    <w:rsid w:val="000D76E8"/>
    <w:rsid w:val="000D7D0C"/>
    <w:rsid w:val="000E18C4"/>
    <w:rsid w:val="000E1C21"/>
    <w:rsid w:val="000E26FC"/>
    <w:rsid w:val="000E31A7"/>
    <w:rsid w:val="000E3CAA"/>
    <w:rsid w:val="000E3ED2"/>
    <w:rsid w:val="000E4876"/>
    <w:rsid w:val="000E4D5D"/>
    <w:rsid w:val="000E5BF1"/>
    <w:rsid w:val="000E64E3"/>
    <w:rsid w:val="000F0AD5"/>
    <w:rsid w:val="000F2261"/>
    <w:rsid w:val="000F281E"/>
    <w:rsid w:val="000F3E5F"/>
    <w:rsid w:val="000F460B"/>
    <w:rsid w:val="000F492D"/>
    <w:rsid w:val="000F4BEA"/>
    <w:rsid w:val="000F6E69"/>
    <w:rsid w:val="000F6ECF"/>
    <w:rsid w:val="0010001E"/>
    <w:rsid w:val="00100100"/>
    <w:rsid w:val="00100F64"/>
    <w:rsid w:val="0010479B"/>
    <w:rsid w:val="00105782"/>
    <w:rsid w:val="0010582E"/>
    <w:rsid w:val="00105CAE"/>
    <w:rsid w:val="00106588"/>
    <w:rsid w:val="00106D66"/>
    <w:rsid w:val="00107538"/>
    <w:rsid w:val="00107862"/>
    <w:rsid w:val="0011500E"/>
    <w:rsid w:val="00115104"/>
    <w:rsid w:val="00115500"/>
    <w:rsid w:val="0011638A"/>
    <w:rsid w:val="0011753E"/>
    <w:rsid w:val="001175BA"/>
    <w:rsid w:val="00117D44"/>
    <w:rsid w:val="00117F84"/>
    <w:rsid w:val="00120CC4"/>
    <w:rsid w:val="00123412"/>
    <w:rsid w:val="00124D46"/>
    <w:rsid w:val="00125106"/>
    <w:rsid w:val="00125B7F"/>
    <w:rsid w:val="00125CA6"/>
    <w:rsid w:val="00127C2D"/>
    <w:rsid w:val="00127FE6"/>
    <w:rsid w:val="0013036A"/>
    <w:rsid w:val="001318E4"/>
    <w:rsid w:val="00131F42"/>
    <w:rsid w:val="001320AC"/>
    <w:rsid w:val="00132797"/>
    <w:rsid w:val="0013432F"/>
    <w:rsid w:val="0013525A"/>
    <w:rsid w:val="001357F1"/>
    <w:rsid w:val="00136B6A"/>
    <w:rsid w:val="001370CC"/>
    <w:rsid w:val="0013744C"/>
    <w:rsid w:val="00137C21"/>
    <w:rsid w:val="001406D1"/>
    <w:rsid w:val="00140992"/>
    <w:rsid w:val="00140FA8"/>
    <w:rsid w:val="00141298"/>
    <w:rsid w:val="0014281E"/>
    <w:rsid w:val="00142B61"/>
    <w:rsid w:val="00142FEA"/>
    <w:rsid w:val="00142FEB"/>
    <w:rsid w:val="00143164"/>
    <w:rsid w:val="001431AD"/>
    <w:rsid w:val="00143218"/>
    <w:rsid w:val="00143A2D"/>
    <w:rsid w:val="00145A41"/>
    <w:rsid w:val="00146A25"/>
    <w:rsid w:val="0015072F"/>
    <w:rsid w:val="00150978"/>
    <w:rsid w:val="00151675"/>
    <w:rsid w:val="001517D4"/>
    <w:rsid w:val="001535C1"/>
    <w:rsid w:val="00153E03"/>
    <w:rsid w:val="00156A17"/>
    <w:rsid w:val="0015714B"/>
    <w:rsid w:val="00157435"/>
    <w:rsid w:val="00157793"/>
    <w:rsid w:val="00160129"/>
    <w:rsid w:val="00161605"/>
    <w:rsid w:val="001623EE"/>
    <w:rsid w:val="0016247E"/>
    <w:rsid w:val="00162740"/>
    <w:rsid w:val="00163666"/>
    <w:rsid w:val="00164F72"/>
    <w:rsid w:val="00165470"/>
    <w:rsid w:val="00167163"/>
    <w:rsid w:val="00167BA4"/>
    <w:rsid w:val="00171A5E"/>
    <w:rsid w:val="00172E89"/>
    <w:rsid w:val="001731A6"/>
    <w:rsid w:val="001732D2"/>
    <w:rsid w:val="00173982"/>
    <w:rsid w:val="00173A49"/>
    <w:rsid w:val="0017504D"/>
    <w:rsid w:val="00176526"/>
    <w:rsid w:val="0017671A"/>
    <w:rsid w:val="001767C3"/>
    <w:rsid w:val="00177422"/>
    <w:rsid w:val="001803DE"/>
    <w:rsid w:val="001821E0"/>
    <w:rsid w:val="001823B8"/>
    <w:rsid w:val="001823CB"/>
    <w:rsid w:val="00183EA0"/>
    <w:rsid w:val="00184590"/>
    <w:rsid w:val="00184DB6"/>
    <w:rsid w:val="00185BE3"/>
    <w:rsid w:val="00185E5B"/>
    <w:rsid w:val="001870D1"/>
    <w:rsid w:val="00187805"/>
    <w:rsid w:val="0018781E"/>
    <w:rsid w:val="0018785A"/>
    <w:rsid w:val="0018786A"/>
    <w:rsid w:val="00187E5D"/>
    <w:rsid w:val="00187F07"/>
    <w:rsid w:val="00190350"/>
    <w:rsid w:val="001909CF"/>
    <w:rsid w:val="00190AB0"/>
    <w:rsid w:val="00191607"/>
    <w:rsid w:val="001921CE"/>
    <w:rsid w:val="0019262D"/>
    <w:rsid w:val="00192E08"/>
    <w:rsid w:val="00193BA9"/>
    <w:rsid w:val="0019441C"/>
    <w:rsid w:val="0019491C"/>
    <w:rsid w:val="00194CBB"/>
    <w:rsid w:val="001A19E3"/>
    <w:rsid w:val="001A1A87"/>
    <w:rsid w:val="001A1B35"/>
    <w:rsid w:val="001A292E"/>
    <w:rsid w:val="001A2F1D"/>
    <w:rsid w:val="001A48A2"/>
    <w:rsid w:val="001A59A3"/>
    <w:rsid w:val="001A5B21"/>
    <w:rsid w:val="001A65F1"/>
    <w:rsid w:val="001A6F61"/>
    <w:rsid w:val="001A7010"/>
    <w:rsid w:val="001A79AB"/>
    <w:rsid w:val="001B0ADC"/>
    <w:rsid w:val="001B0C02"/>
    <w:rsid w:val="001B1523"/>
    <w:rsid w:val="001B1A77"/>
    <w:rsid w:val="001B1D18"/>
    <w:rsid w:val="001B2721"/>
    <w:rsid w:val="001B2DE2"/>
    <w:rsid w:val="001B310C"/>
    <w:rsid w:val="001B3954"/>
    <w:rsid w:val="001B43A6"/>
    <w:rsid w:val="001B46D3"/>
    <w:rsid w:val="001B478E"/>
    <w:rsid w:val="001B517B"/>
    <w:rsid w:val="001B5A48"/>
    <w:rsid w:val="001B5A75"/>
    <w:rsid w:val="001B72B8"/>
    <w:rsid w:val="001C0566"/>
    <w:rsid w:val="001C0746"/>
    <w:rsid w:val="001C13AA"/>
    <w:rsid w:val="001C3322"/>
    <w:rsid w:val="001C39D8"/>
    <w:rsid w:val="001C4A2E"/>
    <w:rsid w:val="001C59CB"/>
    <w:rsid w:val="001C5D36"/>
    <w:rsid w:val="001C6026"/>
    <w:rsid w:val="001C69B3"/>
    <w:rsid w:val="001C6B17"/>
    <w:rsid w:val="001D0816"/>
    <w:rsid w:val="001D0E11"/>
    <w:rsid w:val="001D15A0"/>
    <w:rsid w:val="001D232D"/>
    <w:rsid w:val="001D35FF"/>
    <w:rsid w:val="001D3AD4"/>
    <w:rsid w:val="001D4AF8"/>
    <w:rsid w:val="001D4CEA"/>
    <w:rsid w:val="001D53D5"/>
    <w:rsid w:val="001D5595"/>
    <w:rsid w:val="001D57DE"/>
    <w:rsid w:val="001D7874"/>
    <w:rsid w:val="001D7F22"/>
    <w:rsid w:val="001E141A"/>
    <w:rsid w:val="001E2048"/>
    <w:rsid w:val="001E25FB"/>
    <w:rsid w:val="001E2A6F"/>
    <w:rsid w:val="001E310A"/>
    <w:rsid w:val="001E3E66"/>
    <w:rsid w:val="001E5E71"/>
    <w:rsid w:val="001F0F17"/>
    <w:rsid w:val="001F13D8"/>
    <w:rsid w:val="001F2067"/>
    <w:rsid w:val="001F3347"/>
    <w:rsid w:val="001F3673"/>
    <w:rsid w:val="001F3939"/>
    <w:rsid w:val="001F40FB"/>
    <w:rsid w:val="001F422C"/>
    <w:rsid w:val="001F635D"/>
    <w:rsid w:val="001F69E4"/>
    <w:rsid w:val="001F6C1C"/>
    <w:rsid w:val="001F70D7"/>
    <w:rsid w:val="001F73FA"/>
    <w:rsid w:val="00200F31"/>
    <w:rsid w:val="00202258"/>
    <w:rsid w:val="00202B25"/>
    <w:rsid w:val="00203C5E"/>
    <w:rsid w:val="00204028"/>
    <w:rsid w:val="00204DAA"/>
    <w:rsid w:val="00206607"/>
    <w:rsid w:val="00210030"/>
    <w:rsid w:val="002120D3"/>
    <w:rsid w:val="002125B4"/>
    <w:rsid w:val="00213624"/>
    <w:rsid w:val="002150AB"/>
    <w:rsid w:val="002155B8"/>
    <w:rsid w:val="00217E83"/>
    <w:rsid w:val="002212B5"/>
    <w:rsid w:val="00221ACB"/>
    <w:rsid w:val="00222293"/>
    <w:rsid w:val="00222583"/>
    <w:rsid w:val="00222976"/>
    <w:rsid w:val="00222AFF"/>
    <w:rsid w:val="0022361C"/>
    <w:rsid w:val="00224839"/>
    <w:rsid w:val="002249B2"/>
    <w:rsid w:val="002256D2"/>
    <w:rsid w:val="00226574"/>
    <w:rsid w:val="00226D01"/>
    <w:rsid w:val="0022704F"/>
    <w:rsid w:val="002278EC"/>
    <w:rsid w:val="00230A28"/>
    <w:rsid w:val="00232559"/>
    <w:rsid w:val="0023280E"/>
    <w:rsid w:val="00232B61"/>
    <w:rsid w:val="0023327B"/>
    <w:rsid w:val="002332E7"/>
    <w:rsid w:val="00234140"/>
    <w:rsid w:val="002342B7"/>
    <w:rsid w:val="0023432D"/>
    <w:rsid w:val="00234FB1"/>
    <w:rsid w:val="00236228"/>
    <w:rsid w:val="00237291"/>
    <w:rsid w:val="002377D1"/>
    <w:rsid w:val="00241335"/>
    <w:rsid w:val="002418CD"/>
    <w:rsid w:val="00241B28"/>
    <w:rsid w:val="00241F62"/>
    <w:rsid w:val="0024261A"/>
    <w:rsid w:val="00245BE0"/>
    <w:rsid w:val="00245D91"/>
    <w:rsid w:val="00245F3E"/>
    <w:rsid w:val="00246B9D"/>
    <w:rsid w:val="00246FA3"/>
    <w:rsid w:val="00247D59"/>
    <w:rsid w:val="00247EAF"/>
    <w:rsid w:val="002506BA"/>
    <w:rsid w:val="002506BC"/>
    <w:rsid w:val="00250898"/>
    <w:rsid w:val="0025142A"/>
    <w:rsid w:val="002524D6"/>
    <w:rsid w:val="0025270B"/>
    <w:rsid w:val="002527B1"/>
    <w:rsid w:val="002530BA"/>
    <w:rsid w:val="00254345"/>
    <w:rsid w:val="002550E2"/>
    <w:rsid w:val="00257229"/>
    <w:rsid w:val="00257D4E"/>
    <w:rsid w:val="00260E27"/>
    <w:rsid w:val="002623FA"/>
    <w:rsid w:val="0026250C"/>
    <w:rsid w:val="002634A7"/>
    <w:rsid w:val="00264557"/>
    <w:rsid w:val="002657FE"/>
    <w:rsid w:val="0026625B"/>
    <w:rsid w:val="00266326"/>
    <w:rsid w:val="00266C44"/>
    <w:rsid w:val="00270F97"/>
    <w:rsid w:val="0027248E"/>
    <w:rsid w:val="00272CA1"/>
    <w:rsid w:val="00273297"/>
    <w:rsid w:val="00274800"/>
    <w:rsid w:val="00274BA4"/>
    <w:rsid w:val="0027528E"/>
    <w:rsid w:val="00275305"/>
    <w:rsid w:val="00277A5D"/>
    <w:rsid w:val="002804FB"/>
    <w:rsid w:val="002805AB"/>
    <w:rsid w:val="00280EC8"/>
    <w:rsid w:val="00282C74"/>
    <w:rsid w:val="002834E7"/>
    <w:rsid w:val="00284204"/>
    <w:rsid w:val="0028429F"/>
    <w:rsid w:val="00285190"/>
    <w:rsid w:val="00285E8D"/>
    <w:rsid w:val="00286781"/>
    <w:rsid w:val="00286FC5"/>
    <w:rsid w:val="00287440"/>
    <w:rsid w:val="00291481"/>
    <w:rsid w:val="00291773"/>
    <w:rsid w:val="00292EEF"/>
    <w:rsid w:val="002930D8"/>
    <w:rsid w:val="002939E2"/>
    <w:rsid w:val="00293AFE"/>
    <w:rsid w:val="00293D0E"/>
    <w:rsid w:val="00294D12"/>
    <w:rsid w:val="0029538A"/>
    <w:rsid w:val="002954FB"/>
    <w:rsid w:val="0029733A"/>
    <w:rsid w:val="002A0DAF"/>
    <w:rsid w:val="002A168C"/>
    <w:rsid w:val="002A1954"/>
    <w:rsid w:val="002A23CD"/>
    <w:rsid w:val="002A332C"/>
    <w:rsid w:val="002A3BAB"/>
    <w:rsid w:val="002A3DC7"/>
    <w:rsid w:val="002A40B8"/>
    <w:rsid w:val="002A4F9B"/>
    <w:rsid w:val="002B010F"/>
    <w:rsid w:val="002B0961"/>
    <w:rsid w:val="002B0E37"/>
    <w:rsid w:val="002B1154"/>
    <w:rsid w:val="002B1F97"/>
    <w:rsid w:val="002B21F6"/>
    <w:rsid w:val="002B2436"/>
    <w:rsid w:val="002B2543"/>
    <w:rsid w:val="002B359D"/>
    <w:rsid w:val="002B3F58"/>
    <w:rsid w:val="002B3FC8"/>
    <w:rsid w:val="002B49E2"/>
    <w:rsid w:val="002B4CA5"/>
    <w:rsid w:val="002B4F11"/>
    <w:rsid w:val="002B51C3"/>
    <w:rsid w:val="002B6568"/>
    <w:rsid w:val="002B75D6"/>
    <w:rsid w:val="002B78C3"/>
    <w:rsid w:val="002B7B00"/>
    <w:rsid w:val="002B7C44"/>
    <w:rsid w:val="002C2B17"/>
    <w:rsid w:val="002C44B2"/>
    <w:rsid w:val="002C540D"/>
    <w:rsid w:val="002C558C"/>
    <w:rsid w:val="002C73A1"/>
    <w:rsid w:val="002D3DD0"/>
    <w:rsid w:val="002D456C"/>
    <w:rsid w:val="002D5D23"/>
    <w:rsid w:val="002D6C88"/>
    <w:rsid w:val="002D713C"/>
    <w:rsid w:val="002D72A8"/>
    <w:rsid w:val="002D7841"/>
    <w:rsid w:val="002E0084"/>
    <w:rsid w:val="002E1F3A"/>
    <w:rsid w:val="002E232D"/>
    <w:rsid w:val="002E2359"/>
    <w:rsid w:val="002E26C1"/>
    <w:rsid w:val="002E298A"/>
    <w:rsid w:val="002E2E00"/>
    <w:rsid w:val="002E3508"/>
    <w:rsid w:val="002E3EF6"/>
    <w:rsid w:val="002E46BB"/>
    <w:rsid w:val="002E51FE"/>
    <w:rsid w:val="002E630B"/>
    <w:rsid w:val="002F05A1"/>
    <w:rsid w:val="002F21BC"/>
    <w:rsid w:val="002F2731"/>
    <w:rsid w:val="002F3B8A"/>
    <w:rsid w:val="002F49AC"/>
    <w:rsid w:val="002F5AAA"/>
    <w:rsid w:val="002F5F1D"/>
    <w:rsid w:val="002F6DA0"/>
    <w:rsid w:val="00300870"/>
    <w:rsid w:val="00301978"/>
    <w:rsid w:val="003025CD"/>
    <w:rsid w:val="0030332C"/>
    <w:rsid w:val="00303A0E"/>
    <w:rsid w:val="00303BE6"/>
    <w:rsid w:val="00304D66"/>
    <w:rsid w:val="00304E47"/>
    <w:rsid w:val="003051C2"/>
    <w:rsid w:val="00306788"/>
    <w:rsid w:val="00306AD7"/>
    <w:rsid w:val="00307B70"/>
    <w:rsid w:val="00307BEA"/>
    <w:rsid w:val="00310B1E"/>
    <w:rsid w:val="00310D31"/>
    <w:rsid w:val="00312296"/>
    <w:rsid w:val="00314B5F"/>
    <w:rsid w:val="00314F0E"/>
    <w:rsid w:val="00314F86"/>
    <w:rsid w:val="00316195"/>
    <w:rsid w:val="003165F8"/>
    <w:rsid w:val="0031693E"/>
    <w:rsid w:val="00321D8E"/>
    <w:rsid w:val="003227BB"/>
    <w:rsid w:val="00322E80"/>
    <w:rsid w:val="00325494"/>
    <w:rsid w:val="00325928"/>
    <w:rsid w:val="0032611D"/>
    <w:rsid w:val="00326755"/>
    <w:rsid w:val="003276DF"/>
    <w:rsid w:val="00327983"/>
    <w:rsid w:val="00330086"/>
    <w:rsid w:val="00331730"/>
    <w:rsid w:val="00331F3E"/>
    <w:rsid w:val="0033213A"/>
    <w:rsid w:val="00332863"/>
    <w:rsid w:val="00333250"/>
    <w:rsid w:val="00335286"/>
    <w:rsid w:val="00335B04"/>
    <w:rsid w:val="0033684D"/>
    <w:rsid w:val="00336F85"/>
    <w:rsid w:val="00337B42"/>
    <w:rsid w:val="003400C4"/>
    <w:rsid w:val="00340C4F"/>
    <w:rsid w:val="00341025"/>
    <w:rsid w:val="00341B42"/>
    <w:rsid w:val="00342010"/>
    <w:rsid w:val="00342C68"/>
    <w:rsid w:val="0034348F"/>
    <w:rsid w:val="00343A72"/>
    <w:rsid w:val="00343D72"/>
    <w:rsid w:val="00343FC1"/>
    <w:rsid w:val="00344E73"/>
    <w:rsid w:val="00345510"/>
    <w:rsid w:val="00346394"/>
    <w:rsid w:val="0034774D"/>
    <w:rsid w:val="00347D5F"/>
    <w:rsid w:val="00347DD5"/>
    <w:rsid w:val="00351133"/>
    <w:rsid w:val="0035266C"/>
    <w:rsid w:val="00352C02"/>
    <w:rsid w:val="00352D22"/>
    <w:rsid w:val="00352F3B"/>
    <w:rsid w:val="00353983"/>
    <w:rsid w:val="00354A0A"/>
    <w:rsid w:val="00354A45"/>
    <w:rsid w:val="00354A6F"/>
    <w:rsid w:val="00356192"/>
    <w:rsid w:val="00356653"/>
    <w:rsid w:val="0035743F"/>
    <w:rsid w:val="00357821"/>
    <w:rsid w:val="00357BE2"/>
    <w:rsid w:val="00361310"/>
    <w:rsid w:val="003615A3"/>
    <w:rsid w:val="0036170C"/>
    <w:rsid w:val="0036241E"/>
    <w:rsid w:val="0036293B"/>
    <w:rsid w:val="00362B6F"/>
    <w:rsid w:val="00365F71"/>
    <w:rsid w:val="003662ED"/>
    <w:rsid w:val="00366E0F"/>
    <w:rsid w:val="003670DA"/>
    <w:rsid w:val="00372176"/>
    <w:rsid w:val="003723BD"/>
    <w:rsid w:val="00373591"/>
    <w:rsid w:val="00373920"/>
    <w:rsid w:val="0037431A"/>
    <w:rsid w:val="00381A72"/>
    <w:rsid w:val="00382806"/>
    <w:rsid w:val="003845CC"/>
    <w:rsid w:val="00384676"/>
    <w:rsid w:val="00385443"/>
    <w:rsid w:val="003870DC"/>
    <w:rsid w:val="00390095"/>
    <w:rsid w:val="003900E4"/>
    <w:rsid w:val="00390857"/>
    <w:rsid w:val="003913A4"/>
    <w:rsid w:val="00392691"/>
    <w:rsid w:val="00393B01"/>
    <w:rsid w:val="0039414D"/>
    <w:rsid w:val="00395684"/>
    <w:rsid w:val="003966BA"/>
    <w:rsid w:val="003966E6"/>
    <w:rsid w:val="00396E45"/>
    <w:rsid w:val="003978D9"/>
    <w:rsid w:val="003979D8"/>
    <w:rsid w:val="003A1A46"/>
    <w:rsid w:val="003A46F0"/>
    <w:rsid w:val="003A4BF3"/>
    <w:rsid w:val="003A5423"/>
    <w:rsid w:val="003A6C5C"/>
    <w:rsid w:val="003B1E5B"/>
    <w:rsid w:val="003B252E"/>
    <w:rsid w:val="003B26C4"/>
    <w:rsid w:val="003B2DDF"/>
    <w:rsid w:val="003B357C"/>
    <w:rsid w:val="003B3AE8"/>
    <w:rsid w:val="003B420D"/>
    <w:rsid w:val="003B4355"/>
    <w:rsid w:val="003B444A"/>
    <w:rsid w:val="003B4A70"/>
    <w:rsid w:val="003B4D58"/>
    <w:rsid w:val="003B5D65"/>
    <w:rsid w:val="003B6944"/>
    <w:rsid w:val="003B6A2A"/>
    <w:rsid w:val="003B716D"/>
    <w:rsid w:val="003B764E"/>
    <w:rsid w:val="003B7954"/>
    <w:rsid w:val="003C1F24"/>
    <w:rsid w:val="003C2A32"/>
    <w:rsid w:val="003C33FA"/>
    <w:rsid w:val="003C3D08"/>
    <w:rsid w:val="003C4949"/>
    <w:rsid w:val="003C5000"/>
    <w:rsid w:val="003C5438"/>
    <w:rsid w:val="003C5DA1"/>
    <w:rsid w:val="003C5E60"/>
    <w:rsid w:val="003C6644"/>
    <w:rsid w:val="003C6C16"/>
    <w:rsid w:val="003C7136"/>
    <w:rsid w:val="003D01F5"/>
    <w:rsid w:val="003D148F"/>
    <w:rsid w:val="003D1D02"/>
    <w:rsid w:val="003D1D95"/>
    <w:rsid w:val="003D22CE"/>
    <w:rsid w:val="003D2685"/>
    <w:rsid w:val="003D2AE5"/>
    <w:rsid w:val="003D393A"/>
    <w:rsid w:val="003D497A"/>
    <w:rsid w:val="003D64F1"/>
    <w:rsid w:val="003D697E"/>
    <w:rsid w:val="003D7177"/>
    <w:rsid w:val="003D794D"/>
    <w:rsid w:val="003E0261"/>
    <w:rsid w:val="003E186F"/>
    <w:rsid w:val="003E3058"/>
    <w:rsid w:val="003E3815"/>
    <w:rsid w:val="003E4CB3"/>
    <w:rsid w:val="003E4EB5"/>
    <w:rsid w:val="003E5CD7"/>
    <w:rsid w:val="003E5F25"/>
    <w:rsid w:val="003E76A9"/>
    <w:rsid w:val="003F0809"/>
    <w:rsid w:val="003F266F"/>
    <w:rsid w:val="003F3DE2"/>
    <w:rsid w:val="003F4A6C"/>
    <w:rsid w:val="003F6A8C"/>
    <w:rsid w:val="003F6EDA"/>
    <w:rsid w:val="003F6F1B"/>
    <w:rsid w:val="003F7445"/>
    <w:rsid w:val="003F755C"/>
    <w:rsid w:val="003F7B9C"/>
    <w:rsid w:val="004000AA"/>
    <w:rsid w:val="00400139"/>
    <w:rsid w:val="00401237"/>
    <w:rsid w:val="00402BB9"/>
    <w:rsid w:val="004042B1"/>
    <w:rsid w:val="004063F0"/>
    <w:rsid w:val="00406F01"/>
    <w:rsid w:val="00412186"/>
    <w:rsid w:val="00412D5F"/>
    <w:rsid w:val="00412E94"/>
    <w:rsid w:val="004137B6"/>
    <w:rsid w:val="00415805"/>
    <w:rsid w:val="004158B7"/>
    <w:rsid w:val="00416A27"/>
    <w:rsid w:val="00416D50"/>
    <w:rsid w:val="00416FD5"/>
    <w:rsid w:val="00417772"/>
    <w:rsid w:val="00420E6A"/>
    <w:rsid w:val="00420FDC"/>
    <w:rsid w:val="0042198A"/>
    <w:rsid w:val="00421A72"/>
    <w:rsid w:val="00421B94"/>
    <w:rsid w:val="00423B0F"/>
    <w:rsid w:val="00424764"/>
    <w:rsid w:val="00424C4F"/>
    <w:rsid w:val="00424CF5"/>
    <w:rsid w:val="00424FA6"/>
    <w:rsid w:val="00425A9E"/>
    <w:rsid w:val="00426D6B"/>
    <w:rsid w:val="00427A27"/>
    <w:rsid w:val="00431E6C"/>
    <w:rsid w:val="00432F7E"/>
    <w:rsid w:val="004337DA"/>
    <w:rsid w:val="00433CE7"/>
    <w:rsid w:val="00433F53"/>
    <w:rsid w:val="00433F79"/>
    <w:rsid w:val="004342B5"/>
    <w:rsid w:val="00436184"/>
    <w:rsid w:val="004377FD"/>
    <w:rsid w:val="004416D0"/>
    <w:rsid w:val="00442BFB"/>
    <w:rsid w:val="0044379C"/>
    <w:rsid w:val="00443947"/>
    <w:rsid w:val="00444024"/>
    <w:rsid w:val="00444690"/>
    <w:rsid w:val="0044487D"/>
    <w:rsid w:val="00446485"/>
    <w:rsid w:val="0044790F"/>
    <w:rsid w:val="00450590"/>
    <w:rsid w:val="00450860"/>
    <w:rsid w:val="00452019"/>
    <w:rsid w:val="00452738"/>
    <w:rsid w:val="00453EC8"/>
    <w:rsid w:val="00454568"/>
    <w:rsid w:val="0045475F"/>
    <w:rsid w:val="004552E7"/>
    <w:rsid w:val="00455546"/>
    <w:rsid w:val="004555D7"/>
    <w:rsid w:val="00455E06"/>
    <w:rsid w:val="00455E86"/>
    <w:rsid w:val="00455F4B"/>
    <w:rsid w:val="00456091"/>
    <w:rsid w:val="004577F9"/>
    <w:rsid w:val="0046032F"/>
    <w:rsid w:val="00460495"/>
    <w:rsid w:val="0046091F"/>
    <w:rsid w:val="004640D7"/>
    <w:rsid w:val="00466321"/>
    <w:rsid w:val="00466E9E"/>
    <w:rsid w:val="004678B6"/>
    <w:rsid w:val="00470B19"/>
    <w:rsid w:val="00470B42"/>
    <w:rsid w:val="0047273C"/>
    <w:rsid w:val="00472C7A"/>
    <w:rsid w:val="00473F41"/>
    <w:rsid w:val="0047443A"/>
    <w:rsid w:val="00475E34"/>
    <w:rsid w:val="00476BC8"/>
    <w:rsid w:val="004771CE"/>
    <w:rsid w:val="00477391"/>
    <w:rsid w:val="00481143"/>
    <w:rsid w:val="00482EF3"/>
    <w:rsid w:val="00483904"/>
    <w:rsid w:val="00483923"/>
    <w:rsid w:val="00484367"/>
    <w:rsid w:val="00484B9B"/>
    <w:rsid w:val="004855F6"/>
    <w:rsid w:val="004858AF"/>
    <w:rsid w:val="00485ABF"/>
    <w:rsid w:val="004862F8"/>
    <w:rsid w:val="00486337"/>
    <w:rsid w:val="0048661E"/>
    <w:rsid w:val="00486C9E"/>
    <w:rsid w:val="00486CEA"/>
    <w:rsid w:val="00490B38"/>
    <w:rsid w:val="00490C46"/>
    <w:rsid w:val="00493CDD"/>
    <w:rsid w:val="004942B2"/>
    <w:rsid w:val="00494670"/>
    <w:rsid w:val="004947DC"/>
    <w:rsid w:val="00496651"/>
    <w:rsid w:val="004966F4"/>
    <w:rsid w:val="0049686C"/>
    <w:rsid w:val="004972F7"/>
    <w:rsid w:val="004A0204"/>
    <w:rsid w:val="004A20B0"/>
    <w:rsid w:val="004A27A3"/>
    <w:rsid w:val="004A3823"/>
    <w:rsid w:val="004A3D5E"/>
    <w:rsid w:val="004A430B"/>
    <w:rsid w:val="004A4A4B"/>
    <w:rsid w:val="004A4DBD"/>
    <w:rsid w:val="004B07A8"/>
    <w:rsid w:val="004B26F2"/>
    <w:rsid w:val="004B26FE"/>
    <w:rsid w:val="004B2F87"/>
    <w:rsid w:val="004B35AF"/>
    <w:rsid w:val="004B508A"/>
    <w:rsid w:val="004B5199"/>
    <w:rsid w:val="004B61BA"/>
    <w:rsid w:val="004B7532"/>
    <w:rsid w:val="004B7CF3"/>
    <w:rsid w:val="004C3867"/>
    <w:rsid w:val="004C4006"/>
    <w:rsid w:val="004C58B9"/>
    <w:rsid w:val="004C5C58"/>
    <w:rsid w:val="004C5F4A"/>
    <w:rsid w:val="004C64D0"/>
    <w:rsid w:val="004C7438"/>
    <w:rsid w:val="004D28BC"/>
    <w:rsid w:val="004D3827"/>
    <w:rsid w:val="004D525E"/>
    <w:rsid w:val="004D5FA6"/>
    <w:rsid w:val="004D6400"/>
    <w:rsid w:val="004D753B"/>
    <w:rsid w:val="004E058F"/>
    <w:rsid w:val="004E1D48"/>
    <w:rsid w:val="004E1EA7"/>
    <w:rsid w:val="004E4265"/>
    <w:rsid w:val="004E4834"/>
    <w:rsid w:val="004E4CBF"/>
    <w:rsid w:val="004E57D1"/>
    <w:rsid w:val="004E581C"/>
    <w:rsid w:val="004E6946"/>
    <w:rsid w:val="004E6B42"/>
    <w:rsid w:val="004F0210"/>
    <w:rsid w:val="004F03DE"/>
    <w:rsid w:val="004F1105"/>
    <w:rsid w:val="004F1AD8"/>
    <w:rsid w:val="004F41AB"/>
    <w:rsid w:val="004F4A16"/>
    <w:rsid w:val="004F5440"/>
    <w:rsid w:val="004F6B81"/>
    <w:rsid w:val="004F78E1"/>
    <w:rsid w:val="00500D76"/>
    <w:rsid w:val="00500D80"/>
    <w:rsid w:val="00500E9C"/>
    <w:rsid w:val="005039CB"/>
    <w:rsid w:val="00504E09"/>
    <w:rsid w:val="00504E0E"/>
    <w:rsid w:val="0050558F"/>
    <w:rsid w:val="00505C8D"/>
    <w:rsid w:val="00505ED0"/>
    <w:rsid w:val="00506286"/>
    <w:rsid w:val="00507532"/>
    <w:rsid w:val="00507C1B"/>
    <w:rsid w:val="0051043A"/>
    <w:rsid w:val="00510813"/>
    <w:rsid w:val="00511990"/>
    <w:rsid w:val="00511DE0"/>
    <w:rsid w:val="00512CD3"/>
    <w:rsid w:val="005137D0"/>
    <w:rsid w:val="00514870"/>
    <w:rsid w:val="00514B9B"/>
    <w:rsid w:val="00515871"/>
    <w:rsid w:val="00516F50"/>
    <w:rsid w:val="00516FF8"/>
    <w:rsid w:val="00517A35"/>
    <w:rsid w:val="00517F02"/>
    <w:rsid w:val="0052108C"/>
    <w:rsid w:val="0052363A"/>
    <w:rsid w:val="00524303"/>
    <w:rsid w:val="005244CA"/>
    <w:rsid w:val="00524C67"/>
    <w:rsid w:val="005258A2"/>
    <w:rsid w:val="00526BE1"/>
    <w:rsid w:val="005271ED"/>
    <w:rsid w:val="0053057F"/>
    <w:rsid w:val="005305C6"/>
    <w:rsid w:val="00530D5A"/>
    <w:rsid w:val="00531590"/>
    <w:rsid w:val="00531EE1"/>
    <w:rsid w:val="00532919"/>
    <w:rsid w:val="005334BD"/>
    <w:rsid w:val="00533F5A"/>
    <w:rsid w:val="00534015"/>
    <w:rsid w:val="00534FB7"/>
    <w:rsid w:val="00537413"/>
    <w:rsid w:val="005401AE"/>
    <w:rsid w:val="0054083D"/>
    <w:rsid w:val="00540BEC"/>
    <w:rsid w:val="00540C0A"/>
    <w:rsid w:val="00540D6C"/>
    <w:rsid w:val="005424F6"/>
    <w:rsid w:val="00542E07"/>
    <w:rsid w:val="00542F9C"/>
    <w:rsid w:val="00543035"/>
    <w:rsid w:val="00543C91"/>
    <w:rsid w:val="00544219"/>
    <w:rsid w:val="00544533"/>
    <w:rsid w:val="00545424"/>
    <w:rsid w:val="00545FBB"/>
    <w:rsid w:val="00546718"/>
    <w:rsid w:val="00546ED0"/>
    <w:rsid w:val="005508D6"/>
    <w:rsid w:val="005508DB"/>
    <w:rsid w:val="00551C62"/>
    <w:rsid w:val="005524BD"/>
    <w:rsid w:val="005524DD"/>
    <w:rsid w:val="00552F7E"/>
    <w:rsid w:val="00553231"/>
    <w:rsid w:val="005537A6"/>
    <w:rsid w:val="00554A7B"/>
    <w:rsid w:val="00554D8D"/>
    <w:rsid w:val="005556CD"/>
    <w:rsid w:val="0055572C"/>
    <w:rsid w:val="00556127"/>
    <w:rsid w:val="00557228"/>
    <w:rsid w:val="00557DA1"/>
    <w:rsid w:val="005600F4"/>
    <w:rsid w:val="005601A7"/>
    <w:rsid w:val="0056028D"/>
    <w:rsid w:val="00560FB3"/>
    <w:rsid w:val="0056106A"/>
    <w:rsid w:val="00561779"/>
    <w:rsid w:val="0056223F"/>
    <w:rsid w:val="005644DB"/>
    <w:rsid w:val="0056493A"/>
    <w:rsid w:val="005661D8"/>
    <w:rsid w:val="005662E0"/>
    <w:rsid w:val="00566D13"/>
    <w:rsid w:val="00566FC5"/>
    <w:rsid w:val="0056720A"/>
    <w:rsid w:val="00567788"/>
    <w:rsid w:val="005713A0"/>
    <w:rsid w:val="00571A88"/>
    <w:rsid w:val="00571EED"/>
    <w:rsid w:val="005720AE"/>
    <w:rsid w:val="00572B2B"/>
    <w:rsid w:val="00574894"/>
    <w:rsid w:val="005756E3"/>
    <w:rsid w:val="00580FBE"/>
    <w:rsid w:val="00581F65"/>
    <w:rsid w:val="00582219"/>
    <w:rsid w:val="00583529"/>
    <w:rsid w:val="00583C0B"/>
    <w:rsid w:val="005842CF"/>
    <w:rsid w:val="00586919"/>
    <w:rsid w:val="00590177"/>
    <w:rsid w:val="00591147"/>
    <w:rsid w:val="00593A05"/>
    <w:rsid w:val="00593CDE"/>
    <w:rsid w:val="00593F48"/>
    <w:rsid w:val="00594D77"/>
    <w:rsid w:val="005969E4"/>
    <w:rsid w:val="005977D7"/>
    <w:rsid w:val="00597911"/>
    <w:rsid w:val="005A0023"/>
    <w:rsid w:val="005A0105"/>
    <w:rsid w:val="005A06B7"/>
    <w:rsid w:val="005A0944"/>
    <w:rsid w:val="005A1289"/>
    <w:rsid w:val="005A1586"/>
    <w:rsid w:val="005A1759"/>
    <w:rsid w:val="005A19C3"/>
    <w:rsid w:val="005A1D5C"/>
    <w:rsid w:val="005A2407"/>
    <w:rsid w:val="005A3119"/>
    <w:rsid w:val="005A3394"/>
    <w:rsid w:val="005A374A"/>
    <w:rsid w:val="005A3767"/>
    <w:rsid w:val="005A42AD"/>
    <w:rsid w:val="005A4336"/>
    <w:rsid w:val="005A4D4E"/>
    <w:rsid w:val="005A68A7"/>
    <w:rsid w:val="005A6C2C"/>
    <w:rsid w:val="005A7784"/>
    <w:rsid w:val="005A7C48"/>
    <w:rsid w:val="005B3555"/>
    <w:rsid w:val="005B41F1"/>
    <w:rsid w:val="005B4F53"/>
    <w:rsid w:val="005B7244"/>
    <w:rsid w:val="005B7526"/>
    <w:rsid w:val="005C037D"/>
    <w:rsid w:val="005C0FF6"/>
    <w:rsid w:val="005C18A2"/>
    <w:rsid w:val="005C1D86"/>
    <w:rsid w:val="005C23EB"/>
    <w:rsid w:val="005C3EBF"/>
    <w:rsid w:val="005C427B"/>
    <w:rsid w:val="005D0379"/>
    <w:rsid w:val="005D36AB"/>
    <w:rsid w:val="005D4FD4"/>
    <w:rsid w:val="005D7733"/>
    <w:rsid w:val="005E1EA7"/>
    <w:rsid w:val="005E2C6D"/>
    <w:rsid w:val="005E3266"/>
    <w:rsid w:val="005E4B69"/>
    <w:rsid w:val="005E72E4"/>
    <w:rsid w:val="005F127E"/>
    <w:rsid w:val="005F15DC"/>
    <w:rsid w:val="005F1ACB"/>
    <w:rsid w:val="005F3C12"/>
    <w:rsid w:val="005F4707"/>
    <w:rsid w:val="005F64ED"/>
    <w:rsid w:val="005F6DD6"/>
    <w:rsid w:val="00601D08"/>
    <w:rsid w:val="00601E34"/>
    <w:rsid w:val="00602F3A"/>
    <w:rsid w:val="006044DC"/>
    <w:rsid w:val="00604936"/>
    <w:rsid w:val="00604BEB"/>
    <w:rsid w:val="006050D0"/>
    <w:rsid w:val="00607DE0"/>
    <w:rsid w:val="006101AE"/>
    <w:rsid w:val="006106F4"/>
    <w:rsid w:val="00610756"/>
    <w:rsid w:val="00610DF6"/>
    <w:rsid w:val="006112FC"/>
    <w:rsid w:val="00611B31"/>
    <w:rsid w:val="00612D89"/>
    <w:rsid w:val="006138B1"/>
    <w:rsid w:val="00614568"/>
    <w:rsid w:val="00614DF9"/>
    <w:rsid w:val="00615729"/>
    <w:rsid w:val="00615775"/>
    <w:rsid w:val="00617C88"/>
    <w:rsid w:val="00617CC3"/>
    <w:rsid w:val="006214F3"/>
    <w:rsid w:val="006260A9"/>
    <w:rsid w:val="00626140"/>
    <w:rsid w:val="00626898"/>
    <w:rsid w:val="00631707"/>
    <w:rsid w:val="00631953"/>
    <w:rsid w:val="00632DED"/>
    <w:rsid w:val="006343C9"/>
    <w:rsid w:val="00634BA8"/>
    <w:rsid w:val="0063503D"/>
    <w:rsid w:val="0063527D"/>
    <w:rsid w:val="006377A6"/>
    <w:rsid w:val="00637802"/>
    <w:rsid w:val="00637A3D"/>
    <w:rsid w:val="00640F07"/>
    <w:rsid w:val="006411EF"/>
    <w:rsid w:val="006421A4"/>
    <w:rsid w:val="00644639"/>
    <w:rsid w:val="00645653"/>
    <w:rsid w:val="006505BB"/>
    <w:rsid w:val="00651291"/>
    <w:rsid w:val="0065153C"/>
    <w:rsid w:val="00652CEA"/>
    <w:rsid w:val="00653189"/>
    <w:rsid w:val="0065382F"/>
    <w:rsid w:val="00653C02"/>
    <w:rsid w:val="00656058"/>
    <w:rsid w:val="00656878"/>
    <w:rsid w:val="00656C2F"/>
    <w:rsid w:val="006601F3"/>
    <w:rsid w:val="00661188"/>
    <w:rsid w:val="006638D7"/>
    <w:rsid w:val="00663DBD"/>
    <w:rsid w:val="00664126"/>
    <w:rsid w:val="00664FEB"/>
    <w:rsid w:val="00666350"/>
    <w:rsid w:val="006664A1"/>
    <w:rsid w:val="00667782"/>
    <w:rsid w:val="00667F56"/>
    <w:rsid w:val="00670D5C"/>
    <w:rsid w:val="00673E75"/>
    <w:rsid w:val="006740EF"/>
    <w:rsid w:val="006745CD"/>
    <w:rsid w:val="0067480F"/>
    <w:rsid w:val="006748B8"/>
    <w:rsid w:val="00675C7E"/>
    <w:rsid w:val="006764FC"/>
    <w:rsid w:val="00676899"/>
    <w:rsid w:val="00676C73"/>
    <w:rsid w:val="006775C3"/>
    <w:rsid w:val="006804BC"/>
    <w:rsid w:val="00682241"/>
    <w:rsid w:val="00682FDB"/>
    <w:rsid w:val="006840FA"/>
    <w:rsid w:val="006850E6"/>
    <w:rsid w:val="006875BF"/>
    <w:rsid w:val="00690980"/>
    <w:rsid w:val="00690D21"/>
    <w:rsid w:val="006913B6"/>
    <w:rsid w:val="00691780"/>
    <w:rsid w:val="00691F58"/>
    <w:rsid w:val="0069290A"/>
    <w:rsid w:val="0069607D"/>
    <w:rsid w:val="006960FA"/>
    <w:rsid w:val="0069775A"/>
    <w:rsid w:val="0069777E"/>
    <w:rsid w:val="00697813"/>
    <w:rsid w:val="00697CA9"/>
    <w:rsid w:val="006A0541"/>
    <w:rsid w:val="006A080B"/>
    <w:rsid w:val="006A124D"/>
    <w:rsid w:val="006A12B4"/>
    <w:rsid w:val="006A169C"/>
    <w:rsid w:val="006A193F"/>
    <w:rsid w:val="006A2B06"/>
    <w:rsid w:val="006A3DEC"/>
    <w:rsid w:val="006A3EE8"/>
    <w:rsid w:val="006A4A91"/>
    <w:rsid w:val="006A5602"/>
    <w:rsid w:val="006A5B81"/>
    <w:rsid w:val="006A6685"/>
    <w:rsid w:val="006A72BF"/>
    <w:rsid w:val="006B03F2"/>
    <w:rsid w:val="006B1868"/>
    <w:rsid w:val="006B1F29"/>
    <w:rsid w:val="006B27C8"/>
    <w:rsid w:val="006B2CAF"/>
    <w:rsid w:val="006B3121"/>
    <w:rsid w:val="006B37DC"/>
    <w:rsid w:val="006B4530"/>
    <w:rsid w:val="006B4CB2"/>
    <w:rsid w:val="006B4F68"/>
    <w:rsid w:val="006B518B"/>
    <w:rsid w:val="006B6ABF"/>
    <w:rsid w:val="006B7966"/>
    <w:rsid w:val="006C012D"/>
    <w:rsid w:val="006C0592"/>
    <w:rsid w:val="006C05D2"/>
    <w:rsid w:val="006C0FD7"/>
    <w:rsid w:val="006C102C"/>
    <w:rsid w:val="006C1245"/>
    <w:rsid w:val="006C272E"/>
    <w:rsid w:val="006C4058"/>
    <w:rsid w:val="006C4F3E"/>
    <w:rsid w:val="006C5479"/>
    <w:rsid w:val="006C625C"/>
    <w:rsid w:val="006C6C69"/>
    <w:rsid w:val="006C702E"/>
    <w:rsid w:val="006C7D5A"/>
    <w:rsid w:val="006D0517"/>
    <w:rsid w:val="006D13B5"/>
    <w:rsid w:val="006D3947"/>
    <w:rsid w:val="006D4473"/>
    <w:rsid w:val="006D4869"/>
    <w:rsid w:val="006D6F20"/>
    <w:rsid w:val="006E0927"/>
    <w:rsid w:val="006E10BE"/>
    <w:rsid w:val="006E1260"/>
    <w:rsid w:val="006E12FF"/>
    <w:rsid w:val="006E1C62"/>
    <w:rsid w:val="006E4B34"/>
    <w:rsid w:val="006E507D"/>
    <w:rsid w:val="006E55FB"/>
    <w:rsid w:val="006E607E"/>
    <w:rsid w:val="006E7360"/>
    <w:rsid w:val="006E7F19"/>
    <w:rsid w:val="006F07F0"/>
    <w:rsid w:val="006F1AC8"/>
    <w:rsid w:val="006F1CFC"/>
    <w:rsid w:val="006F23AA"/>
    <w:rsid w:val="006F2B80"/>
    <w:rsid w:val="006F37EA"/>
    <w:rsid w:val="0070099B"/>
    <w:rsid w:val="00700EDD"/>
    <w:rsid w:val="00701787"/>
    <w:rsid w:val="00704423"/>
    <w:rsid w:val="0070520D"/>
    <w:rsid w:val="00705ADF"/>
    <w:rsid w:val="0070648D"/>
    <w:rsid w:val="00706967"/>
    <w:rsid w:val="00706C5D"/>
    <w:rsid w:val="00707474"/>
    <w:rsid w:val="00707501"/>
    <w:rsid w:val="0071029C"/>
    <w:rsid w:val="0071085A"/>
    <w:rsid w:val="00711847"/>
    <w:rsid w:val="0071269B"/>
    <w:rsid w:val="00714F51"/>
    <w:rsid w:val="00715465"/>
    <w:rsid w:val="007155B5"/>
    <w:rsid w:val="00720C04"/>
    <w:rsid w:val="00720F4F"/>
    <w:rsid w:val="00722B8D"/>
    <w:rsid w:val="00723720"/>
    <w:rsid w:val="00723B6F"/>
    <w:rsid w:val="00723C02"/>
    <w:rsid w:val="007243B5"/>
    <w:rsid w:val="007249AD"/>
    <w:rsid w:val="007253F9"/>
    <w:rsid w:val="0072607A"/>
    <w:rsid w:val="0072649C"/>
    <w:rsid w:val="00726F13"/>
    <w:rsid w:val="007276FF"/>
    <w:rsid w:val="00727F13"/>
    <w:rsid w:val="00730260"/>
    <w:rsid w:val="00730A4C"/>
    <w:rsid w:val="007312D2"/>
    <w:rsid w:val="00731AAA"/>
    <w:rsid w:val="007323BD"/>
    <w:rsid w:val="00732662"/>
    <w:rsid w:val="00732922"/>
    <w:rsid w:val="007330FA"/>
    <w:rsid w:val="007335B4"/>
    <w:rsid w:val="00733B54"/>
    <w:rsid w:val="007344A1"/>
    <w:rsid w:val="00734D8B"/>
    <w:rsid w:val="00735319"/>
    <w:rsid w:val="00736C17"/>
    <w:rsid w:val="00736F0D"/>
    <w:rsid w:val="007401F0"/>
    <w:rsid w:val="007404AE"/>
    <w:rsid w:val="00741E8F"/>
    <w:rsid w:val="00741F5F"/>
    <w:rsid w:val="0074324A"/>
    <w:rsid w:val="00744123"/>
    <w:rsid w:val="007443D2"/>
    <w:rsid w:val="00746162"/>
    <w:rsid w:val="007474AD"/>
    <w:rsid w:val="00747851"/>
    <w:rsid w:val="00747B22"/>
    <w:rsid w:val="00747D13"/>
    <w:rsid w:val="0075115B"/>
    <w:rsid w:val="0075162E"/>
    <w:rsid w:val="007517B1"/>
    <w:rsid w:val="00752E56"/>
    <w:rsid w:val="00752FC6"/>
    <w:rsid w:val="007530FB"/>
    <w:rsid w:val="00754034"/>
    <w:rsid w:val="007540BD"/>
    <w:rsid w:val="007540C4"/>
    <w:rsid w:val="007544B7"/>
    <w:rsid w:val="007554CA"/>
    <w:rsid w:val="00755A90"/>
    <w:rsid w:val="00756556"/>
    <w:rsid w:val="00757932"/>
    <w:rsid w:val="00760384"/>
    <w:rsid w:val="00761053"/>
    <w:rsid w:val="007618C4"/>
    <w:rsid w:val="0076319A"/>
    <w:rsid w:val="00764441"/>
    <w:rsid w:val="007645D9"/>
    <w:rsid w:val="00764D84"/>
    <w:rsid w:val="0076546E"/>
    <w:rsid w:val="007673B5"/>
    <w:rsid w:val="00767980"/>
    <w:rsid w:val="00770B19"/>
    <w:rsid w:val="00771617"/>
    <w:rsid w:val="00773B0A"/>
    <w:rsid w:val="00773C1D"/>
    <w:rsid w:val="00773F4F"/>
    <w:rsid w:val="00773FEE"/>
    <w:rsid w:val="0077412D"/>
    <w:rsid w:val="0077463F"/>
    <w:rsid w:val="00774CDA"/>
    <w:rsid w:val="00774F66"/>
    <w:rsid w:val="007767E5"/>
    <w:rsid w:val="007771E8"/>
    <w:rsid w:val="00777E0B"/>
    <w:rsid w:val="00781A4E"/>
    <w:rsid w:val="007836EA"/>
    <w:rsid w:val="00784CDA"/>
    <w:rsid w:val="00786C48"/>
    <w:rsid w:val="007906C4"/>
    <w:rsid w:val="00792D3E"/>
    <w:rsid w:val="00793519"/>
    <w:rsid w:val="00793B53"/>
    <w:rsid w:val="00793F25"/>
    <w:rsid w:val="007940EA"/>
    <w:rsid w:val="00795B35"/>
    <w:rsid w:val="00795F49"/>
    <w:rsid w:val="0079656D"/>
    <w:rsid w:val="007967E8"/>
    <w:rsid w:val="007A023C"/>
    <w:rsid w:val="007A0C9D"/>
    <w:rsid w:val="007A1A61"/>
    <w:rsid w:val="007A2170"/>
    <w:rsid w:val="007A22BF"/>
    <w:rsid w:val="007A2D3B"/>
    <w:rsid w:val="007A3323"/>
    <w:rsid w:val="007A4D8F"/>
    <w:rsid w:val="007A5553"/>
    <w:rsid w:val="007A6E8E"/>
    <w:rsid w:val="007A7233"/>
    <w:rsid w:val="007B1247"/>
    <w:rsid w:val="007B15A4"/>
    <w:rsid w:val="007B2474"/>
    <w:rsid w:val="007B3B15"/>
    <w:rsid w:val="007B43C7"/>
    <w:rsid w:val="007B442D"/>
    <w:rsid w:val="007B72B8"/>
    <w:rsid w:val="007B7A58"/>
    <w:rsid w:val="007B7B93"/>
    <w:rsid w:val="007C090A"/>
    <w:rsid w:val="007C0D81"/>
    <w:rsid w:val="007C0FAE"/>
    <w:rsid w:val="007C184F"/>
    <w:rsid w:val="007C21B5"/>
    <w:rsid w:val="007C45A8"/>
    <w:rsid w:val="007C4D1F"/>
    <w:rsid w:val="007C57B7"/>
    <w:rsid w:val="007C5BA9"/>
    <w:rsid w:val="007C7AAB"/>
    <w:rsid w:val="007D00E3"/>
    <w:rsid w:val="007D01EA"/>
    <w:rsid w:val="007D021D"/>
    <w:rsid w:val="007D2516"/>
    <w:rsid w:val="007D34FA"/>
    <w:rsid w:val="007D362D"/>
    <w:rsid w:val="007D3D29"/>
    <w:rsid w:val="007D4284"/>
    <w:rsid w:val="007D59A4"/>
    <w:rsid w:val="007D6DD7"/>
    <w:rsid w:val="007D7526"/>
    <w:rsid w:val="007D77A9"/>
    <w:rsid w:val="007D7B6A"/>
    <w:rsid w:val="007E0250"/>
    <w:rsid w:val="007E0726"/>
    <w:rsid w:val="007E0F90"/>
    <w:rsid w:val="007E4BD2"/>
    <w:rsid w:val="007E5931"/>
    <w:rsid w:val="007E5B66"/>
    <w:rsid w:val="007E5CE2"/>
    <w:rsid w:val="007E641D"/>
    <w:rsid w:val="007E68A6"/>
    <w:rsid w:val="007F01DA"/>
    <w:rsid w:val="007F2A0A"/>
    <w:rsid w:val="007F2CB8"/>
    <w:rsid w:val="007F38E5"/>
    <w:rsid w:val="007F4659"/>
    <w:rsid w:val="007F5A68"/>
    <w:rsid w:val="007F6943"/>
    <w:rsid w:val="007F6D48"/>
    <w:rsid w:val="007F70A4"/>
    <w:rsid w:val="00800EDA"/>
    <w:rsid w:val="00801393"/>
    <w:rsid w:val="00801BC5"/>
    <w:rsid w:val="00801BDA"/>
    <w:rsid w:val="00802687"/>
    <w:rsid w:val="008028D8"/>
    <w:rsid w:val="00802F88"/>
    <w:rsid w:val="0080358D"/>
    <w:rsid w:val="00806A11"/>
    <w:rsid w:val="0081293E"/>
    <w:rsid w:val="00812CCD"/>
    <w:rsid w:val="00812D23"/>
    <w:rsid w:val="00813178"/>
    <w:rsid w:val="008133B6"/>
    <w:rsid w:val="008148EA"/>
    <w:rsid w:val="00814DDB"/>
    <w:rsid w:val="008150C7"/>
    <w:rsid w:val="00815465"/>
    <w:rsid w:val="00815A21"/>
    <w:rsid w:val="00817067"/>
    <w:rsid w:val="008176D1"/>
    <w:rsid w:val="00817E19"/>
    <w:rsid w:val="00817E9A"/>
    <w:rsid w:val="00817F06"/>
    <w:rsid w:val="0082035B"/>
    <w:rsid w:val="0082178F"/>
    <w:rsid w:val="00821C05"/>
    <w:rsid w:val="00821F95"/>
    <w:rsid w:val="0082279D"/>
    <w:rsid w:val="008239C3"/>
    <w:rsid w:val="008239E6"/>
    <w:rsid w:val="0082505C"/>
    <w:rsid w:val="00825262"/>
    <w:rsid w:val="0082548E"/>
    <w:rsid w:val="0082602D"/>
    <w:rsid w:val="008306BD"/>
    <w:rsid w:val="008313C1"/>
    <w:rsid w:val="00831A80"/>
    <w:rsid w:val="008329E5"/>
    <w:rsid w:val="00833587"/>
    <w:rsid w:val="008335D7"/>
    <w:rsid w:val="00833743"/>
    <w:rsid w:val="008340A4"/>
    <w:rsid w:val="0083470B"/>
    <w:rsid w:val="008356A3"/>
    <w:rsid w:val="00835E03"/>
    <w:rsid w:val="00836918"/>
    <w:rsid w:val="00836CFB"/>
    <w:rsid w:val="00836F65"/>
    <w:rsid w:val="008378F9"/>
    <w:rsid w:val="00841809"/>
    <w:rsid w:val="00841988"/>
    <w:rsid w:val="00842013"/>
    <w:rsid w:val="0084297D"/>
    <w:rsid w:val="00843BED"/>
    <w:rsid w:val="00844858"/>
    <w:rsid w:val="008449EA"/>
    <w:rsid w:val="00845406"/>
    <w:rsid w:val="0084550C"/>
    <w:rsid w:val="00846119"/>
    <w:rsid w:val="00847A85"/>
    <w:rsid w:val="00847BBF"/>
    <w:rsid w:val="008523FD"/>
    <w:rsid w:val="008539E9"/>
    <w:rsid w:val="008544DC"/>
    <w:rsid w:val="008546BB"/>
    <w:rsid w:val="00857591"/>
    <w:rsid w:val="008603DC"/>
    <w:rsid w:val="0086070E"/>
    <w:rsid w:val="00860F08"/>
    <w:rsid w:val="008614CE"/>
    <w:rsid w:val="00862342"/>
    <w:rsid w:val="0086377B"/>
    <w:rsid w:val="008638F8"/>
    <w:rsid w:val="00863AEF"/>
    <w:rsid w:val="00865405"/>
    <w:rsid w:val="00865CAB"/>
    <w:rsid w:val="00867DEB"/>
    <w:rsid w:val="00870D95"/>
    <w:rsid w:val="0087135F"/>
    <w:rsid w:val="00871C29"/>
    <w:rsid w:val="00871DD2"/>
    <w:rsid w:val="00872D1A"/>
    <w:rsid w:val="00872D94"/>
    <w:rsid w:val="00873821"/>
    <w:rsid w:val="00873CBF"/>
    <w:rsid w:val="008746C2"/>
    <w:rsid w:val="0087472F"/>
    <w:rsid w:val="00877CEF"/>
    <w:rsid w:val="00880150"/>
    <w:rsid w:val="00880364"/>
    <w:rsid w:val="008825F0"/>
    <w:rsid w:val="00882674"/>
    <w:rsid w:val="008828D8"/>
    <w:rsid w:val="0088457B"/>
    <w:rsid w:val="00884BB5"/>
    <w:rsid w:val="00890C74"/>
    <w:rsid w:val="00890FA7"/>
    <w:rsid w:val="00891592"/>
    <w:rsid w:val="00891CAE"/>
    <w:rsid w:val="00891E9E"/>
    <w:rsid w:val="0089289D"/>
    <w:rsid w:val="00892BF4"/>
    <w:rsid w:val="00893A5D"/>
    <w:rsid w:val="0089550E"/>
    <w:rsid w:val="008959DD"/>
    <w:rsid w:val="008965B4"/>
    <w:rsid w:val="00897066"/>
    <w:rsid w:val="008A01B3"/>
    <w:rsid w:val="008A0A1E"/>
    <w:rsid w:val="008A21DD"/>
    <w:rsid w:val="008A2F68"/>
    <w:rsid w:val="008A33ED"/>
    <w:rsid w:val="008A3A52"/>
    <w:rsid w:val="008A5C5C"/>
    <w:rsid w:val="008A6182"/>
    <w:rsid w:val="008A6FA5"/>
    <w:rsid w:val="008A702B"/>
    <w:rsid w:val="008B0D19"/>
    <w:rsid w:val="008B165D"/>
    <w:rsid w:val="008B1EAB"/>
    <w:rsid w:val="008B1F73"/>
    <w:rsid w:val="008B3087"/>
    <w:rsid w:val="008B3245"/>
    <w:rsid w:val="008B44D0"/>
    <w:rsid w:val="008B4EE7"/>
    <w:rsid w:val="008B4FA6"/>
    <w:rsid w:val="008B5085"/>
    <w:rsid w:val="008B5282"/>
    <w:rsid w:val="008B5450"/>
    <w:rsid w:val="008B59C5"/>
    <w:rsid w:val="008B66DA"/>
    <w:rsid w:val="008B67A8"/>
    <w:rsid w:val="008B7C17"/>
    <w:rsid w:val="008C0364"/>
    <w:rsid w:val="008C0C27"/>
    <w:rsid w:val="008C1261"/>
    <w:rsid w:val="008C1B36"/>
    <w:rsid w:val="008C2242"/>
    <w:rsid w:val="008C29D0"/>
    <w:rsid w:val="008C2A7F"/>
    <w:rsid w:val="008C2B24"/>
    <w:rsid w:val="008C2D01"/>
    <w:rsid w:val="008C40E6"/>
    <w:rsid w:val="008C41F5"/>
    <w:rsid w:val="008C7911"/>
    <w:rsid w:val="008C7B30"/>
    <w:rsid w:val="008D0F7A"/>
    <w:rsid w:val="008D12D1"/>
    <w:rsid w:val="008D2836"/>
    <w:rsid w:val="008D38F4"/>
    <w:rsid w:val="008D3957"/>
    <w:rsid w:val="008D68E4"/>
    <w:rsid w:val="008D7F8E"/>
    <w:rsid w:val="008E0506"/>
    <w:rsid w:val="008E0C15"/>
    <w:rsid w:val="008E0CFF"/>
    <w:rsid w:val="008E36A9"/>
    <w:rsid w:val="008E39B7"/>
    <w:rsid w:val="008E4A9B"/>
    <w:rsid w:val="008E4DA4"/>
    <w:rsid w:val="008E5210"/>
    <w:rsid w:val="008E5D6B"/>
    <w:rsid w:val="008E76F0"/>
    <w:rsid w:val="008F0493"/>
    <w:rsid w:val="008F15FE"/>
    <w:rsid w:val="008F2470"/>
    <w:rsid w:val="008F24C2"/>
    <w:rsid w:val="008F271A"/>
    <w:rsid w:val="008F278E"/>
    <w:rsid w:val="008F2D29"/>
    <w:rsid w:val="008F2E00"/>
    <w:rsid w:val="008F306E"/>
    <w:rsid w:val="008F3AB6"/>
    <w:rsid w:val="008F42A4"/>
    <w:rsid w:val="008F4384"/>
    <w:rsid w:val="008F45B4"/>
    <w:rsid w:val="008F4F78"/>
    <w:rsid w:val="008F5187"/>
    <w:rsid w:val="008F57FF"/>
    <w:rsid w:val="008F5DBA"/>
    <w:rsid w:val="008F60D8"/>
    <w:rsid w:val="009008B8"/>
    <w:rsid w:val="00901A96"/>
    <w:rsid w:val="00902727"/>
    <w:rsid w:val="00902E90"/>
    <w:rsid w:val="0090312B"/>
    <w:rsid w:val="00905BA4"/>
    <w:rsid w:val="0090692A"/>
    <w:rsid w:val="00906ECB"/>
    <w:rsid w:val="00907E37"/>
    <w:rsid w:val="00907EAB"/>
    <w:rsid w:val="0091020C"/>
    <w:rsid w:val="00910DC6"/>
    <w:rsid w:val="00911579"/>
    <w:rsid w:val="00912678"/>
    <w:rsid w:val="00912AFF"/>
    <w:rsid w:val="00913802"/>
    <w:rsid w:val="00914B2D"/>
    <w:rsid w:val="00915C77"/>
    <w:rsid w:val="00915F11"/>
    <w:rsid w:val="009166E7"/>
    <w:rsid w:val="0091736D"/>
    <w:rsid w:val="0091739B"/>
    <w:rsid w:val="0092234F"/>
    <w:rsid w:val="00923FD6"/>
    <w:rsid w:val="00924963"/>
    <w:rsid w:val="009250DB"/>
    <w:rsid w:val="00926323"/>
    <w:rsid w:val="00927209"/>
    <w:rsid w:val="00927A1F"/>
    <w:rsid w:val="0093037A"/>
    <w:rsid w:val="00930516"/>
    <w:rsid w:val="0093129E"/>
    <w:rsid w:val="009312E0"/>
    <w:rsid w:val="00932474"/>
    <w:rsid w:val="00932704"/>
    <w:rsid w:val="0093361D"/>
    <w:rsid w:val="009351A4"/>
    <w:rsid w:val="00936FB8"/>
    <w:rsid w:val="00937220"/>
    <w:rsid w:val="00940864"/>
    <w:rsid w:val="00940FCD"/>
    <w:rsid w:val="009414D6"/>
    <w:rsid w:val="0094154D"/>
    <w:rsid w:val="00942004"/>
    <w:rsid w:val="00942BA9"/>
    <w:rsid w:val="00942FCF"/>
    <w:rsid w:val="009456FD"/>
    <w:rsid w:val="009465E0"/>
    <w:rsid w:val="009468D9"/>
    <w:rsid w:val="00946AE0"/>
    <w:rsid w:val="00947455"/>
    <w:rsid w:val="00947F93"/>
    <w:rsid w:val="0095073B"/>
    <w:rsid w:val="0095155F"/>
    <w:rsid w:val="00954287"/>
    <w:rsid w:val="00954429"/>
    <w:rsid w:val="00954CA0"/>
    <w:rsid w:val="00955358"/>
    <w:rsid w:val="009563CE"/>
    <w:rsid w:val="009565A1"/>
    <w:rsid w:val="009569A5"/>
    <w:rsid w:val="0095732A"/>
    <w:rsid w:val="00960621"/>
    <w:rsid w:val="00961029"/>
    <w:rsid w:val="009611A1"/>
    <w:rsid w:val="0096178A"/>
    <w:rsid w:val="009624E4"/>
    <w:rsid w:val="00963210"/>
    <w:rsid w:val="00964310"/>
    <w:rsid w:val="00964909"/>
    <w:rsid w:val="00965EBA"/>
    <w:rsid w:val="00970AD4"/>
    <w:rsid w:val="00971435"/>
    <w:rsid w:val="00971C08"/>
    <w:rsid w:val="0097446A"/>
    <w:rsid w:val="00974AF3"/>
    <w:rsid w:val="00975EB4"/>
    <w:rsid w:val="00975FB2"/>
    <w:rsid w:val="009761DE"/>
    <w:rsid w:val="00976328"/>
    <w:rsid w:val="009763B3"/>
    <w:rsid w:val="0097680D"/>
    <w:rsid w:val="00980922"/>
    <w:rsid w:val="00981183"/>
    <w:rsid w:val="0098166C"/>
    <w:rsid w:val="00981D02"/>
    <w:rsid w:val="00981F0F"/>
    <w:rsid w:val="00982438"/>
    <w:rsid w:val="00982F89"/>
    <w:rsid w:val="0098404C"/>
    <w:rsid w:val="00985283"/>
    <w:rsid w:val="00985606"/>
    <w:rsid w:val="0098674A"/>
    <w:rsid w:val="009875DE"/>
    <w:rsid w:val="009907AE"/>
    <w:rsid w:val="009912E9"/>
    <w:rsid w:val="009916C2"/>
    <w:rsid w:val="00991B57"/>
    <w:rsid w:val="00991DBF"/>
    <w:rsid w:val="009923E3"/>
    <w:rsid w:val="00994204"/>
    <w:rsid w:val="00994839"/>
    <w:rsid w:val="00995052"/>
    <w:rsid w:val="00995992"/>
    <w:rsid w:val="00995A60"/>
    <w:rsid w:val="009960F6"/>
    <w:rsid w:val="00996ECC"/>
    <w:rsid w:val="00997C16"/>
    <w:rsid w:val="009A03E5"/>
    <w:rsid w:val="009A04AB"/>
    <w:rsid w:val="009A0CB9"/>
    <w:rsid w:val="009A0D88"/>
    <w:rsid w:val="009A0F3B"/>
    <w:rsid w:val="009A1BB4"/>
    <w:rsid w:val="009A2628"/>
    <w:rsid w:val="009A29B9"/>
    <w:rsid w:val="009A3200"/>
    <w:rsid w:val="009A3EE1"/>
    <w:rsid w:val="009A4F26"/>
    <w:rsid w:val="009A63B3"/>
    <w:rsid w:val="009A72E1"/>
    <w:rsid w:val="009A7F85"/>
    <w:rsid w:val="009B0897"/>
    <w:rsid w:val="009B2815"/>
    <w:rsid w:val="009B2FF8"/>
    <w:rsid w:val="009B4463"/>
    <w:rsid w:val="009B58A4"/>
    <w:rsid w:val="009B59D9"/>
    <w:rsid w:val="009B65B0"/>
    <w:rsid w:val="009B7BD9"/>
    <w:rsid w:val="009B7FFC"/>
    <w:rsid w:val="009C06DB"/>
    <w:rsid w:val="009C07B6"/>
    <w:rsid w:val="009C0939"/>
    <w:rsid w:val="009C1065"/>
    <w:rsid w:val="009C23C1"/>
    <w:rsid w:val="009C2DF3"/>
    <w:rsid w:val="009C3A08"/>
    <w:rsid w:val="009C402B"/>
    <w:rsid w:val="009C6DD0"/>
    <w:rsid w:val="009C77BD"/>
    <w:rsid w:val="009C7A65"/>
    <w:rsid w:val="009C7DD5"/>
    <w:rsid w:val="009D3A8C"/>
    <w:rsid w:val="009D3D99"/>
    <w:rsid w:val="009D5863"/>
    <w:rsid w:val="009D7254"/>
    <w:rsid w:val="009E0046"/>
    <w:rsid w:val="009E04E5"/>
    <w:rsid w:val="009E0D59"/>
    <w:rsid w:val="009E227D"/>
    <w:rsid w:val="009E5019"/>
    <w:rsid w:val="009E6E13"/>
    <w:rsid w:val="009F0E2A"/>
    <w:rsid w:val="009F12B7"/>
    <w:rsid w:val="009F1987"/>
    <w:rsid w:val="009F217A"/>
    <w:rsid w:val="009F226B"/>
    <w:rsid w:val="009F366C"/>
    <w:rsid w:val="009F3B8A"/>
    <w:rsid w:val="009F530B"/>
    <w:rsid w:val="009F5725"/>
    <w:rsid w:val="00A008F6"/>
    <w:rsid w:val="00A01469"/>
    <w:rsid w:val="00A01B29"/>
    <w:rsid w:val="00A026BF"/>
    <w:rsid w:val="00A04002"/>
    <w:rsid w:val="00A04EC1"/>
    <w:rsid w:val="00A04F1B"/>
    <w:rsid w:val="00A0501B"/>
    <w:rsid w:val="00A059A4"/>
    <w:rsid w:val="00A05AD2"/>
    <w:rsid w:val="00A05ED3"/>
    <w:rsid w:val="00A074EF"/>
    <w:rsid w:val="00A07F94"/>
    <w:rsid w:val="00A1106E"/>
    <w:rsid w:val="00A12328"/>
    <w:rsid w:val="00A13E41"/>
    <w:rsid w:val="00A14947"/>
    <w:rsid w:val="00A15BBD"/>
    <w:rsid w:val="00A165A9"/>
    <w:rsid w:val="00A170B9"/>
    <w:rsid w:val="00A20558"/>
    <w:rsid w:val="00A20A53"/>
    <w:rsid w:val="00A218C1"/>
    <w:rsid w:val="00A23FE2"/>
    <w:rsid w:val="00A25A5D"/>
    <w:rsid w:val="00A25F25"/>
    <w:rsid w:val="00A2681A"/>
    <w:rsid w:val="00A269C3"/>
    <w:rsid w:val="00A2707C"/>
    <w:rsid w:val="00A27F3F"/>
    <w:rsid w:val="00A322F6"/>
    <w:rsid w:val="00A32761"/>
    <w:rsid w:val="00A32A83"/>
    <w:rsid w:val="00A3311F"/>
    <w:rsid w:val="00A346B1"/>
    <w:rsid w:val="00A34B2E"/>
    <w:rsid w:val="00A36698"/>
    <w:rsid w:val="00A368DB"/>
    <w:rsid w:val="00A378C4"/>
    <w:rsid w:val="00A40A36"/>
    <w:rsid w:val="00A40B52"/>
    <w:rsid w:val="00A40E28"/>
    <w:rsid w:val="00A41091"/>
    <w:rsid w:val="00A423AA"/>
    <w:rsid w:val="00A42E11"/>
    <w:rsid w:val="00A43607"/>
    <w:rsid w:val="00A444D7"/>
    <w:rsid w:val="00A45C6B"/>
    <w:rsid w:val="00A45C8E"/>
    <w:rsid w:val="00A470DC"/>
    <w:rsid w:val="00A5019D"/>
    <w:rsid w:val="00A50FAD"/>
    <w:rsid w:val="00A51373"/>
    <w:rsid w:val="00A51ACC"/>
    <w:rsid w:val="00A51B1A"/>
    <w:rsid w:val="00A51F53"/>
    <w:rsid w:val="00A53EC6"/>
    <w:rsid w:val="00A55AD1"/>
    <w:rsid w:val="00A55C0F"/>
    <w:rsid w:val="00A56138"/>
    <w:rsid w:val="00A562BA"/>
    <w:rsid w:val="00A56EEB"/>
    <w:rsid w:val="00A609D9"/>
    <w:rsid w:val="00A60E4E"/>
    <w:rsid w:val="00A62FBC"/>
    <w:rsid w:val="00A6343E"/>
    <w:rsid w:val="00A63835"/>
    <w:rsid w:val="00A65CC6"/>
    <w:rsid w:val="00A668B5"/>
    <w:rsid w:val="00A67A87"/>
    <w:rsid w:val="00A71822"/>
    <w:rsid w:val="00A7195D"/>
    <w:rsid w:val="00A72A47"/>
    <w:rsid w:val="00A73AAA"/>
    <w:rsid w:val="00A746AB"/>
    <w:rsid w:val="00A75660"/>
    <w:rsid w:val="00A8051D"/>
    <w:rsid w:val="00A807C8"/>
    <w:rsid w:val="00A80AB8"/>
    <w:rsid w:val="00A812BF"/>
    <w:rsid w:val="00A81F3E"/>
    <w:rsid w:val="00A823FE"/>
    <w:rsid w:val="00A82A38"/>
    <w:rsid w:val="00A82CE3"/>
    <w:rsid w:val="00A82E65"/>
    <w:rsid w:val="00A843DB"/>
    <w:rsid w:val="00A84784"/>
    <w:rsid w:val="00A85A5D"/>
    <w:rsid w:val="00A85CE0"/>
    <w:rsid w:val="00A8713F"/>
    <w:rsid w:val="00A8791A"/>
    <w:rsid w:val="00A87EA2"/>
    <w:rsid w:val="00A90BA1"/>
    <w:rsid w:val="00A912FE"/>
    <w:rsid w:val="00A94116"/>
    <w:rsid w:val="00A94ED9"/>
    <w:rsid w:val="00A962F5"/>
    <w:rsid w:val="00A96CD8"/>
    <w:rsid w:val="00A97857"/>
    <w:rsid w:val="00A97A9A"/>
    <w:rsid w:val="00A97C6F"/>
    <w:rsid w:val="00A97E4B"/>
    <w:rsid w:val="00AA0671"/>
    <w:rsid w:val="00AA0FC7"/>
    <w:rsid w:val="00AA128A"/>
    <w:rsid w:val="00AA2531"/>
    <w:rsid w:val="00AA2A2F"/>
    <w:rsid w:val="00AA32AC"/>
    <w:rsid w:val="00AA42FF"/>
    <w:rsid w:val="00AA5DB2"/>
    <w:rsid w:val="00AA7461"/>
    <w:rsid w:val="00AB0010"/>
    <w:rsid w:val="00AB05EA"/>
    <w:rsid w:val="00AB0D14"/>
    <w:rsid w:val="00AB1E09"/>
    <w:rsid w:val="00AB4514"/>
    <w:rsid w:val="00AB46F3"/>
    <w:rsid w:val="00AB4BC6"/>
    <w:rsid w:val="00AB5330"/>
    <w:rsid w:val="00AB64BB"/>
    <w:rsid w:val="00AB6CF8"/>
    <w:rsid w:val="00AB7747"/>
    <w:rsid w:val="00AC059B"/>
    <w:rsid w:val="00AC090E"/>
    <w:rsid w:val="00AC1376"/>
    <w:rsid w:val="00AC14CE"/>
    <w:rsid w:val="00AC2A56"/>
    <w:rsid w:val="00AC2DD4"/>
    <w:rsid w:val="00AC32E7"/>
    <w:rsid w:val="00AC3D94"/>
    <w:rsid w:val="00AC445A"/>
    <w:rsid w:val="00AC4478"/>
    <w:rsid w:val="00AC453E"/>
    <w:rsid w:val="00AC4669"/>
    <w:rsid w:val="00AC5C21"/>
    <w:rsid w:val="00AC7ECC"/>
    <w:rsid w:val="00AD022D"/>
    <w:rsid w:val="00AD055E"/>
    <w:rsid w:val="00AD21F0"/>
    <w:rsid w:val="00AD299D"/>
    <w:rsid w:val="00AD457B"/>
    <w:rsid w:val="00AD47A7"/>
    <w:rsid w:val="00AD61B0"/>
    <w:rsid w:val="00AD6463"/>
    <w:rsid w:val="00AE03F8"/>
    <w:rsid w:val="00AE09FA"/>
    <w:rsid w:val="00AE0E60"/>
    <w:rsid w:val="00AE0E84"/>
    <w:rsid w:val="00AE2126"/>
    <w:rsid w:val="00AE2BC4"/>
    <w:rsid w:val="00AE44EF"/>
    <w:rsid w:val="00AE4619"/>
    <w:rsid w:val="00AF0CBF"/>
    <w:rsid w:val="00AF12DA"/>
    <w:rsid w:val="00AF257F"/>
    <w:rsid w:val="00AF26D1"/>
    <w:rsid w:val="00AF27FE"/>
    <w:rsid w:val="00AF32F4"/>
    <w:rsid w:val="00AF33CF"/>
    <w:rsid w:val="00AF394E"/>
    <w:rsid w:val="00AF3D4C"/>
    <w:rsid w:val="00AF4D50"/>
    <w:rsid w:val="00AF4DFB"/>
    <w:rsid w:val="00AF6179"/>
    <w:rsid w:val="00AF7694"/>
    <w:rsid w:val="00AF7A24"/>
    <w:rsid w:val="00AF7F31"/>
    <w:rsid w:val="00B02281"/>
    <w:rsid w:val="00B033BF"/>
    <w:rsid w:val="00B03B71"/>
    <w:rsid w:val="00B042D4"/>
    <w:rsid w:val="00B05385"/>
    <w:rsid w:val="00B06761"/>
    <w:rsid w:val="00B06AF1"/>
    <w:rsid w:val="00B06CF0"/>
    <w:rsid w:val="00B07C75"/>
    <w:rsid w:val="00B1004D"/>
    <w:rsid w:val="00B1058B"/>
    <w:rsid w:val="00B11619"/>
    <w:rsid w:val="00B11F04"/>
    <w:rsid w:val="00B1223E"/>
    <w:rsid w:val="00B1295A"/>
    <w:rsid w:val="00B12EE0"/>
    <w:rsid w:val="00B164C6"/>
    <w:rsid w:val="00B16532"/>
    <w:rsid w:val="00B17833"/>
    <w:rsid w:val="00B20A45"/>
    <w:rsid w:val="00B22C5C"/>
    <w:rsid w:val="00B22F72"/>
    <w:rsid w:val="00B243BB"/>
    <w:rsid w:val="00B24F30"/>
    <w:rsid w:val="00B26475"/>
    <w:rsid w:val="00B269AB"/>
    <w:rsid w:val="00B30DA3"/>
    <w:rsid w:val="00B31ABF"/>
    <w:rsid w:val="00B325EE"/>
    <w:rsid w:val="00B3374B"/>
    <w:rsid w:val="00B33BE3"/>
    <w:rsid w:val="00B34070"/>
    <w:rsid w:val="00B3469E"/>
    <w:rsid w:val="00B35307"/>
    <w:rsid w:val="00B35ED3"/>
    <w:rsid w:val="00B3693C"/>
    <w:rsid w:val="00B36B31"/>
    <w:rsid w:val="00B37458"/>
    <w:rsid w:val="00B40B78"/>
    <w:rsid w:val="00B434FE"/>
    <w:rsid w:val="00B4356C"/>
    <w:rsid w:val="00B439BE"/>
    <w:rsid w:val="00B445EF"/>
    <w:rsid w:val="00B45289"/>
    <w:rsid w:val="00B45479"/>
    <w:rsid w:val="00B4707A"/>
    <w:rsid w:val="00B51117"/>
    <w:rsid w:val="00B521B0"/>
    <w:rsid w:val="00B52636"/>
    <w:rsid w:val="00B531A1"/>
    <w:rsid w:val="00B532E2"/>
    <w:rsid w:val="00B53B5D"/>
    <w:rsid w:val="00B557A8"/>
    <w:rsid w:val="00B5678E"/>
    <w:rsid w:val="00B6055E"/>
    <w:rsid w:val="00B609E5"/>
    <w:rsid w:val="00B6139D"/>
    <w:rsid w:val="00B615A8"/>
    <w:rsid w:val="00B61784"/>
    <w:rsid w:val="00B6317D"/>
    <w:rsid w:val="00B63536"/>
    <w:rsid w:val="00B66E50"/>
    <w:rsid w:val="00B67C66"/>
    <w:rsid w:val="00B7091A"/>
    <w:rsid w:val="00B7238C"/>
    <w:rsid w:val="00B723CF"/>
    <w:rsid w:val="00B725B0"/>
    <w:rsid w:val="00B725FD"/>
    <w:rsid w:val="00B72BDE"/>
    <w:rsid w:val="00B72CAB"/>
    <w:rsid w:val="00B7673C"/>
    <w:rsid w:val="00B7723F"/>
    <w:rsid w:val="00B773F6"/>
    <w:rsid w:val="00B77FAF"/>
    <w:rsid w:val="00B8015E"/>
    <w:rsid w:val="00B80534"/>
    <w:rsid w:val="00B806E0"/>
    <w:rsid w:val="00B81305"/>
    <w:rsid w:val="00B81C9D"/>
    <w:rsid w:val="00B8202B"/>
    <w:rsid w:val="00B8433C"/>
    <w:rsid w:val="00B87491"/>
    <w:rsid w:val="00B87C76"/>
    <w:rsid w:val="00B903D4"/>
    <w:rsid w:val="00B909C7"/>
    <w:rsid w:val="00B938D1"/>
    <w:rsid w:val="00B93C23"/>
    <w:rsid w:val="00B9490E"/>
    <w:rsid w:val="00B95DF3"/>
    <w:rsid w:val="00BA02FE"/>
    <w:rsid w:val="00BA0C83"/>
    <w:rsid w:val="00BA0E0B"/>
    <w:rsid w:val="00BA1201"/>
    <w:rsid w:val="00BA1310"/>
    <w:rsid w:val="00BA159D"/>
    <w:rsid w:val="00BA281D"/>
    <w:rsid w:val="00BA29E9"/>
    <w:rsid w:val="00BA4002"/>
    <w:rsid w:val="00BA46A0"/>
    <w:rsid w:val="00BA59E0"/>
    <w:rsid w:val="00BA5A25"/>
    <w:rsid w:val="00BA5A9D"/>
    <w:rsid w:val="00BA7142"/>
    <w:rsid w:val="00BA75BE"/>
    <w:rsid w:val="00BB196B"/>
    <w:rsid w:val="00BB237C"/>
    <w:rsid w:val="00BB29B2"/>
    <w:rsid w:val="00BB2CF5"/>
    <w:rsid w:val="00BB382C"/>
    <w:rsid w:val="00BB3912"/>
    <w:rsid w:val="00BB41A3"/>
    <w:rsid w:val="00BB4946"/>
    <w:rsid w:val="00BB4967"/>
    <w:rsid w:val="00BB4B84"/>
    <w:rsid w:val="00BB591B"/>
    <w:rsid w:val="00BB6F50"/>
    <w:rsid w:val="00BB7DEC"/>
    <w:rsid w:val="00BC05CE"/>
    <w:rsid w:val="00BC1690"/>
    <w:rsid w:val="00BC271B"/>
    <w:rsid w:val="00BC273B"/>
    <w:rsid w:val="00BC27A9"/>
    <w:rsid w:val="00BC2D04"/>
    <w:rsid w:val="00BC32DC"/>
    <w:rsid w:val="00BC35B4"/>
    <w:rsid w:val="00BC35B6"/>
    <w:rsid w:val="00BC3963"/>
    <w:rsid w:val="00BC457E"/>
    <w:rsid w:val="00BC79CC"/>
    <w:rsid w:val="00BD000F"/>
    <w:rsid w:val="00BD04E2"/>
    <w:rsid w:val="00BD1B51"/>
    <w:rsid w:val="00BD1C1B"/>
    <w:rsid w:val="00BD42F2"/>
    <w:rsid w:val="00BD4596"/>
    <w:rsid w:val="00BD5B0E"/>
    <w:rsid w:val="00BE054A"/>
    <w:rsid w:val="00BE0CEC"/>
    <w:rsid w:val="00BE1086"/>
    <w:rsid w:val="00BE1405"/>
    <w:rsid w:val="00BE172F"/>
    <w:rsid w:val="00BE1CB6"/>
    <w:rsid w:val="00BE2401"/>
    <w:rsid w:val="00BE28A8"/>
    <w:rsid w:val="00BE312D"/>
    <w:rsid w:val="00BE38D2"/>
    <w:rsid w:val="00BE48C4"/>
    <w:rsid w:val="00BE4B45"/>
    <w:rsid w:val="00BE50A2"/>
    <w:rsid w:val="00BE593F"/>
    <w:rsid w:val="00BE6053"/>
    <w:rsid w:val="00BE674B"/>
    <w:rsid w:val="00BE6F13"/>
    <w:rsid w:val="00BE7C0C"/>
    <w:rsid w:val="00BF09A1"/>
    <w:rsid w:val="00BF0F17"/>
    <w:rsid w:val="00BF1C20"/>
    <w:rsid w:val="00BF2A0F"/>
    <w:rsid w:val="00BF492E"/>
    <w:rsid w:val="00BF67A6"/>
    <w:rsid w:val="00BF67E9"/>
    <w:rsid w:val="00BF7199"/>
    <w:rsid w:val="00C00CAA"/>
    <w:rsid w:val="00C0237C"/>
    <w:rsid w:val="00C027DF"/>
    <w:rsid w:val="00C05C1C"/>
    <w:rsid w:val="00C0665C"/>
    <w:rsid w:val="00C06A81"/>
    <w:rsid w:val="00C06F92"/>
    <w:rsid w:val="00C07E4B"/>
    <w:rsid w:val="00C10578"/>
    <w:rsid w:val="00C106C4"/>
    <w:rsid w:val="00C11904"/>
    <w:rsid w:val="00C11B3D"/>
    <w:rsid w:val="00C11CDB"/>
    <w:rsid w:val="00C11D4D"/>
    <w:rsid w:val="00C135BC"/>
    <w:rsid w:val="00C1465D"/>
    <w:rsid w:val="00C14B78"/>
    <w:rsid w:val="00C14C6F"/>
    <w:rsid w:val="00C15C95"/>
    <w:rsid w:val="00C16633"/>
    <w:rsid w:val="00C17496"/>
    <w:rsid w:val="00C203E2"/>
    <w:rsid w:val="00C20672"/>
    <w:rsid w:val="00C2170E"/>
    <w:rsid w:val="00C2197B"/>
    <w:rsid w:val="00C21EA3"/>
    <w:rsid w:val="00C2342E"/>
    <w:rsid w:val="00C23AF1"/>
    <w:rsid w:val="00C2481B"/>
    <w:rsid w:val="00C25515"/>
    <w:rsid w:val="00C2596A"/>
    <w:rsid w:val="00C26029"/>
    <w:rsid w:val="00C2622B"/>
    <w:rsid w:val="00C27537"/>
    <w:rsid w:val="00C30E2E"/>
    <w:rsid w:val="00C31ED7"/>
    <w:rsid w:val="00C328FE"/>
    <w:rsid w:val="00C33507"/>
    <w:rsid w:val="00C33DB9"/>
    <w:rsid w:val="00C351BB"/>
    <w:rsid w:val="00C359B9"/>
    <w:rsid w:val="00C36748"/>
    <w:rsid w:val="00C37060"/>
    <w:rsid w:val="00C3735A"/>
    <w:rsid w:val="00C37741"/>
    <w:rsid w:val="00C3774A"/>
    <w:rsid w:val="00C4074E"/>
    <w:rsid w:val="00C40CE7"/>
    <w:rsid w:val="00C41A43"/>
    <w:rsid w:val="00C42A1D"/>
    <w:rsid w:val="00C432FC"/>
    <w:rsid w:val="00C4409D"/>
    <w:rsid w:val="00C4481A"/>
    <w:rsid w:val="00C44E72"/>
    <w:rsid w:val="00C45A06"/>
    <w:rsid w:val="00C45CF5"/>
    <w:rsid w:val="00C47BD6"/>
    <w:rsid w:val="00C47E5B"/>
    <w:rsid w:val="00C50118"/>
    <w:rsid w:val="00C519EF"/>
    <w:rsid w:val="00C51E1D"/>
    <w:rsid w:val="00C539FC"/>
    <w:rsid w:val="00C54122"/>
    <w:rsid w:val="00C544CE"/>
    <w:rsid w:val="00C54E2C"/>
    <w:rsid w:val="00C57870"/>
    <w:rsid w:val="00C60F5C"/>
    <w:rsid w:val="00C61078"/>
    <w:rsid w:val="00C618A4"/>
    <w:rsid w:val="00C61E4B"/>
    <w:rsid w:val="00C620C3"/>
    <w:rsid w:val="00C62112"/>
    <w:rsid w:val="00C630A8"/>
    <w:rsid w:val="00C634B1"/>
    <w:rsid w:val="00C634D9"/>
    <w:rsid w:val="00C63CD4"/>
    <w:rsid w:val="00C63F8F"/>
    <w:rsid w:val="00C64BFF"/>
    <w:rsid w:val="00C6546C"/>
    <w:rsid w:val="00C65488"/>
    <w:rsid w:val="00C66846"/>
    <w:rsid w:val="00C66D84"/>
    <w:rsid w:val="00C678ED"/>
    <w:rsid w:val="00C704E9"/>
    <w:rsid w:val="00C70A8C"/>
    <w:rsid w:val="00C70C09"/>
    <w:rsid w:val="00C717F2"/>
    <w:rsid w:val="00C72D2C"/>
    <w:rsid w:val="00C755B4"/>
    <w:rsid w:val="00C756E3"/>
    <w:rsid w:val="00C758C6"/>
    <w:rsid w:val="00C763C9"/>
    <w:rsid w:val="00C767C3"/>
    <w:rsid w:val="00C76F0F"/>
    <w:rsid w:val="00C77470"/>
    <w:rsid w:val="00C80057"/>
    <w:rsid w:val="00C802FC"/>
    <w:rsid w:val="00C80B37"/>
    <w:rsid w:val="00C81283"/>
    <w:rsid w:val="00C82232"/>
    <w:rsid w:val="00C82913"/>
    <w:rsid w:val="00C82A2D"/>
    <w:rsid w:val="00C82F25"/>
    <w:rsid w:val="00C8424C"/>
    <w:rsid w:val="00C84A6B"/>
    <w:rsid w:val="00C84DA6"/>
    <w:rsid w:val="00C93513"/>
    <w:rsid w:val="00C947EE"/>
    <w:rsid w:val="00C94A92"/>
    <w:rsid w:val="00C94B67"/>
    <w:rsid w:val="00C9716E"/>
    <w:rsid w:val="00C972B1"/>
    <w:rsid w:val="00CA06FB"/>
    <w:rsid w:val="00CA2CCE"/>
    <w:rsid w:val="00CA307F"/>
    <w:rsid w:val="00CA32AF"/>
    <w:rsid w:val="00CA43FD"/>
    <w:rsid w:val="00CA7AAF"/>
    <w:rsid w:val="00CA7EF8"/>
    <w:rsid w:val="00CB0051"/>
    <w:rsid w:val="00CB00E9"/>
    <w:rsid w:val="00CB3050"/>
    <w:rsid w:val="00CB415B"/>
    <w:rsid w:val="00CB4BAF"/>
    <w:rsid w:val="00CB59EB"/>
    <w:rsid w:val="00CB61C4"/>
    <w:rsid w:val="00CB77C3"/>
    <w:rsid w:val="00CB7FD0"/>
    <w:rsid w:val="00CC01FB"/>
    <w:rsid w:val="00CC0338"/>
    <w:rsid w:val="00CC1F92"/>
    <w:rsid w:val="00CC3441"/>
    <w:rsid w:val="00CC360D"/>
    <w:rsid w:val="00CC36AF"/>
    <w:rsid w:val="00CC438C"/>
    <w:rsid w:val="00CC489B"/>
    <w:rsid w:val="00CC4C64"/>
    <w:rsid w:val="00CC6FC0"/>
    <w:rsid w:val="00CC7474"/>
    <w:rsid w:val="00CD060E"/>
    <w:rsid w:val="00CD18EB"/>
    <w:rsid w:val="00CD2763"/>
    <w:rsid w:val="00CD2BCD"/>
    <w:rsid w:val="00CD3A4C"/>
    <w:rsid w:val="00CD57F0"/>
    <w:rsid w:val="00CD5CFC"/>
    <w:rsid w:val="00CD5E99"/>
    <w:rsid w:val="00CE10E9"/>
    <w:rsid w:val="00CE2910"/>
    <w:rsid w:val="00CE400E"/>
    <w:rsid w:val="00CE52E3"/>
    <w:rsid w:val="00CE5393"/>
    <w:rsid w:val="00CE5444"/>
    <w:rsid w:val="00CE5446"/>
    <w:rsid w:val="00CE560B"/>
    <w:rsid w:val="00CE5932"/>
    <w:rsid w:val="00CE5E6D"/>
    <w:rsid w:val="00CE66FE"/>
    <w:rsid w:val="00CE6B57"/>
    <w:rsid w:val="00CF0006"/>
    <w:rsid w:val="00CF0EF2"/>
    <w:rsid w:val="00CF1D28"/>
    <w:rsid w:val="00CF20E9"/>
    <w:rsid w:val="00CF31B0"/>
    <w:rsid w:val="00CF36B5"/>
    <w:rsid w:val="00CF36BE"/>
    <w:rsid w:val="00CF42C7"/>
    <w:rsid w:val="00CF6000"/>
    <w:rsid w:val="00CF733B"/>
    <w:rsid w:val="00D003F3"/>
    <w:rsid w:val="00D0050D"/>
    <w:rsid w:val="00D007AD"/>
    <w:rsid w:val="00D00BF0"/>
    <w:rsid w:val="00D00EBA"/>
    <w:rsid w:val="00D0156E"/>
    <w:rsid w:val="00D01FC9"/>
    <w:rsid w:val="00D021FB"/>
    <w:rsid w:val="00D0364F"/>
    <w:rsid w:val="00D040F5"/>
    <w:rsid w:val="00D046BB"/>
    <w:rsid w:val="00D04CB4"/>
    <w:rsid w:val="00D06834"/>
    <w:rsid w:val="00D06D13"/>
    <w:rsid w:val="00D07014"/>
    <w:rsid w:val="00D074B4"/>
    <w:rsid w:val="00D11680"/>
    <w:rsid w:val="00D1356A"/>
    <w:rsid w:val="00D13CF3"/>
    <w:rsid w:val="00D16B43"/>
    <w:rsid w:val="00D2124C"/>
    <w:rsid w:val="00D21284"/>
    <w:rsid w:val="00D21611"/>
    <w:rsid w:val="00D228ED"/>
    <w:rsid w:val="00D22AA6"/>
    <w:rsid w:val="00D25824"/>
    <w:rsid w:val="00D26154"/>
    <w:rsid w:val="00D2655C"/>
    <w:rsid w:val="00D2672A"/>
    <w:rsid w:val="00D2725E"/>
    <w:rsid w:val="00D27CC8"/>
    <w:rsid w:val="00D27FF9"/>
    <w:rsid w:val="00D308ED"/>
    <w:rsid w:val="00D31C7E"/>
    <w:rsid w:val="00D3207B"/>
    <w:rsid w:val="00D338F1"/>
    <w:rsid w:val="00D34430"/>
    <w:rsid w:val="00D36725"/>
    <w:rsid w:val="00D36B74"/>
    <w:rsid w:val="00D36D86"/>
    <w:rsid w:val="00D37882"/>
    <w:rsid w:val="00D37CF4"/>
    <w:rsid w:val="00D401EE"/>
    <w:rsid w:val="00D404CE"/>
    <w:rsid w:val="00D42650"/>
    <w:rsid w:val="00D428AA"/>
    <w:rsid w:val="00D42E2F"/>
    <w:rsid w:val="00D42FB4"/>
    <w:rsid w:val="00D44460"/>
    <w:rsid w:val="00D46EDB"/>
    <w:rsid w:val="00D4713B"/>
    <w:rsid w:val="00D478F6"/>
    <w:rsid w:val="00D509BF"/>
    <w:rsid w:val="00D50A34"/>
    <w:rsid w:val="00D5186D"/>
    <w:rsid w:val="00D52706"/>
    <w:rsid w:val="00D52822"/>
    <w:rsid w:val="00D53EFA"/>
    <w:rsid w:val="00D54483"/>
    <w:rsid w:val="00D545B4"/>
    <w:rsid w:val="00D557E2"/>
    <w:rsid w:val="00D55CC3"/>
    <w:rsid w:val="00D5639E"/>
    <w:rsid w:val="00D57E83"/>
    <w:rsid w:val="00D603D3"/>
    <w:rsid w:val="00D612DB"/>
    <w:rsid w:val="00D62242"/>
    <w:rsid w:val="00D638BA"/>
    <w:rsid w:val="00D65030"/>
    <w:rsid w:val="00D65263"/>
    <w:rsid w:val="00D65F52"/>
    <w:rsid w:val="00D66681"/>
    <w:rsid w:val="00D6706B"/>
    <w:rsid w:val="00D67C4B"/>
    <w:rsid w:val="00D67D6F"/>
    <w:rsid w:val="00D70012"/>
    <w:rsid w:val="00D70530"/>
    <w:rsid w:val="00D70A9C"/>
    <w:rsid w:val="00D70D35"/>
    <w:rsid w:val="00D70DC9"/>
    <w:rsid w:val="00D7276A"/>
    <w:rsid w:val="00D74075"/>
    <w:rsid w:val="00D7478A"/>
    <w:rsid w:val="00D748E6"/>
    <w:rsid w:val="00D752AA"/>
    <w:rsid w:val="00D80213"/>
    <w:rsid w:val="00D80995"/>
    <w:rsid w:val="00D82959"/>
    <w:rsid w:val="00D85386"/>
    <w:rsid w:val="00D8571B"/>
    <w:rsid w:val="00D86E97"/>
    <w:rsid w:val="00D903D9"/>
    <w:rsid w:val="00D91D7F"/>
    <w:rsid w:val="00D92396"/>
    <w:rsid w:val="00D93519"/>
    <w:rsid w:val="00D93855"/>
    <w:rsid w:val="00D94A7C"/>
    <w:rsid w:val="00D94FB4"/>
    <w:rsid w:val="00D95896"/>
    <w:rsid w:val="00D95FBB"/>
    <w:rsid w:val="00D97166"/>
    <w:rsid w:val="00D975FA"/>
    <w:rsid w:val="00D978F9"/>
    <w:rsid w:val="00D97D65"/>
    <w:rsid w:val="00DA1D96"/>
    <w:rsid w:val="00DA1FD7"/>
    <w:rsid w:val="00DA337A"/>
    <w:rsid w:val="00DA43D6"/>
    <w:rsid w:val="00DA4BDB"/>
    <w:rsid w:val="00DA4FA0"/>
    <w:rsid w:val="00DA7B6A"/>
    <w:rsid w:val="00DB2983"/>
    <w:rsid w:val="00DB366F"/>
    <w:rsid w:val="00DB667D"/>
    <w:rsid w:val="00DB694D"/>
    <w:rsid w:val="00DB79D3"/>
    <w:rsid w:val="00DC040F"/>
    <w:rsid w:val="00DC1257"/>
    <w:rsid w:val="00DC3DC0"/>
    <w:rsid w:val="00DC4139"/>
    <w:rsid w:val="00DC4690"/>
    <w:rsid w:val="00DC5B2B"/>
    <w:rsid w:val="00DD0167"/>
    <w:rsid w:val="00DD0790"/>
    <w:rsid w:val="00DD0802"/>
    <w:rsid w:val="00DD099F"/>
    <w:rsid w:val="00DD0C2B"/>
    <w:rsid w:val="00DD1914"/>
    <w:rsid w:val="00DD318D"/>
    <w:rsid w:val="00DD33FF"/>
    <w:rsid w:val="00DD373B"/>
    <w:rsid w:val="00DD3DD6"/>
    <w:rsid w:val="00DD5C57"/>
    <w:rsid w:val="00DD75A2"/>
    <w:rsid w:val="00DE1EB3"/>
    <w:rsid w:val="00DE21FE"/>
    <w:rsid w:val="00DE267D"/>
    <w:rsid w:val="00DE2A16"/>
    <w:rsid w:val="00DE4303"/>
    <w:rsid w:val="00DE4821"/>
    <w:rsid w:val="00DE55F6"/>
    <w:rsid w:val="00DF0923"/>
    <w:rsid w:val="00DF14B2"/>
    <w:rsid w:val="00DF2C38"/>
    <w:rsid w:val="00DF2E12"/>
    <w:rsid w:val="00DF3C54"/>
    <w:rsid w:val="00DF3D66"/>
    <w:rsid w:val="00DF4B1A"/>
    <w:rsid w:val="00DF4BCE"/>
    <w:rsid w:val="00DF4C9D"/>
    <w:rsid w:val="00DF514A"/>
    <w:rsid w:val="00DF6509"/>
    <w:rsid w:val="00DF6690"/>
    <w:rsid w:val="00DF6804"/>
    <w:rsid w:val="00DF7003"/>
    <w:rsid w:val="00E00455"/>
    <w:rsid w:val="00E0230E"/>
    <w:rsid w:val="00E02ED9"/>
    <w:rsid w:val="00E0358D"/>
    <w:rsid w:val="00E03790"/>
    <w:rsid w:val="00E03C0D"/>
    <w:rsid w:val="00E04323"/>
    <w:rsid w:val="00E0506A"/>
    <w:rsid w:val="00E05583"/>
    <w:rsid w:val="00E06230"/>
    <w:rsid w:val="00E070A2"/>
    <w:rsid w:val="00E07240"/>
    <w:rsid w:val="00E10002"/>
    <w:rsid w:val="00E11057"/>
    <w:rsid w:val="00E1247B"/>
    <w:rsid w:val="00E12695"/>
    <w:rsid w:val="00E1279F"/>
    <w:rsid w:val="00E12A87"/>
    <w:rsid w:val="00E13D97"/>
    <w:rsid w:val="00E1479B"/>
    <w:rsid w:val="00E159E9"/>
    <w:rsid w:val="00E16987"/>
    <w:rsid w:val="00E1734F"/>
    <w:rsid w:val="00E20370"/>
    <w:rsid w:val="00E2131A"/>
    <w:rsid w:val="00E214BD"/>
    <w:rsid w:val="00E22610"/>
    <w:rsid w:val="00E22D72"/>
    <w:rsid w:val="00E23DE4"/>
    <w:rsid w:val="00E2502F"/>
    <w:rsid w:val="00E25982"/>
    <w:rsid w:val="00E2656A"/>
    <w:rsid w:val="00E26E96"/>
    <w:rsid w:val="00E3183C"/>
    <w:rsid w:val="00E32C7B"/>
    <w:rsid w:val="00E3355E"/>
    <w:rsid w:val="00E33F5C"/>
    <w:rsid w:val="00E344AD"/>
    <w:rsid w:val="00E35177"/>
    <w:rsid w:val="00E377EB"/>
    <w:rsid w:val="00E412D0"/>
    <w:rsid w:val="00E413E6"/>
    <w:rsid w:val="00E42AA7"/>
    <w:rsid w:val="00E42B3D"/>
    <w:rsid w:val="00E42CE6"/>
    <w:rsid w:val="00E43AC6"/>
    <w:rsid w:val="00E4402E"/>
    <w:rsid w:val="00E4406D"/>
    <w:rsid w:val="00E44E96"/>
    <w:rsid w:val="00E44F1D"/>
    <w:rsid w:val="00E4562A"/>
    <w:rsid w:val="00E479F8"/>
    <w:rsid w:val="00E504E2"/>
    <w:rsid w:val="00E54471"/>
    <w:rsid w:val="00E555AC"/>
    <w:rsid w:val="00E56322"/>
    <w:rsid w:val="00E60265"/>
    <w:rsid w:val="00E6050C"/>
    <w:rsid w:val="00E60982"/>
    <w:rsid w:val="00E626FF"/>
    <w:rsid w:val="00E62C62"/>
    <w:rsid w:val="00E635C4"/>
    <w:rsid w:val="00E654C1"/>
    <w:rsid w:val="00E65D3B"/>
    <w:rsid w:val="00E65D97"/>
    <w:rsid w:val="00E66184"/>
    <w:rsid w:val="00E66FCF"/>
    <w:rsid w:val="00E674FE"/>
    <w:rsid w:val="00E719A5"/>
    <w:rsid w:val="00E71C0B"/>
    <w:rsid w:val="00E72005"/>
    <w:rsid w:val="00E725A5"/>
    <w:rsid w:val="00E726AF"/>
    <w:rsid w:val="00E72A5A"/>
    <w:rsid w:val="00E73354"/>
    <w:rsid w:val="00E734FC"/>
    <w:rsid w:val="00E73870"/>
    <w:rsid w:val="00E7630E"/>
    <w:rsid w:val="00E77448"/>
    <w:rsid w:val="00E812CC"/>
    <w:rsid w:val="00E81C30"/>
    <w:rsid w:val="00E81F16"/>
    <w:rsid w:val="00E828D6"/>
    <w:rsid w:val="00E83C02"/>
    <w:rsid w:val="00E83CD2"/>
    <w:rsid w:val="00E8423E"/>
    <w:rsid w:val="00E863D9"/>
    <w:rsid w:val="00E86616"/>
    <w:rsid w:val="00E86E50"/>
    <w:rsid w:val="00E92120"/>
    <w:rsid w:val="00E9242D"/>
    <w:rsid w:val="00E92F92"/>
    <w:rsid w:val="00E92FCB"/>
    <w:rsid w:val="00E95BEB"/>
    <w:rsid w:val="00E96190"/>
    <w:rsid w:val="00E97268"/>
    <w:rsid w:val="00E97C26"/>
    <w:rsid w:val="00E97FDE"/>
    <w:rsid w:val="00EA02DD"/>
    <w:rsid w:val="00EA10F4"/>
    <w:rsid w:val="00EA4C3F"/>
    <w:rsid w:val="00EA5347"/>
    <w:rsid w:val="00EA535B"/>
    <w:rsid w:val="00EA5FA5"/>
    <w:rsid w:val="00EA61F0"/>
    <w:rsid w:val="00EA717D"/>
    <w:rsid w:val="00EB3FBC"/>
    <w:rsid w:val="00EB4E38"/>
    <w:rsid w:val="00EB5255"/>
    <w:rsid w:val="00EB5C47"/>
    <w:rsid w:val="00EB6D2E"/>
    <w:rsid w:val="00EB79D8"/>
    <w:rsid w:val="00EB7BD0"/>
    <w:rsid w:val="00EB7EDC"/>
    <w:rsid w:val="00EC1304"/>
    <w:rsid w:val="00EC1422"/>
    <w:rsid w:val="00EC29F1"/>
    <w:rsid w:val="00EC3113"/>
    <w:rsid w:val="00EC4589"/>
    <w:rsid w:val="00EC57FF"/>
    <w:rsid w:val="00ED0639"/>
    <w:rsid w:val="00ED0E1D"/>
    <w:rsid w:val="00ED1AB8"/>
    <w:rsid w:val="00ED3353"/>
    <w:rsid w:val="00ED3729"/>
    <w:rsid w:val="00ED6A28"/>
    <w:rsid w:val="00ED738E"/>
    <w:rsid w:val="00ED74C5"/>
    <w:rsid w:val="00ED75FA"/>
    <w:rsid w:val="00ED7793"/>
    <w:rsid w:val="00ED7AE8"/>
    <w:rsid w:val="00EE00F8"/>
    <w:rsid w:val="00EE0201"/>
    <w:rsid w:val="00EE0894"/>
    <w:rsid w:val="00EE1215"/>
    <w:rsid w:val="00EE16AF"/>
    <w:rsid w:val="00EE1DF6"/>
    <w:rsid w:val="00EE255C"/>
    <w:rsid w:val="00EE287C"/>
    <w:rsid w:val="00EE30BB"/>
    <w:rsid w:val="00EE3516"/>
    <w:rsid w:val="00EE396D"/>
    <w:rsid w:val="00EE45C7"/>
    <w:rsid w:val="00EE496D"/>
    <w:rsid w:val="00EE4D46"/>
    <w:rsid w:val="00EE62A4"/>
    <w:rsid w:val="00EE656A"/>
    <w:rsid w:val="00EE6C47"/>
    <w:rsid w:val="00EF02F3"/>
    <w:rsid w:val="00EF104A"/>
    <w:rsid w:val="00EF1A1A"/>
    <w:rsid w:val="00EF3872"/>
    <w:rsid w:val="00EF3B8A"/>
    <w:rsid w:val="00EF4126"/>
    <w:rsid w:val="00EF42DF"/>
    <w:rsid w:val="00EF4755"/>
    <w:rsid w:val="00EF4DE8"/>
    <w:rsid w:val="00EF5075"/>
    <w:rsid w:val="00EF6062"/>
    <w:rsid w:val="00EF7135"/>
    <w:rsid w:val="00EF7BCC"/>
    <w:rsid w:val="00F007B4"/>
    <w:rsid w:val="00F01CBB"/>
    <w:rsid w:val="00F027DB"/>
    <w:rsid w:val="00F05DAE"/>
    <w:rsid w:val="00F06759"/>
    <w:rsid w:val="00F06B91"/>
    <w:rsid w:val="00F07801"/>
    <w:rsid w:val="00F100F4"/>
    <w:rsid w:val="00F11702"/>
    <w:rsid w:val="00F12680"/>
    <w:rsid w:val="00F128AC"/>
    <w:rsid w:val="00F12C2E"/>
    <w:rsid w:val="00F13921"/>
    <w:rsid w:val="00F14490"/>
    <w:rsid w:val="00F14A7A"/>
    <w:rsid w:val="00F15C05"/>
    <w:rsid w:val="00F16D69"/>
    <w:rsid w:val="00F17018"/>
    <w:rsid w:val="00F1758D"/>
    <w:rsid w:val="00F17D4F"/>
    <w:rsid w:val="00F202FD"/>
    <w:rsid w:val="00F20500"/>
    <w:rsid w:val="00F22985"/>
    <w:rsid w:val="00F233E6"/>
    <w:rsid w:val="00F300E7"/>
    <w:rsid w:val="00F30980"/>
    <w:rsid w:val="00F30D2F"/>
    <w:rsid w:val="00F31DD5"/>
    <w:rsid w:val="00F3383E"/>
    <w:rsid w:val="00F33F2E"/>
    <w:rsid w:val="00F35E23"/>
    <w:rsid w:val="00F373D2"/>
    <w:rsid w:val="00F37545"/>
    <w:rsid w:val="00F42CE3"/>
    <w:rsid w:val="00F4411C"/>
    <w:rsid w:val="00F44703"/>
    <w:rsid w:val="00F44793"/>
    <w:rsid w:val="00F450CC"/>
    <w:rsid w:val="00F465A7"/>
    <w:rsid w:val="00F50B7C"/>
    <w:rsid w:val="00F51AD2"/>
    <w:rsid w:val="00F529EA"/>
    <w:rsid w:val="00F53AA2"/>
    <w:rsid w:val="00F5489C"/>
    <w:rsid w:val="00F550E6"/>
    <w:rsid w:val="00F562C0"/>
    <w:rsid w:val="00F57712"/>
    <w:rsid w:val="00F6024B"/>
    <w:rsid w:val="00F60A07"/>
    <w:rsid w:val="00F636E3"/>
    <w:rsid w:val="00F655AB"/>
    <w:rsid w:val="00F67F54"/>
    <w:rsid w:val="00F70287"/>
    <w:rsid w:val="00F73DBA"/>
    <w:rsid w:val="00F74345"/>
    <w:rsid w:val="00F74689"/>
    <w:rsid w:val="00F80035"/>
    <w:rsid w:val="00F80A0A"/>
    <w:rsid w:val="00F80D48"/>
    <w:rsid w:val="00F820AC"/>
    <w:rsid w:val="00F82B19"/>
    <w:rsid w:val="00F84CA9"/>
    <w:rsid w:val="00F85640"/>
    <w:rsid w:val="00F85E54"/>
    <w:rsid w:val="00F86632"/>
    <w:rsid w:val="00F91E76"/>
    <w:rsid w:val="00F9212D"/>
    <w:rsid w:val="00F9217A"/>
    <w:rsid w:val="00F94EB9"/>
    <w:rsid w:val="00F95AB6"/>
    <w:rsid w:val="00F95C98"/>
    <w:rsid w:val="00F96456"/>
    <w:rsid w:val="00F965DA"/>
    <w:rsid w:val="00F977AA"/>
    <w:rsid w:val="00FA0456"/>
    <w:rsid w:val="00FA04EA"/>
    <w:rsid w:val="00FA082E"/>
    <w:rsid w:val="00FA27A2"/>
    <w:rsid w:val="00FA33CD"/>
    <w:rsid w:val="00FA3BF9"/>
    <w:rsid w:val="00FA3CFD"/>
    <w:rsid w:val="00FA406A"/>
    <w:rsid w:val="00FA4B35"/>
    <w:rsid w:val="00FA5896"/>
    <w:rsid w:val="00FA760A"/>
    <w:rsid w:val="00FA7AD5"/>
    <w:rsid w:val="00FB0931"/>
    <w:rsid w:val="00FB24C9"/>
    <w:rsid w:val="00FB2726"/>
    <w:rsid w:val="00FB297B"/>
    <w:rsid w:val="00FB503A"/>
    <w:rsid w:val="00FB516C"/>
    <w:rsid w:val="00FB705E"/>
    <w:rsid w:val="00FC05E9"/>
    <w:rsid w:val="00FC0C03"/>
    <w:rsid w:val="00FC2908"/>
    <w:rsid w:val="00FC3E87"/>
    <w:rsid w:val="00FC41FD"/>
    <w:rsid w:val="00FC431F"/>
    <w:rsid w:val="00FC5E24"/>
    <w:rsid w:val="00FC64B6"/>
    <w:rsid w:val="00FC6620"/>
    <w:rsid w:val="00FD011F"/>
    <w:rsid w:val="00FD0236"/>
    <w:rsid w:val="00FD18F4"/>
    <w:rsid w:val="00FD197C"/>
    <w:rsid w:val="00FD27F8"/>
    <w:rsid w:val="00FD3FE0"/>
    <w:rsid w:val="00FD45E5"/>
    <w:rsid w:val="00FD54DB"/>
    <w:rsid w:val="00FD5C60"/>
    <w:rsid w:val="00FD619F"/>
    <w:rsid w:val="00FD7393"/>
    <w:rsid w:val="00FE11F3"/>
    <w:rsid w:val="00FE16FC"/>
    <w:rsid w:val="00FE1B34"/>
    <w:rsid w:val="00FE2BF5"/>
    <w:rsid w:val="00FE386B"/>
    <w:rsid w:val="00FE4E25"/>
    <w:rsid w:val="00FE52A4"/>
    <w:rsid w:val="00FE5AB3"/>
    <w:rsid w:val="00FE6E7A"/>
    <w:rsid w:val="00FE78E9"/>
    <w:rsid w:val="00FF083C"/>
    <w:rsid w:val="00FF496C"/>
    <w:rsid w:val="00FF524F"/>
    <w:rsid w:val="00FF52AE"/>
    <w:rsid w:val="00FF54E0"/>
    <w:rsid w:val="00FF5BE5"/>
    <w:rsid w:val="00FF6BB2"/>
    <w:rsid w:val="00FF6EF2"/>
    <w:rsid w:val="01290F7E"/>
    <w:rsid w:val="015D1E09"/>
    <w:rsid w:val="02697903"/>
    <w:rsid w:val="02F96569"/>
    <w:rsid w:val="03EA7B21"/>
    <w:rsid w:val="05F83EAE"/>
    <w:rsid w:val="063E7D85"/>
    <w:rsid w:val="07293586"/>
    <w:rsid w:val="07295285"/>
    <w:rsid w:val="07636392"/>
    <w:rsid w:val="07770C56"/>
    <w:rsid w:val="092217DD"/>
    <w:rsid w:val="093A7294"/>
    <w:rsid w:val="0A263993"/>
    <w:rsid w:val="0A2D3AC2"/>
    <w:rsid w:val="0AA755DF"/>
    <w:rsid w:val="0B120D44"/>
    <w:rsid w:val="0B9C40D7"/>
    <w:rsid w:val="0BD27BF6"/>
    <w:rsid w:val="0C3B3C7D"/>
    <w:rsid w:val="0CAB2EAE"/>
    <w:rsid w:val="0D621C7D"/>
    <w:rsid w:val="0E73034D"/>
    <w:rsid w:val="0F13775A"/>
    <w:rsid w:val="0F5F45FE"/>
    <w:rsid w:val="0F9A112B"/>
    <w:rsid w:val="106D2F64"/>
    <w:rsid w:val="10B63710"/>
    <w:rsid w:val="10F10820"/>
    <w:rsid w:val="111C2F7A"/>
    <w:rsid w:val="11665CA1"/>
    <w:rsid w:val="13951726"/>
    <w:rsid w:val="14396509"/>
    <w:rsid w:val="14DD2C3C"/>
    <w:rsid w:val="16087E1D"/>
    <w:rsid w:val="17701D14"/>
    <w:rsid w:val="17735226"/>
    <w:rsid w:val="189F624C"/>
    <w:rsid w:val="1A1C66C0"/>
    <w:rsid w:val="1A42393B"/>
    <w:rsid w:val="1AAD45DE"/>
    <w:rsid w:val="1B046F80"/>
    <w:rsid w:val="1B3267B5"/>
    <w:rsid w:val="1B40161D"/>
    <w:rsid w:val="1B441859"/>
    <w:rsid w:val="1B6606B1"/>
    <w:rsid w:val="1C5E7925"/>
    <w:rsid w:val="1CFD070F"/>
    <w:rsid w:val="1D5F6196"/>
    <w:rsid w:val="1D6132A5"/>
    <w:rsid w:val="1D8E56D5"/>
    <w:rsid w:val="1E7A43DA"/>
    <w:rsid w:val="1F672950"/>
    <w:rsid w:val="1FE7539E"/>
    <w:rsid w:val="20211B4F"/>
    <w:rsid w:val="20671BE0"/>
    <w:rsid w:val="20963CB8"/>
    <w:rsid w:val="20A81A1B"/>
    <w:rsid w:val="20B07FB6"/>
    <w:rsid w:val="20B646FB"/>
    <w:rsid w:val="213B74B1"/>
    <w:rsid w:val="215A2310"/>
    <w:rsid w:val="21DE318A"/>
    <w:rsid w:val="21EF5B80"/>
    <w:rsid w:val="22576990"/>
    <w:rsid w:val="22F47480"/>
    <w:rsid w:val="23DE1C48"/>
    <w:rsid w:val="240210CD"/>
    <w:rsid w:val="24BF09F7"/>
    <w:rsid w:val="252D53FE"/>
    <w:rsid w:val="25EC2D81"/>
    <w:rsid w:val="277057A2"/>
    <w:rsid w:val="29206EB8"/>
    <w:rsid w:val="29595666"/>
    <w:rsid w:val="29874881"/>
    <w:rsid w:val="29E325E0"/>
    <w:rsid w:val="2A452503"/>
    <w:rsid w:val="2B465B0F"/>
    <w:rsid w:val="2BA936A8"/>
    <w:rsid w:val="2C315A5A"/>
    <w:rsid w:val="2C4B1C25"/>
    <w:rsid w:val="2D9E56F5"/>
    <w:rsid w:val="2E667F96"/>
    <w:rsid w:val="2E8226AB"/>
    <w:rsid w:val="2FD065E6"/>
    <w:rsid w:val="2FD96870"/>
    <w:rsid w:val="30580BC9"/>
    <w:rsid w:val="311E2ED7"/>
    <w:rsid w:val="315619EE"/>
    <w:rsid w:val="315C449C"/>
    <w:rsid w:val="31B82709"/>
    <w:rsid w:val="31D05482"/>
    <w:rsid w:val="32400B34"/>
    <w:rsid w:val="329E6876"/>
    <w:rsid w:val="32FA3DAF"/>
    <w:rsid w:val="333015F2"/>
    <w:rsid w:val="334B6320"/>
    <w:rsid w:val="33D934D4"/>
    <w:rsid w:val="33FE2F6A"/>
    <w:rsid w:val="340E07E5"/>
    <w:rsid w:val="34235BF7"/>
    <w:rsid w:val="358C5FA8"/>
    <w:rsid w:val="35C15DF1"/>
    <w:rsid w:val="36074A7F"/>
    <w:rsid w:val="36923549"/>
    <w:rsid w:val="36B75FBF"/>
    <w:rsid w:val="36BD0C45"/>
    <w:rsid w:val="37E00298"/>
    <w:rsid w:val="38B302F9"/>
    <w:rsid w:val="38F12CD3"/>
    <w:rsid w:val="38F94775"/>
    <w:rsid w:val="392971ED"/>
    <w:rsid w:val="39325651"/>
    <w:rsid w:val="3A872856"/>
    <w:rsid w:val="3B3763D1"/>
    <w:rsid w:val="3BF53366"/>
    <w:rsid w:val="3C2F6E1E"/>
    <w:rsid w:val="3C4F64BA"/>
    <w:rsid w:val="3CDA245A"/>
    <w:rsid w:val="3D1E06B7"/>
    <w:rsid w:val="3EDA0523"/>
    <w:rsid w:val="40526FD9"/>
    <w:rsid w:val="407A6407"/>
    <w:rsid w:val="4200449D"/>
    <w:rsid w:val="423A3BCC"/>
    <w:rsid w:val="424E57D2"/>
    <w:rsid w:val="42B26C49"/>
    <w:rsid w:val="433A6FE6"/>
    <w:rsid w:val="43480868"/>
    <w:rsid w:val="4350713C"/>
    <w:rsid w:val="436653E0"/>
    <w:rsid w:val="43C4431A"/>
    <w:rsid w:val="44B951CC"/>
    <w:rsid w:val="44CD14E0"/>
    <w:rsid w:val="44F20B0B"/>
    <w:rsid w:val="452E5F4C"/>
    <w:rsid w:val="45612018"/>
    <w:rsid w:val="458946E9"/>
    <w:rsid w:val="45A47C0E"/>
    <w:rsid w:val="46577FD6"/>
    <w:rsid w:val="46D955A7"/>
    <w:rsid w:val="47133957"/>
    <w:rsid w:val="47A07E0C"/>
    <w:rsid w:val="4870272E"/>
    <w:rsid w:val="49DC7715"/>
    <w:rsid w:val="4A023139"/>
    <w:rsid w:val="4A7B576F"/>
    <w:rsid w:val="4AF561A9"/>
    <w:rsid w:val="4C4A0649"/>
    <w:rsid w:val="4C7E5ECA"/>
    <w:rsid w:val="4C876AA5"/>
    <w:rsid w:val="4D0E00FB"/>
    <w:rsid w:val="4D176606"/>
    <w:rsid w:val="4DEC4FB0"/>
    <w:rsid w:val="4E075D8A"/>
    <w:rsid w:val="4EC00FAD"/>
    <w:rsid w:val="4F9843DC"/>
    <w:rsid w:val="4FC62A8C"/>
    <w:rsid w:val="4FE20F0D"/>
    <w:rsid w:val="4FE51552"/>
    <w:rsid w:val="50504C4B"/>
    <w:rsid w:val="507168AB"/>
    <w:rsid w:val="509C6E7C"/>
    <w:rsid w:val="5162104E"/>
    <w:rsid w:val="53A039CC"/>
    <w:rsid w:val="53A1505A"/>
    <w:rsid w:val="54063E08"/>
    <w:rsid w:val="543437E8"/>
    <w:rsid w:val="54F73313"/>
    <w:rsid w:val="54F80955"/>
    <w:rsid w:val="555170A7"/>
    <w:rsid w:val="5587536D"/>
    <w:rsid w:val="559B174B"/>
    <w:rsid w:val="55CE0CF4"/>
    <w:rsid w:val="56B22A9C"/>
    <w:rsid w:val="57B72A76"/>
    <w:rsid w:val="57C3426C"/>
    <w:rsid w:val="57CE1F93"/>
    <w:rsid w:val="588743D1"/>
    <w:rsid w:val="5887701A"/>
    <w:rsid w:val="59C0439F"/>
    <w:rsid w:val="5ABE2233"/>
    <w:rsid w:val="5BDF5D95"/>
    <w:rsid w:val="5BFE7528"/>
    <w:rsid w:val="5E2467F1"/>
    <w:rsid w:val="5F1A2B43"/>
    <w:rsid w:val="5FB837BB"/>
    <w:rsid w:val="60CC405A"/>
    <w:rsid w:val="61E215D8"/>
    <w:rsid w:val="621B3775"/>
    <w:rsid w:val="62364782"/>
    <w:rsid w:val="6394356A"/>
    <w:rsid w:val="63C61B2C"/>
    <w:rsid w:val="63D40BE9"/>
    <w:rsid w:val="64063AB3"/>
    <w:rsid w:val="64102431"/>
    <w:rsid w:val="64A5243A"/>
    <w:rsid w:val="64F531DE"/>
    <w:rsid w:val="65373578"/>
    <w:rsid w:val="671F124A"/>
    <w:rsid w:val="677A33C6"/>
    <w:rsid w:val="681F6961"/>
    <w:rsid w:val="68610A2F"/>
    <w:rsid w:val="68805514"/>
    <w:rsid w:val="69316E2F"/>
    <w:rsid w:val="694E2071"/>
    <w:rsid w:val="69766163"/>
    <w:rsid w:val="697A3B33"/>
    <w:rsid w:val="69D44760"/>
    <w:rsid w:val="6A520EC7"/>
    <w:rsid w:val="6AF87E20"/>
    <w:rsid w:val="6B322639"/>
    <w:rsid w:val="6C636C38"/>
    <w:rsid w:val="6CD86B8E"/>
    <w:rsid w:val="6DB34098"/>
    <w:rsid w:val="6DB545B6"/>
    <w:rsid w:val="6DE02FB4"/>
    <w:rsid w:val="6E514CED"/>
    <w:rsid w:val="6EB563D5"/>
    <w:rsid w:val="6ED92677"/>
    <w:rsid w:val="6F225983"/>
    <w:rsid w:val="6FFC5590"/>
    <w:rsid w:val="706D1DD0"/>
    <w:rsid w:val="70856B87"/>
    <w:rsid w:val="70D527EE"/>
    <w:rsid w:val="715B5300"/>
    <w:rsid w:val="71D27F8A"/>
    <w:rsid w:val="72553024"/>
    <w:rsid w:val="73122968"/>
    <w:rsid w:val="731F5D5E"/>
    <w:rsid w:val="73C51AD5"/>
    <w:rsid w:val="741E793C"/>
    <w:rsid w:val="745E3944"/>
    <w:rsid w:val="7635099D"/>
    <w:rsid w:val="77762421"/>
    <w:rsid w:val="77B56B1F"/>
    <w:rsid w:val="780F09F4"/>
    <w:rsid w:val="78A90480"/>
    <w:rsid w:val="7A364017"/>
    <w:rsid w:val="7A8265E1"/>
    <w:rsid w:val="7B686D42"/>
    <w:rsid w:val="7B762E74"/>
    <w:rsid w:val="7B841746"/>
    <w:rsid w:val="7C6C5AC7"/>
    <w:rsid w:val="7CC6544B"/>
    <w:rsid w:val="7D0239FF"/>
    <w:rsid w:val="7D5E40CD"/>
    <w:rsid w:val="7DCD56F2"/>
    <w:rsid w:val="7F001CE7"/>
    <w:rsid w:val="7F453289"/>
    <w:rsid w:val="7FE47E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semiHidden="0" w:name="heading 2" w:locked="1"/>
    <w:lsdException w:qFormat="1" w:uiPriority="9" w:semiHidden="0" w:name="heading 3" w:locked="1"/>
    <w:lsdException w:qFormat="1" w:uiPriority="9" w:semiHidden="0" w:name="heading 4" w:locked="1"/>
    <w:lsdException w:qFormat="1" w:uiPriority="9"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ocked="1"/>
    <w:lsdException w:uiPriority="0" w:name="index 2" w:locked="1"/>
    <w:lsdException w:uiPriority="0" w:name="index 3" w:locked="1"/>
    <w:lsdException w:uiPriority="0" w:name="index 4" w:locked="1"/>
    <w:lsdException w:uiPriority="0" w:name="index 5" w:locked="1"/>
    <w:lsdException w:uiPriority="0" w:name="index 6" w:locked="1"/>
    <w:lsdException w:uiPriority="0" w:name="index 7" w:locked="1"/>
    <w:lsdException w:uiPriority="0" w:name="index 8" w:locked="1"/>
    <w:lsdException w:uiPriority="0" w:name="index 9" w:locked="1"/>
    <w:lsdException w:qFormat="1" w:unhideWhenUsed="0" w:uiPriority="39" w:semiHidden="0" w:name="toc 1" w:locked="1"/>
    <w:lsdException w:qFormat="1" w:uiPriority="39" w:semiHidden="0" w:name="toc 2" w:locked="1"/>
    <w:lsdException w:qFormat="1" w:uiPriority="39" w:semiHidden="0" w:name="toc 3" w:locked="1"/>
    <w:lsdException w:qFormat="1" w:uiPriority="39" w:semiHidden="0" w:name="toc 4" w:locked="1"/>
    <w:lsdException w:qFormat="1" w:uiPriority="39" w:semiHidden="0" w:name="toc 5" w:locked="1"/>
    <w:lsdException w:qFormat="1" w:uiPriority="39" w:semiHidden="0" w:name="toc 6" w:locked="1"/>
    <w:lsdException w:qFormat="1" w:uiPriority="39" w:semiHidden="0" w:name="toc 7" w:locked="1"/>
    <w:lsdException w:qFormat="1" w:uiPriority="39" w:semiHidden="0" w:name="toc 8" w:locked="1"/>
    <w:lsdException w:qFormat="1" w:uiPriority="39" w:semiHidden="0" w:name="toc 9" w:locked="1"/>
    <w:lsdException w:qFormat="1" w:unhideWhenUsed="0" w:uiPriority="0" w:semiHidden="0" w:name="Normal Indent" w:locked="1"/>
    <w:lsdException w:uiPriority="0" w:name="footnote text" w:locked="1"/>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ocked="1"/>
    <w:lsdException w:qFormat="1" w:unhideWhenUsed="0" w:uiPriority="0" w:semiHidden="0" w:name="caption" w:locked="1"/>
    <w:lsdException w:uiPriority="0" w:name="table of figures" w:locked="1"/>
    <w:lsdException w:uiPriority="0" w:name="envelope address" w:locked="1"/>
    <w:lsdException w:uiPriority="0" w:name="envelope return" w:locked="1"/>
    <w:lsdException w:uiPriority="0" w:name="footnote reference" w:locked="1"/>
    <w:lsdException w:qFormat="1" w:unhideWhenUsed="0" w:uiPriority="0" w:name="annotation reference"/>
    <w:lsdException w:uiPriority="0" w:name="line number" w:locked="1"/>
    <w:lsdException w:qFormat="1" w:unhideWhenUsed="0" w:uiPriority="0" w:semiHidden="0" w:name="page number" w:locked="1"/>
    <w:lsdException w:uiPriority="0" w:name="endnote reference" w:locked="1"/>
    <w:lsdException w:uiPriority="0" w:name="endnote text" w:locked="1"/>
    <w:lsdException w:unhideWhenUsed="0" w:uiPriority="0" w:semiHidden="0" w:name="table of authorities" w:locked="1"/>
    <w:lsdException w:uiPriority="0" w:name="macro" w:locked="1"/>
    <w:lsdException w:uiPriority="0" w:name="toa heading" w:locked="1"/>
    <w:lsdException w:unhideWhenUsed="0" w:uiPriority="0" w:semiHidden="0" w:name="List" w:locked="1"/>
    <w:lsdException w:unhideWhenUsed="0" w:uiPriority="0" w:semiHidden="0" w:name="List Bullet" w:locked="1"/>
    <w:lsdException w:uiPriority="0" w:name="List Number" w:locked="1"/>
    <w:lsdException w:uiPriority="0" w:name="List 2" w:locked="1"/>
    <w:lsdException w:uiPriority="0" w:name="List 3" w:locked="1"/>
    <w:lsdException w:uiPriority="0" w:name="List 4" w:locked="1"/>
    <w:lsdException w:uiPriority="0" w:name="List 5" w:locked="1"/>
    <w:lsdException w:uiPriority="0" w:name="List Bullet 2" w:locked="1"/>
    <w:lsdException w:uiPriority="0" w:name="List Bullet 3" w:locked="1"/>
    <w:lsdException w:uiPriority="0" w:name="List Bullet 4" w:locked="1"/>
    <w:lsdException w:uiPriority="0" w:name="List Bullet 5" w:locked="1"/>
    <w:lsdException w:uiPriority="0" w:name="List Number 2" w:locked="1"/>
    <w:lsdException w:uiPriority="0" w:name="List Number 3" w:locked="1"/>
    <w:lsdException w:uiPriority="0" w:name="List Number 4" w:locked="1"/>
    <w:lsdException w:uiPriority="0" w:name="List Number 5" w:locked="1"/>
    <w:lsdException w:qFormat="1" w:unhideWhenUsed="0" w:uiPriority="0" w:semiHidden="0" w:name="Title" w:locked="1"/>
    <w:lsdException w:uiPriority="0" w:name="Closing" w:locked="1"/>
    <w:lsdException w:uiPriority="0" w:name="Signature" w:locked="1"/>
    <w:lsdException w:qFormat="1" w:uiPriority="1" w:semiHidden="0" w:name="Default Paragraph Font"/>
    <w:lsdException w:qFormat="1" w:unhideWhenUsed="0" w:uiPriority="99" w:semiHidden="0" w:name="Body Text"/>
    <w:lsdException w:qFormat="1" w:unhideWhenUsed="0" w:uiPriority="0" w:semiHidden="0" w:name="Body Text Indent"/>
    <w:lsdException w:uiPriority="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iPriority="0" w:name="Message Header" w:locked="1"/>
    <w:lsdException w:qFormat="1" w:unhideWhenUsed="0" w:uiPriority="0" w:semiHidden="0" w:name="Subtitle" w:locked="1"/>
    <w:lsdException w:uiPriority="0" w:name="Salutation" w:locked="1"/>
    <w:lsdException w:qFormat="1" w:unhideWhenUsed="0" w:uiPriority="0" w:semiHidden="0" w:name="Date"/>
    <w:lsdException w:qFormat="1" w:unhideWhenUsed="0" w:uiPriority="99" w:semiHidden="0" w:name="Body Text First Indent" w:locked="1"/>
    <w:lsdException w:qFormat="1" w:unhideWhenUsed="0" w:uiPriority="0" w:semiHidden="0" w:name="Body Text First Indent 2" w:locked="1"/>
    <w:lsdException w:uiPriority="0" w:name="Note Heading" w:locked="1"/>
    <w:lsdException w:uiPriority="0" w:name="Body Text 2" w:locked="1"/>
    <w:lsdException w:uiPriority="0" w:name="Body Text 3" w:locked="1"/>
    <w:lsdException w:qFormat="1" w:uiPriority="99" w:name="Body Text Indent 2" w:locked="1"/>
    <w:lsdException w:uiPriority="0" w:name="Body Text Indent 3" w:locked="1"/>
    <w:lsdException w:uiPriority="0" w:name="Block Text" w:locked="1"/>
    <w:lsdException w:qFormat="1" w:uiPriority="99" w:semiHidden="0" w:name="Hyperlink" w:locked="1"/>
    <w:lsdException w:qFormat="1" w:uiPriority="99" w:name="FollowedHyperlink" w:locked="1"/>
    <w:lsdException w:qFormat="1" w:unhideWhenUsed="0" w:uiPriority="0" w:semiHidden="0" w:name="Strong" w:locked="1"/>
    <w:lsdException w:qFormat="1" w:unhideWhenUsed="0" w:uiPriority="0" w:semiHidden="0" w:name="Emphasis" w:locked="1"/>
    <w:lsdException w:qFormat="1" w:uiPriority="99" w:name="Document Map" w:locked="1"/>
    <w:lsdException w:qFormat="1" w:unhideWhenUsed="0" w:uiPriority="99" w:semiHidden="0" w:name="Plain Text" w:locked="1"/>
    <w:lsdException w:uiPriority="0" w:name="E-mail Signature" w:locked="1"/>
    <w:lsdException w:qFormat="1" w:unhideWhenUsed="0" w:uiPriority="0" w:semiHidden="0" w:name="Normal (Web)"/>
    <w:lsdException w:uiPriority="0" w:name="HTML Acronym" w:locked="1"/>
    <w:lsdException w:uiPriority="0" w:name="HTML Address" w:locked="1"/>
    <w:lsdException w:uiPriority="0" w:name="HTML Cite" w:locked="1"/>
    <w:lsdException w:uiPriority="0" w:name="HTML Code" w:locked="1"/>
    <w:lsdException w:uiPriority="0" w:name="HTML Definition" w:locked="1"/>
    <w:lsdException w:uiPriority="0" w:name="HTML Keyboard" w:locked="1"/>
    <w:lsdException w:uiPriority="0" w:name="HTML Preformatted" w:locked="1"/>
    <w:lsdException w:uiPriority="0" w:name="HTML Sample" w:locked="1"/>
    <w:lsdException w:uiPriority="0" w:name="HTML Typewriter" w:locked="1"/>
    <w:lsdException w:uiPriority="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99" w:name="Balloon Text"/>
    <w:lsdException w:qFormat="1" w:unhideWhenUsed="0" w:uiPriority="0" w:semiHidden="0" w:name="Table Grid"/>
    <w:lsdException w:uiPriority="0" w:name="Table Theme" w:locked="1"/>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29"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80"/>
    <w:qFormat/>
    <w:locked/>
    <w:uiPriority w:val="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link w:val="76"/>
    <w:unhideWhenUsed/>
    <w:qFormat/>
    <w:locked/>
    <w:uiPriority w:val="9"/>
    <w:pPr>
      <w:keepNext/>
      <w:keepLines/>
      <w:spacing w:line="360" w:lineRule="auto"/>
      <w:outlineLvl w:val="1"/>
    </w:pPr>
    <w:rPr>
      <w:rFonts w:eastAsiaTheme="majorEastAsia" w:cstheme="majorBidi"/>
      <w:b/>
      <w:bCs/>
      <w:sz w:val="32"/>
      <w:szCs w:val="32"/>
    </w:rPr>
  </w:style>
  <w:style w:type="paragraph" w:styleId="4">
    <w:name w:val="heading 3"/>
    <w:basedOn w:val="1"/>
    <w:next w:val="1"/>
    <w:link w:val="77"/>
    <w:unhideWhenUsed/>
    <w:qFormat/>
    <w:locked/>
    <w:uiPriority w:val="9"/>
    <w:pPr>
      <w:keepNext/>
      <w:keepLines/>
      <w:spacing w:line="360" w:lineRule="auto"/>
      <w:outlineLvl w:val="2"/>
    </w:pPr>
    <w:rPr>
      <w:rFonts w:cstheme="minorBidi"/>
      <w:b/>
      <w:bCs/>
      <w:sz w:val="30"/>
      <w:szCs w:val="32"/>
    </w:rPr>
  </w:style>
  <w:style w:type="paragraph" w:styleId="5">
    <w:name w:val="heading 4"/>
    <w:basedOn w:val="1"/>
    <w:next w:val="1"/>
    <w:link w:val="78"/>
    <w:unhideWhenUsed/>
    <w:qFormat/>
    <w:locked/>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79"/>
    <w:semiHidden/>
    <w:unhideWhenUsed/>
    <w:qFormat/>
    <w:locked/>
    <w:uiPriority w:val="9"/>
    <w:pPr>
      <w:keepNext/>
      <w:keepLines/>
      <w:spacing w:before="280" w:after="290" w:line="376" w:lineRule="auto"/>
      <w:outlineLvl w:val="4"/>
    </w:pPr>
    <w:rPr>
      <w:rFonts w:cstheme="minorBidi"/>
      <w:b/>
      <w:bCs/>
      <w:sz w:val="28"/>
      <w:szCs w:val="28"/>
    </w:rPr>
  </w:style>
  <w:style w:type="character" w:default="1" w:styleId="34">
    <w:name w:val="Default Paragraph Font"/>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unhideWhenUsed/>
    <w:qFormat/>
    <w:locked/>
    <w:uiPriority w:val="39"/>
    <w:pPr>
      <w:spacing w:line="360" w:lineRule="auto"/>
      <w:ind w:left="1440"/>
      <w:jc w:val="left"/>
    </w:pPr>
    <w:rPr>
      <w:rFonts w:asciiTheme="minorHAnsi" w:hAnsiTheme="minorHAnsi" w:cstheme="minorHAnsi"/>
      <w:sz w:val="18"/>
      <w:szCs w:val="18"/>
    </w:rPr>
  </w:style>
  <w:style w:type="paragraph" w:styleId="8">
    <w:name w:val="Normal Indent"/>
    <w:basedOn w:val="1"/>
    <w:link w:val="149"/>
    <w:qFormat/>
    <w:locked/>
    <w:uiPriority w:val="0"/>
    <w:pPr>
      <w:ind w:firstLine="420"/>
    </w:pPr>
    <w:rPr>
      <w:kern w:val="0"/>
      <w:sz w:val="20"/>
    </w:rPr>
  </w:style>
  <w:style w:type="paragraph" w:styleId="9">
    <w:name w:val="caption"/>
    <w:basedOn w:val="1"/>
    <w:next w:val="1"/>
    <w:qFormat/>
    <w:locked/>
    <w:uiPriority w:val="0"/>
    <w:rPr>
      <w:rFonts w:ascii="Calibri Light" w:hAnsi="Calibri Light" w:eastAsia="黑体"/>
      <w:sz w:val="20"/>
      <w:szCs w:val="20"/>
    </w:rPr>
  </w:style>
  <w:style w:type="paragraph" w:styleId="10">
    <w:name w:val="Document Map"/>
    <w:basedOn w:val="1"/>
    <w:link w:val="81"/>
    <w:semiHidden/>
    <w:unhideWhenUsed/>
    <w:qFormat/>
    <w:locked/>
    <w:uiPriority w:val="99"/>
    <w:pPr>
      <w:spacing w:line="360" w:lineRule="auto"/>
    </w:pPr>
    <w:rPr>
      <w:rFonts w:ascii="宋体" w:cstheme="minorBidi"/>
      <w:sz w:val="18"/>
      <w:szCs w:val="18"/>
    </w:rPr>
  </w:style>
  <w:style w:type="paragraph" w:styleId="11">
    <w:name w:val="annotation text"/>
    <w:basedOn w:val="1"/>
    <w:link w:val="45"/>
    <w:qFormat/>
    <w:uiPriority w:val="0"/>
    <w:pPr>
      <w:jc w:val="left"/>
    </w:pPr>
    <w:rPr>
      <w:kern w:val="0"/>
      <w:sz w:val="24"/>
      <w:szCs w:val="20"/>
    </w:rPr>
  </w:style>
  <w:style w:type="paragraph" w:styleId="12">
    <w:name w:val="Body Text"/>
    <w:basedOn w:val="1"/>
    <w:link w:val="44"/>
    <w:qFormat/>
    <w:uiPriority w:val="99"/>
    <w:pPr>
      <w:widowControl/>
      <w:snapToGrid w:val="0"/>
      <w:spacing w:before="60" w:after="160" w:line="259" w:lineRule="auto"/>
      <w:ind w:right="113"/>
    </w:pPr>
    <w:rPr>
      <w:kern w:val="0"/>
      <w:sz w:val="18"/>
      <w:szCs w:val="20"/>
    </w:rPr>
  </w:style>
  <w:style w:type="paragraph" w:styleId="13">
    <w:name w:val="Body Text Indent"/>
    <w:basedOn w:val="1"/>
    <w:link w:val="53"/>
    <w:qFormat/>
    <w:uiPriority w:val="0"/>
    <w:pPr>
      <w:spacing w:after="120"/>
      <w:ind w:left="420" w:leftChars="200"/>
    </w:pPr>
    <w:rPr>
      <w:kern w:val="0"/>
      <w:sz w:val="24"/>
      <w:szCs w:val="20"/>
    </w:rPr>
  </w:style>
  <w:style w:type="paragraph" w:styleId="14">
    <w:name w:val="toc 5"/>
    <w:basedOn w:val="1"/>
    <w:next w:val="1"/>
    <w:unhideWhenUsed/>
    <w:qFormat/>
    <w:locked/>
    <w:uiPriority w:val="39"/>
    <w:pPr>
      <w:spacing w:line="360" w:lineRule="auto"/>
      <w:ind w:left="960"/>
      <w:jc w:val="left"/>
    </w:pPr>
    <w:rPr>
      <w:rFonts w:asciiTheme="minorHAnsi" w:hAnsiTheme="minorHAnsi" w:cstheme="minorHAnsi"/>
      <w:sz w:val="18"/>
      <w:szCs w:val="18"/>
    </w:rPr>
  </w:style>
  <w:style w:type="paragraph" w:styleId="15">
    <w:name w:val="toc 3"/>
    <w:basedOn w:val="1"/>
    <w:next w:val="1"/>
    <w:unhideWhenUsed/>
    <w:qFormat/>
    <w:locked/>
    <w:uiPriority w:val="39"/>
    <w:pPr>
      <w:spacing w:line="360" w:lineRule="auto"/>
      <w:ind w:left="480"/>
      <w:jc w:val="left"/>
    </w:pPr>
    <w:rPr>
      <w:rFonts w:asciiTheme="minorHAnsi" w:hAnsiTheme="minorHAnsi" w:cstheme="minorHAnsi"/>
      <w:i/>
      <w:iCs/>
      <w:sz w:val="20"/>
      <w:szCs w:val="20"/>
    </w:rPr>
  </w:style>
  <w:style w:type="paragraph" w:styleId="16">
    <w:name w:val="Plain Text"/>
    <w:basedOn w:val="1"/>
    <w:link w:val="71"/>
    <w:qFormat/>
    <w:locked/>
    <w:uiPriority w:val="99"/>
    <w:pPr>
      <w:widowControl/>
      <w:snapToGrid w:val="0"/>
      <w:spacing w:before="100" w:beforeAutospacing="1" w:after="100" w:afterAutospacing="1" w:line="360" w:lineRule="auto"/>
      <w:ind w:firstLine="200" w:firstLineChars="200"/>
      <w:jc w:val="left"/>
    </w:pPr>
    <w:rPr>
      <w:rFonts w:ascii="宋体" w:hAnsi="宋体"/>
      <w:kern w:val="0"/>
      <w:sz w:val="24"/>
    </w:rPr>
  </w:style>
  <w:style w:type="paragraph" w:styleId="17">
    <w:name w:val="toc 8"/>
    <w:basedOn w:val="1"/>
    <w:next w:val="1"/>
    <w:unhideWhenUsed/>
    <w:qFormat/>
    <w:locked/>
    <w:uiPriority w:val="39"/>
    <w:pPr>
      <w:spacing w:line="360" w:lineRule="auto"/>
      <w:ind w:left="1680"/>
      <w:jc w:val="left"/>
    </w:pPr>
    <w:rPr>
      <w:rFonts w:asciiTheme="minorHAnsi" w:hAnsiTheme="minorHAnsi" w:cstheme="minorHAnsi"/>
      <w:sz w:val="18"/>
      <w:szCs w:val="18"/>
    </w:rPr>
  </w:style>
  <w:style w:type="paragraph" w:styleId="18">
    <w:name w:val="Date"/>
    <w:basedOn w:val="1"/>
    <w:next w:val="1"/>
    <w:link w:val="40"/>
    <w:qFormat/>
    <w:uiPriority w:val="0"/>
    <w:pPr>
      <w:ind w:left="100" w:leftChars="2500"/>
    </w:pPr>
    <w:rPr>
      <w:kern w:val="0"/>
      <w:sz w:val="24"/>
      <w:szCs w:val="20"/>
    </w:rPr>
  </w:style>
  <w:style w:type="paragraph" w:styleId="19">
    <w:name w:val="Body Text Indent 2"/>
    <w:basedOn w:val="1"/>
    <w:link w:val="82"/>
    <w:semiHidden/>
    <w:unhideWhenUsed/>
    <w:qFormat/>
    <w:locked/>
    <w:uiPriority w:val="99"/>
    <w:pPr>
      <w:spacing w:after="120" w:line="480" w:lineRule="auto"/>
      <w:ind w:left="420" w:leftChars="200"/>
    </w:pPr>
    <w:rPr>
      <w:rFonts w:cstheme="minorBidi"/>
      <w:sz w:val="24"/>
      <w:szCs w:val="22"/>
    </w:rPr>
  </w:style>
  <w:style w:type="paragraph" w:styleId="20">
    <w:name w:val="Balloon Text"/>
    <w:basedOn w:val="1"/>
    <w:link w:val="49"/>
    <w:semiHidden/>
    <w:qFormat/>
    <w:uiPriority w:val="99"/>
    <w:rPr>
      <w:kern w:val="0"/>
      <w:sz w:val="18"/>
      <w:szCs w:val="20"/>
    </w:rPr>
  </w:style>
  <w:style w:type="paragraph" w:styleId="21">
    <w:name w:val="footer"/>
    <w:basedOn w:val="1"/>
    <w:link w:val="39"/>
    <w:qFormat/>
    <w:uiPriority w:val="99"/>
    <w:pPr>
      <w:tabs>
        <w:tab w:val="center" w:pos="4153"/>
        <w:tab w:val="right" w:pos="8306"/>
      </w:tabs>
      <w:snapToGrid w:val="0"/>
      <w:jc w:val="left"/>
    </w:pPr>
    <w:rPr>
      <w:kern w:val="0"/>
      <w:sz w:val="18"/>
      <w:szCs w:val="20"/>
    </w:rPr>
  </w:style>
  <w:style w:type="paragraph" w:styleId="22">
    <w:name w:val="header"/>
    <w:basedOn w:val="1"/>
    <w:link w:val="51"/>
    <w:qFormat/>
    <w:uiPriority w:val="99"/>
    <w:pPr>
      <w:pBdr>
        <w:bottom w:val="single" w:color="auto" w:sz="6" w:space="1"/>
      </w:pBdr>
      <w:tabs>
        <w:tab w:val="center" w:pos="4153"/>
        <w:tab w:val="right" w:pos="8306"/>
      </w:tabs>
      <w:snapToGrid w:val="0"/>
      <w:jc w:val="center"/>
    </w:pPr>
    <w:rPr>
      <w:kern w:val="0"/>
      <w:sz w:val="18"/>
      <w:szCs w:val="20"/>
    </w:rPr>
  </w:style>
  <w:style w:type="paragraph" w:styleId="23">
    <w:name w:val="toc 1"/>
    <w:basedOn w:val="1"/>
    <w:next w:val="1"/>
    <w:autoRedefine/>
    <w:qFormat/>
    <w:locked/>
    <w:uiPriority w:val="39"/>
    <w:pPr>
      <w:spacing w:before="120" w:after="120"/>
      <w:jc w:val="left"/>
    </w:pPr>
    <w:rPr>
      <w:rFonts w:asciiTheme="minorHAnsi" w:hAnsiTheme="minorHAnsi" w:cstheme="minorHAnsi"/>
      <w:b/>
      <w:bCs/>
      <w:caps/>
      <w:sz w:val="20"/>
      <w:szCs w:val="20"/>
    </w:rPr>
  </w:style>
  <w:style w:type="paragraph" w:styleId="24">
    <w:name w:val="toc 4"/>
    <w:basedOn w:val="1"/>
    <w:next w:val="1"/>
    <w:unhideWhenUsed/>
    <w:qFormat/>
    <w:locked/>
    <w:uiPriority w:val="39"/>
    <w:pPr>
      <w:spacing w:line="360" w:lineRule="auto"/>
      <w:ind w:left="720"/>
      <w:jc w:val="left"/>
    </w:pPr>
    <w:rPr>
      <w:rFonts w:asciiTheme="minorHAnsi" w:hAnsiTheme="minorHAnsi" w:cstheme="minorHAnsi"/>
      <w:sz w:val="18"/>
      <w:szCs w:val="18"/>
    </w:rPr>
  </w:style>
  <w:style w:type="paragraph" w:styleId="25">
    <w:name w:val="toc 6"/>
    <w:basedOn w:val="1"/>
    <w:next w:val="1"/>
    <w:unhideWhenUsed/>
    <w:qFormat/>
    <w:locked/>
    <w:uiPriority w:val="39"/>
    <w:pPr>
      <w:spacing w:line="360" w:lineRule="auto"/>
      <w:ind w:left="1200"/>
      <w:jc w:val="left"/>
    </w:pPr>
    <w:rPr>
      <w:rFonts w:asciiTheme="minorHAnsi" w:hAnsiTheme="minorHAnsi" w:cstheme="minorHAnsi"/>
      <w:sz w:val="18"/>
      <w:szCs w:val="18"/>
    </w:rPr>
  </w:style>
  <w:style w:type="paragraph" w:styleId="26">
    <w:name w:val="toc 2"/>
    <w:basedOn w:val="1"/>
    <w:next w:val="1"/>
    <w:unhideWhenUsed/>
    <w:qFormat/>
    <w:locked/>
    <w:uiPriority w:val="39"/>
    <w:pPr>
      <w:spacing w:line="360" w:lineRule="auto"/>
      <w:ind w:left="240"/>
      <w:jc w:val="left"/>
    </w:pPr>
    <w:rPr>
      <w:rFonts w:asciiTheme="minorHAnsi" w:hAnsiTheme="minorHAnsi" w:cstheme="minorHAnsi"/>
      <w:smallCaps/>
      <w:sz w:val="20"/>
      <w:szCs w:val="20"/>
    </w:rPr>
  </w:style>
  <w:style w:type="paragraph" w:styleId="27">
    <w:name w:val="toc 9"/>
    <w:basedOn w:val="1"/>
    <w:next w:val="1"/>
    <w:unhideWhenUsed/>
    <w:qFormat/>
    <w:locked/>
    <w:uiPriority w:val="39"/>
    <w:pPr>
      <w:spacing w:line="360" w:lineRule="auto"/>
      <w:ind w:left="1920"/>
      <w:jc w:val="left"/>
    </w:pPr>
    <w:rPr>
      <w:rFonts w:asciiTheme="minorHAnsi" w:hAnsiTheme="minorHAnsi" w:cstheme="minorHAnsi"/>
      <w:sz w:val="18"/>
      <w:szCs w:val="18"/>
    </w:rPr>
  </w:style>
  <w:style w:type="paragraph" w:styleId="28">
    <w:name w:val="Normal (Web)"/>
    <w:basedOn w:val="1"/>
    <w:link w:val="42"/>
    <w:qFormat/>
    <w:uiPriority w:val="0"/>
    <w:pPr>
      <w:widowControl/>
      <w:spacing w:before="100" w:beforeAutospacing="1" w:after="100" w:afterAutospacing="1"/>
      <w:jc w:val="left"/>
    </w:pPr>
    <w:rPr>
      <w:rFonts w:ascii="宋体" w:hAnsi="宋体"/>
      <w:kern w:val="0"/>
      <w:sz w:val="24"/>
      <w:szCs w:val="20"/>
    </w:rPr>
  </w:style>
  <w:style w:type="paragraph" w:styleId="29">
    <w:name w:val="annotation subject"/>
    <w:basedOn w:val="11"/>
    <w:next w:val="11"/>
    <w:link w:val="50"/>
    <w:semiHidden/>
    <w:qFormat/>
    <w:uiPriority w:val="0"/>
    <w:rPr>
      <w:b/>
      <w:kern w:val="2"/>
    </w:rPr>
  </w:style>
  <w:style w:type="paragraph" w:styleId="30">
    <w:name w:val="Body Text First Indent"/>
    <w:basedOn w:val="12"/>
    <w:link w:val="56"/>
    <w:qFormat/>
    <w:locked/>
    <w:uiPriority w:val="99"/>
    <w:pPr>
      <w:widowControl w:val="0"/>
      <w:snapToGrid/>
      <w:spacing w:before="0" w:after="120" w:line="240" w:lineRule="auto"/>
      <w:ind w:right="0" w:firstLine="420" w:firstLineChars="100"/>
    </w:pPr>
    <w:rPr>
      <w:kern w:val="2"/>
      <w:sz w:val="21"/>
      <w:szCs w:val="24"/>
    </w:rPr>
  </w:style>
  <w:style w:type="paragraph" w:styleId="31">
    <w:name w:val="Body Text First Indent 2"/>
    <w:basedOn w:val="13"/>
    <w:link w:val="57"/>
    <w:qFormat/>
    <w:locked/>
    <w:uiPriority w:val="0"/>
    <w:pPr>
      <w:ind w:firstLine="420" w:firstLineChars="200"/>
    </w:pPr>
    <w:rPr>
      <w:kern w:val="2"/>
      <w:sz w:val="21"/>
      <w:szCs w:val="24"/>
    </w:rPr>
  </w:style>
  <w:style w:type="table" w:styleId="33">
    <w:name w:val="Table Grid"/>
    <w:basedOn w:val="3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page number"/>
    <w:basedOn w:val="34"/>
    <w:qFormat/>
    <w:locked/>
    <w:uiPriority w:val="0"/>
  </w:style>
  <w:style w:type="character" w:styleId="36">
    <w:name w:val="FollowedHyperlink"/>
    <w:basedOn w:val="34"/>
    <w:semiHidden/>
    <w:unhideWhenUsed/>
    <w:qFormat/>
    <w:locked/>
    <w:uiPriority w:val="99"/>
    <w:rPr>
      <w:color w:val="800080" w:themeColor="followedHyperlink"/>
      <w:u w:val="single"/>
      <w14:textFill>
        <w14:solidFill>
          <w14:schemeClr w14:val="folHlink"/>
        </w14:solidFill>
      </w14:textFill>
    </w:rPr>
  </w:style>
  <w:style w:type="character" w:styleId="37">
    <w:name w:val="Hyperlink"/>
    <w:basedOn w:val="34"/>
    <w:unhideWhenUsed/>
    <w:qFormat/>
    <w:locked/>
    <w:uiPriority w:val="99"/>
    <w:rPr>
      <w:color w:val="0000FF" w:themeColor="hyperlink"/>
      <w:u w:val="single"/>
      <w14:textFill>
        <w14:solidFill>
          <w14:schemeClr w14:val="hlink"/>
        </w14:solidFill>
      </w14:textFill>
    </w:rPr>
  </w:style>
  <w:style w:type="character" w:styleId="38">
    <w:name w:val="annotation reference"/>
    <w:semiHidden/>
    <w:qFormat/>
    <w:uiPriority w:val="0"/>
    <w:rPr>
      <w:sz w:val="21"/>
    </w:rPr>
  </w:style>
  <w:style w:type="character" w:customStyle="1" w:styleId="39">
    <w:name w:val="页脚 字符1"/>
    <w:link w:val="21"/>
    <w:qFormat/>
    <w:locked/>
    <w:uiPriority w:val="99"/>
    <w:rPr>
      <w:sz w:val="18"/>
    </w:rPr>
  </w:style>
  <w:style w:type="character" w:customStyle="1" w:styleId="40">
    <w:name w:val="日期 字符1"/>
    <w:link w:val="18"/>
    <w:qFormat/>
    <w:locked/>
    <w:uiPriority w:val="0"/>
    <w:rPr>
      <w:rFonts w:ascii="Times New Roman" w:hAnsi="Times New Roman" w:eastAsia="宋体"/>
      <w:sz w:val="24"/>
    </w:rPr>
  </w:style>
  <w:style w:type="character" w:customStyle="1" w:styleId="41">
    <w:name w:val="页脚 字符"/>
    <w:basedOn w:val="34"/>
    <w:qFormat/>
    <w:uiPriority w:val="99"/>
  </w:style>
  <w:style w:type="character" w:customStyle="1" w:styleId="42">
    <w:name w:val="普通(网站) 字符"/>
    <w:link w:val="28"/>
    <w:qFormat/>
    <w:locked/>
    <w:uiPriority w:val="0"/>
    <w:rPr>
      <w:rFonts w:ascii="宋体" w:hAnsi="宋体" w:eastAsia="宋体"/>
      <w:sz w:val="24"/>
    </w:rPr>
  </w:style>
  <w:style w:type="character" w:customStyle="1" w:styleId="43">
    <w:name w:val="正文文本 字符1"/>
    <w:semiHidden/>
    <w:qFormat/>
    <w:uiPriority w:val="0"/>
    <w:rPr>
      <w:rFonts w:ascii="Times New Roman" w:hAnsi="Times New Roman" w:eastAsia="宋体"/>
      <w:sz w:val="24"/>
    </w:rPr>
  </w:style>
  <w:style w:type="character" w:customStyle="1" w:styleId="44">
    <w:name w:val="正文文本 字符"/>
    <w:link w:val="12"/>
    <w:qFormat/>
    <w:locked/>
    <w:uiPriority w:val="99"/>
    <w:rPr>
      <w:sz w:val="18"/>
    </w:rPr>
  </w:style>
  <w:style w:type="character" w:customStyle="1" w:styleId="45">
    <w:name w:val="批注文字 字符"/>
    <w:link w:val="11"/>
    <w:qFormat/>
    <w:locked/>
    <w:uiPriority w:val="0"/>
    <w:rPr>
      <w:rFonts w:ascii="Times New Roman" w:hAnsi="Times New Roman" w:eastAsia="宋体"/>
      <w:sz w:val="24"/>
    </w:rPr>
  </w:style>
  <w:style w:type="character" w:customStyle="1" w:styleId="46">
    <w:name w:val="表格 Char"/>
    <w:link w:val="47"/>
    <w:qFormat/>
    <w:locked/>
    <w:uiPriority w:val="0"/>
    <w:rPr>
      <w:rFonts w:ascii="宋体"/>
      <w:sz w:val="21"/>
    </w:rPr>
  </w:style>
  <w:style w:type="paragraph" w:customStyle="1" w:styleId="47">
    <w:name w:val="表格"/>
    <w:basedOn w:val="1"/>
    <w:next w:val="1"/>
    <w:link w:val="46"/>
    <w:qFormat/>
    <w:uiPriority w:val="0"/>
    <w:pPr>
      <w:adjustRightInd w:val="0"/>
      <w:snapToGrid w:val="0"/>
      <w:spacing w:beforeLines="10" w:afterLines="10" w:line="259" w:lineRule="auto"/>
      <w:jc w:val="center"/>
    </w:pPr>
    <w:rPr>
      <w:rFonts w:ascii="宋体"/>
      <w:kern w:val="0"/>
      <w:szCs w:val="20"/>
    </w:rPr>
  </w:style>
  <w:style w:type="character" w:customStyle="1" w:styleId="48">
    <w:name w:val="日期 字符"/>
    <w:semiHidden/>
    <w:qFormat/>
    <w:uiPriority w:val="0"/>
    <w:rPr>
      <w:rFonts w:ascii="Times New Roman" w:hAnsi="Times New Roman" w:eastAsia="宋体"/>
      <w:sz w:val="24"/>
    </w:rPr>
  </w:style>
  <w:style w:type="character" w:customStyle="1" w:styleId="49">
    <w:name w:val="批注框文本 字符"/>
    <w:link w:val="20"/>
    <w:semiHidden/>
    <w:qFormat/>
    <w:locked/>
    <w:uiPriority w:val="99"/>
    <w:rPr>
      <w:rFonts w:ascii="Times New Roman" w:hAnsi="Times New Roman" w:eastAsia="宋体"/>
      <w:sz w:val="18"/>
    </w:rPr>
  </w:style>
  <w:style w:type="character" w:customStyle="1" w:styleId="50">
    <w:name w:val="批注主题 字符"/>
    <w:link w:val="29"/>
    <w:semiHidden/>
    <w:qFormat/>
    <w:locked/>
    <w:uiPriority w:val="0"/>
    <w:rPr>
      <w:rFonts w:ascii="Times New Roman" w:hAnsi="Times New Roman" w:eastAsia="宋体"/>
      <w:b/>
      <w:kern w:val="2"/>
      <w:sz w:val="24"/>
    </w:rPr>
  </w:style>
  <w:style w:type="character" w:customStyle="1" w:styleId="51">
    <w:name w:val="页眉 字符"/>
    <w:link w:val="22"/>
    <w:qFormat/>
    <w:locked/>
    <w:uiPriority w:val="99"/>
    <w:rPr>
      <w:sz w:val="18"/>
    </w:rPr>
  </w:style>
  <w:style w:type="character" w:customStyle="1" w:styleId="52">
    <w:name w:val="批注文字 字符1"/>
    <w:semiHidden/>
    <w:qFormat/>
    <w:uiPriority w:val="0"/>
    <w:rPr>
      <w:rFonts w:ascii="Times New Roman" w:hAnsi="Times New Roman" w:eastAsia="宋体"/>
      <w:sz w:val="24"/>
    </w:rPr>
  </w:style>
  <w:style w:type="character" w:customStyle="1" w:styleId="53">
    <w:name w:val="正文文本缩进 字符"/>
    <w:link w:val="13"/>
    <w:qFormat/>
    <w:locked/>
    <w:uiPriority w:val="0"/>
    <w:rPr>
      <w:rFonts w:ascii="Times New Roman" w:hAnsi="Times New Roman" w:eastAsia="宋体"/>
      <w:sz w:val="24"/>
    </w:rPr>
  </w:style>
  <w:style w:type="paragraph" w:customStyle="1" w:styleId="54">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5">
    <w:name w:val="普通(网站)2"/>
    <w:basedOn w:val="1"/>
    <w:qFormat/>
    <w:uiPriority w:val="0"/>
    <w:pPr>
      <w:widowControl/>
      <w:spacing w:before="100" w:beforeAutospacing="1" w:after="100" w:afterAutospacing="1"/>
      <w:jc w:val="left"/>
    </w:pPr>
    <w:rPr>
      <w:rFonts w:ascii="宋体" w:hAnsi="宋体"/>
      <w:sz w:val="24"/>
      <w:szCs w:val="20"/>
    </w:rPr>
  </w:style>
  <w:style w:type="character" w:customStyle="1" w:styleId="56">
    <w:name w:val="正文文本首行缩进 字符"/>
    <w:basedOn w:val="44"/>
    <w:link w:val="30"/>
    <w:qFormat/>
    <w:uiPriority w:val="99"/>
    <w:rPr>
      <w:kern w:val="2"/>
      <w:sz w:val="21"/>
      <w:szCs w:val="24"/>
    </w:rPr>
  </w:style>
  <w:style w:type="character" w:customStyle="1" w:styleId="57">
    <w:name w:val="正文文本首行缩进 2 字符"/>
    <w:basedOn w:val="53"/>
    <w:link w:val="31"/>
    <w:qFormat/>
    <w:uiPriority w:val="0"/>
    <w:rPr>
      <w:rFonts w:ascii="Times New Roman" w:hAnsi="Times New Roman" w:eastAsia="宋体"/>
      <w:kern w:val="2"/>
      <w:sz w:val="21"/>
      <w:szCs w:val="24"/>
    </w:rPr>
  </w:style>
  <w:style w:type="paragraph" w:customStyle="1" w:styleId="58">
    <w:name w:val="Table Paragraph"/>
    <w:basedOn w:val="1"/>
    <w:qFormat/>
    <w:uiPriority w:val="1"/>
    <w:rPr>
      <w:rFonts w:ascii="宋体" w:hAnsi="宋体" w:cs="宋体"/>
      <w:lang w:val="zh-CN" w:bidi="zh-CN"/>
    </w:rPr>
  </w:style>
  <w:style w:type="paragraph" w:customStyle="1" w:styleId="59">
    <w:name w:val="正文加粗"/>
    <w:basedOn w:val="1"/>
    <w:qFormat/>
    <w:uiPriority w:val="0"/>
    <w:pPr>
      <w:spacing w:line="360" w:lineRule="auto"/>
      <w:ind w:firstLine="200" w:firstLineChars="200"/>
    </w:pPr>
    <w:rPr>
      <w:b/>
    </w:rPr>
  </w:style>
  <w:style w:type="paragraph" w:customStyle="1" w:styleId="60">
    <w:name w:val="正文文本缩进 21"/>
    <w:basedOn w:val="1"/>
    <w:qFormat/>
    <w:uiPriority w:val="0"/>
    <w:pPr>
      <w:adjustRightInd w:val="0"/>
      <w:spacing w:line="460" w:lineRule="exact"/>
      <w:ind w:firstLine="480"/>
      <w:textAlignment w:val="baseline"/>
    </w:pPr>
    <w:rPr>
      <w:sz w:val="24"/>
      <w:szCs w:val="20"/>
    </w:rPr>
  </w:style>
  <w:style w:type="paragraph" w:customStyle="1" w:styleId="61">
    <w:name w:val="表格内容"/>
    <w:basedOn w:val="1"/>
    <w:qFormat/>
    <w:uiPriority w:val="0"/>
    <w:pPr>
      <w:keepLines/>
      <w:suppressAutoHyphens/>
      <w:adjustRightInd w:val="0"/>
      <w:snapToGrid w:val="0"/>
      <w:spacing w:line="240" w:lineRule="atLeast"/>
      <w:jc w:val="center"/>
    </w:pPr>
    <w:rPr>
      <w:rFonts w:ascii="Calibri" w:hAnsi="Calibri"/>
      <w:kern w:val="0"/>
      <w:szCs w:val="18"/>
    </w:rPr>
  </w:style>
  <w:style w:type="paragraph" w:customStyle="1" w:styleId="62">
    <w:name w:val="表标题"/>
    <w:basedOn w:val="1"/>
    <w:next w:val="1"/>
    <w:qFormat/>
    <w:uiPriority w:val="0"/>
    <w:pPr>
      <w:adjustRightInd w:val="0"/>
      <w:snapToGrid w:val="0"/>
      <w:spacing w:line="360" w:lineRule="auto"/>
      <w:jc w:val="center"/>
      <w:textAlignment w:val="baseline"/>
    </w:pPr>
    <w:rPr>
      <w:b/>
      <w:bCs/>
      <w:kern w:val="0"/>
    </w:rPr>
  </w:style>
  <w:style w:type="character" w:customStyle="1" w:styleId="63">
    <w:name w:val="表格 Char1"/>
    <w:qFormat/>
    <w:uiPriority w:val="0"/>
    <w:rPr>
      <w:kern w:val="2"/>
      <w:sz w:val="21"/>
      <w:szCs w:val="24"/>
    </w:rPr>
  </w:style>
  <w:style w:type="paragraph" w:customStyle="1" w:styleId="64">
    <w:name w:val="表图"/>
    <w:basedOn w:val="1"/>
    <w:qFormat/>
    <w:uiPriority w:val="0"/>
    <w:pPr>
      <w:spacing w:line="320" w:lineRule="exact"/>
      <w:jc w:val="center"/>
    </w:pPr>
    <w:rPr>
      <w:rFonts w:ascii="Calibri" w:hAnsi="Calibri" w:cs="黑体"/>
      <w:szCs w:val="20"/>
    </w:rPr>
  </w:style>
  <w:style w:type="paragraph" w:customStyle="1" w:styleId="65">
    <w:name w:val="表格文字"/>
    <w:basedOn w:val="1"/>
    <w:link w:val="73"/>
    <w:qFormat/>
    <w:uiPriority w:val="1"/>
    <w:pPr>
      <w:jc w:val="center"/>
    </w:pPr>
    <w:rPr>
      <w:kern w:val="0"/>
    </w:rPr>
  </w:style>
  <w:style w:type="paragraph" w:styleId="66">
    <w:name w:val="List Paragraph"/>
    <w:basedOn w:val="1"/>
    <w:qFormat/>
    <w:uiPriority w:val="1"/>
    <w:pPr>
      <w:ind w:firstLine="420" w:firstLineChars="200"/>
    </w:pPr>
  </w:style>
  <w:style w:type="paragraph" w:customStyle="1" w:styleId="67">
    <w:name w:val="Default"/>
    <w:qFormat/>
    <w:uiPriority w:val="0"/>
    <w:pPr>
      <w:widowControl w:val="0"/>
      <w:autoSpaceDE w:val="0"/>
      <w:autoSpaceDN w:val="0"/>
    </w:pPr>
    <w:rPr>
      <w:rFonts w:ascii="宋体" w:hAnsi="Times New Roman" w:eastAsia="宋体" w:cs="宋体"/>
      <w:color w:val="000000"/>
      <w:sz w:val="24"/>
      <w:szCs w:val="24"/>
      <w:lang w:val="en-US" w:eastAsia="zh-CN" w:bidi="ar-SA"/>
    </w:rPr>
  </w:style>
  <w:style w:type="character" w:styleId="68">
    <w:name w:val="Placeholder Text"/>
    <w:basedOn w:val="34"/>
    <w:semiHidden/>
    <w:qFormat/>
    <w:uiPriority w:val="99"/>
    <w:rPr>
      <w:color w:val="808080"/>
    </w:rPr>
  </w:style>
  <w:style w:type="paragraph" w:customStyle="1" w:styleId="69">
    <w:name w:val="报告正文"/>
    <w:basedOn w:val="1"/>
    <w:qFormat/>
    <w:uiPriority w:val="0"/>
    <w:pPr>
      <w:adjustRightInd w:val="0"/>
      <w:snapToGrid w:val="0"/>
      <w:spacing w:beforeLines="50" w:afterLines="50"/>
    </w:pPr>
    <w:rPr>
      <w:spacing w:val="4"/>
      <w:sz w:val="24"/>
      <w:szCs w:val="22"/>
    </w:rPr>
  </w:style>
  <w:style w:type="paragraph" w:customStyle="1" w:styleId="70">
    <w:name w:val="1正文"/>
    <w:basedOn w:val="1"/>
    <w:qFormat/>
    <w:uiPriority w:val="0"/>
    <w:pPr>
      <w:spacing w:line="360" w:lineRule="auto"/>
      <w:ind w:firstLine="200" w:firstLineChars="200"/>
    </w:pPr>
    <w:rPr>
      <w:sz w:val="24"/>
    </w:rPr>
  </w:style>
  <w:style w:type="character" w:customStyle="1" w:styleId="71">
    <w:name w:val="纯文本 字符"/>
    <w:basedOn w:val="34"/>
    <w:link w:val="16"/>
    <w:qFormat/>
    <w:uiPriority w:val="99"/>
    <w:rPr>
      <w:rFonts w:ascii="宋体" w:hAnsi="宋体"/>
      <w:sz w:val="24"/>
      <w:szCs w:val="24"/>
    </w:rPr>
  </w:style>
  <w:style w:type="paragraph" w:customStyle="1" w:styleId="72">
    <w:name w:val="文本正文"/>
    <w:basedOn w:val="1"/>
    <w:qFormat/>
    <w:uiPriority w:val="0"/>
    <w:pPr>
      <w:snapToGrid w:val="0"/>
      <w:spacing w:line="360" w:lineRule="auto"/>
      <w:ind w:firstLine="510"/>
      <w:jc w:val="left"/>
    </w:pPr>
    <w:rPr>
      <w:spacing w:val="4"/>
      <w:kern w:val="24"/>
      <w:lang w:val="zh-CN"/>
    </w:rPr>
  </w:style>
  <w:style w:type="character" w:customStyle="1" w:styleId="73">
    <w:name w:val="表格文字 Char"/>
    <w:link w:val="65"/>
    <w:qFormat/>
    <w:locked/>
    <w:uiPriority w:val="1"/>
    <w:rPr>
      <w:sz w:val="21"/>
      <w:szCs w:val="24"/>
    </w:rPr>
  </w:style>
  <w:style w:type="paragraph" w:customStyle="1" w:styleId="74">
    <w:name w:val="样式 五号 行距: 单倍行距"/>
    <w:basedOn w:val="1"/>
    <w:qFormat/>
    <w:uiPriority w:val="0"/>
    <w:pPr>
      <w:widowControl/>
      <w:tabs>
        <w:tab w:val="left" w:pos="2040"/>
      </w:tabs>
    </w:pPr>
    <w:rPr>
      <w:rFonts w:ascii="Calibri" w:hAnsi="Calibri" w:cs="宋体"/>
      <w:kern w:val="0"/>
      <w:szCs w:val="20"/>
    </w:rPr>
  </w:style>
  <w:style w:type="character" w:customStyle="1" w:styleId="75">
    <w:name w:val="表格 Char Char"/>
    <w:qFormat/>
    <w:uiPriority w:val="0"/>
    <w:rPr>
      <w:rFonts w:ascii="Times New Roman" w:hAnsi="Times New Roman" w:eastAsia="Times New Roman" w:cs="Times New Roman"/>
      <w:szCs w:val="24"/>
    </w:rPr>
  </w:style>
  <w:style w:type="character" w:customStyle="1" w:styleId="76">
    <w:name w:val="标题 2 字符"/>
    <w:basedOn w:val="34"/>
    <w:link w:val="3"/>
    <w:qFormat/>
    <w:uiPriority w:val="9"/>
    <w:rPr>
      <w:rFonts w:eastAsiaTheme="majorEastAsia" w:cstheme="majorBidi"/>
      <w:b/>
      <w:bCs/>
      <w:kern w:val="2"/>
      <w:sz w:val="32"/>
      <w:szCs w:val="32"/>
    </w:rPr>
  </w:style>
  <w:style w:type="character" w:customStyle="1" w:styleId="77">
    <w:name w:val="标题 3 字符"/>
    <w:basedOn w:val="34"/>
    <w:link w:val="4"/>
    <w:qFormat/>
    <w:uiPriority w:val="9"/>
    <w:rPr>
      <w:rFonts w:cstheme="minorBidi"/>
      <w:b/>
      <w:bCs/>
      <w:kern w:val="2"/>
      <w:sz w:val="30"/>
      <w:szCs w:val="32"/>
    </w:rPr>
  </w:style>
  <w:style w:type="character" w:customStyle="1" w:styleId="78">
    <w:name w:val="标题 4 字符"/>
    <w:basedOn w:val="34"/>
    <w:link w:val="5"/>
    <w:qFormat/>
    <w:uiPriority w:val="9"/>
    <w:rPr>
      <w:rFonts w:asciiTheme="majorHAnsi" w:hAnsiTheme="majorHAnsi" w:eastAsiaTheme="majorEastAsia" w:cstheme="majorBidi"/>
      <w:b/>
      <w:bCs/>
      <w:kern w:val="2"/>
      <w:sz w:val="28"/>
      <w:szCs w:val="28"/>
    </w:rPr>
  </w:style>
  <w:style w:type="character" w:customStyle="1" w:styleId="79">
    <w:name w:val="标题 5 字符"/>
    <w:basedOn w:val="34"/>
    <w:link w:val="6"/>
    <w:semiHidden/>
    <w:qFormat/>
    <w:uiPriority w:val="9"/>
    <w:rPr>
      <w:rFonts w:cstheme="minorBidi"/>
      <w:b/>
      <w:bCs/>
      <w:kern w:val="2"/>
      <w:sz w:val="28"/>
      <w:szCs w:val="28"/>
    </w:rPr>
  </w:style>
  <w:style w:type="character" w:customStyle="1" w:styleId="80">
    <w:name w:val="标题 1 字符"/>
    <w:basedOn w:val="34"/>
    <w:link w:val="2"/>
    <w:qFormat/>
    <w:uiPriority w:val="9"/>
    <w:rPr>
      <w:rFonts w:eastAsia="黑体"/>
      <w:b/>
      <w:bCs/>
      <w:color w:val="000000"/>
      <w:kern w:val="44"/>
      <w:sz w:val="30"/>
      <w:szCs w:val="30"/>
    </w:rPr>
  </w:style>
  <w:style w:type="character" w:customStyle="1" w:styleId="81">
    <w:name w:val="文档结构图 字符"/>
    <w:basedOn w:val="34"/>
    <w:link w:val="10"/>
    <w:semiHidden/>
    <w:qFormat/>
    <w:uiPriority w:val="99"/>
    <w:rPr>
      <w:rFonts w:ascii="宋体" w:cstheme="minorBidi"/>
      <w:kern w:val="2"/>
      <w:sz w:val="18"/>
      <w:szCs w:val="18"/>
    </w:rPr>
  </w:style>
  <w:style w:type="character" w:customStyle="1" w:styleId="82">
    <w:name w:val="正文文本缩进 2 字符"/>
    <w:basedOn w:val="34"/>
    <w:link w:val="19"/>
    <w:semiHidden/>
    <w:qFormat/>
    <w:uiPriority w:val="99"/>
    <w:rPr>
      <w:rFonts w:cstheme="minorBidi"/>
      <w:kern w:val="2"/>
      <w:sz w:val="24"/>
      <w:szCs w:val="22"/>
    </w:rPr>
  </w:style>
  <w:style w:type="paragraph" w:styleId="83">
    <w:name w:val="No Spacing"/>
    <w:link w:val="84"/>
    <w:qFormat/>
    <w:uiPriority w:val="1"/>
    <w:rPr>
      <w:rFonts w:asciiTheme="minorHAnsi" w:hAnsiTheme="minorHAnsi" w:eastAsiaTheme="minorEastAsia" w:cstheme="minorBidi"/>
      <w:sz w:val="22"/>
      <w:szCs w:val="22"/>
      <w:lang w:val="en-US" w:eastAsia="zh-CN" w:bidi="ar-SA"/>
    </w:rPr>
  </w:style>
  <w:style w:type="character" w:customStyle="1" w:styleId="84">
    <w:name w:val="无间隔 字符"/>
    <w:basedOn w:val="34"/>
    <w:link w:val="83"/>
    <w:qFormat/>
    <w:uiPriority w:val="1"/>
    <w:rPr>
      <w:rFonts w:asciiTheme="minorHAnsi" w:hAnsiTheme="minorHAnsi" w:eastAsiaTheme="minorEastAsia" w:cstheme="minorBidi"/>
      <w:sz w:val="22"/>
      <w:szCs w:val="22"/>
    </w:rPr>
  </w:style>
  <w:style w:type="paragraph" w:customStyle="1" w:styleId="85">
    <w:name w:val="表头"/>
    <w:basedOn w:val="1"/>
    <w:link w:val="86"/>
    <w:qFormat/>
    <w:uiPriority w:val="0"/>
    <w:pPr>
      <w:adjustRightInd w:val="0"/>
      <w:snapToGrid w:val="0"/>
      <w:spacing w:beforeLines="50" w:line="360" w:lineRule="auto"/>
      <w:ind w:firstLine="200" w:firstLineChars="200"/>
    </w:pPr>
    <w:rPr>
      <w:rFonts w:eastAsia="楷体_GB2312"/>
      <w:sz w:val="28"/>
    </w:rPr>
  </w:style>
  <w:style w:type="character" w:customStyle="1" w:styleId="86">
    <w:name w:val="表头 Char"/>
    <w:link w:val="85"/>
    <w:qFormat/>
    <w:uiPriority w:val="0"/>
    <w:rPr>
      <w:rFonts w:eastAsia="楷体_GB2312"/>
      <w:kern w:val="2"/>
      <w:sz w:val="28"/>
      <w:szCs w:val="24"/>
    </w:rPr>
  </w:style>
  <w:style w:type="character" w:customStyle="1" w:styleId="87">
    <w:name w:val="纯文本 Char"/>
    <w:basedOn w:val="34"/>
    <w:qFormat/>
    <w:uiPriority w:val="0"/>
    <w:rPr>
      <w:rFonts w:ascii="宋体" w:hAnsi="Courier New" w:eastAsia="宋体" w:cs="Courier New"/>
      <w:szCs w:val="21"/>
    </w:rPr>
  </w:style>
  <w:style w:type="paragraph" w:customStyle="1" w:styleId="88">
    <w:name w:val="表格标题"/>
    <w:basedOn w:val="1"/>
    <w:next w:val="1"/>
    <w:link w:val="89"/>
    <w:qFormat/>
    <w:uiPriority w:val="0"/>
    <w:pPr>
      <w:jc w:val="center"/>
    </w:pPr>
    <w:rPr>
      <w:rFonts w:cs="黑体"/>
      <w:b/>
    </w:rPr>
  </w:style>
  <w:style w:type="character" w:customStyle="1" w:styleId="89">
    <w:name w:val="表格标题 Char"/>
    <w:link w:val="88"/>
    <w:qFormat/>
    <w:uiPriority w:val="0"/>
    <w:rPr>
      <w:rFonts w:cs="黑体"/>
      <w:b/>
      <w:kern w:val="2"/>
      <w:sz w:val="21"/>
      <w:szCs w:val="24"/>
    </w:rPr>
  </w:style>
  <w:style w:type="character" w:customStyle="1" w:styleId="90">
    <w:name w:val="表内容 Char Char"/>
    <w:link w:val="91"/>
    <w:qFormat/>
    <w:uiPriority w:val="0"/>
    <w:rPr>
      <w:szCs w:val="21"/>
    </w:rPr>
  </w:style>
  <w:style w:type="paragraph" w:customStyle="1" w:styleId="91">
    <w:name w:val="表内容"/>
    <w:basedOn w:val="1"/>
    <w:link w:val="90"/>
    <w:qFormat/>
    <w:uiPriority w:val="0"/>
    <w:pPr>
      <w:widowControl/>
      <w:tabs>
        <w:tab w:val="left" w:pos="-2400"/>
        <w:tab w:val="left" w:pos="1320"/>
        <w:tab w:val="left" w:pos="3878"/>
        <w:tab w:val="left" w:pos="6080"/>
        <w:tab w:val="left" w:pos="6580"/>
        <w:tab w:val="left" w:pos="8137"/>
      </w:tabs>
      <w:adjustRightInd w:val="0"/>
      <w:jc w:val="center"/>
      <w:textAlignment w:val="center"/>
    </w:pPr>
    <w:rPr>
      <w:kern w:val="0"/>
      <w:sz w:val="20"/>
      <w:szCs w:val="21"/>
    </w:rPr>
  </w:style>
  <w:style w:type="character" w:customStyle="1" w:styleId="92">
    <w:name w:val="表格正文 Char1"/>
    <w:link w:val="93"/>
    <w:qFormat/>
    <w:uiPriority w:val="0"/>
    <w:rPr>
      <w:rFonts w:ascii="宋体"/>
      <w:snapToGrid w:val="0"/>
      <w:spacing w:val="4"/>
      <w:w w:val="90"/>
      <w:sz w:val="24"/>
    </w:rPr>
  </w:style>
  <w:style w:type="paragraph" w:customStyle="1" w:styleId="93">
    <w:name w:val="表格正文"/>
    <w:basedOn w:val="1"/>
    <w:next w:val="1"/>
    <w:link w:val="92"/>
    <w:qFormat/>
    <w:uiPriority w:val="0"/>
    <w:pPr>
      <w:widowControl/>
      <w:adjustRightInd w:val="0"/>
      <w:snapToGrid w:val="0"/>
      <w:jc w:val="center"/>
      <w:textAlignment w:val="baseline"/>
    </w:pPr>
    <w:rPr>
      <w:rFonts w:ascii="宋体"/>
      <w:snapToGrid w:val="0"/>
      <w:spacing w:val="4"/>
      <w:w w:val="90"/>
      <w:kern w:val="0"/>
      <w:sz w:val="24"/>
      <w:szCs w:val="20"/>
    </w:rPr>
  </w:style>
  <w:style w:type="character" w:customStyle="1" w:styleId="94">
    <w:name w:val="正文文本缩进 Char1"/>
    <w:basedOn w:val="34"/>
    <w:semiHidden/>
    <w:qFormat/>
    <w:uiPriority w:val="99"/>
    <w:rPr>
      <w:rFonts w:ascii="Times New Roman" w:hAnsi="Times New Roman" w:eastAsia="宋体"/>
      <w:sz w:val="24"/>
    </w:rPr>
  </w:style>
  <w:style w:type="paragraph" w:customStyle="1" w:styleId="95">
    <w:name w:val="Normal Indent1"/>
    <w:basedOn w:val="1"/>
    <w:qFormat/>
    <w:uiPriority w:val="0"/>
    <w:pPr>
      <w:widowControl/>
      <w:adjustRightInd w:val="0"/>
      <w:snapToGrid w:val="0"/>
      <w:spacing w:line="300" w:lineRule="auto"/>
      <w:ind w:firstLine="200" w:firstLineChars="200"/>
    </w:pPr>
    <w:rPr>
      <w:rFonts w:ascii="仿宋_GB2312" w:eastAsia="仿宋_GB2312"/>
      <w:sz w:val="28"/>
    </w:rPr>
  </w:style>
  <w:style w:type="paragraph" w:customStyle="1" w:styleId="96">
    <w:name w:val="Char Char Char Char Char Char Char Char Char Char Char Char2"/>
    <w:basedOn w:val="1"/>
    <w:qFormat/>
    <w:uiPriority w:val="0"/>
    <w:pPr>
      <w:widowControl/>
    </w:pPr>
    <w:rPr>
      <w:rFonts w:ascii="宋体" w:hAnsi="宋体"/>
      <w:sz w:val="24"/>
      <w:szCs w:val="20"/>
    </w:rPr>
  </w:style>
  <w:style w:type="paragraph" w:customStyle="1" w:styleId="97">
    <w:name w:val="Char Char Char Char Char Char2"/>
    <w:basedOn w:val="1"/>
    <w:qFormat/>
    <w:uiPriority w:val="0"/>
    <w:pPr>
      <w:widowControl/>
    </w:pPr>
    <w:rPr>
      <w:sz w:val="24"/>
    </w:rPr>
  </w:style>
  <w:style w:type="table" w:customStyle="1" w:styleId="98">
    <w:name w:val="Table Normal"/>
    <w:semiHidden/>
    <w:unhideWhenUsed/>
    <w:qFormat/>
    <w:uiPriority w:val="2"/>
    <w:pPr>
      <w:widowControl w:val="0"/>
      <w:autoSpaceDE w:val="0"/>
      <w:autoSpaceDN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99">
    <w:name w:val="Body text|1"/>
    <w:basedOn w:val="1"/>
    <w:qFormat/>
    <w:uiPriority w:val="0"/>
    <w:pPr>
      <w:autoSpaceDE w:val="0"/>
      <w:autoSpaceDN w:val="0"/>
      <w:spacing w:after="330" w:line="480" w:lineRule="auto"/>
      <w:ind w:firstLine="400"/>
      <w:jc w:val="left"/>
    </w:pPr>
    <w:rPr>
      <w:rFonts w:ascii="宋体" w:hAnsi="宋体" w:cs="宋体"/>
      <w:kern w:val="0"/>
      <w:sz w:val="20"/>
      <w:szCs w:val="20"/>
      <w:lang w:val="zh-TW" w:eastAsia="zh-TW" w:bidi="zh-TW"/>
    </w:rPr>
  </w:style>
  <w:style w:type="paragraph" w:customStyle="1" w:styleId="100">
    <w:name w:val="WPSOffice手动目录 1"/>
    <w:qFormat/>
    <w:uiPriority w:val="0"/>
    <w:rPr>
      <w:rFonts w:asciiTheme="minorHAnsi" w:hAnsiTheme="minorHAnsi" w:eastAsiaTheme="minorHAnsi" w:cstheme="minorBidi"/>
      <w:lang w:val="en-US" w:eastAsia="zh-CN" w:bidi="ar-SA"/>
    </w:rPr>
  </w:style>
  <w:style w:type="paragraph" w:customStyle="1" w:styleId="101">
    <w:name w:val="报告书正文"/>
    <w:basedOn w:val="30"/>
    <w:link w:val="102"/>
    <w:qFormat/>
    <w:uiPriority w:val="0"/>
    <w:pPr>
      <w:autoSpaceDE w:val="0"/>
      <w:autoSpaceDN w:val="0"/>
      <w:spacing w:after="0" w:line="360" w:lineRule="auto"/>
      <w:ind w:left="200" w:leftChars="200" w:firstLine="200" w:firstLineChars="200"/>
      <w:jc w:val="left"/>
    </w:pPr>
    <w:rPr>
      <w:rFonts w:ascii="宋体" w:hAnsi="宋体"/>
      <w:kern w:val="0"/>
      <w:sz w:val="24"/>
      <w:lang w:val="zh-CN" w:bidi="zh-CN"/>
    </w:rPr>
  </w:style>
  <w:style w:type="character" w:customStyle="1" w:styleId="102">
    <w:name w:val="报告书正文 Char"/>
    <w:link w:val="101"/>
    <w:qFormat/>
    <w:uiPriority w:val="0"/>
    <w:rPr>
      <w:rFonts w:ascii="宋体" w:hAnsi="宋体"/>
      <w:sz w:val="24"/>
      <w:szCs w:val="24"/>
      <w:lang w:val="zh-CN" w:bidi="zh-CN"/>
    </w:rPr>
  </w:style>
  <w:style w:type="paragraph" w:customStyle="1" w:styleId="103">
    <w:name w:val="表头格式"/>
    <w:link w:val="104"/>
    <w:qFormat/>
    <w:uiPriority w:val="0"/>
    <w:pPr>
      <w:widowControl w:val="0"/>
      <w:autoSpaceDE w:val="0"/>
      <w:autoSpaceDN w:val="0"/>
      <w:adjustRightInd w:val="0"/>
      <w:jc w:val="center"/>
    </w:pPr>
    <w:rPr>
      <w:rFonts w:ascii="黑体" w:hAnsi="黑体" w:eastAsia="宋体" w:cs="Times New Roman"/>
      <w:b/>
      <w:color w:val="000000"/>
      <w:sz w:val="21"/>
      <w:szCs w:val="21"/>
      <w:u w:val="single"/>
      <w:lang w:val="en-US" w:eastAsia="zh-CN" w:bidi="ar-SA"/>
    </w:rPr>
  </w:style>
  <w:style w:type="character" w:customStyle="1" w:styleId="104">
    <w:name w:val="表头格式 Char"/>
    <w:link w:val="103"/>
    <w:qFormat/>
    <w:uiPriority w:val="0"/>
    <w:rPr>
      <w:rFonts w:ascii="黑体" w:hAnsi="黑体"/>
      <w:b/>
      <w:color w:val="000000"/>
      <w:sz w:val="21"/>
      <w:szCs w:val="21"/>
      <w:u w:val="single"/>
    </w:rPr>
  </w:style>
  <w:style w:type="paragraph" w:customStyle="1" w:styleId="105">
    <w:name w:val="表 图 内容"/>
    <w:basedOn w:val="1"/>
    <w:qFormat/>
    <w:uiPriority w:val="0"/>
    <w:pPr>
      <w:jc w:val="center"/>
    </w:pPr>
    <w:rPr>
      <w:rFonts w:ascii="Calibri" w:hAnsi="Calibri"/>
      <w:color w:val="000000"/>
    </w:rPr>
  </w:style>
  <w:style w:type="paragraph" w:customStyle="1" w:styleId="106">
    <w:name w:val="p0"/>
    <w:basedOn w:val="1"/>
    <w:qFormat/>
    <w:uiPriority w:val="0"/>
    <w:pPr>
      <w:widowControl/>
      <w:autoSpaceDE w:val="0"/>
      <w:autoSpaceDN w:val="0"/>
      <w:snapToGrid w:val="0"/>
      <w:spacing w:line="360" w:lineRule="auto"/>
      <w:jc w:val="left"/>
    </w:pPr>
    <w:rPr>
      <w:rFonts w:ascii="宋体" w:hAnsi="宋体" w:cs="宋体"/>
      <w:kern w:val="0"/>
      <w:sz w:val="28"/>
      <w:szCs w:val="28"/>
      <w:lang w:val="zh-CN" w:bidi="zh-CN"/>
    </w:rPr>
  </w:style>
  <w:style w:type="paragraph" w:customStyle="1" w:styleId="107">
    <w:name w:val="表格内格式-lxc"/>
    <w:basedOn w:val="1"/>
    <w:qFormat/>
    <w:uiPriority w:val="0"/>
    <w:pPr>
      <w:autoSpaceDE w:val="0"/>
      <w:autoSpaceDN w:val="0"/>
      <w:adjustRightInd w:val="0"/>
      <w:snapToGrid w:val="0"/>
      <w:spacing w:line="360" w:lineRule="auto"/>
      <w:jc w:val="center"/>
    </w:pPr>
    <w:rPr>
      <w:rFonts w:ascii="宋体" w:hAnsi="宋体" w:cs="宋体"/>
      <w:kern w:val="0"/>
      <w:sz w:val="18"/>
      <w:szCs w:val="21"/>
      <w:lang w:val="zh-CN" w:bidi="zh-CN"/>
    </w:rPr>
  </w:style>
  <w:style w:type="paragraph" w:customStyle="1" w:styleId="108">
    <w:name w:val="标准正文"/>
    <w:basedOn w:val="1"/>
    <w:qFormat/>
    <w:uiPriority w:val="0"/>
    <w:pPr>
      <w:autoSpaceDE w:val="0"/>
      <w:autoSpaceDN w:val="0"/>
      <w:spacing w:line="360" w:lineRule="auto"/>
      <w:ind w:firstLine="200" w:firstLineChars="200"/>
      <w:jc w:val="left"/>
    </w:pPr>
    <w:rPr>
      <w:rFonts w:ascii="宋体" w:hAnsi="宋体" w:cs="宋体"/>
      <w:kern w:val="0"/>
      <w:sz w:val="24"/>
      <w:szCs w:val="20"/>
      <w:lang w:val="zh-CN" w:bidi="zh-CN"/>
    </w:rPr>
  </w:style>
  <w:style w:type="table" w:customStyle="1" w:styleId="109">
    <w:name w:val="网格型16"/>
    <w:basedOn w:val="32"/>
    <w:qFormat/>
    <w:uiPriority w:val="5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0">
    <w:name w:val="样式 样式 (中文) 仿宋 四号 行距: 1.5 倍行距 + (中文) 仿宋 (符号) Times New Roman"/>
    <w:basedOn w:val="1"/>
    <w:qFormat/>
    <w:uiPriority w:val="0"/>
    <w:pPr>
      <w:widowControl/>
      <w:autoSpaceDE w:val="0"/>
      <w:autoSpaceDN w:val="0"/>
      <w:spacing w:line="360" w:lineRule="auto"/>
      <w:ind w:firstLine="560" w:firstLineChars="200"/>
      <w:jc w:val="left"/>
    </w:pPr>
    <w:rPr>
      <w:rFonts w:ascii="宋体" w:cs="宋体"/>
      <w:kern w:val="0"/>
      <w:sz w:val="32"/>
      <w:szCs w:val="20"/>
      <w:lang w:val="zh-CN" w:bidi="zh-CN"/>
    </w:rPr>
  </w:style>
  <w:style w:type="table" w:customStyle="1" w:styleId="111">
    <w:name w:val="网格型10"/>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2">
    <w:name w:val="图表标题"/>
    <w:basedOn w:val="1"/>
    <w:link w:val="113"/>
    <w:qFormat/>
    <w:uiPriority w:val="0"/>
    <w:pPr>
      <w:autoSpaceDE w:val="0"/>
      <w:autoSpaceDN w:val="0"/>
      <w:adjustRightInd w:val="0"/>
      <w:snapToGrid w:val="0"/>
      <w:jc w:val="center"/>
    </w:pPr>
    <w:rPr>
      <w:rFonts w:cs="宋体"/>
      <w:b/>
      <w:kern w:val="0"/>
      <w:sz w:val="24"/>
      <w:szCs w:val="21"/>
    </w:rPr>
  </w:style>
  <w:style w:type="character" w:customStyle="1" w:styleId="113">
    <w:name w:val="图表标题 Char"/>
    <w:link w:val="112"/>
    <w:qFormat/>
    <w:uiPriority w:val="0"/>
    <w:rPr>
      <w:rFonts w:cs="宋体"/>
      <w:b/>
      <w:sz w:val="24"/>
      <w:szCs w:val="21"/>
    </w:rPr>
  </w:style>
  <w:style w:type="paragraph" w:customStyle="1" w:styleId="114">
    <w:name w:val="表内1"/>
    <w:basedOn w:val="1"/>
    <w:qFormat/>
    <w:uiPriority w:val="0"/>
    <w:pPr>
      <w:autoSpaceDE w:val="0"/>
      <w:autoSpaceDN w:val="0"/>
      <w:adjustRightInd w:val="0"/>
      <w:snapToGrid w:val="0"/>
    </w:pPr>
    <w:rPr>
      <w:rFonts w:cs="宋体"/>
      <w:spacing w:val="20"/>
      <w:kern w:val="0"/>
      <w:szCs w:val="21"/>
    </w:rPr>
  </w:style>
  <w:style w:type="paragraph" w:customStyle="1" w:styleId="115">
    <w:name w:val="正文（报告表）_"/>
    <w:basedOn w:val="1"/>
    <w:qFormat/>
    <w:uiPriority w:val="0"/>
    <w:pPr>
      <w:spacing w:line="400" w:lineRule="atLeast"/>
      <w:ind w:firstLine="200" w:firstLineChars="200"/>
    </w:pPr>
    <w:rPr>
      <w:sz w:val="24"/>
    </w:rPr>
  </w:style>
  <w:style w:type="paragraph" w:customStyle="1" w:styleId="116">
    <w:name w:val="表头."/>
    <w:basedOn w:val="1"/>
    <w:qFormat/>
    <w:uiPriority w:val="0"/>
    <w:pPr>
      <w:spacing w:before="60" w:after="60" w:line="380" w:lineRule="exact"/>
      <w:ind w:firstLine="720" w:firstLineChars="200"/>
      <w:jc w:val="center"/>
    </w:pPr>
    <w:rPr>
      <w:rFonts w:cs="宋体"/>
      <w:b/>
      <w:bCs/>
      <w:sz w:val="24"/>
      <w:szCs w:val="20"/>
    </w:rPr>
  </w:style>
  <w:style w:type="character" w:customStyle="1" w:styleId="117">
    <w:name w:val="样式 正文1 + 首行缩进:  2 字符 Char3"/>
    <w:link w:val="118"/>
    <w:qFormat/>
    <w:uiPriority w:val="0"/>
    <w:rPr>
      <w:rFonts w:ascii="宋体" w:cs="宋体"/>
      <w:sz w:val="24"/>
      <w:szCs w:val="24"/>
    </w:rPr>
  </w:style>
  <w:style w:type="paragraph" w:customStyle="1" w:styleId="118">
    <w:name w:val="样式 正文1 + 首行缩进:  2 字符"/>
    <w:basedOn w:val="1"/>
    <w:link w:val="117"/>
    <w:qFormat/>
    <w:uiPriority w:val="0"/>
    <w:pPr>
      <w:spacing w:line="360" w:lineRule="auto"/>
      <w:ind w:firstLine="200" w:firstLineChars="200"/>
    </w:pPr>
    <w:rPr>
      <w:rFonts w:ascii="宋体" w:cs="宋体"/>
      <w:kern w:val="0"/>
      <w:sz w:val="24"/>
    </w:rPr>
  </w:style>
  <w:style w:type="paragraph" w:customStyle="1" w:styleId="119">
    <w:name w:val="样式 样式 样式 小四 首行缩进:  2.25 字符 + 首行缩进:  2.25 字符 + 首行缩进:  2 字符"/>
    <w:basedOn w:val="1"/>
    <w:qFormat/>
    <w:uiPriority w:val="0"/>
    <w:pPr>
      <w:spacing w:line="440" w:lineRule="exact"/>
      <w:ind w:firstLine="200" w:firstLineChars="200"/>
    </w:pPr>
    <w:rPr>
      <w:sz w:val="24"/>
      <w:szCs w:val="20"/>
    </w:rPr>
  </w:style>
  <w:style w:type="paragraph" w:customStyle="1" w:styleId="120">
    <w:name w:val="正文▲"/>
    <w:basedOn w:val="1"/>
    <w:qFormat/>
    <w:uiPriority w:val="0"/>
    <w:pPr>
      <w:widowControl/>
      <w:spacing w:line="360" w:lineRule="auto"/>
      <w:ind w:firstLine="200" w:firstLineChars="200"/>
      <w:jc w:val="left"/>
    </w:pPr>
    <w:rPr>
      <w:color w:val="000000"/>
      <w:sz w:val="24"/>
    </w:rPr>
  </w:style>
  <w:style w:type="paragraph" w:customStyle="1" w:styleId="121">
    <w:name w:val="表标"/>
    <w:next w:val="1"/>
    <w:qFormat/>
    <w:uiPriority w:val="0"/>
    <w:pPr>
      <w:widowControl w:val="0"/>
      <w:tabs>
        <w:tab w:val="left" w:pos="280"/>
      </w:tabs>
      <w:adjustRightInd w:val="0"/>
      <w:snapToGrid w:val="0"/>
      <w:spacing w:beforeLines="50" w:afterLines="50"/>
      <w:jc w:val="center"/>
    </w:pPr>
    <w:rPr>
      <w:rFonts w:ascii="Calibri" w:hAnsi="Calibri" w:eastAsia="宋体" w:cs="Times New Roman"/>
      <w:b/>
      <w:sz w:val="24"/>
      <w:lang w:val="en-US" w:eastAsia="zh-CN" w:bidi="ar-SA"/>
    </w:rPr>
  </w:style>
  <w:style w:type="paragraph" w:customStyle="1" w:styleId="122">
    <w:name w:val="样式 (符号) 宋体 小四 左 行距: 1.5 倍行距 首行缩进:  2 字符"/>
    <w:basedOn w:val="1"/>
    <w:qFormat/>
    <w:uiPriority w:val="0"/>
    <w:pPr>
      <w:spacing w:line="360" w:lineRule="auto"/>
      <w:ind w:firstLine="480" w:firstLineChars="200"/>
      <w:jc w:val="left"/>
    </w:pPr>
    <w:rPr>
      <w:rFonts w:hAnsi="宋体" w:cs="宋体"/>
      <w:sz w:val="24"/>
      <w:szCs w:val="20"/>
    </w:rPr>
  </w:style>
  <w:style w:type="character" w:customStyle="1" w:styleId="123">
    <w:name w:val="未处理的提及1"/>
    <w:basedOn w:val="34"/>
    <w:semiHidden/>
    <w:unhideWhenUsed/>
    <w:qFormat/>
    <w:uiPriority w:val="99"/>
    <w:rPr>
      <w:color w:val="605E5C"/>
      <w:shd w:val="clear" w:color="auto" w:fill="E1DFDD"/>
    </w:rPr>
  </w:style>
  <w:style w:type="character" w:customStyle="1" w:styleId="124">
    <w:name w:val="正文文本缩进 字符1"/>
    <w:basedOn w:val="34"/>
    <w:semiHidden/>
    <w:qFormat/>
    <w:uiPriority w:val="99"/>
    <w:rPr>
      <w:rFonts w:ascii="Times New Roman" w:hAnsi="Times New Roman" w:eastAsia="宋体"/>
      <w:sz w:val="24"/>
    </w:rPr>
  </w:style>
  <w:style w:type="paragraph" w:customStyle="1" w:styleId="125">
    <w:name w:val="Heading #1|1"/>
    <w:basedOn w:val="1"/>
    <w:qFormat/>
    <w:uiPriority w:val="0"/>
    <w:pPr>
      <w:autoSpaceDE w:val="0"/>
      <w:autoSpaceDN w:val="0"/>
      <w:spacing w:after="300"/>
      <w:jc w:val="left"/>
      <w:outlineLvl w:val="0"/>
    </w:pPr>
    <w:rPr>
      <w:rFonts w:ascii="宋体" w:hAnsi="宋体" w:cs="宋体"/>
      <w:kern w:val="0"/>
      <w:sz w:val="28"/>
      <w:szCs w:val="28"/>
      <w:lang w:val="zh-TW" w:eastAsia="zh-TW" w:bidi="zh-TW"/>
    </w:rPr>
  </w:style>
  <w:style w:type="paragraph" w:customStyle="1" w:styleId="126">
    <w:name w:val="文本内容"/>
    <w:basedOn w:val="1"/>
    <w:link w:val="127"/>
    <w:qFormat/>
    <w:uiPriority w:val="0"/>
    <w:pPr>
      <w:widowControl/>
      <w:adjustRightInd w:val="0"/>
      <w:snapToGrid w:val="0"/>
      <w:spacing w:line="360" w:lineRule="auto"/>
      <w:ind w:firstLine="480" w:firstLineChars="200"/>
      <w:jc w:val="left"/>
    </w:pPr>
    <w:rPr>
      <w:rFonts w:cs="宋体"/>
      <w:kern w:val="0"/>
      <w:sz w:val="24"/>
      <w:szCs w:val="20"/>
    </w:rPr>
  </w:style>
  <w:style w:type="character" w:customStyle="1" w:styleId="127">
    <w:name w:val="文本内容 Char"/>
    <w:link w:val="126"/>
    <w:qFormat/>
    <w:uiPriority w:val="0"/>
    <w:rPr>
      <w:rFonts w:cs="宋体"/>
      <w:sz w:val="24"/>
    </w:rPr>
  </w:style>
  <w:style w:type="paragraph" w:customStyle="1" w:styleId="128">
    <w:name w:val="正文表格"/>
    <w:basedOn w:val="1"/>
    <w:qFormat/>
    <w:uiPriority w:val="0"/>
    <w:pPr>
      <w:keepNext/>
      <w:keepLines/>
      <w:widowControl/>
      <w:tabs>
        <w:tab w:val="center" w:pos="6804"/>
      </w:tabs>
      <w:overflowPunct w:val="0"/>
      <w:adjustRightInd w:val="0"/>
      <w:spacing w:before="80" w:beforeLines="30" w:afterLines="30" w:line="360" w:lineRule="auto"/>
      <w:ind w:firstLine="200" w:firstLineChars="200"/>
      <w:jc w:val="center"/>
      <w:textAlignment w:val="bottom"/>
    </w:pPr>
    <w:rPr>
      <w:kern w:val="0"/>
      <w:sz w:val="24"/>
      <w:szCs w:val="21"/>
      <w:lang w:eastAsia="en-US" w:bidi="en-US"/>
    </w:rPr>
  </w:style>
  <w:style w:type="paragraph" w:styleId="129">
    <w:name w:val="Quote"/>
    <w:basedOn w:val="1"/>
    <w:next w:val="1"/>
    <w:link w:val="130"/>
    <w:qFormat/>
    <w:uiPriority w:val="29"/>
    <w:pPr>
      <w:adjustRightInd w:val="0"/>
      <w:snapToGrid w:val="0"/>
      <w:spacing w:line="360" w:lineRule="auto"/>
      <w:contextualSpacing/>
      <w:jc w:val="center"/>
      <w:textAlignment w:val="baseline"/>
    </w:pPr>
    <w:rPr>
      <w:b/>
      <w:iCs/>
      <w:color w:val="000000"/>
      <w:kern w:val="0"/>
      <w:szCs w:val="22"/>
      <w:lang w:eastAsia="en-US"/>
    </w:rPr>
  </w:style>
  <w:style w:type="character" w:customStyle="1" w:styleId="130">
    <w:name w:val="引用 字符"/>
    <w:basedOn w:val="34"/>
    <w:link w:val="129"/>
    <w:qFormat/>
    <w:uiPriority w:val="29"/>
    <w:rPr>
      <w:b/>
      <w:iCs/>
      <w:color w:val="000000"/>
      <w:sz w:val="21"/>
      <w:szCs w:val="22"/>
      <w:lang w:eastAsia="en-US"/>
    </w:rPr>
  </w:style>
  <w:style w:type="paragraph" w:styleId="131">
    <w:name w:val="Intense Quote"/>
    <w:basedOn w:val="1"/>
    <w:next w:val="1"/>
    <w:link w:val="133"/>
    <w:qFormat/>
    <w:uiPriority w:val="0"/>
    <w:pPr>
      <w:adjustRightInd w:val="0"/>
      <w:snapToGrid w:val="0"/>
      <w:spacing w:line="360" w:lineRule="auto"/>
      <w:contextualSpacing/>
      <w:jc w:val="center"/>
      <w:textAlignment w:val="baseline"/>
    </w:pPr>
    <w:rPr>
      <w:bCs/>
      <w:iCs/>
      <w:kern w:val="0"/>
      <w:szCs w:val="22"/>
      <w:lang w:eastAsia="en-US"/>
    </w:rPr>
  </w:style>
  <w:style w:type="character" w:customStyle="1" w:styleId="132">
    <w:name w:val="明显引用 字符"/>
    <w:basedOn w:val="34"/>
    <w:qFormat/>
    <w:uiPriority w:val="30"/>
    <w:rPr>
      <w:i/>
      <w:iCs/>
      <w:color w:val="4F81BD" w:themeColor="accent1"/>
      <w:kern w:val="2"/>
      <w:sz w:val="21"/>
      <w:szCs w:val="24"/>
      <w14:textFill>
        <w14:solidFill>
          <w14:schemeClr w14:val="accent1"/>
        </w14:solidFill>
      </w14:textFill>
    </w:rPr>
  </w:style>
  <w:style w:type="character" w:customStyle="1" w:styleId="133">
    <w:name w:val="明显引用 字符1"/>
    <w:link w:val="131"/>
    <w:qFormat/>
    <w:locked/>
    <w:uiPriority w:val="0"/>
    <w:rPr>
      <w:bCs/>
      <w:iCs/>
      <w:sz w:val="21"/>
      <w:szCs w:val="22"/>
      <w:lang w:eastAsia="en-US"/>
    </w:rPr>
  </w:style>
  <w:style w:type="paragraph" w:customStyle="1" w:styleId="134">
    <w:name w:val="样式1"/>
    <w:basedOn w:val="2"/>
    <w:qFormat/>
    <w:uiPriority w:val="0"/>
    <w:pPr>
      <w:keepNext w:val="0"/>
      <w:overflowPunct/>
      <w:snapToGrid/>
      <w:spacing w:before="0" w:after="0" w:line="360" w:lineRule="auto"/>
      <w:ind w:left="0" w:firstLine="200" w:firstLineChars="200"/>
      <w:jc w:val="left"/>
    </w:pPr>
    <w:rPr>
      <w:b w:val="0"/>
      <w:bCs w:val="0"/>
      <w:kern w:val="2"/>
      <w:sz w:val="28"/>
      <w:szCs w:val="20"/>
    </w:rPr>
  </w:style>
  <w:style w:type="character" w:customStyle="1" w:styleId="135">
    <w:name w:val="fontstyle01"/>
    <w:qFormat/>
    <w:uiPriority w:val="0"/>
    <w:rPr>
      <w:rFonts w:hint="eastAsia" w:ascii="宋体" w:hAnsi="宋体" w:eastAsia="宋体"/>
      <w:color w:val="000000"/>
      <w:sz w:val="24"/>
      <w:szCs w:val="24"/>
    </w:rPr>
  </w:style>
  <w:style w:type="character" w:customStyle="1" w:styleId="136">
    <w:name w:val="fontstyle21"/>
    <w:qFormat/>
    <w:uiPriority w:val="0"/>
    <w:rPr>
      <w:rFonts w:hint="eastAsia" w:ascii="TimesNewRomanPSMT" w:eastAsia="TimesNewRomanPSMT"/>
      <w:color w:val="000000"/>
      <w:sz w:val="24"/>
      <w:szCs w:val="24"/>
    </w:rPr>
  </w:style>
  <w:style w:type="paragraph" w:customStyle="1" w:styleId="137">
    <w:name w:val="小标题"/>
    <w:basedOn w:val="1"/>
    <w:link w:val="138"/>
    <w:qFormat/>
    <w:uiPriority w:val="0"/>
    <w:pPr>
      <w:widowControl/>
      <w:adjustRightInd w:val="0"/>
      <w:snapToGrid w:val="0"/>
      <w:spacing w:line="360" w:lineRule="auto"/>
      <w:ind w:firstLine="482" w:firstLineChars="200"/>
      <w:jc w:val="left"/>
    </w:pPr>
    <w:rPr>
      <w:rFonts w:cs="宋体"/>
      <w:b/>
      <w:bCs/>
      <w:kern w:val="0"/>
      <w:sz w:val="24"/>
      <w:szCs w:val="20"/>
    </w:rPr>
  </w:style>
  <w:style w:type="character" w:customStyle="1" w:styleId="138">
    <w:name w:val="小标题 Char"/>
    <w:link w:val="137"/>
    <w:qFormat/>
    <w:uiPriority w:val="0"/>
    <w:rPr>
      <w:rFonts w:cs="宋体"/>
      <w:b/>
      <w:bCs/>
      <w:sz w:val="24"/>
    </w:rPr>
  </w:style>
  <w:style w:type="paragraph" w:customStyle="1" w:styleId="139">
    <w:name w:val="正文表头"/>
    <w:basedOn w:val="1"/>
    <w:qFormat/>
    <w:uiPriority w:val="0"/>
    <w:pPr>
      <w:widowControl/>
      <w:autoSpaceDE w:val="0"/>
      <w:autoSpaceDN w:val="0"/>
      <w:adjustRightInd w:val="0"/>
      <w:snapToGrid w:val="0"/>
      <w:spacing w:line="360" w:lineRule="auto"/>
      <w:ind w:firstLine="560" w:firstLineChars="200"/>
      <w:jc w:val="center"/>
    </w:pPr>
    <w:rPr>
      <w:b/>
      <w:color w:val="000000"/>
      <w:kern w:val="0"/>
      <w:sz w:val="24"/>
      <w:szCs w:val="20"/>
    </w:rPr>
  </w:style>
  <w:style w:type="character" w:customStyle="1" w:styleId="140">
    <w:name w:val="font81"/>
    <w:qFormat/>
    <w:uiPriority w:val="0"/>
    <w:rPr>
      <w:rFonts w:hint="eastAsia" w:ascii="宋体" w:hAnsi="宋体" w:eastAsia="宋体" w:cs="宋体"/>
      <w:color w:val="000000"/>
      <w:sz w:val="22"/>
      <w:szCs w:val="22"/>
      <w:u w:val="none"/>
    </w:rPr>
  </w:style>
  <w:style w:type="paragraph" w:customStyle="1" w:styleId="141">
    <w:name w:val="表格文字-hao-居中"/>
    <w:qFormat/>
    <w:uiPriority w:val="0"/>
    <w:pPr>
      <w:adjustRightInd w:val="0"/>
      <w:snapToGrid w:val="0"/>
      <w:jc w:val="center"/>
      <w:textAlignment w:val="center"/>
    </w:pPr>
    <w:rPr>
      <w:rFonts w:ascii="Times New Roman" w:hAnsi="Times New Roman" w:eastAsia="宋体" w:cs="Times New Roman"/>
      <w:sz w:val="21"/>
      <w:szCs w:val="24"/>
      <w:lang w:val="en-US" w:eastAsia="zh-CN" w:bidi="ar-SA"/>
    </w:rPr>
  </w:style>
  <w:style w:type="paragraph" w:customStyle="1" w:styleId="142">
    <w:name w:val="Default1"/>
    <w:basedOn w:val="1"/>
    <w:next w:val="1"/>
    <w:qFormat/>
    <w:uiPriority w:val="0"/>
    <w:pPr>
      <w:autoSpaceDE w:val="0"/>
      <w:autoSpaceDN w:val="0"/>
      <w:adjustRightInd w:val="0"/>
      <w:spacing w:before="120" w:after="240"/>
    </w:pPr>
    <w:rPr>
      <w:rFonts w:ascii="宋体" w:hAnsi="Calibri" w:eastAsia="Calibri" w:cs="宋体"/>
      <w:color w:val="000000"/>
      <w:kern w:val="0"/>
      <w:sz w:val="24"/>
    </w:rPr>
  </w:style>
  <w:style w:type="paragraph" w:customStyle="1" w:styleId="143">
    <w:name w:val="A-表格文字"/>
    <w:basedOn w:val="1"/>
    <w:next w:val="1"/>
    <w:qFormat/>
    <w:uiPriority w:val="0"/>
    <w:pPr>
      <w:autoSpaceDE w:val="0"/>
      <w:autoSpaceDN w:val="0"/>
      <w:adjustRightInd w:val="0"/>
      <w:jc w:val="center"/>
      <w:textAlignment w:val="center"/>
    </w:pPr>
    <w:rPr>
      <w:kern w:val="0"/>
      <w:szCs w:val="21"/>
    </w:rPr>
  </w:style>
  <w:style w:type="paragraph" w:customStyle="1" w:styleId="144">
    <w:name w:val="样式 首行缩进:  1.04 厘米"/>
    <w:qFormat/>
    <w:uiPriority w:val="0"/>
    <w:pPr>
      <w:widowControl w:val="0"/>
      <w:spacing w:line="360" w:lineRule="auto"/>
    </w:pPr>
    <w:rPr>
      <w:rFonts w:ascii="Times New Roman" w:hAnsi="Times New Roman" w:eastAsia="Arial Unicode MS" w:cs="Arial Unicode MS"/>
      <w:color w:val="000000"/>
      <w:sz w:val="24"/>
      <w:szCs w:val="24"/>
      <w:lang w:val="en-US" w:eastAsia="zh-CN" w:bidi="ar-SA"/>
    </w:rPr>
  </w:style>
  <w:style w:type="paragraph" w:customStyle="1" w:styleId="145">
    <w:name w:val="本文格式"/>
    <w:qFormat/>
    <w:uiPriority w:val="0"/>
    <w:pPr>
      <w:widowControl w:val="0"/>
      <w:spacing w:line="360" w:lineRule="exact"/>
      <w:ind w:firstLine="476"/>
      <w:jc w:val="both"/>
    </w:pPr>
    <w:rPr>
      <w:rFonts w:ascii="Arial Unicode MS" w:hAnsi="Arial Unicode MS" w:eastAsia="Arial Unicode MS" w:cs="Arial Unicode MS"/>
      <w:color w:val="000000"/>
      <w:sz w:val="24"/>
      <w:szCs w:val="24"/>
      <w:lang w:val="en-US" w:eastAsia="zh-CN" w:bidi="ar-SA"/>
    </w:rPr>
  </w:style>
  <w:style w:type="paragraph" w:customStyle="1" w:styleId="146">
    <w:name w:val="1-图名"/>
    <w:basedOn w:val="9"/>
    <w:qFormat/>
    <w:uiPriority w:val="0"/>
    <w:pPr>
      <w:spacing w:afterLines="50"/>
    </w:pPr>
  </w:style>
  <w:style w:type="paragraph" w:customStyle="1" w:styleId="147">
    <w:name w:val="1-正文"/>
    <w:basedOn w:val="1"/>
    <w:qFormat/>
    <w:uiPriority w:val="0"/>
    <w:pPr>
      <w:spacing w:line="360" w:lineRule="auto"/>
      <w:ind w:firstLine="200" w:firstLineChars="200"/>
    </w:pPr>
    <w:rPr>
      <w:rFonts w:cs="宋体"/>
      <w:sz w:val="24"/>
      <w:szCs w:val="20"/>
    </w:rPr>
  </w:style>
  <w:style w:type="character" w:customStyle="1" w:styleId="148">
    <w:name w:val="Unresolved Mention"/>
    <w:basedOn w:val="34"/>
    <w:semiHidden/>
    <w:unhideWhenUsed/>
    <w:qFormat/>
    <w:uiPriority w:val="99"/>
    <w:rPr>
      <w:color w:val="605E5C"/>
      <w:shd w:val="clear" w:color="auto" w:fill="E1DFDD"/>
    </w:rPr>
  </w:style>
  <w:style w:type="character" w:customStyle="1" w:styleId="149">
    <w:name w:val="正文缩进 字符"/>
    <w:basedOn w:val="34"/>
    <w:link w:val="8"/>
    <w:qFormat/>
    <w:uiPriority w:val="0"/>
    <w:rPr>
      <w:szCs w:val="24"/>
    </w:rPr>
  </w:style>
  <w:style w:type="paragraph" w:customStyle="1" w:styleId="150">
    <w:name w:val="GT正文"/>
    <w:basedOn w:val="1"/>
    <w:qFormat/>
    <w:uiPriority w:val="0"/>
    <w:pPr>
      <w:topLinePunct/>
      <w:adjustRightInd w:val="0"/>
      <w:snapToGrid w:val="0"/>
      <w:spacing w:line="360" w:lineRule="auto"/>
      <w:ind w:firstLine="480" w:firstLineChars="200"/>
    </w:pPr>
    <w:rPr>
      <w:sz w:val="24"/>
    </w:rPr>
  </w:style>
  <w:style w:type="paragraph" w:customStyle="1" w:styleId="151">
    <w:name w:val="GT表格格式"/>
    <w:basedOn w:val="1"/>
    <w:qFormat/>
    <w:uiPriority w:val="0"/>
    <w:pPr>
      <w:topLinePunct/>
      <w:adjustRightInd w:val="0"/>
      <w:snapToGrid w:val="0"/>
      <w:jc w:val="center"/>
    </w:pPr>
    <w:rPr>
      <w:szCs w:val="21"/>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w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emf"/><Relationship Id="rId14" Type="http://schemas.openxmlformats.org/officeDocument/2006/relationships/image" Target="media/image6.emf"/><Relationship Id="rId13" Type="http://schemas.openxmlformats.org/officeDocument/2006/relationships/image" Target="media/image5.emf"/><Relationship Id="rId12" Type="http://schemas.openxmlformats.org/officeDocument/2006/relationships/image" Target="media/image4.emf"/><Relationship Id="rId11" Type="http://schemas.openxmlformats.org/officeDocument/2006/relationships/image" Target="media/image3.emf"/><Relationship Id="rId10" Type="http://schemas.openxmlformats.org/officeDocument/2006/relationships/image" Target="media/image2.w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48ED44-F09A-4EC7-90EE-C324A601103E}">
  <ds:schemaRefs/>
</ds:datastoreItem>
</file>

<file path=docProps/app.xml><?xml version="1.0" encoding="utf-8"?>
<Properties xmlns="http://schemas.openxmlformats.org/officeDocument/2006/extended-properties" xmlns:vt="http://schemas.openxmlformats.org/officeDocument/2006/docPropsVTypes">
  <Template>wdzx97.dot</Template>
  <Company>微软中国</Company>
  <Pages>91</Pages>
  <Words>607</Words>
  <Characters>650</Characters>
  <Lines>533</Lines>
  <Paragraphs>150</Paragraphs>
  <TotalTime>126</TotalTime>
  <ScaleCrop>false</ScaleCrop>
  <LinksUpToDate>false</LinksUpToDate>
  <CharactersWithSpaces>714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2026-08-25T08:33:00Z</dcterms:created>
  <dc:creator>WX</dc:creator>
  <cp:lastModifiedBy>胖橘猫</cp:lastModifiedBy>
  <cp:lastPrinted>2025-12-08T17:53:00Z</cp:lastPrinted>
  <dcterms:modified xsi:type="dcterms:W3CDTF">2026-08-27T15:25:50Z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eyJoZGlkIjoiZjRlNjNmNTIwYzVkNzQ1ZTJkZmY2ZjYxMmY2YjNiZTMiLCJ1c2VySWQiOiIxNTE4MTMwODExIn0=</vt:lpwstr>
  </property>
  <property fmtid="{D5CDD505-2E9C-101B-9397-08002B2CF9AE}" pid="4" name="ICV">
    <vt:lpwstr>3AB2BE1C8D81438E9BC61EEDB16244D3_12</vt:lpwstr>
  </property>
</Properties>
</file>