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70" w:lineRule="exact"/>
        <w:jc w:val="center"/>
        <w:rPr>
          <w:rFonts w:hint="eastAsia" w:ascii="方正小标宋_GBK" w:hAnsi="方正小标宋_GBK" w:eastAsia="方正小标宋_GBK" w:cs="方正小标宋_GBK"/>
          <w:color w:val="auto"/>
          <w:spacing w:val="14"/>
          <w:sz w:val="44"/>
          <w:szCs w:val="44"/>
          <w:highlight w:val="none"/>
          <w:lang w:val="en-US" w:eastAsia="zh-CN"/>
        </w:rPr>
      </w:pPr>
      <w:bookmarkStart w:id="0" w:name="_GoBack"/>
      <w:r>
        <w:rPr>
          <w:rFonts w:hint="eastAsia" w:ascii="方正小标宋_GBK" w:hAnsi="方正小标宋_GBK" w:eastAsia="方正小标宋_GBK" w:cs="方正小标宋_GBK"/>
          <w:color w:val="auto"/>
          <w:spacing w:val="14"/>
          <w:sz w:val="44"/>
          <w:szCs w:val="44"/>
          <w:highlight w:val="none"/>
          <w:lang w:val="en-US" w:eastAsia="zh-CN"/>
        </w:rPr>
        <w:t>玉溪市市场监督管理局2025年预算重点领域财政项目文本公开</w:t>
      </w:r>
    </w:p>
    <w:bookmarkEnd w:id="0"/>
    <w:p>
      <w:pPr>
        <w:snapToGrid w:val="0"/>
        <w:spacing w:line="570" w:lineRule="exact"/>
        <w:jc w:val="both"/>
        <w:rPr>
          <w:rFonts w:hint="eastAsia" w:ascii="方正小标宋简体" w:hAnsi="华文中宋" w:eastAsia="方正小标宋简体"/>
          <w:color w:val="auto"/>
          <w:spacing w:val="14"/>
          <w:sz w:val="44"/>
          <w:szCs w:val="44"/>
          <w:highlight w:val="none"/>
          <w:lang w:eastAsia="zh-CN"/>
        </w:rPr>
      </w:pPr>
    </w:p>
    <w:p>
      <w:pPr>
        <w:keepNext w:val="0"/>
        <w:keepLines w:val="0"/>
        <w:pageBreakBefore w:val="0"/>
        <w:widowControl/>
        <w:numPr>
          <w:ilvl w:val="0"/>
          <w:numId w:val="1"/>
        </w:numPr>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黑体" w:hAnsi="黑体" w:eastAsia="黑体"/>
          <w:color w:val="auto"/>
          <w:kern w:val="0"/>
          <w:sz w:val="32"/>
          <w:szCs w:val="32"/>
          <w:highlight w:val="none"/>
          <w:lang w:eastAsia="zh-CN"/>
        </w:rPr>
      </w:pPr>
      <w:r>
        <w:rPr>
          <w:rFonts w:hint="eastAsia" w:ascii="黑体" w:hAnsi="黑体" w:eastAsia="黑体"/>
          <w:color w:val="auto"/>
          <w:kern w:val="0"/>
          <w:sz w:val="32"/>
          <w:szCs w:val="32"/>
          <w:highlight w:val="none"/>
          <w:lang w:eastAsia="zh-CN"/>
        </w:rPr>
        <w:t>项目名称</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rPr>
      </w:pPr>
      <w:r>
        <w:rPr>
          <w:rFonts w:hint="default" w:ascii="Times New Roman" w:hAnsi="Times New Roman" w:eastAsia="方正仿宋_GBK" w:cs="Times New Roman"/>
          <w:color w:val="auto"/>
          <w:kern w:val="0"/>
          <w:sz w:val="32"/>
          <w:szCs w:val="32"/>
          <w:highlight w:val="none"/>
        </w:rPr>
        <w:t>1．食品安全宣传、培训及应急演练项目经费</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rPr>
      </w:pPr>
      <w:r>
        <w:rPr>
          <w:rFonts w:hint="default" w:ascii="Times New Roman" w:hAnsi="Times New Roman" w:eastAsia="方正仿宋_GBK" w:cs="Times New Roman"/>
          <w:color w:val="auto"/>
          <w:kern w:val="0"/>
          <w:sz w:val="32"/>
          <w:szCs w:val="32"/>
          <w:highlight w:val="none"/>
        </w:rPr>
        <w:t>2．药品及化妆品安全监管经费</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rPr>
      </w:pPr>
      <w:r>
        <w:rPr>
          <w:rFonts w:hint="default" w:ascii="Times New Roman" w:hAnsi="Times New Roman" w:eastAsia="方正仿宋_GBK" w:cs="Times New Roman"/>
          <w:color w:val="auto"/>
          <w:kern w:val="0"/>
          <w:sz w:val="32"/>
          <w:szCs w:val="32"/>
          <w:highlight w:val="none"/>
        </w:rPr>
        <w:t>3．质量发展监督工作经费</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rPr>
      </w:pPr>
      <w:r>
        <w:rPr>
          <w:rFonts w:hint="default" w:ascii="Times New Roman" w:hAnsi="Times New Roman" w:eastAsia="方正仿宋_GBK" w:cs="Times New Roman"/>
          <w:color w:val="auto"/>
          <w:kern w:val="0"/>
          <w:sz w:val="32"/>
          <w:szCs w:val="32"/>
          <w:highlight w:val="none"/>
        </w:rPr>
        <w:t>4．特种设备安全监管专项经费</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eastAsia="仿宋_GB2312"/>
          <w:color w:val="auto"/>
          <w:kern w:val="0"/>
          <w:sz w:val="32"/>
          <w:szCs w:val="32"/>
          <w:highlight w:val="none"/>
        </w:rPr>
      </w:pPr>
      <w:r>
        <w:rPr>
          <w:rFonts w:hint="default" w:ascii="Times New Roman" w:hAnsi="Times New Roman" w:eastAsia="方正仿宋_GBK" w:cs="Times New Roman"/>
          <w:color w:val="auto"/>
          <w:kern w:val="0"/>
          <w:sz w:val="32"/>
          <w:szCs w:val="32"/>
          <w:highlight w:val="none"/>
        </w:rPr>
        <w:t>5．非税收入成本性支出补助资金</w:t>
      </w:r>
    </w:p>
    <w:p>
      <w:pPr>
        <w:keepNext w:val="0"/>
        <w:keepLines w:val="0"/>
        <w:pageBreakBefore w:val="0"/>
        <w:widowControl/>
        <w:numPr>
          <w:ilvl w:val="0"/>
          <w:numId w:val="1"/>
        </w:numPr>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黑体" w:hAnsi="黑体" w:eastAsia="黑体" w:cs="黑体"/>
          <w:color w:val="auto"/>
          <w:kern w:val="0"/>
          <w:sz w:val="32"/>
          <w:szCs w:val="32"/>
          <w:highlight w:val="none"/>
          <w:lang w:eastAsia="zh-CN"/>
        </w:rPr>
      </w:pPr>
      <w:r>
        <w:rPr>
          <w:rFonts w:hint="eastAsia" w:ascii="黑体" w:hAnsi="黑体" w:eastAsia="黑体" w:cs="黑体"/>
          <w:color w:val="auto"/>
          <w:kern w:val="0"/>
          <w:sz w:val="32"/>
          <w:szCs w:val="32"/>
          <w:highlight w:val="none"/>
          <w:lang w:eastAsia="zh-CN"/>
        </w:rPr>
        <w:t>立项依据</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highlight w:val="none"/>
        </w:rPr>
        <w:t>1．食品安全宣传、培训及应急演练项目经费</w:t>
      </w:r>
      <w:r>
        <w:rPr>
          <w:rFonts w:hint="default" w:ascii="Times New Roman" w:hAnsi="Times New Roman" w:eastAsia="方正仿宋_GBK" w:cs="Times New Roman"/>
          <w:color w:val="auto"/>
          <w:kern w:val="0"/>
          <w:sz w:val="32"/>
          <w:szCs w:val="32"/>
          <w:highlight w:val="none"/>
          <w:lang w:eastAsia="zh-CN"/>
        </w:rPr>
        <w:t>：</w:t>
      </w:r>
      <w:r>
        <w:rPr>
          <w:rFonts w:hint="default" w:ascii="Times New Roman" w:hAnsi="Times New Roman" w:eastAsia="方正仿宋_GBK" w:cs="Times New Roman"/>
          <w:kern w:val="2"/>
          <w:sz w:val="32"/>
          <w:szCs w:val="32"/>
          <w:lang w:val="en-US" w:eastAsia="zh-CN" w:bidi="ar-SA"/>
        </w:rPr>
        <w:t>根据国务院食品安全办、省政府食品安全办对食品安全工作的要求，每年必须开展一次食品安全宣传周活动。根据《关于印发云南省2024年食品安全和药品安全工作评议考核方案的通知》（云食安办发（2024）11号）要求：“组织开展包保干部全覆盖培训、进行政策解读，得0.5%权重，否则得相应权重”。根据《中共中央关于进一步全面深化改革、推进中国式现代化的决定》的要求：“（50）健全公共安全治理机制。健全重大突发公共事件处置保障体系，深化应急管理机制改革，加强应急物资保障体系建设。建立完善燃气、危化品、食品、矿山、建筑、消防、交通等重点领域安全风险排查整治长效机制”。</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highlight w:val="none"/>
        </w:rPr>
        <w:t>2．药品及化妆品安全监管经费：</w:t>
      </w:r>
      <w:r>
        <w:rPr>
          <w:rFonts w:hint="default" w:ascii="Times New Roman" w:hAnsi="Times New Roman" w:eastAsia="方正仿宋_GBK" w:cs="Times New Roman"/>
          <w:sz w:val="32"/>
          <w:szCs w:val="32"/>
        </w:rPr>
        <w:t>《中华人</w:t>
      </w:r>
      <w:r>
        <w:rPr>
          <w:rFonts w:hint="default" w:ascii="Times New Roman" w:hAnsi="Times New Roman" w:eastAsia="方正仿宋_GBK" w:cs="Times New Roman"/>
          <w:sz w:val="32"/>
          <w:szCs w:val="32"/>
          <w:lang w:eastAsia="zh-CN"/>
        </w:rPr>
        <w:t>民</w:t>
      </w:r>
      <w:r>
        <w:rPr>
          <w:rFonts w:hint="default" w:ascii="Times New Roman" w:hAnsi="Times New Roman" w:eastAsia="方正仿宋_GBK" w:cs="Times New Roman"/>
          <w:sz w:val="32"/>
          <w:szCs w:val="32"/>
        </w:rPr>
        <w:t>共和国药品管理法》第八条：设区的市级、县级人民政府承担药品监督管理职责的部门</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以下称药品监督管理部门</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负责本行政区域内的药品监督管理工作</w:t>
      </w:r>
      <w:r>
        <w:rPr>
          <w:rFonts w:hint="default" w:ascii="Times New Roman" w:hAnsi="Times New Roman" w:eastAsia="方正仿宋_GBK" w:cs="Times New Roman"/>
          <w:sz w:val="32"/>
          <w:szCs w:val="32"/>
          <w:lang w:eastAsia="zh-CN"/>
        </w:rPr>
        <w:t>。第十条：县级以上人民政府应当将药品安全工作纳入本级国民经济和社会发展规划，将药品安全工作经费列入本级政府预算，加强药品监督管理能力建设，为药品安全工作提供保障。</w:t>
      </w:r>
      <w:r>
        <w:rPr>
          <w:rFonts w:hint="default" w:ascii="Times New Roman" w:hAnsi="Times New Roman" w:eastAsia="方正仿宋_GBK" w:cs="Times New Roman"/>
          <w:sz w:val="32"/>
          <w:szCs w:val="32"/>
        </w:rPr>
        <w:t>《化妆品监督管理条例》第五条</w:t>
      </w:r>
      <w:r>
        <w:rPr>
          <w:rFonts w:hint="default" w:ascii="Times New Roman" w:hAnsi="Times New Roman" w:eastAsia="方正仿宋_GBK" w:cs="Times New Roman"/>
          <w:sz w:val="32"/>
          <w:szCs w:val="32"/>
          <w:lang w:eastAsia="zh-CN"/>
        </w:rPr>
        <w:t>：县级以上地方人民政府负责药品监督管理的部门负责本行政区域的化妆品监督管理工作。县级以上地方人民政府有关部门在各自职责范围内负责与化妆品有关的监督管理工作。</w:t>
      </w:r>
      <w:r>
        <w:rPr>
          <w:rFonts w:hint="default" w:ascii="Times New Roman" w:hAnsi="Times New Roman" w:eastAsia="方正仿宋_GBK" w:cs="Times New Roman"/>
          <w:sz w:val="32"/>
          <w:szCs w:val="32"/>
        </w:rPr>
        <w:t>第四十八条</w:t>
      </w:r>
      <w:r>
        <w:rPr>
          <w:rFonts w:hint="default" w:ascii="Times New Roman" w:hAnsi="Times New Roman" w:eastAsia="方正仿宋_GBK" w:cs="Times New Roman"/>
          <w:sz w:val="32"/>
          <w:szCs w:val="32"/>
          <w:lang w:eastAsia="zh-CN"/>
        </w:rPr>
        <w:t>：省级以上人民政府药品监督管理部门应当组织对化妆品进行抽样检验；对举报反映或者日常监督检查中发现问题较多的化妆品，负责药品监督管理的部门可以进行专项抽样检验。进行抽样检验，应当支付抽取样品的费用，所需费用纳入本级政府预算。负责药品监督管理的部门应当按照规定及时公布化妆品抽样检验结果。</w:t>
      </w:r>
      <w:r>
        <w:rPr>
          <w:rFonts w:hint="default" w:ascii="Times New Roman" w:hAnsi="Times New Roman" w:eastAsia="方正仿宋_GBK" w:cs="Times New Roman"/>
          <w:sz w:val="32"/>
          <w:szCs w:val="32"/>
        </w:rPr>
        <w:t>《云南省财政厅关于印发</w:t>
      </w:r>
      <w:r>
        <w:rPr>
          <w:rFonts w:hint="default" w:ascii="Times New Roman" w:hAnsi="Times New Roman" w:eastAsia="方正仿宋_GBK" w:cs="Times New Roman"/>
          <w:sz w:val="32"/>
          <w:szCs w:val="32"/>
          <w:lang w:val="en-US" w:eastAsia="zh-CN"/>
        </w:rPr>
        <w:t>&lt;</w:t>
      </w:r>
      <w:r>
        <w:rPr>
          <w:rFonts w:hint="default" w:ascii="Times New Roman" w:hAnsi="Times New Roman" w:eastAsia="方正仿宋_GBK" w:cs="Times New Roman"/>
          <w:sz w:val="32"/>
          <w:szCs w:val="32"/>
        </w:rPr>
        <w:t>云南省食品药品监督管 理局省级财政项目支出</w:t>
      </w:r>
      <w:r>
        <w:rPr>
          <w:rFonts w:hint="default" w:ascii="Times New Roman" w:hAnsi="Times New Roman" w:eastAsia="方正仿宋_GBK" w:cs="Times New Roman"/>
          <w:sz w:val="32"/>
          <w:szCs w:val="32"/>
          <w:lang w:val="en-US" w:eastAsia="zh-CN"/>
        </w:rPr>
        <w:t>&gt;</w:t>
      </w:r>
      <w:r>
        <w:rPr>
          <w:rFonts w:hint="default" w:ascii="Times New Roman" w:hAnsi="Times New Roman" w:eastAsia="方正仿宋_GBK" w:cs="Times New Roman"/>
          <w:sz w:val="32"/>
          <w:szCs w:val="32"/>
        </w:rPr>
        <w:t>定额标准</w:t>
      </w:r>
      <w:r>
        <w:rPr>
          <w:rFonts w:hint="eastAsia" w:eastAsia="方正仿宋_GBK" w:cs="Times New Roman"/>
          <w:sz w:val="32"/>
          <w:szCs w:val="32"/>
          <w:lang w:eastAsia="zh-CN"/>
        </w:rPr>
        <w:t>（</w:t>
      </w:r>
      <w:r>
        <w:rPr>
          <w:rFonts w:hint="default" w:ascii="Times New Roman" w:hAnsi="Times New Roman" w:eastAsia="方正仿宋_GBK" w:cs="Times New Roman"/>
          <w:sz w:val="32"/>
          <w:szCs w:val="32"/>
        </w:rPr>
        <w:t>试行</w:t>
      </w:r>
      <w:r>
        <w:rPr>
          <w:rFonts w:hint="eastAsia" w:eastAsia="方正仿宋_GBK" w:cs="Times New Roman"/>
          <w:sz w:val="32"/>
          <w:szCs w:val="32"/>
          <w:lang w:eastAsia="zh-CN"/>
        </w:rPr>
        <w:t>）</w:t>
      </w:r>
      <w:r>
        <w:rPr>
          <w:rFonts w:hint="default" w:ascii="Times New Roman" w:hAnsi="Times New Roman" w:eastAsia="方正仿宋_GBK" w:cs="Times New Roman"/>
          <w:sz w:val="32"/>
          <w:szCs w:val="32"/>
        </w:rPr>
        <w:t>的通知》</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云财评审〔2017〕83号</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的</w:t>
      </w:r>
      <w:r>
        <w:rPr>
          <w:rFonts w:hint="default" w:ascii="Times New Roman" w:hAnsi="Times New Roman" w:eastAsia="方正仿宋_GBK" w:cs="Times New Roman"/>
          <w:sz w:val="32"/>
          <w:szCs w:val="32"/>
          <w:lang w:eastAsia="zh-CN"/>
        </w:rPr>
        <w:t>相关</w:t>
      </w:r>
      <w:r>
        <w:rPr>
          <w:rFonts w:hint="default" w:ascii="Times New Roman" w:hAnsi="Times New Roman" w:eastAsia="方正仿宋_GBK" w:cs="Times New Roman"/>
          <w:sz w:val="32"/>
          <w:szCs w:val="32"/>
        </w:rPr>
        <w:t>规定</w:t>
      </w:r>
      <w:r>
        <w:rPr>
          <w:rFonts w:hint="default" w:ascii="Times New Roman" w:hAnsi="Times New Roman" w:eastAsia="方正仿宋_GBK" w:cs="Times New Roman"/>
          <w:sz w:val="32"/>
          <w:szCs w:val="32"/>
          <w:lang w:eastAsia="zh-CN"/>
        </w:rPr>
        <w:t>。</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lang w:val="en-US" w:eastAsia="zh-CN"/>
        </w:rPr>
      </w:pPr>
      <w:r>
        <w:rPr>
          <w:rFonts w:hint="default" w:ascii="Times New Roman" w:hAnsi="Times New Roman" w:eastAsia="方正仿宋_GBK" w:cs="Times New Roman"/>
          <w:color w:val="auto"/>
          <w:kern w:val="0"/>
          <w:sz w:val="32"/>
          <w:szCs w:val="32"/>
          <w:highlight w:val="none"/>
        </w:rPr>
        <w:t>3．质量发展监督工作经费</w:t>
      </w:r>
      <w:r>
        <w:rPr>
          <w:rFonts w:hint="default" w:ascii="Times New Roman" w:hAnsi="Times New Roman" w:eastAsia="方正仿宋_GBK" w:cs="Times New Roman"/>
          <w:color w:val="auto"/>
          <w:kern w:val="0"/>
          <w:sz w:val="32"/>
          <w:szCs w:val="32"/>
          <w:highlight w:val="none"/>
          <w:lang w:val="en-US" w:eastAsia="zh-CN"/>
        </w:rPr>
        <w:t>:《中华人民共和国产品质量法》第十五条：国家对产品质量实行以抽查为主要方式的监督检查制度，对可能危及人体健康和人身、财产安全的产品，影响国计民生的重要工业产品以及消费者、有关组织反映有质量问题的产品进行抽查。县级以上地方产品质量监督部门在本行政区域内也可以组织监督抽查。根据监督抽查的需要，可以对产品进行检验。检验抽取样品的数量不得超过检验的合理需要，并不得向被检查人收取检验费用。监督抽查所需检验费用按照国务院规定列支。《中共玉溪市委玉溪市人民政府关于印发&lt;玉溪市贯彻落实质量强国建设纲要&gt;的实施方案的通知》（玉发〔2023〕6号）</w:t>
      </w:r>
      <w:r>
        <w:rPr>
          <w:rFonts w:hint="eastAsia" w:ascii="Times New Roman" w:hAnsi="Times New Roman" w:eastAsia="方正仿宋_GBK" w:cs="Times New Roman"/>
          <w:color w:val="auto"/>
          <w:kern w:val="0"/>
          <w:sz w:val="32"/>
          <w:szCs w:val="32"/>
          <w:highlight w:val="none"/>
          <w:lang w:val="en-US" w:eastAsia="zh-CN"/>
        </w:rPr>
        <w:t>、</w:t>
      </w:r>
      <w:r>
        <w:rPr>
          <w:rFonts w:hint="default" w:ascii="Times New Roman" w:hAnsi="Times New Roman" w:eastAsia="方正仿宋_GBK" w:cs="Times New Roman"/>
          <w:color w:val="auto"/>
          <w:kern w:val="0"/>
          <w:sz w:val="32"/>
          <w:szCs w:val="32"/>
          <w:highlight w:val="none"/>
          <w:lang w:val="en-US" w:eastAsia="zh-CN"/>
        </w:rPr>
        <w:t>《玉溪市人民政府办公室关于印发玉溪市深化质量提升三年行动方案（2023—2025年）的通知》（玉政办发〔2023〕19号）</w:t>
      </w:r>
      <w:r>
        <w:rPr>
          <w:rFonts w:hint="default" w:ascii="Times New Roman" w:hAnsi="Times New Roman" w:eastAsia="方正仿宋_GBK" w:cs="Times New Roman"/>
          <w:sz w:val="32"/>
          <w:szCs w:val="32"/>
        </w:rPr>
        <w:t>的</w:t>
      </w:r>
      <w:r>
        <w:rPr>
          <w:rFonts w:hint="default" w:ascii="Times New Roman" w:hAnsi="Times New Roman" w:eastAsia="方正仿宋_GBK" w:cs="Times New Roman"/>
          <w:sz w:val="32"/>
          <w:szCs w:val="32"/>
          <w:lang w:eastAsia="zh-CN"/>
        </w:rPr>
        <w:t>相关</w:t>
      </w:r>
      <w:r>
        <w:rPr>
          <w:rFonts w:hint="default" w:ascii="Times New Roman" w:hAnsi="Times New Roman" w:eastAsia="方正仿宋_GBK" w:cs="Times New Roman"/>
          <w:sz w:val="32"/>
          <w:szCs w:val="32"/>
        </w:rPr>
        <w:t>规定</w:t>
      </w:r>
      <w:r>
        <w:rPr>
          <w:rFonts w:hint="default" w:ascii="Times New Roman" w:hAnsi="Times New Roman" w:eastAsia="方正仿宋_GBK" w:cs="Times New Roman"/>
          <w:sz w:val="32"/>
          <w:szCs w:val="32"/>
          <w:lang w:eastAsia="zh-CN"/>
        </w:rPr>
        <w:t>。</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highlight w:val="none"/>
        </w:rPr>
        <w:t>4．特种设备安全监管专项经费：按照《中华人民共和国特种设备安全法》、《特种设备安全监察条例》的规定，负责特种设备安全监督管理的部门的安全监察人员应当熟悉相关法律、法规，具有相应的专业知识和工作经验，取得特种设备安全行政执法证件。</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highlight w:val="none"/>
        </w:rPr>
        <w:t>5．非税收入成本性支出补助资金</w:t>
      </w:r>
      <w:r>
        <w:rPr>
          <w:rFonts w:hint="default" w:ascii="Times New Roman" w:hAnsi="Times New Roman" w:eastAsia="方正仿宋_GBK" w:cs="Times New Roman"/>
          <w:color w:val="auto"/>
          <w:kern w:val="0"/>
          <w:sz w:val="32"/>
          <w:szCs w:val="32"/>
          <w:highlight w:val="none"/>
          <w:lang w:eastAsia="zh-CN"/>
        </w:rPr>
        <w:t>：</w:t>
      </w:r>
      <w:r>
        <w:rPr>
          <w:rFonts w:hint="eastAsia" w:eastAsia="方正仿宋_GBK" w:cs="Times New Roman"/>
          <w:color w:val="auto"/>
          <w:kern w:val="0"/>
          <w:sz w:val="32"/>
          <w:szCs w:val="32"/>
          <w:highlight w:val="none"/>
          <w:lang w:eastAsia="zh-CN"/>
        </w:rPr>
        <w:t>《中华人民共和国食品安全法》</w:t>
      </w:r>
      <w:r>
        <w:rPr>
          <w:rFonts w:hint="default" w:ascii="Times New Roman" w:hAnsi="Times New Roman" w:eastAsia="方正仿宋_GBK" w:cs="Times New Roman"/>
          <w:color w:val="auto"/>
          <w:kern w:val="0"/>
          <w:sz w:val="32"/>
          <w:szCs w:val="32"/>
          <w:highlight w:val="none"/>
          <w:lang w:eastAsia="zh-CN"/>
        </w:rPr>
        <w:t>、</w:t>
      </w:r>
      <w:r>
        <w:rPr>
          <w:rFonts w:hint="eastAsia" w:eastAsia="方正仿宋_GBK" w:cs="Times New Roman"/>
          <w:color w:val="auto"/>
          <w:kern w:val="0"/>
          <w:sz w:val="32"/>
          <w:szCs w:val="32"/>
          <w:highlight w:val="none"/>
          <w:lang w:eastAsia="zh-CN"/>
        </w:rPr>
        <w:t>《中华人民共和国药品管理法》</w:t>
      </w:r>
      <w:r>
        <w:rPr>
          <w:rFonts w:hint="default" w:ascii="Times New Roman" w:hAnsi="Times New Roman" w:eastAsia="方正仿宋_GBK" w:cs="Times New Roman"/>
          <w:color w:val="auto"/>
          <w:kern w:val="0"/>
          <w:sz w:val="32"/>
          <w:szCs w:val="32"/>
          <w:highlight w:val="none"/>
          <w:lang w:eastAsia="zh-CN"/>
        </w:rPr>
        <w:t>、</w:t>
      </w:r>
      <w:r>
        <w:rPr>
          <w:rFonts w:hint="eastAsia" w:eastAsia="方正仿宋_GBK" w:cs="Times New Roman"/>
          <w:color w:val="auto"/>
          <w:kern w:val="0"/>
          <w:sz w:val="32"/>
          <w:szCs w:val="32"/>
          <w:highlight w:val="none"/>
          <w:lang w:eastAsia="zh-CN"/>
        </w:rPr>
        <w:t>《中华人民共和国产品质量法》</w:t>
      </w:r>
      <w:r>
        <w:rPr>
          <w:rFonts w:hint="default" w:ascii="Times New Roman" w:hAnsi="Times New Roman" w:eastAsia="方正仿宋_GBK" w:cs="Times New Roman"/>
          <w:color w:val="auto"/>
          <w:kern w:val="0"/>
          <w:sz w:val="32"/>
          <w:szCs w:val="32"/>
          <w:highlight w:val="none"/>
          <w:lang w:eastAsia="zh-CN"/>
        </w:rPr>
        <w:t>、《市场监管领域重大违法行为举报奖励暂行办法》（国市监稽规〔2021〕4号）、《市场监管总局关于印发“十四五”认证认可检验检测发展规划的通知》（国市监认证发〔2022〕69号）、《云南省人民政府关于印发云南省贯彻“十四五”市场监管现代化规划实施方案的通知》、《印发玉溪市法治政府建设实施方案2021—2025年）》（玉发7号）、《云南省人民政府关于清理规范行政审批中介服务事项的决定》（云政发〔2021〕17号）、《玉溪市深化市场监管综合行政执法改革实施方案》（玉办发〔2020〕15号）等相关法律法规规定，《玉溪市人民政府办公室关于印发玉溪市市级非税收入预算管理办法的通知》（玉政办发〔20</w:t>
      </w:r>
      <w:r>
        <w:rPr>
          <w:rFonts w:hint="default" w:ascii="Times New Roman" w:hAnsi="Times New Roman" w:eastAsia="方正仿宋_GBK" w:cs="Times New Roman"/>
          <w:color w:val="auto"/>
          <w:kern w:val="0"/>
          <w:sz w:val="32"/>
          <w:szCs w:val="32"/>
          <w:highlight w:val="none"/>
          <w:lang w:val="en-US" w:eastAsia="zh-CN"/>
        </w:rPr>
        <w:t>17</w:t>
      </w:r>
      <w:r>
        <w:rPr>
          <w:rFonts w:hint="default" w:ascii="Times New Roman" w:hAnsi="Times New Roman" w:eastAsia="方正仿宋_GBK" w:cs="Times New Roman"/>
          <w:color w:val="auto"/>
          <w:kern w:val="0"/>
          <w:sz w:val="32"/>
          <w:szCs w:val="32"/>
          <w:highlight w:val="none"/>
          <w:lang w:eastAsia="zh-CN"/>
        </w:rPr>
        <w:t>〕49号）第三章非税收入支出预算的核定第十一条至第十九条:罚没收入可用于补助行政执法机构成本性支出，包含行政执法办案补助、劳务费、委托业务费和办公设备购置等的规定。</w:t>
      </w:r>
    </w:p>
    <w:p>
      <w:pPr>
        <w:keepNext w:val="0"/>
        <w:keepLines w:val="0"/>
        <w:pageBreakBefore w:val="0"/>
        <w:widowControl/>
        <w:numPr>
          <w:ilvl w:val="0"/>
          <w:numId w:val="1"/>
        </w:numPr>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黑体" w:hAnsi="黑体" w:eastAsia="黑体" w:cs="黑体"/>
          <w:color w:val="auto"/>
          <w:kern w:val="0"/>
          <w:sz w:val="32"/>
          <w:szCs w:val="32"/>
          <w:highlight w:val="none"/>
          <w:lang w:eastAsia="zh-CN"/>
        </w:rPr>
      </w:pPr>
      <w:r>
        <w:rPr>
          <w:rFonts w:hint="eastAsia" w:ascii="黑体" w:hAnsi="黑体" w:eastAsia="黑体" w:cs="黑体"/>
          <w:color w:val="auto"/>
          <w:kern w:val="0"/>
          <w:sz w:val="32"/>
          <w:szCs w:val="32"/>
          <w:highlight w:val="none"/>
          <w:lang w:eastAsia="zh-CN"/>
        </w:rPr>
        <w:t>项目实施单位</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highlight w:val="none"/>
          <w:lang w:eastAsia="zh-CN"/>
        </w:rPr>
        <w:t>玉溪市市场监督管理局。</w:t>
      </w:r>
    </w:p>
    <w:p>
      <w:pPr>
        <w:keepNext w:val="0"/>
        <w:keepLines w:val="0"/>
        <w:pageBreakBefore w:val="0"/>
        <w:widowControl/>
        <w:numPr>
          <w:ilvl w:val="0"/>
          <w:numId w:val="1"/>
        </w:numPr>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黑体" w:hAnsi="黑体" w:eastAsia="黑体" w:cs="黑体"/>
          <w:color w:val="auto"/>
          <w:kern w:val="0"/>
          <w:sz w:val="32"/>
          <w:szCs w:val="32"/>
          <w:highlight w:val="none"/>
          <w:lang w:eastAsia="zh-CN"/>
        </w:rPr>
      </w:pPr>
      <w:r>
        <w:rPr>
          <w:rFonts w:hint="eastAsia" w:ascii="黑体" w:hAnsi="黑体" w:eastAsia="黑体" w:cs="黑体"/>
          <w:color w:val="auto"/>
          <w:kern w:val="0"/>
          <w:sz w:val="32"/>
          <w:szCs w:val="32"/>
          <w:highlight w:val="none"/>
          <w:lang w:eastAsia="zh-CN"/>
        </w:rPr>
        <w:t>项目基本概况</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highlight w:val="none"/>
        </w:rPr>
        <w:t>1．食品安全宣传、培训及应急演练项目经费</w:t>
      </w:r>
      <w:r>
        <w:rPr>
          <w:rFonts w:hint="default" w:ascii="Times New Roman" w:hAnsi="Times New Roman" w:eastAsia="方正仿宋_GBK" w:cs="Times New Roman"/>
          <w:color w:val="auto"/>
          <w:kern w:val="0"/>
          <w:sz w:val="32"/>
          <w:szCs w:val="32"/>
          <w:highlight w:val="none"/>
          <w:lang w:eastAsia="zh-CN"/>
        </w:rPr>
        <w:t>：通过食品安全宣传、培训及应急演练，着力从食品安全基础工作、监管能力建设、食品生产经营、食品安全状况、示范引领等方面入手，强基固本、补齐短板，确保食品安全工作实效。</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highlight w:val="none"/>
        </w:rPr>
        <w:t>2．药品及化妆品安全监管经费：依法履行药品零售、使用环节质量监管，深入开展日常监管和专项整治，高压打击药品、化妆品违法违规行为，坚决保障人民群众用药</w:t>
      </w:r>
      <w:r>
        <w:rPr>
          <w:rFonts w:hint="eastAsia" w:eastAsia="方正仿宋_GBK" w:cs="Times New Roman"/>
          <w:color w:val="auto"/>
          <w:kern w:val="0"/>
          <w:sz w:val="32"/>
          <w:szCs w:val="32"/>
          <w:highlight w:val="none"/>
          <w:lang w:eastAsia="zh-CN"/>
        </w:rPr>
        <w:t>、</w:t>
      </w:r>
      <w:r>
        <w:rPr>
          <w:rFonts w:hint="default" w:ascii="Times New Roman" w:hAnsi="Times New Roman" w:eastAsia="方正仿宋_GBK" w:cs="Times New Roman"/>
          <w:color w:val="auto"/>
          <w:kern w:val="0"/>
          <w:sz w:val="32"/>
          <w:szCs w:val="32"/>
          <w:highlight w:val="none"/>
        </w:rPr>
        <w:t>用妆安全。</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lang w:val="en-US" w:eastAsia="zh-CN"/>
        </w:rPr>
      </w:pPr>
      <w:r>
        <w:rPr>
          <w:rFonts w:hint="default" w:ascii="Times New Roman" w:hAnsi="Times New Roman" w:eastAsia="方正仿宋_GBK" w:cs="Times New Roman"/>
          <w:color w:val="auto"/>
          <w:kern w:val="0"/>
          <w:sz w:val="32"/>
          <w:szCs w:val="32"/>
          <w:highlight w:val="none"/>
        </w:rPr>
        <w:t>3．质量发展监督工作经费</w:t>
      </w:r>
      <w:r>
        <w:rPr>
          <w:rFonts w:hint="default" w:ascii="Times New Roman" w:hAnsi="Times New Roman" w:eastAsia="方正仿宋_GBK" w:cs="Times New Roman"/>
          <w:color w:val="auto"/>
          <w:kern w:val="0"/>
          <w:sz w:val="32"/>
          <w:szCs w:val="32"/>
          <w:highlight w:val="none"/>
          <w:lang w:val="en-US" w:eastAsia="zh-CN"/>
        </w:rPr>
        <w:t>:贯彻落实玉溪市质量强国建设纲要实施方案和玉溪市深化质量提升三年行动方案中各项工作的安排部署，加快完善质量基础设施体系建设、提升我市企业品牌竞争力、加大质量人才队伍建设、加强重点领域质量监管，持续推进我市质量强市建设取得成效</w:t>
      </w:r>
      <w:r>
        <w:rPr>
          <w:rFonts w:hint="eastAsia" w:eastAsia="方正仿宋_GBK" w:cs="Times New Roman"/>
          <w:color w:val="auto"/>
          <w:kern w:val="0"/>
          <w:sz w:val="32"/>
          <w:szCs w:val="32"/>
          <w:highlight w:val="none"/>
          <w:lang w:val="en-US" w:eastAsia="zh-CN"/>
        </w:rPr>
        <w:t>。</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highlight w:val="none"/>
        </w:rPr>
        <w:t>4．特种设备安全监管专项经费：</w:t>
      </w:r>
      <w:r>
        <w:rPr>
          <w:rFonts w:hint="eastAsia" w:eastAsia="方正仿宋_GBK" w:cs="Times New Roman"/>
          <w:color w:val="auto"/>
          <w:kern w:val="0"/>
          <w:sz w:val="32"/>
          <w:szCs w:val="32"/>
          <w:highlight w:val="none"/>
          <w:lang w:eastAsia="zh-CN"/>
        </w:rPr>
        <w:t>组织开展</w:t>
      </w:r>
      <w:r>
        <w:rPr>
          <w:rFonts w:hint="default" w:ascii="Times New Roman" w:hAnsi="Times New Roman" w:eastAsia="方正仿宋_GBK" w:cs="Times New Roman"/>
          <w:color w:val="auto"/>
          <w:kern w:val="0"/>
          <w:sz w:val="32"/>
          <w:szCs w:val="32"/>
          <w:highlight w:val="none"/>
        </w:rPr>
        <w:t>特种设备应急救援演练和基层特种设备安全监察人员业务技能提升培训</w:t>
      </w:r>
      <w:r>
        <w:rPr>
          <w:rFonts w:hint="eastAsia" w:eastAsia="方正仿宋_GBK" w:cs="Times New Roman"/>
          <w:color w:val="auto"/>
          <w:kern w:val="0"/>
          <w:sz w:val="32"/>
          <w:szCs w:val="32"/>
          <w:highlight w:val="none"/>
          <w:lang w:eastAsia="zh-CN"/>
        </w:rPr>
        <w:t>，</w:t>
      </w:r>
      <w:r>
        <w:rPr>
          <w:rFonts w:hint="default" w:ascii="Times New Roman" w:hAnsi="Times New Roman" w:eastAsia="方正仿宋_GBK" w:cs="Times New Roman"/>
          <w:color w:val="auto"/>
          <w:kern w:val="0"/>
          <w:sz w:val="32"/>
          <w:szCs w:val="32"/>
          <w:highlight w:val="none"/>
        </w:rPr>
        <w:t>提高特种设备安全监察人员素质和监察水平，有效防止特种设备安全责任事故发生，进一步提高全社会特种设备安全意识，保持特种设备安全形势稳定。</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eastAsia="仿宋_GB2312"/>
          <w:color w:val="auto"/>
          <w:kern w:val="0"/>
          <w:sz w:val="32"/>
          <w:szCs w:val="32"/>
          <w:highlight w:val="none"/>
          <w:lang w:val="en-US" w:eastAsia="zh-CN"/>
        </w:rPr>
      </w:pPr>
      <w:r>
        <w:rPr>
          <w:rFonts w:hint="default" w:ascii="Times New Roman" w:hAnsi="Times New Roman" w:eastAsia="方正仿宋_GBK" w:cs="Times New Roman"/>
          <w:color w:val="auto"/>
          <w:kern w:val="0"/>
          <w:sz w:val="32"/>
          <w:szCs w:val="32"/>
          <w:highlight w:val="none"/>
        </w:rPr>
        <w:t>5．非税收入成本性支出补助资金</w:t>
      </w:r>
      <w:r>
        <w:rPr>
          <w:rFonts w:hint="default" w:ascii="Times New Roman" w:hAnsi="Times New Roman" w:eastAsia="方正仿宋_GBK" w:cs="Times New Roman"/>
          <w:color w:val="auto"/>
          <w:kern w:val="0"/>
          <w:sz w:val="32"/>
          <w:szCs w:val="32"/>
          <w:highlight w:val="none"/>
          <w:lang w:eastAsia="zh-CN"/>
        </w:rPr>
        <w:t>：以规范市场秩序、保障质量安全、维护公平竞争、保护消费者权益为目标，以查办行政违法案件为重点，加大市场监管执法力度，强化执法能力建设，创造良好的营商环境、消费环境、安全环境、创新环境。</w:t>
      </w:r>
    </w:p>
    <w:p>
      <w:pPr>
        <w:keepNext w:val="0"/>
        <w:keepLines w:val="0"/>
        <w:pageBreakBefore w:val="0"/>
        <w:widowControl/>
        <w:numPr>
          <w:ilvl w:val="0"/>
          <w:numId w:val="1"/>
        </w:numPr>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黑体" w:hAnsi="黑体" w:eastAsia="黑体" w:cs="黑体"/>
          <w:color w:val="auto"/>
          <w:kern w:val="0"/>
          <w:sz w:val="32"/>
          <w:szCs w:val="32"/>
          <w:highlight w:val="none"/>
          <w:lang w:eastAsia="zh-CN"/>
        </w:rPr>
      </w:pPr>
      <w:r>
        <w:rPr>
          <w:rFonts w:hint="eastAsia" w:ascii="黑体" w:hAnsi="黑体" w:eastAsia="黑体" w:cs="黑体"/>
          <w:color w:val="auto"/>
          <w:kern w:val="0"/>
          <w:sz w:val="32"/>
          <w:szCs w:val="32"/>
          <w:highlight w:val="none"/>
          <w:lang w:eastAsia="zh-CN"/>
        </w:rPr>
        <w:t>项目实施内容</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highlight w:val="none"/>
        </w:rPr>
        <w:t>1．食品安全宣传、培训及应急演练项目经费：</w:t>
      </w:r>
      <w:r>
        <w:rPr>
          <w:rFonts w:hint="default" w:ascii="Times New Roman" w:hAnsi="Times New Roman" w:eastAsia="方正仿宋_GBK" w:cs="Times New Roman"/>
          <w:color w:val="auto"/>
          <w:kern w:val="0"/>
          <w:sz w:val="32"/>
          <w:szCs w:val="32"/>
          <w:highlight w:val="none"/>
          <w:lang w:eastAsia="zh-CN"/>
        </w:rPr>
        <w:t>开展食品安全宣传活动1次，食品安全事故应急演练（培训）1次。</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highlight w:val="none"/>
        </w:rPr>
        <w:t>2．药品及化妆品安全监管经费</w:t>
      </w:r>
      <w:r>
        <w:rPr>
          <w:rFonts w:hint="default" w:ascii="Times New Roman" w:hAnsi="Times New Roman" w:eastAsia="方正仿宋_GBK" w:cs="Times New Roman"/>
          <w:color w:val="auto"/>
          <w:kern w:val="0"/>
          <w:sz w:val="32"/>
          <w:szCs w:val="32"/>
          <w:highlight w:val="none"/>
          <w:lang w:eastAsia="zh-CN"/>
        </w:rPr>
        <w:t>：实施药品监督抽检160批次，重点对玉溪市公立医院药品采购平台中标药品，国家集中采购中标药品，以及中药饮片、国家基本药物、儿童用药、历年来监督抽检中发现的不合格批次较多、不良反应较多、投诉举报较多的品种和国家药监局、本省、其他省份公布的不合格品种、违法宣传严重、市场流通量较大以及易变质、失效、潮解等药品品种进行抽检。</w:t>
      </w:r>
      <w:r>
        <w:rPr>
          <w:rFonts w:hint="eastAsia" w:eastAsia="方正仿宋_GBK" w:cs="Times New Roman"/>
          <w:color w:val="auto"/>
          <w:kern w:val="0"/>
          <w:sz w:val="32"/>
          <w:szCs w:val="32"/>
          <w:highlight w:val="none"/>
          <w:lang w:eastAsia="zh-CN"/>
        </w:rPr>
        <w:t>实施</w:t>
      </w:r>
      <w:r>
        <w:rPr>
          <w:rFonts w:hint="default" w:ascii="Times New Roman" w:hAnsi="Times New Roman" w:eastAsia="方正仿宋_GBK" w:cs="Times New Roman"/>
          <w:color w:val="auto"/>
          <w:kern w:val="0"/>
          <w:sz w:val="32"/>
          <w:szCs w:val="32"/>
          <w:highlight w:val="none"/>
          <w:lang w:eastAsia="zh-CN"/>
        </w:rPr>
        <w:t>化妆品监督抽检</w:t>
      </w:r>
      <w:r>
        <w:rPr>
          <w:rFonts w:hint="eastAsia" w:eastAsia="方正仿宋_GBK" w:cs="Times New Roman"/>
          <w:color w:val="auto"/>
          <w:kern w:val="0"/>
          <w:sz w:val="32"/>
          <w:szCs w:val="32"/>
          <w:highlight w:val="none"/>
          <w:lang w:val="en-US" w:eastAsia="zh-CN"/>
        </w:rPr>
        <w:t>20</w:t>
      </w:r>
      <w:r>
        <w:rPr>
          <w:rFonts w:hint="default" w:ascii="Times New Roman" w:hAnsi="Times New Roman" w:eastAsia="方正仿宋_GBK" w:cs="Times New Roman"/>
          <w:color w:val="auto"/>
          <w:kern w:val="0"/>
          <w:sz w:val="32"/>
          <w:szCs w:val="32"/>
          <w:highlight w:val="none"/>
          <w:lang w:eastAsia="zh-CN"/>
        </w:rPr>
        <w:t>批次，重点对以往抽检中问题较为突出和群众关注度高的儿童类化妆品、染发类、祛斑美白类等类别化妆品开展监督抽检。</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lang w:val="en-US" w:eastAsia="zh-CN"/>
        </w:rPr>
      </w:pPr>
      <w:r>
        <w:rPr>
          <w:rFonts w:hint="default" w:ascii="Times New Roman" w:hAnsi="Times New Roman" w:eastAsia="方正仿宋_GBK" w:cs="Times New Roman"/>
          <w:color w:val="auto"/>
          <w:kern w:val="0"/>
          <w:sz w:val="32"/>
          <w:szCs w:val="32"/>
          <w:highlight w:val="none"/>
        </w:rPr>
        <w:t>3．</w:t>
      </w:r>
      <w:r>
        <w:rPr>
          <w:rFonts w:hint="default" w:ascii="Times New Roman" w:hAnsi="Times New Roman" w:eastAsia="方正仿宋_GBK" w:cs="Times New Roman"/>
          <w:color w:val="auto"/>
          <w:kern w:val="0"/>
          <w:sz w:val="32"/>
          <w:szCs w:val="32"/>
          <w:highlight w:val="none"/>
          <w:lang w:eastAsia="zh-CN"/>
        </w:rPr>
        <w:t>质量发展监督工作经费：</w:t>
      </w:r>
      <w:r>
        <w:rPr>
          <w:rFonts w:hint="default" w:ascii="Times New Roman" w:hAnsi="Times New Roman" w:eastAsia="方正仿宋_GBK" w:cs="Times New Roman"/>
          <w:color w:val="auto"/>
          <w:kern w:val="0"/>
          <w:sz w:val="32"/>
          <w:szCs w:val="32"/>
          <w:highlight w:val="none"/>
          <w:lang w:val="en-US" w:eastAsia="zh-CN"/>
        </w:rPr>
        <w:t>组织质量强链和质量体系建设培训费1次，开展质量月宣传活动1次，联合省质量学会开展省政府质量奖帮扶、质量强链培育</w:t>
      </w:r>
      <w:r>
        <w:rPr>
          <w:rFonts w:hint="eastAsia" w:eastAsia="方正仿宋_GBK" w:cs="Times New Roman"/>
          <w:color w:val="auto"/>
          <w:kern w:val="0"/>
          <w:sz w:val="32"/>
          <w:szCs w:val="32"/>
          <w:highlight w:val="none"/>
          <w:lang w:val="en-US" w:eastAsia="zh-CN"/>
        </w:rPr>
        <w:t>相关工作。</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highlight w:val="none"/>
        </w:rPr>
        <w:t>4．特种设备安全监管专项经费</w:t>
      </w:r>
      <w:r>
        <w:rPr>
          <w:rFonts w:hint="default" w:ascii="Times New Roman" w:hAnsi="Times New Roman" w:eastAsia="方正仿宋_GBK" w:cs="Times New Roman"/>
          <w:color w:val="auto"/>
          <w:kern w:val="0"/>
          <w:sz w:val="32"/>
          <w:szCs w:val="32"/>
          <w:highlight w:val="none"/>
          <w:lang w:eastAsia="zh-CN"/>
        </w:rPr>
        <w:t>：</w:t>
      </w:r>
      <w:r>
        <w:rPr>
          <w:rFonts w:hint="eastAsia" w:eastAsia="方正仿宋_GBK" w:cs="Times New Roman"/>
          <w:color w:val="auto"/>
          <w:kern w:val="0"/>
          <w:sz w:val="32"/>
          <w:szCs w:val="32"/>
          <w:highlight w:val="none"/>
          <w:lang w:eastAsia="zh-CN"/>
        </w:rPr>
        <w:t>组织</w:t>
      </w:r>
      <w:r>
        <w:rPr>
          <w:rFonts w:hint="default" w:ascii="Times New Roman" w:hAnsi="Times New Roman" w:eastAsia="方正仿宋_GBK" w:cs="Times New Roman"/>
          <w:color w:val="auto"/>
          <w:spacing w:val="14"/>
          <w:sz w:val="32"/>
          <w:szCs w:val="32"/>
          <w:lang w:val="en-US" w:eastAsia="zh-CN"/>
        </w:rPr>
        <w:t>开展特种设备应急救援演练和基层特种设备安全监察人员业务技能提升培训1次。</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eastAsia="仿宋_GB2312"/>
          <w:color w:val="auto"/>
          <w:kern w:val="0"/>
          <w:sz w:val="32"/>
          <w:szCs w:val="32"/>
          <w:highlight w:val="none"/>
          <w:lang w:eastAsia="zh-CN"/>
        </w:rPr>
      </w:pPr>
      <w:r>
        <w:rPr>
          <w:rFonts w:hint="default" w:ascii="Times New Roman" w:hAnsi="Times New Roman" w:eastAsia="方正仿宋_GBK" w:cs="Times New Roman"/>
          <w:color w:val="auto"/>
          <w:kern w:val="0"/>
          <w:sz w:val="32"/>
          <w:szCs w:val="32"/>
          <w:highlight w:val="none"/>
        </w:rPr>
        <w:t>5．非税收入成本性支出补助资金</w:t>
      </w:r>
      <w:r>
        <w:rPr>
          <w:rFonts w:hint="default" w:ascii="Times New Roman" w:hAnsi="Times New Roman" w:eastAsia="方正仿宋_GBK" w:cs="Times New Roman"/>
          <w:color w:val="auto"/>
          <w:kern w:val="0"/>
          <w:sz w:val="32"/>
          <w:szCs w:val="32"/>
          <w:highlight w:val="none"/>
          <w:lang w:val="en-US" w:eastAsia="zh-CN"/>
        </w:rPr>
        <w:t>:通过对市场监管领域的日常监管和执法办案，全年完成计划案件的查处，案件办结率达90%以上，计划实现罚没收入</w:t>
      </w:r>
      <w:r>
        <w:rPr>
          <w:rFonts w:hint="eastAsia" w:eastAsia="方正仿宋_GBK" w:cs="Times New Roman"/>
          <w:color w:val="auto"/>
          <w:kern w:val="0"/>
          <w:sz w:val="32"/>
          <w:szCs w:val="32"/>
          <w:highlight w:val="none"/>
          <w:lang w:val="en-US" w:eastAsia="zh-CN"/>
        </w:rPr>
        <w:t>3,000,000.00</w:t>
      </w:r>
      <w:r>
        <w:rPr>
          <w:rFonts w:hint="default" w:ascii="Times New Roman" w:hAnsi="Times New Roman" w:eastAsia="方正仿宋_GBK" w:cs="Times New Roman"/>
          <w:color w:val="auto"/>
          <w:kern w:val="0"/>
          <w:sz w:val="32"/>
          <w:szCs w:val="32"/>
          <w:highlight w:val="none"/>
          <w:lang w:val="en-US" w:eastAsia="zh-CN"/>
        </w:rPr>
        <w:t>元以上；通过组织开展培训</w:t>
      </w:r>
      <w:r>
        <w:rPr>
          <w:rFonts w:hint="eastAsia" w:eastAsia="方正仿宋_GBK" w:cs="Times New Roman"/>
          <w:color w:val="auto"/>
          <w:kern w:val="0"/>
          <w:sz w:val="32"/>
          <w:szCs w:val="32"/>
          <w:highlight w:val="none"/>
          <w:lang w:val="en-US" w:eastAsia="zh-CN"/>
        </w:rPr>
        <w:t>1次</w:t>
      </w:r>
      <w:r>
        <w:rPr>
          <w:rFonts w:hint="default" w:ascii="Times New Roman" w:hAnsi="Times New Roman" w:eastAsia="方正仿宋_GBK" w:cs="Times New Roman"/>
          <w:color w:val="auto"/>
          <w:kern w:val="0"/>
          <w:sz w:val="32"/>
          <w:szCs w:val="32"/>
          <w:highlight w:val="none"/>
          <w:lang w:val="en-US" w:eastAsia="zh-CN"/>
        </w:rPr>
        <w:t>，提高市场监管干部的业务水平，更好的开展市场监管工作；通过对投诉举报人员的奖励，实现全方位、多层次掌握食品药品违法案件，强化生产营企业的主体责任意识，保证食品、药品、特设、产品质量安全，确保不发生重特大安全事故，市场监管水平全面提升，人民群众的满意度提高。</w:t>
      </w:r>
    </w:p>
    <w:p>
      <w:pPr>
        <w:keepNext w:val="0"/>
        <w:keepLines w:val="0"/>
        <w:pageBreakBefore w:val="0"/>
        <w:widowControl/>
        <w:numPr>
          <w:ilvl w:val="0"/>
          <w:numId w:val="1"/>
        </w:numPr>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黑体" w:hAnsi="黑体" w:eastAsia="黑体" w:cs="黑体"/>
          <w:color w:val="auto"/>
          <w:kern w:val="0"/>
          <w:sz w:val="32"/>
          <w:szCs w:val="32"/>
          <w:highlight w:val="none"/>
          <w:lang w:eastAsia="zh-CN"/>
        </w:rPr>
      </w:pPr>
      <w:r>
        <w:rPr>
          <w:rFonts w:hint="eastAsia" w:ascii="黑体" w:hAnsi="黑体" w:eastAsia="黑体" w:cs="黑体"/>
          <w:color w:val="auto"/>
          <w:kern w:val="0"/>
          <w:sz w:val="32"/>
          <w:szCs w:val="32"/>
          <w:highlight w:val="none"/>
          <w:lang w:eastAsia="zh-CN"/>
        </w:rPr>
        <w:t>资金安排情况</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lang w:val="en-US" w:eastAsia="zh-CN"/>
        </w:rPr>
      </w:pPr>
      <w:r>
        <w:rPr>
          <w:rFonts w:hint="default" w:ascii="Times New Roman" w:hAnsi="Times New Roman" w:eastAsia="方正仿宋_GBK" w:cs="Times New Roman"/>
          <w:color w:val="auto"/>
          <w:kern w:val="0"/>
          <w:sz w:val="32"/>
          <w:szCs w:val="32"/>
          <w:highlight w:val="none"/>
        </w:rPr>
        <w:t>1．食品安全宣传、培训及应急演练项目经费</w:t>
      </w:r>
      <w:r>
        <w:rPr>
          <w:rFonts w:hint="eastAsia" w:eastAsia="方正仿宋_GBK" w:cs="Times New Roman"/>
          <w:color w:val="auto"/>
          <w:kern w:val="0"/>
          <w:sz w:val="32"/>
          <w:szCs w:val="32"/>
          <w:highlight w:val="none"/>
          <w:lang w:val="en-US" w:eastAsia="zh-CN"/>
        </w:rPr>
        <w:t>100,000.00</w:t>
      </w:r>
      <w:r>
        <w:rPr>
          <w:rFonts w:hint="eastAsia" w:ascii="Times New Roman" w:hAnsi="Times New Roman" w:eastAsia="方正仿宋_GBK" w:cs="Times New Roman"/>
          <w:color w:val="auto"/>
          <w:kern w:val="0"/>
          <w:sz w:val="32"/>
          <w:szCs w:val="32"/>
          <w:highlight w:val="none"/>
          <w:lang w:val="en-US" w:eastAsia="zh-CN"/>
        </w:rPr>
        <w:t>元。</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lang w:val="en-US" w:eastAsia="zh-CN"/>
        </w:rPr>
      </w:pPr>
      <w:r>
        <w:rPr>
          <w:rFonts w:hint="default" w:ascii="Times New Roman" w:hAnsi="Times New Roman" w:eastAsia="方正仿宋_GBK" w:cs="Times New Roman"/>
          <w:color w:val="auto"/>
          <w:kern w:val="0"/>
          <w:sz w:val="32"/>
          <w:szCs w:val="32"/>
          <w:highlight w:val="none"/>
        </w:rPr>
        <w:t>2．药品及化妆品安全监管经费</w:t>
      </w:r>
      <w:r>
        <w:rPr>
          <w:rFonts w:hint="eastAsia" w:eastAsia="方正仿宋_GBK" w:cs="Times New Roman"/>
          <w:color w:val="auto"/>
          <w:kern w:val="0"/>
          <w:sz w:val="32"/>
          <w:szCs w:val="32"/>
          <w:highlight w:val="none"/>
          <w:lang w:val="en-US" w:eastAsia="zh-CN"/>
        </w:rPr>
        <w:t>90,000.00</w:t>
      </w:r>
      <w:r>
        <w:rPr>
          <w:rFonts w:hint="eastAsia" w:ascii="Times New Roman" w:hAnsi="Times New Roman" w:eastAsia="方正仿宋_GBK" w:cs="Times New Roman"/>
          <w:color w:val="auto"/>
          <w:kern w:val="0"/>
          <w:sz w:val="32"/>
          <w:szCs w:val="32"/>
          <w:highlight w:val="none"/>
          <w:lang w:val="en-US" w:eastAsia="zh-CN"/>
        </w:rPr>
        <w:t>元。</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lang w:val="en-US" w:eastAsia="zh-CN"/>
        </w:rPr>
      </w:pPr>
      <w:r>
        <w:rPr>
          <w:rFonts w:hint="default" w:ascii="Times New Roman" w:hAnsi="Times New Roman" w:eastAsia="方正仿宋_GBK" w:cs="Times New Roman"/>
          <w:color w:val="auto"/>
          <w:kern w:val="0"/>
          <w:sz w:val="32"/>
          <w:szCs w:val="32"/>
          <w:highlight w:val="none"/>
        </w:rPr>
        <w:t>3．质量发展监督工作经费</w:t>
      </w:r>
      <w:r>
        <w:rPr>
          <w:rFonts w:hint="eastAsia" w:ascii="Times New Roman" w:hAnsi="Times New Roman" w:eastAsia="方正仿宋_GBK" w:cs="Times New Roman"/>
          <w:color w:val="auto"/>
          <w:kern w:val="0"/>
          <w:sz w:val="32"/>
          <w:szCs w:val="32"/>
          <w:highlight w:val="none"/>
          <w:lang w:val="en-US" w:eastAsia="zh-CN"/>
        </w:rPr>
        <w:t>100,000.00元。</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lang w:val="en-US" w:eastAsia="zh-CN"/>
        </w:rPr>
      </w:pPr>
      <w:r>
        <w:rPr>
          <w:rFonts w:hint="default" w:ascii="Times New Roman" w:hAnsi="Times New Roman" w:eastAsia="方正仿宋_GBK" w:cs="Times New Roman"/>
          <w:color w:val="auto"/>
          <w:kern w:val="0"/>
          <w:sz w:val="32"/>
          <w:szCs w:val="32"/>
          <w:highlight w:val="none"/>
        </w:rPr>
        <w:t>4．特种设备安全监管专项经费</w:t>
      </w:r>
      <w:r>
        <w:rPr>
          <w:rFonts w:hint="eastAsia" w:eastAsia="方正仿宋_GBK" w:cs="Times New Roman"/>
          <w:color w:val="auto"/>
          <w:kern w:val="0"/>
          <w:sz w:val="32"/>
          <w:szCs w:val="32"/>
          <w:highlight w:val="none"/>
          <w:lang w:val="en-US" w:eastAsia="zh-CN"/>
        </w:rPr>
        <w:t>50,000.00</w:t>
      </w:r>
      <w:r>
        <w:rPr>
          <w:rFonts w:hint="eastAsia" w:ascii="Times New Roman" w:hAnsi="Times New Roman" w:eastAsia="方正仿宋_GBK" w:cs="Times New Roman"/>
          <w:color w:val="auto"/>
          <w:kern w:val="0"/>
          <w:sz w:val="32"/>
          <w:szCs w:val="32"/>
          <w:highlight w:val="none"/>
          <w:lang w:val="en-US" w:eastAsia="zh-CN"/>
        </w:rPr>
        <w:t>元。</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lang w:val="en-US" w:eastAsia="zh-CN"/>
        </w:rPr>
      </w:pPr>
      <w:r>
        <w:rPr>
          <w:rFonts w:hint="default" w:ascii="Times New Roman" w:hAnsi="Times New Roman" w:eastAsia="方正仿宋_GBK" w:cs="Times New Roman"/>
          <w:color w:val="auto"/>
          <w:kern w:val="0"/>
          <w:sz w:val="32"/>
          <w:szCs w:val="32"/>
          <w:highlight w:val="none"/>
        </w:rPr>
        <w:t>5．非税收入成本性支出补助资金</w:t>
      </w:r>
      <w:r>
        <w:rPr>
          <w:rFonts w:hint="eastAsia" w:eastAsia="方正仿宋_GBK" w:cs="Times New Roman"/>
          <w:color w:val="auto"/>
          <w:kern w:val="0"/>
          <w:sz w:val="32"/>
          <w:szCs w:val="32"/>
          <w:highlight w:val="none"/>
          <w:lang w:val="en-US" w:eastAsia="zh-CN"/>
        </w:rPr>
        <w:t>1,000,000.00</w:t>
      </w:r>
      <w:r>
        <w:rPr>
          <w:rFonts w:hint="eastAsia" w:ascii="Times New Roman" w:hAnsi="Times New Roman" w:eastAsia="方正仿宋_GBK" w:cs="Times New Roman"/>
          <w:color w:val="auto"/>
          <w:kern w:val="0"/>
          <w:sz w:val="32"/>
          <w:szCs w:val="32"/>
          <w:highlight w:val="none"/>
          <w:lang w:val="en-US" w:eastAsia="zh-CN"/>
        </w:rPr>
        <w:t>元。</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lang w:eastAsia="zh-CN"/>
        </w:rPr>
      </w:pPr>
      <w:r>
        <w:rPr>
          <w:rFonts w:hint="eastAsia" w:eastAsia="方正仿宋_GBK" w:cs="Times New Roman"/>
          <w:b w:val="0"/>
          <w:kern w:val="0"/>
          <w:sz w:val="32"/>
          <w:szCs w:val="32"/>
          <w:lang w:val="en-US" w:eastAsia="zh-CN" w:bidi="ar"/>
        </w:rPr>
        <w:t>2025年</w:t>
      </w:r>
      <w:r>
        <w:rPr>
          <w:rFonts w:hint="default" w:ascii="Times New Roman" w:hAnsi="Times New Roman" w:eastAsia="方正仿宋_GBK" w:cs="Times New Roman"/>
          <w:b w:val="0"/>
          <w:kern w:val="0"/>
          <w:sz w:val="32"/>
          <w:szCs w:val="32"/>
          <w:lang w:val="en-US" w:eastAsia="zh-CN" w:bidi="ar"/>
        </w:rPr>
        <w:t>2-</w:t>
      </w:r>
      <w:r>
        <w:rPr>
          <w:rFonts w:hint="eastAsia" w:ascii="Times New Roman" w:hAnsi="Times New Roman" w:eastAsia="方正仿宋_GBK" w:cs="Times New Roman"/>
          <w:b w:val="0"/>
          <w:kern w:val="0"/>
          <w:sz w:val="32"/>
          <w:szCs w:val="32"/>
          <w:lang w:val="en-US" w:eastAsia="zh-CN" w:bidi="ar"/>
        </w:rPr>
        <w:t>9</w:t>
      </w:r>
      <w:r>
        <w:rPr>
          <w:rFonts w:hint="default" w:ascii="Times New Roman" w:hAnsi="Times New Roman" w:eastAsia="方正仿宋_GBK" w:cs="Times New Roman"/>
          <w:b w:val="0"/>
          <w:kern w:val="0"/>
          <w:sz w:val="32"/>
          <w:szCs w:val="32"/>
          <w:lang w:val="en-US" w:eastAsia="zh-CN" w:bidi="ar"/>
        </w:rPr>
        <w:t>月按照各项目工作实施方案申报各项目资金，</w:t>
      </w:r>
      <w:r>
        <w:rPr>
          <w:rFonts w:hint="eastAsia" w:ascii="Times New Roman" w:hAnsi="Times New Roman" w:eastAsia="方正仿宋_GBK" w:cs="Times New Roman"/>
          <w:b w:val="0"/>
          <w:kern w:val="0"/>
          <w:sz w:val="32"/>
          <w:szCs w:val="32"/>
          <w:lang w:val="en-US" w:eastAsia="zh-CN" w:bidi="ar"/>
        </w:rPr>
        <w:t>为</w:t>
      </w:r>
      <w:r>
        <w:rPr>
          <w:rFonts w:hint="default" w:ascii="Times New Roman" w:hAnsi="Times New Roman" w:eastAsia="方正仿宋_GBK" w:cs="Times New Roman"/>
          <w:b w:val="0"/>
          <w:kern w:val="0"/>
          <w:sz w:val="32"/>
          <w:szCs w:val="32"/>
          <w:lang w:val="en-US" w:eastAsia="zh-CN" w:bidi="ar"/>
        </w:rPr>
        <w:t>各项目按计划完成目标</w:t>
      </w:r>
      <w:r>
        <w:rPr>
          <w:rFonts w:hint="eastAsia" w:ascii="Times New Roman" w:hAnsi="Times New Roman" w:eastAsia="方正仿宋_GBK" w:cs="Times New Roman"/>
          <w:b w:val="0"/>
          <w:kern w:val="0"/>
          <w:sz w:val="32"/>
          <w:szCs w:val="32"/>
          <w:lang w:val="en-US" w:eastAsia="zh-CN" w:bidi="ar"/>
        </w:rPr>
        <w:t>提供资金保障</w:t>
      </w:r>
      <w:r>
        <w:rPr>
          <w:rFonts w:hint="default" w:ascii="Times New Roman" w:hAnsi="Times New Roman" w:eastAsia="方正仿宋_GBK" w:cs="Times New Roman"/>
          <w:b w:val="0"/>
          <w:kern w:val="0"/>
          <w:sz w:val="32"/>
          <w:szCs w:val="32"/>
          <w:lang w:val="en-US" w:eastAsia="zh-CN" w:bidi="ar"/>
        </w:rPr>
        <w:t>，12月底将资金支付完毕。</w:t>
      </w:r>
    </w:p>
    <w:p>
      <w:pPr>
        <w:keepNext w:val="0"/>
        <w:keepLines w:val="0"/>
        <w:pageBreakBefore w:val="0"/>
        <w:widowControl/>
        <w:numPr>
          <w:ilvl w:val="0"/>
          <w:numId w:val="1"/>
        </w:numPr>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黑体" w:hAnsi="黑体" w:eastAsia="黑体" w:cs="黑体"/>
          <w:color w:val="auto"/>
          <w:kern w:val="0"/>
          <w:sz w:val="32"/>
          <w:szCs w:val="32"/>
          <w:highlight w:val="none"/>
          <w:lang w:eastAsia="zh-CN"/>
        </w:rPr>
      </w:pPr>
      <w:r>
        <w:rPr>
          <w:rFonts w:hint="eastAsia" w:ascii="黑体" w:hAnsi="黑体" w:eastAsia="黑体" w:cs="黑体"/>
          <w:color w:val="auto"/>
          <w:kern w:val="0"/>
          <w:sz w:val="32"/>
          <w:szCs w:val="32"/>
          <w:highlight w:val="none"/>
          <w:lang w:eastAsia="zh-CN"/>
        </w:rPr>
        <w:t>项目实施计划</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color w:val="auto"/>
          <w:kern w:val="0"/>
          <w:sz w:val="32"/>
          <w:szCs w:val="32"/>
          <w:highlight w:val="none"/>
          <w:lang w:val="en-US" w:eastAsia="zh-CN"/>
        </w:rPr>
      </w:pPr>
      <w:r>
        <w:rPr>
          <w:rFonts w:hint="eastAsia" w:eastAsia="方正仿宋_GBK" w:cs="Times New Roman"/>
          <w:color w:val="auto"/>
          <w:kern w:val="0"/>
          <w:sz w:val="32"/>
          <w:szCs w:val="32"/>
          <w:highlight w:val="none"/>
          <w:lang w:val="en-US" w:eastAsia="zh-CN"/>
        </w:rPr>
        <w:t>1.</w:t>
      </w:r>
      <w:r>
        <w:rPr>
          <w:rFonts w:hint="default" w:ascii="Times New Roman" w:hAnsi="Times New Roman" w:eastAsia="方正仿宋_GBK" w:cs="Times New Roman"/>
          <w:color w:val="auto"/>
          <w:kern w:val="0"/>
          <w:sz w:val="32"/>
          <w:szCs w:val="32"/>
          <w:highlight w:val="none"/>
          <w:lang w:eastAsia="zh-CN"/>
        </w:rPr>
        <w:t>食品安全宣传、培训及应急演练项目</w:t>
      </w:r>
      <w:r>
        <w:rPr>
          <w:rFonts w:hint="eastAsia" w:eastAsia="方正仿宋_GBK" w:cs="Times New Roman"/>
          <w:color w:val="auto"/>
          <w:kern w:val="0"/>
          <w:sz w:val="32"/>
          <w:szCs w:val="32"/>
          <w:highlight w:val="none"/>
          <w:lang w:eastAsia="zh-CN"/>
        </w:rPr>
        <w:t>经费</w:t>
      </w:r>
      <w:r>
        <w:rPr>
          <w:rFonts w:hint="eastAsia" w:eastAsia="方正仿宋_GBK" w:cs="Times New Roman"/>
          <w:color w:val="auto"/>
          <w:kern w:val="0"/>
          <w:sz w:val="32"/>
          <w:szCs w:val="32"/>
          <w:highlight w:val="none"/>
          <w:lang w:val="en-US" w:eastAsia="zh-CN"/>
        </w:rPr>
        <w:t>:</w:t>
      </w:r>
      <w:r>
        <w:rPr>
          <w:rFonts w:hint="eastAsia" w:eastAsia="方正仿宋_GBK" w:cs="Times New Roman"/>
          <w:color w:val="auto"/>
          <w:kern w:val="0"/>
          <w:sz w:val="32"/>
          <w:szCs w:val="32"/>
          <w:highlight w:val="none"/>
          <w:lang w:eastAsia="zh-CN"/>
        </w:rPr>
        <w:t>按照上级工作</w:t>
      </w:r>
      <w:r>
        <w:rPr>
          <w:rFonts w:hint="default" w:ascii="Times New Roman" w:hAnsi="Times New Roman" w:eastAsia="方正仿宋_GBK" w:cs="Times New Roman"/>
          <w:color w:val="auto"/>
          <w:kern w:val="0"/>
          <w:sz w:val="32"/>
          <w:szCs w:val="32"/>
          <w:highlight w:val="none"/>
          <w:lang w:eastAsia="zh-CN"/>
        </w:rPr>
        <w:t>要求，计划于2025年6至10月择期开展食品安全宣传</w:t>
      </w:r>
      <w:r>
        <w:rPr>
          <w:rFonts w:hint="eastAsia" w:eastAsia="方正仿宋_GBK" w:cs="Times New Roman"/>
          <w:color w:val="auto"/>
          <w:kern w:val="0"/>
          <w:sz w:val="32"/>
          <w:szCs w:val="32"/>
          <w:highlight w:val="none"/>
          <w:lang w:eastAsia="zh-CN"/>
        </w:rPr>
        <w:t>，</w:t>
      </w:r>
      <w:r>
        <w:rPr>
          <w:rFonts w:hint="default" w:ascii="Times New Roman" w:hAnsi="Times New Roman" w:eastAsia="方正仿宋_GBK" w:cs="Times New Roman"/>
          <w:color w:val="auto"/>
          <w:kern w:val="0"/>
          <w:sz w:val="32"/>
          <w:szCs w:val="32"/>
          <w:highlight w:val="none"/>
          <w:lang w:eastAsia="zh-CN"/>
        </w:rPr>
        <w:t>9月开展食品安全培训</w:t>
      </w:r>
      <w:r>
        <w:rPr>
          <w:rFonts w:hint="eastAsia" w:eastAsia="方正仿宋_GBK" w:cs="Times New Roman"/>
          <w:color w:val="auto"/>
          <w:kern w:val="0"/>
          <w:sz w:val="32"/>
          <w:szCs w:val="32"/>
          <w:highlight w:val="none"/>
          <w:lang w:eastAsia="zh-CN"/>
        </w:rPr>
        <w:t>，</w:t>
      </w:r>
      <w:r>
        <w:rPr>
          <w:rFonts w:hint="eastAsia" w:eastAsia="方正仿宋_GBK" w:cs="Times New Roman"/>
          <w:color w:val="auto"/>
          <w:kern w:val="0"/>
          <w:sz w:val="32"/>
          <w:szCs w:val="32"/>
          <w:highlight w:val="none"/>
          <w:lang w:val="en-US" w:eastAsia="zh-CN"/>
        </w:rPr>
        <w:t>10月开展食品安全事故应急演练1次。</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eastAsia="方正仿宋_GBK" w:cs="Times New Roman"/>
          <w:color w:val="auto"/>
          <w:kern w:val="0"/>
          <w:sz w:val="32"/>
          <w:szCs w:val="32"/>
          <w:highlight w:val="none"/>
          <w:lang w:val="en-US" w:eastAsia="zh-CN"/>
        </w:rPr>
      </w:pPr>
      <w:r>
        <w:rPr>
          <w:rFonts w:hint="eastAsia" w:eastAsia="方正仿宋_GBK" w:cs="Times New Roman"/>
          <w:color w:val="auto"/>
          <w:kern w:val="0"/>
          <w:sz w:val="32"/>
          <w:szCs w:val="32"/>
          <w:highlight w:val="none"/>
          <w:lang w:val="en-US" w:eastAsia="zh-CN"/>
        </w:rPr>
        <w:t>2.</w:t>
      </w:r>
      <w:r>
        <w:rPr>
          <w:rFonts w:hint="default" w:ascii="Times New Roman" w:hAnsi="Times New Roman" w:eastAsia="方正仿宋_GBK" w:cs="Times New Roman"/>
          <w:color w:val="auto"/>
          <w:kern w:val="0"/>
          <w:sz w:val="32"/>
          <w:szCs w:val="32"/>
          <w:highlight w:val="none"/>
          <w:lang w:eastAsia="zh-CN"/>
        </w:rPr>
        <w:t>药品及化妆品安全监管经费</w:t>
      </w:r>
      <w:r>
        <w:rPr>
          <w:rFonts w:hint="eastAsia" w:eastAsia="方正仿宋_GBK" w:cs="Times New Roman"/>
          <w:color w:val="auto"/>
          <w:kern w:val="0"/>
          <w:sz w:val="32"/>
          <w:szCs w:val="32"/>
          <w:highlight w:val="none"/>
          <w:lang w:eastAsia="zh-CN"/>
        </w:rPr>
        <w:t>：2025年开展药品抽检160批次（含监督抽检、涉案或应急抽检），化妆品监督抽检20批次，计划</w:t>
      </w:r>
      <w:r>
        <w:rPr>
          <w:rFonts w:hint="eastAsia" w:eastAsia="方正仿宋_GBK" w:cs="Times New Roman"/>
          <w:color w:val="auto"/>
          <w:kern w:val="0"/>
          <w:sz w:val="32"/>
          <w:szCs w:val="32"/>
          <w:highlight w:val="none"/>
          <w:lang w:val="en-US" w:eastAsia="zh-CN"/>
        </w:rPr>
        <w:t>2025年1-3月制定2025年化妆品监督抽检工作实施方案，4-6月完成项目任务40%，7-9月完成项目任务60%，10-12月全面完成项目任务，并将项目实施工作完成情况形成书面总结。</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eastAsia="方正仿宋_GBK" w:cs="Times New Roman"/>
          <w:color w:val="auto"/>
          <w:kern w:val="0"/>
          <w:sz w:val="32"/>
          <w:szCs w:val="32"/>
          <w:highlight w:val="none"/>
          <w:lang w:eastAsia="zh-CN"/>
        </w:rPr>
      </w:pPr>
      <w:r>
        <w:rPr>
          <w:rFonts w:hint="eastAsia" w:eastAsia="方正仿宋_GBK" w:cs="Times New Roman"/>
          <w:color w:val="auto"/>
          <w:kern w:val="0"/>
          <w:sz w:val="32"/>
          <w:szCs w:val="32"/>
          <w:highlight w:val="none"/>
          <w:lang w:val="en-US" w:eastAsia="zh-CN"/>
        </w:rPr>
        <w:t>3.</w:t>
      </w:r>
      <w:r>
        <w:rPr>
          <w:rFonts w:hint="default" w:ascii="Times New Roman" w:hAnsi="Times New Roman" w:eastAsia="方正仿宋_GBK" w:cs="Times New Roman"/>
          <w:color w:val="auto"/>
          <w:kern w:val="0"/>
          <w:sz w:val="32"/>
          <w:szCs w:val="32"/>
          <w:highlight w:val="none"/>
        </w:rPr>
        <w:t>质量发展监督工作经费</w:t>
      </w:r>
      <w:r>
        <w:rPr>
          <w:rFonts w:hint="eastAsia" w:eastAsia="方正仿宋_GBK" w:cs="Times New Roman"/>
          <w:color w:val="auto"/>
          <w:kern w:val="0"/>
          <w:sz w:val="32"/>
          <w:szCs w:val="32"/>
          <w:highlight w:val="none"/>
          <w:lang w:eastAsia="zh-CN"/>
        </w:rPr>
        <w:t>：根据上级工作安排组织开展质量强链和质量体系建设培训1期，计划培训人员90人次；</w:t>
      </w:r>
      <w:r>
        <w:rPr>
          <w:rFonts w:hint="eastAsia" w:eastAsia="方正仿宋_GBK" w:cs="Times New Roman"/>
          <w:color w:val="auto"/>
          <w:kern w:val="0"/>
          <w:sz w:val="32"/>
          <w:szCs w:val="32"/>
          <w:highlight w:val="none"/>
          <w:lang w:val="en-US" w:eastAsia="zh-CN"/>
        </w:rPr>
        <w:t>2025年</w:t>
      </w:r>
      <w:r>
        <w:rPr>
          <w:rFonts w:hint="eastAsia" w:eastAsia="方正仿宋_GBK" w:cs="Times New Roman"/>
          <w:color w:val="auto"/>
          <w:kern w:val="0"/>
          <w:sz w:val="32"/>
          <w:szCs w:val="32"/>
          <w:highlight w:val="none"/>
          <w:lang w:eastAsia="zh-CN"/>
        </w:rPr>
        <w:t>9月组织开展质量月宣传活动1次；根据上级工作安排</w:t>
      </w:r>
      <w:r>
        <w:rPr>
          <w:rFonts w:hint="default" w:ascii="Times New Roman" w:hAnsi="Times New Roman" w:eastAsia="方正仿宋_GBK" w:cs="Times New Roman"/>
          <w:color w:val="auto"/>
          <w:kern w:val="0"/>
          <w:sz w:val="32"/>
          <w:szCs w:val="32"/>
          <w:highlight w:val="none"/>
          <w:lang w:val="en-US" w:eastAsia="zh-CN"/>
        </w:rPr>
        <w:t>联合省质量学会开展省政府质量奖帮扶、质量强链培育</w:t>
      </w:r>
      <w:r>
        <w:rPr>
          <w:rFonts w:hint="eastAsia" w:eastAsia="方正仿宋_GBK" w:cs="Times New Roman"/>
          <w:color w:val="auto"/>
          <w:kern w:val="0"/>
          <w:sz w:val="32"/>
          <w:szCs w:val="32"/>
          <w:highlight w:val="none"/>
          <w:lang w:val="en-US" w:eastAsia="zh-CN"/>
        </w:rPr>
        <w:t>相关工作</w:t>
      </w:r>
      <w:r>
        <w:rPr>
          <w:rFonts w:hint="eastAsia" w:eastAsia="方正仿宋_GBK" w:cs="Times New Roman"/>
          <w:color w:val="auto"/>
          <w:kern w:val="0"/>
          <w:sz w:val="32"/>
          <w:szCs w:val="32"/>
          <w:highlight w:val="none"/>
          <w:lang w:eastAsia="zh-CN"/>
        </w:rPr>
        <w:t>。</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eastAsia="方正仿宋_GBK" w:cs="Times New Roman"/>
          <w:color w:val="auto"/>
          <w:kern w:val="0"/>
          <w:sz w:val="32"/>
          <w:szCs w:val="32"/>
          <w:highlight w:val="none"/>
          <w:lang w:val="en-US" w:eastAsia="zh-CN"/>
        </w:rPr>
      </w:pPr>
      <w:r>
        <w:rPr>
          <w:rFonts w:hint="eastAsia" w:eastAsia="方正仿宋_GBK" w:cs="Times New Roman"/>
          <w:color w:val="auto"/>
          <w:kern w:val="0"/>
          <w:sz w:val="32"/>
          <w:szCs w:val="32"/>
          <w:highlight w:val="none"/>
          <w:lang w:val="en-US" w:eastAsia="zh-CN"/>
        </w:rPr>
        <w:t>4.特种设备安全监管专项经费：2025年三季度组织开展特种设备应急救援演练和基层特种设备安全监察人员业务技能提升培训1期，计划培训人员50人次。</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eastAsia="方正仿宋_GBK" w:cs="Times New Roman"/>
          <w:color w:val="auto"/>
          <w:kern w:val="0"/>
          <w:sz w:val="32"/>
          <w:szCs w:val="32"/>
          <w:highlight w:val="none"/>
          <w:lang w:val="en-US" w:eastAsia="zh-CN"/>
        </w:rPr>
      </w:pPr>
      <w:r>
        <w:rPr>
          <w:rFonts w:hint="eastAsia" w:eastAsia="方正仿宋_GBK" w:cs="Times New Roman"/>
          <w:color w:val="auto"/>
          <w:kern w:val="0"/>
          <w:sz w:val="32"/>
          <w:szCs w:val="32"/>
          <w:highlight w:val="none"/>
          <w:lang w:val="en-US" w:eastAsia="zh-CN"/>
        </w:rPr>
        <w:t>5.非税收入成本性支出补助资金:加强市场监管领域的日常监管和执法办案，2025年市本级计划完成案件查办数量88件，全市案件查办数量800件以上，案件办结率达90%以上；组织120人次开展业务培训，提高市场监管干部的业务水平；聘请单位法律顾问服务3家；完成特种设备作业人员考试项目1,230项。</w:t>
      </w:r>
    </w:p>
    <w:p>
      <w:pPr>
        <w:keepNext w:val="0"/>
        <w:keepLines w:val="0"/>
        <w:pageBreakBefore w:val="0"/>
        <w:widowControl/>
        <w:numPr>
          <w:ilvl w:val="0"/>
          <w:numId w:val="1"/>
        </w:numPr>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黑体" w:hAnsi="黑体" w:eastAsia="黑体" w:cs="黑体"/>
          <w:color w:val="auto"/>
          <w:kern w:val="0"/>
          <w:sz w:val="32"/>
          <w:szCs w:val="32"/>
          <w:highlight w:val="none"/>
          <w:lang w:eastAsia="zh-CN"/>
        </w:rPr>
      </w:pPr>
      <w:r>
        <w:rPr>
          <w:rFonts w:hint="eastAsia" w:ascii="黑体" w:hAnsi="黑体" w:eastAsia="黑体" w:cs="黑体"/>
          <w:color w:val="auto"/>
          <w:kern w:val="0"/>
          <w:sz w:val="32"/>
          <w:szCs w:val="32"/>
          <w:highlight w:val="none"/>
          <w:lang w:eastAsia="zh-CN"/>
        </w:rPr>
        <w:t>项目实施成效</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kern w:val="0"/>
          <w:sz w:val="32"/>
          <w:szCs w:val="32"/>
          <w:lang w:val="en-US" w:eastAsia="zh-CN" w:bidi="ar"/>
        </w:rPr>
      </w:pPr>
      <w:r>
        <w:rPr>
          <w:rFonts w:hint="default" w:ascii="Times New Roman" w:hAnsi="Times New Roman" w:eastAsia="方正仿宋_GBK" w:cs="Times New Roman"/>
          <w:kern w:val="0"/>
          <w:sz w:val="32"/>
          <w:szCs w:val="32"/>
          <w:lang w:val="en-US" w:eastAsia="zh-CN" w:bidi="ar"/>
        </w:rPr>
        <w:t>202</w:t>
      </w:r>
      <w:r>
        <w:rPr>
          <w:rFonts w:hint="eastAsia" w:eastAsia="方正仿宋_GBK" w:cs="Times New Roman"/>
          <w:kern w:val="0"/>
          <w:sz w:val="32"/>
          <w:szCs w:val="32"/>
          <w:lang w:val="en-US" w:eastAsia="zh-CN" w:bidi="ar"/>
        </w:rPr>
        <w:t>5</w:t>
      </w:r>
      <w:r>
        <w:rPr>
          <w:rFonts w:hint="default" w:ascii="Times New Roman" w:hAnsi="Times New Roman" w:eastAsia="方正仿宋_GBK" w:cs="Times New Roman"/>
          <w:kern w:val="0"/>
          <w:sz w:val="32"/>
          <w:szCs w:val="32"/>
          <w:lang w:val="en-US" w:eastAsia="zh-CN" w:bidi="ar"/>
        </w:rPr>
        <w:t>年，玉溪市市场监督管理局（本级）将以规范市场秩序、保障质量安全、维护公平竞争、保护消费者权益为目标，以查办行政违法案件为重点，</w:t>
      </w:r>
      <w:r>
        <w:rPr>
          <w:rFonts w:hint="default" w:ascii="Times New Roman" w:hAnsi="Times New Roman" w:eastAsia="方正仿宋_GBK" w:cs="Times New Roman"/>
          <w:b w:val="0"/>
          <w:kern w:val="0"/>
          <w:sz w:val="32"/>
          <w:szCs w:val="32"/>
          <w:lang w:val="en-US" w:eastAsia="zh-CN" w:bidi="ar"/>
        </w:rPr>
        <w:t>通过日常监督检查及抽样工作，加强与生产企业、行业协会专家的沟通联系，关注舆情动态，收集企业生产安全风险信息，</w:t>
      </w:r>
      <w:r>
        <w:rPr>
          <w:rFonts w:hint="default" w:ascii="Times New Roman" w:hAnsi="Times New Roman" w:eastAsia="方正仿宋_GBK" w:cs="Times New Roman"/>
          <w:kern w:val="0"/>
          <w:sz w:val="32"/>
          <w:szCs w:val="32"/>
          <w:lang w:val="en-US" w:eastAsia="zh-CN" w:bidi="ar"/>
        </w:rPr>
        <w:t>加大市场监管执法力度，强化执法能力建设，强化生产营企业的主体责任意识，保证食品、药品、产品质量、</w:t>
      </w:r>
      <w:r>
        <w:rPr>
          <w:rFonts w:hint="eastAsia" w:ascii="Times New Roman" w:hAnsi="Times New Roman" w:eastAsia="方正仿宋_GBK" w:cs="Times New Roman"/>
          <w:kern w:val="0"/>
          <w:sz w:val="32"/>
          <w:szCs w:val="32"/>
          <w:lang w:val="en-US" w:eastAsia="zh-CN" w:bidi="ar"/>
        </w:rPr>
        <w:t>特种设备</w:t>
      </w:r>
      <w:r>
        <w:rPr>
          <w:rFonts w:hint="default" w:ascii="Times New Roman" w:hAnsi="Times New Roman" w:eastAsia="方正仿宋_GBK" w:cs="Times New Roman"/>
          <w:kern w:val="0"/>
          <w:sz w:val="32"/>
          <w:szCs w:val="32"/>
          <w:lang w:val="en-US" w:eastAsia="zh-CN" w:bidi="ar"/>
        </w:rPr>
        <w:t>安全，确保不发生重特大安全事故，市场监管水平全面提升，人民群众满意度大幅提高，为创造良好的营商环境、消费环境、安全环境、创新环境，为推动玉溪市高质量、跨越式发展作出市场监管贡献。</w:t>
      </w:r>
    </w:p>
    <w:p>
      <w:pPr>
        <w:pStyle w:val="2"/>
        <w:jc w:val="both"/>
        <w:rPr>
          <w:rFonts w:hint="eastAsia"/>
          <w:lang w:val="en-US" w:eastAsia="zh-CN"/>
        </w:rPr>
      </w:pPr>
    </w:p>
    <w:sectPr>
      <w:headerReference r:id="rId3" w:type="default"/>
      <w:headerReference r:id="rId4" w:type="even"/>
      <w:pgSz w:w="11906" w:h="16838"/>
      <w:pgMar w:top="1247" w:right="1797" w:bottom="1247"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0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MingLiU_HKSCS">
    <w:altName w:val="文泉驿微米黑"/>
    <w:panose1 w:val="02020500000000000000"/>
    <w:charset w:val="86"/>
    <w:family w:val="auto"/>
    <w:pitch w:val="default"/>
    <w:sig w:usb0="A00002FF" w:usb1="38CFFCFA" w:usb2="00000016" w:usb3="00000000" w:csb0="00100001" w:csb1="00000000"/>
  </w:font>
  <w:font w:name="方正小标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华文中宋">
    <w:panose1 w:val="02010600040101010101"/>
    <w:charset w:val="86"/>
    <w:family w:val="auto"/>
    <w:pitch w:val="default"/>
    <w:sig w:usb0="00000287" w:usb1="080F0000" w:usb2="00000000" w:usb3="00000000" w:csb0="0004009F" w:csb1="DFD70000"/>
  </w:font>
  <w:font w:name="黑体">
    <w:altName w:val="方正黑体_GBK"/>
    <w:panose1 w:val="02010609060101010101"/>
    <w:charset w:val="00"/>
    <w:family w:val="auto"/>
    <w:pitch w:val="default"/>
    <w:sig w:usb0="800002BF" w:usb1="38CF7CFA"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0CB686"/>
    <w:multiLevelType w:val="singleLevel"/>
    <w:tmpl w:val="650CB68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5AD5"/>
    <w:rsid w:val="0000585F"/>
    <w:rsid w:val="0000790E"/>
    <w:rsid w:val="00010713"/>
    <w:rsid w:val="00011F4A"/>
    <w:rsid w:val="00012FB3"/>
    <w:rsid w:val="00014D4F"/>
    <w:rsid w:val="000152A5"/>
    <w:rsid w:val="000237AB"/>
    <w:rsid w:val="0003248D"/>
    <w:rsid w:val="00034005"/>
    <w:rsid w:val="0005317B"/>
    <w:rsid w:val="000543CA"/>
    <w:rsid w:val="00054EA9"/>
    <w:rsid w:val="000559B2"/>
    <w:rsid w:val="00060B5F"/>
    <w:rsid w:val="00063177"/>
    <w:rsid w:val="00064C37"/>
    <w:rsid w:val="00070204"/>
    <w:rsid w:val="00073344"/>
    <w:rsid w:val="00074721"/>
    <w:rsid w:val="00081157"/>
    <w:rsid w:val="00083CB1"/>
    <w:rsid w:val="00085843"/>
    <w:rsid w:val="000860FB"/>
    <w:rsid w:val="000952C1"/>
    <w:rsid w:val="00096A53"/>
    <w:rsid w:val="000A03E5"/>
    <w:rsid w:val="000A07EA"/>
    <w:rsid w:val="000A1122"/>
    <w:rsid w:val="000A6A4C"/>
    <w:rsid w:val="000A74AF"/>
    <w:rsid w:val="000A7B19"/>
    <w:rsid w:val="000B0125"/>
    <w:rsid w:val="000B59B5"/>
    <w:rsid w:val="000B5BAB"/>
    <w:rsid w:val="000B7EA9"/>
    <w:rsid w:val="000C3AE5"/>
    <w:rsid w:val="000C5123"/>
    <w:rsid w:val="000D4394"/>
    <w:rsid w:val="000E2B18"/>
    <w:rsid w:val="000E530D"/>
    <w:rsid w:val="000F365A"/>
    <w:rsid w:val="000F4C86"/>
    <w:rsid w:val="001046C0"/>
    <w:rsid w:val="00104701"/>
    <w:rsid w:val="00114FB7"/>
    <w:rsid w:val="00122B32"/>
    <w:rsid w:val="00123DF3"/>
    <w:rsid w:val="00126D02"/>
    <w:rsid w:val="00126F40"/>
    <w:rsid w:val="00127A6B"/>
    <w:rsid w:val="001341D1"/>
    <w:rsid w:val="0013430D"/>
    <w:rsid w:val="0013484F"/>
    <w:rsid w:val="00134BE4"/>
    <w:rsid w:val="0013549C"/>
    <w:rsid w:val="001418E2"/>
    <w:rsid w:val="0014446D"/>
    <w:rsid w:val="001446A5"/>
    <w:rsid w:val="0014486B"/>
    <w:rsid w:val="00144CF1"/>
    <w:rsid w:val="0014558B"/>
    <w:rsid w:val="00146960"/>
    <w:rsid w:val="00155639"/>
    <w:rsid w:val="00155D5E"/>
    <w:rsid w:val="00157BA7"/>
    <w:rsid w:val="001704E4"/>
    <w:rsid w:val="00175223"/>
    <w:rsid w:val="00175B2E"/>
    <w:rsid w:val="00176F17"/>
    <w:rsid w:val="001804E3"/>
    <w:rsid w:val="00180C9A"/>
    <w:rsid w:val="00182D13"/>
    <w:rsid w:val="00183B42"/>
    <w:rsid w:val="00186C54"/>
    <w:rsid w:val="00192C05"/>
    <w:rsid w:val="00197CAA"/>
    <w:rsid w:val="00197E5D"/>
    <w:rsid w:val="001A1B3A"/>
    <w:rsid w:val="001A3CEE"/>
    <w:rsid w:val="001A784A"/>
    <w:rsid w:val="001B045D"/>
    <w:rsid w:val="001C1C89"/>
    <w:rsid w:val="001C55D5"/>
    <w:rsid w:val="001D120C"/>
    <w:rsid w:val="001E03BD"/>
    <w:rsid w:val="001E684A"/>
    <w:rsid w:val="00200BD6"/>
    <w:rsid w:val="00216177"/>
    <w:rsid w:val="002230AE"/>
    <w:rsid w:val="002247D0"/>
    <w:rsid w:val="00224F80"/>
    <w:rsid w:val="0022507C"/>
    <w:rsid w:val="00226979"/>
    <w:rsid w:val="002406F5"/>
    <w:rsid w:val="00242E76"/>
    <w:rsid w:val="00243464"/>
    <w:rsid w:val="002462A8"/>
    <w:rsid w:val="00247731"/>
    <w:rsid w:val="00253C74"/>
    <w:rsid w:val="00262BAD"/>
    <w:rsid w:val="002726B1"/>
    <w:rsid w:val="002727D0"/>
    <w:rsid w:val="002749C8"/>
    <w:rsid w:val="00275325"/>
    <w:rsid w:val="00281C06"/>
    <w:rsid w:val="00285DC4"/>
    <w:rsid w:val="00294AE7"/>
    <w:rsid w:val="002A7BAE"/>
    <w:rsid w:val="002B11FA"/>
    <w:rsid w:val="002B2CA6"/>
    <w:rsid w:val="002B34ED"/>
    <w:rsid w:val="002B37A7"/>
    <w:rsid w:val="002B4342"/>
    <w:rsid w:val="002B56EB"/>
    <w:rsid w:val="002B6D47"/>
    <w:rsid w:val="002C2555"/>
    <w:rsid w:val="002C7D21"/>
    <w:rsid w:val="002D27CD"/>
    <w:rsid w:val="002D3EC0"/>
    <w:rsid w:val="002D729F"/>
    <w:rsid w:val="002E0E3C"/>
    <w:rsid w:val="002E1812"/>
    <w:rsid w:val="002E2F7F"/>
    <w:rsid w:val="002E4B20"/>
    <w:rsid w:val="002E5FC6"/>
    <w:rsid w:val="002E6D7D"/>
    <w:rsid w:val="002F2C1E"/>
    <w:rsid w:val="002F6E99"/>
    <w:rsid w:val="00300C47"/>
    <w:rsid w:val="003050B6"/>
    <w:rsid w:val="0030726B"/>
    <w:rsid w:val="0031118B"/>
    <w:rsid w:val="0031122F"/>
    <w:rsid w:val="00315EFA"/>
    <w:rsid w:val="00316408"/>
    <w:rsid w:val="003179FB"/>
    <w:rsid w:val="00323A51"/>
    <w:rsid w:val="003244C9"/>
    <w:rsid w:val="0032468B"/>
    <w:rsid w:val="00327119"/>
    <w:rsid w:val="003333E4"/>
    <w:rsid w:val="00336580"/>
    <w:rsid w:val="0034184B"/>
    <w:rsid w:val="003535EB"/>
    <w:rsid w:val="00354D29"/>
    <w:rsid w:val="00356356"/>
    <w:rsid w:val="00360593"/>
    <w:rsid w:val="00360EF7"/>
    <w:rsid w:val="00361A07"/>
    <w:rsid w:val="003710A2"/>
    <w:rsid w:val="00372470"/>
    <w:rsid w:val="00376707"/>
    <w:rsid w:val="0037788A"/>
    <w:rsid w:val="0038029B"/>
    <w:rsid w:val="00383096"/>
    <w:rsid w:val="00392AA8"/>
    <w:rsid w:val="003931E6"/>
    <w:rsid w:val="003A324A"/>
    <w:rsid w:val="003A73EF"/>
    <w:rsid w:val="003B2514"/>
    <w:rsid w:val="003B54C2"/>
    <w:rsid w:val="003B5BA8"/>
    <w:rsid w:val="003C0093"/>
    <w:rsid w:val="003C1BE1"/>
    <w:rsid w:val="003C6315"/>
    <w:rsid w:val="003D1204"/>
    <w:rsid w:val="003D160D"/>
    <w:rsid w:val="003D35F4"/>
    <w:rsid w:val="003D6601"/>
    <w:rsid w:val="003D6C9A"/>
    <w:rsid w:val="003E2D1F"/>
    <w:rsid w:val="003E2DE1"/>
    <w:rsid w:val="003E5754"/>
    <w:rsid w:val="003F171F"/>
    <w:rsid w:val="003F201E"/>
    <w:rsid w:val="003F3C0C"/>
    <w:rsid w:val="0040002C"/>
    <w:rsid w:val="00400C3B"/>
    <w:rsid w:val="00403507"/>
    <w:rsid w:val="00403546"/>
    <w:rsid w:val="00404DA0"/>
    <w:rsid w:val="004158B8"/>
    <w:rsid w:val="00416B98"/>
    <w:rsid w:val="00421A99"/>
    <w:rsid w:val="0042780C"/>
    <w:rsid w:val="0043232E"/>
    <w:rsid w:val="00432BAC"/>
    <w:rsid w:val="00445161"/>
    <w:rsid w:val="004457F4"/>
    <w:rsid w:val="004472BF"/>
    <w:rsid w:val="00447C85"/>
    <w:rsid w:val="004544A9"/>
    <w:rsid w:val="00455E38"/>
    <w:rsid w:val="00456CDD"/>
    <w:rsid w:val="004605B3"/>
    <w:rsid w:val="00467CD2"/>
    <w:rsid w:val="004718A9"/>
    <w:rsid w:val="00476EC1"/>
    <w:rsid w:val="00480582"/>
    <w:rsid w:val="0048694C"/>
    <w:rsid w:val="004911B1"/>
    <w:rsid w:val="00495E43"/>
    <w:rsid w:val="004A362F"/>
    <w:rsid w:val="004A742B"/>
    <w:rsid w:val="004B29ED"/>
    <w:rsid w:val="004B50FC"/>
    <w:rsid w:val="004C064B"/>
    <w:rsid w:val="004C1CDF"/>
    <w:rsid w:val="004D26D3"/>
    <w:rsid w:val="004D3A59"/>
    <w:rsid w:val="004D6E1D"/>
    <w:rsid w:val="004F2C44"/>
    <w:rsid w:val="004F4F9F"/>
    <w:rsid w:val="004F5C1B"/>
    <w:rsid w:val="005054B5"/>
    <w:rsid w:val="00505533"/>
    <w:rsid w:val="00506344"/>
    <w:rsid w:val="005148D7"/>
    <w:rsid w:val="00521069"/>
    <w:rsid w:val="005248EA"/>
    <w:rsid w:val="0052572D"/>
    <w:rsid w:val="005431C8"/>
    <w:rsid w:val="005463F4"/>
    <w:rsid w:val="00552BA8"/>
    <w:rsid w:val="0055409A"/>
    <w:rsid w:val="00563EEF"/>
    <w:rsid w:val="00572E90"/>
    <w:rsid w:val="00575EDA"/>
    <w:rsid w:val="00591B91"/>
    <w:rsid w:val="005952DC"/>
    <w:rsid w:val="005A00B7"/>
    <w:rsid w:val="005A1F0D"/>
    <w:rsid w:val="005A51EE"/>
    <w:rsid w:val="005B0445"/>
    <w:rsid w:val="005B0A4A"/>
    <w:rsid w:val="005B5412"/>
    <w:rsid w:val="005B679B"/>
    <w:rsid w:val="005B77D3"/>
    <w:rsid w:val="005C470B"/>
    <w:rsid w:val="005C66D3"/>
    <w:rsid w:val="005D245F"/>
    <w:rsid w:val="005D3061"/>
    <w:rsid w:val="005D6260"/>
    <w:rsid w:val="005D6D58"/>
    <w:rsid w:val="005E6A58"/>
    <w:rsid w:val="005F310F"/>
    <w:rsid w:val="00602B8A"/>
    <w:rsid w:val="0060314C"/>
    <w:rsid w:val="00610CF7"/>
    <w:rsid w:val="00612D63"/>
    <w:rsid w:val="00614B12"/>
    <w:rsid w:val="006150EC"/>
    <w:rsid w:val="006164DB"/>
    <w:rsid w:val="0061679D"/>
    <w:rsid w:val="006253D8"/>
    <w:rsid w:val="00626153"/>
    <w:rsid w:val="006374A1"/>
    <w:rsid w:val="00651B6C"/>
    <w:rsid w:val="006540CB"/>
    <w:rsid w:val="00660B2A"/>
    <w:rsid w:val="00663D84"/>
    <w:rsid w:val="00682553"/>
    <w:rsid w:val="0068515C"/>
    <w:rsid w:val="0068667C"/>
    <w:rsid w:val="006A26A0"/>
    <w:rsid w:val="006A4FDA"/>
    <w:rsid w:val="006B1C07"/>
    <w:rsid w:val="006B3DA5"/>
    <w:rsid w:val="006B5B25"/>
    <w:rsid w:val="006B7827"/>
    <w:rsid w:val="006D0172"/>
    <w:rsid w:val="006E1A3A"/>
    <w:rsid w:val="006E2230"/>
    <w:rsid w:val="006E2B9C"/>
    <w:rsid w:val="006E7E4C"/>
    <w:rsid w:val="006F02E3"/>
    <w:rsid w:val="006F1C64"/>
    <w:rsid w:val="006F3C19"/>
    <w:rsid w:val="00700438"/>
    <w:rsid w:val="007013C6"/>
    <w:rsid w:val="00715660"/>
    <w:rsid w:val="007328B9"/>
    <w:rsid w:val="007336B0"/>
    <w:rsid w:val="0073563C"/>
    <w:rsid w:val="00735ADA"/>
    <w:rsid w:val="00735D71"/>
    <w:rsid w:val="00736386"/>
    <w:rsid w:val="0074138A"/>
    <w:rsid w:val="00750940"/>
    <w:rsid w:val="00751AB4"/>
    <w:rsid w:val="0076269B"/>
    <w:rsid w:val="00765E00"/>
    <w:rsid w:val="00766131"/>
    <w:rsid w:val="0077005A"/>
    <w:rsid w:val="00772DB4"/>
    <w:rsid w:val="00780AAD"/>
    <w:rsid w:val="0078371A"/>
    <w:rsid w:val="00783A4C"/>
    <w:rsid w:val="0079250C"/>
    <w:rsid w:val="00794375"/>
    <w:rsid w:val="007A05BD"/>
    <w:rsid w:val="007A725D"/>
    <w:rsid w:val="007B4A0F"/>
    <w:rsid w:val="007C05CB"/>
    <w:rsid w:val="007C1922"/>
    <w:rsid w:val="007C3153"/>
    <w:rsid w:val="007C7656"/>
    <w:rsid w:val="007D066F"/>
    <w:rsid w:val="007D1AE5"/>
    <w:rsid w:val="007D5A91"/>
    <w:rsid w:val="007E3441"/>
    <w:rsid w:val="007E460F"/>
    <w:rsid w:val="007E68C9"/>
    <w:rsid w:val="007E76F1"/>
    <w:rsid w:val="007F1DA0"/>
    <w:rsid w:val="00803F6B"/>
    <w:rsid w:val="00805901"/>
    <w:rsid w:val="00811B53"/>
    <w:rsid w:val="00816BAB"/>
    <w:rsid w:val="00817514"/>
    <w:rsid w:val="00825E03"/>
    <w:rsid w:val="00827ECC"/>
    <w:rsid w:val="0083106D"/>
    <w:rsid w:val="0083313F"/>
    <w:rsid w:val="00834D98"/>
    <w:rsid w:val="00835730"/>
    <w:rsid w:val="00835F23"/>
    <w:rsid w:val="0084210A"/>
    <w:rsid w:val="00845657"/>
    <w:rsid w:val="0084624C"/>
    <w:rsid w:val="00851C1D"/>
    <w:rsid w:val="00864E02"/>
    <w:rsid w:val="00874702"/>
    <w:rsid w:val="008775B4"/>
    <w:rsid w:val="008808A6"/>
    <w:rsid w:val="00884461"/>
    <w:rsid w:val="00885B69"/>
    <w:rsid w:val="008A159E"/>
    <w:rsid w:val="008A38E5"/>
    <w:rsid w:val="008A3F94"/>
    <w:rsid w:val="008A4B32"/>
    <w:rsid w:val="008A6037"/>
    <w:rsid w:val="008B2777"/>
    <w:rsid w:val="008B3519"/>
    <w:rsid w:val="008B4667"/>
    <w:rsid w:val="008B7085"/>
    <w:rsid w:val="008C0CBC"/>
    <w:rsid w:val="008C1602"/>
    <w:rsid w:val="008C1FFC"/>
    <w:rsid w:val="008D1AD8"/>
    <w:rsid w:val="008D2E7D"/>
    <w:rsid w:val="008D5FED"/>
    <w:rsid w:val="008E0B11"/>
    <w:rsid w:val="008E2734"/>
    <w:rsid w:val="008E5296"/>
    <w:rsid w:val="008F35F1"/>
    <w:rsid w:val="008F3FB1"/>
    <w:rsid w:val="009008F4"/>
    <w:rsid w:val="00901A1A"/>
    <w:rsid w:val="009020BF"/>
    <w:rsid w:val="00905BB4"/>
    <w:rsid w:val="00907813"/>
    <w:rsid w:val="00911B9D"/>
    <w:rsid w:val="009142F4"/>
    <w:rsid w:val="00921C07"/>
    <w:rsid w:val="00930A10"/>
    <w:rsid w:val="0093199F"/>
    <w:rsid w:val="00932958"/>
    <w:rsid w:val="00947CC7"/>
    <w:rsid w:val="00951519"/>
    <w:rsid w:val="009535AF"/>
    <w:rsid w:val="0096301A"/>
    <w:rsid w:val="00964D6C"/>
    <w:rsid w:val="00965133"/>
    <w:rsid w:val="00965E0F"/>
    <w:rsid w:val="00971AD3"/>
    <w:rsid w:val="00980F62"/>
    <w:rsid w:val="00981123"/>
    <w:rsid w:val="00982629"/>
    <w:rsid w:val="0098468C"/>
    <w:rsid w:val="0098667C"/>
    <w:rsid w:val="009907B9"/>
    <w:rsid w:val="00992351"/>
    <w:rsid w:val="009A08B6"/>
    <w:rsid w:val="009A2377"/>
    <w:rsid w:val="009A4D11"/>
    <w:rsid w:val="009B3ED3"/>
    <w:rsid w:val="009B4ADC"/>
    <w:rsid w:val="009C1730"/>
    <w:rsid w:val="009D6232"/>
    <w:rsid w:val="009E15D4"/>
    <w:rsid w:val="009F25BD"/>
    <w:rsid w:val="009F3C7E"/>
    <w:rsid w:val="009F5646"/>
    <w:rsid w:val="009F7873"/>
    <w:rsid w:val="009F7979"/>
    <w:rsid w:val="009F7AE7"/>
    <w:rsid w:val="00A03FA7"/>
    <w:rsid w:val="00A06395"/>
    <w:rsid w:val="00A06AEF"/>
    <w:rsid w:val="00A10700"/>
    <w:rsid w:val="00A14D49"/>
    <w:rsid w:val="00A15184"/>
    <w:rsid w:val="00A1637D"/>
    <w:rsid w:val="00A2566B"/>
    <w:rsid w:val="00A32086"/>
    <w:rsid w:val="00A34E84"/>
    <w:rsid w:val="00A352B0"/>
    <w:rsid w:val="00A37886"/>
    <w:rsid w:val="00A472C6"/>
    <w:rsid w:val="00A51E78"/>
    <w:rsid w:val="00A570A1"/>
    <w:rsid w:val="00A60974"/>
    <w:rsid w:val="00A61DCD"/>
    <w:rsid w:val="00A65535"/>
    <w:rsid w:val="00A724CF"/>
    <w:rsid w:val="00A7532F"/>
    <w:rsid w:val="00A761CF"/>
    <w:rsid w:val="00A81682"/>
    <w:rsid w:val="00A84D92"/>
    <w:rsid w:val="00A84E65"/>
    <w:rsid w:val="00A95B6C"/>
    <w:rsid w:val="00AA7480"/>
    <w:rsid w:val="00AB1481"/>
    <w:rsid w:val="00AB2ABB"/>
    <w:rsid w:val="00AB5C67"/>
    <w:rsid w:val="00AB7C98"/>
    <w:rsid w:val="00AC47D9"/>
    <w:rsid w:val="00AD0DA1"/>
    <w:rsid w:val="00AE0209"/>
    <w:rsid w:val="00AE2095"/>
    <w:rsid w:val="00AE5322"/>
    <w:rsid w:val="00AE5FEF"/>
    <w:rsid w:val="00AE73E2"/>
    <w:rsid w:val="00AF1CF9"/>
    <w:rsid w:val="00AF2AE3"/>
    <w:rsid w:val="00AF7B4F"/>
    <w:rsid w:val="00AF7C58"/>
    <w:rsid w:val="00B05787"/>
    <w:rsid w:val="00B15323"/>
    <w:rsid w:val="00B259AC"/>
    <w:rsid w:val="00B268D9"/>
    <w:rsid w:val="00B26EC9"/>
    <w:rsid w:val="00B31B8F"/>
    <w:rsid w:val="00B333B0"/>
    <w:rsid w:val="00B43561"/>
    <w:rsid w:val="00B440DB"/>
    <w:rsid w:val="00B4415D"/>
    <w:rsid w:val="00B45103"/>
    <w:rsid w:val="00B45D24"/>
    <w:rsid w:val="00B52992"/>
    <w:rsid w:val="00B538C6"/>
    <w:rsid w:val="00B62018"/>
    <w:rsid w:val="00B63114"/>
    <w:rsid w:val="00B64A22"/>
    <w:rsid w:val="00B67D14"/>
    <w:rsid w:val="00B700C3"/>
    <w:rsid w:val="00B8042D"/>
    <w:rsid w:val="00B810FF"/>
    <w:rsid w:val="00B8418B"/>
    <w:rsid w:val="00B84519"/>
    <w:rsid w:val="00B87463"/>
    <w:rsid w:val="00B91E5C"/>
    <w:rsid w:val="00BA00E2"/>
    <w:rsid w:val="00BA4255"/>
    <w:rsid w:val="00BA4F5A"/>
    <w:rsid w:val="00BA7BBA"/>
    <w:rsid w:val="00BB3DE5"/>
    <w:rsid w:val="00BB4394"/>
    <w:rsid w:val="00BB5ABD"/>
    <w:rsid w:val="00BC1BA9"/>
    <w:rsid w:val="00BC41E1"/>
    <w:rsid w:val="00BD2FC7"/>
    <w:rsid w:val="00BD6EC1"/>
    <w:rsid w:val="00BE25AF"/>
    <w:rsid w:val="00BE3F11"/>
    <w:rsid w:val="00BF3FBF"/>
    <w:rsid w:val="00C01D14"/>
    <w:rsid w:val="00C04DD5"/>
    <w:rsid w:val="00C073D6"/>
    <w:rsid w:val="00C07645"/>
    <w:rsid w:val="00C12785"/>
    <w:rsid w:val="00C14D2D"/>
    <w:rsid w:val="00C15327"/>
    <w:rsid w:val="00C205DD"/>
    <w:rsid w:val="00C242B2"/>
    <w:rsid w:val="00C25F74"/>
    <w:rsid w:val="00C31FE6"/>
    <w:rsid w:val="00C35546"/>
    <w:rsid w:val="00C4092D"/>
    <w:rsid w:val="00C4278B"/>
    <w:rsid w:val="00C43BD2"/>
    <w:rsid w:val="00C44F90"/>
    <w:rsid w:val="00C47E9C"/>
    <w:rsid w:val="00C52FD7"/>
    <w:rsid w:val="00C57277"/>
    <w:rsid w:val="00C616E4"/>
    <w:rsid w:val="00C648E2"/>
    <w:rsid w:val="00C6603B"/>
    <w:rsid w:val="00C71E3F"/>
    <w:rsid w:val="00C75A4D"/>
    <w:rsid w:val="00C75CE4"/>
    <w:rsid w:val="00C8367C"/>
    <w:rsid w:val="00C83EC8"/>
    <w:rsid w:val="00C84EC9"/>
    <w:rsid w:val="00C90645"/>
    <w:rsid w:val="00C92A41"/>
    <w:rsid w:val="00C95E0F"/>
    <w:rsid w:val="00CA3BAD"/>
    <w:rsid w:val="00CB1858"/>
    <w:rsid w:val="00CC0087"/>
    <w:rsid w:val="00CD0085"/>
    <w:rsid w:val="00CE1BDC"/>
    <w:rsid w:val="00CF2C8A"/>
    <w:rsid w:val="00CF3E52"/>
    <w:rsid w:val="00D00043"/>
    <w:rsid w:val="00D003BE"/>
    <w:rsid w:val="00D03468"/>
    <w:rsid w:val="00D03E18"/>
    <w:rsid w:val="00D06094"/>
    <w:rsid w:val="00D110CC"/>
    <w:rsid w:val="00D1310A"/>
    <w:rsid w:val="00D165B0"/>
    <w:rsid w:val="00D249EC"/>
    <w:rsid w:val="00D30CFE"/>
    <w:rsid w:val="00D314BC"/>
    <w:rsid w:val="00D319FC"/>
    <w:rsid w:val="00D37964"/>
    <w:rsid w:val="00D40468"/>
    <w:rsid w:val="00D41BD8"/>
    <w:rsid w:val="00D45FD5"/>
    <w:rsid w:val="00D501E4"/>
    <w:rsid w:val="00D51F3A"/>
    <w:rsid w:val="00D6213F"/>
    <w:rsid w:val="00D62340"/>
    <w:rsid w:val="00D63F18"/>
    <w:rsid w:val="00D6527D"/>
    <w:rsid w:val="00D6795D"/>
    <w:rsid w:val="00D729EC"/>
    <w:rsid w:val="00D74B92"/>
    <w:rsid w:val="00D83A9A"/>
    <w:rsid w:val="00D841C1"/>
    <w:rsid w:val="00D93010"/>
    <w:rsid w:val="00D946E9"/>
    <w:rsid w:val="00D9604F"/>
    <w:rsid w:val="00D9737C"/>
    <w:rsid w:val="00DA76AC"/>
    <w:rsid w:val="00DB0D28"/>
    <w:rsid w:val="00DB3D0C"/>
    <w:rsid w:val="00DB4D49"/>
    <w:rsid w:val="00DB767D"/>
    <w:rsid w:val="00DC07E5"/>
    <w:rsid w:val="00DC395D"/>
    <w:rsid w:val="00DC634D"/>
    <w:rsid w:val="00DD0FFA"/>
    <w:rsid w:val="00DD202C"/>
    <w:rsid w:val="00DD3863"/>
    <w:rsid w:val="00DE5376"/>
    <w:rsid w:val="00DE60D1"/>
    <w:rsid w:val="00DF050A"/>
    <w:rsid w:val="00DF59BD"/>
    <w:rsid w:val="00DF6FC3"/>
    <w:rsid w:val="00DF751A"/>
    <w:rsid w:val="00DF7A31"/>
    <w:rsid w:val="00E01827"/>
    <w:rsid w:val="00E05A1C"/>
    <w:rsid w:val="00E07333"/>
    <w:rsid w:val="00E129EE"/>
    <w:rsid w:val="00E12BAD"/>
    <w:rsid w:val="00E13411"/>
    <w:rsid w:val="00E14AC6"/>
    <w:rsid w:val="00E30F62"/>
    <w:rsid w:val="00E36ECE"/>
    <w:rsid w:val="00E46B69"/>
    <w:rsid w:val="00E573AC"/>
    <w:rsid w:val="00E57B94"/>
    <w:rsid w:val="00E62839"/>
    <w:rsid w:val="00E62E85"/>
    <w:rsid w:val="00E64EE1"/>
    <w:rsid w:val="00E65C1E"/>
    <w:rsid w:val="00E75F13"/>
    <w:rsid w:val="00E76022"/>
    <w:rsid w:val="00E83456"/>
    <w:rsid w:val="00EA25E4"/>
    <w:rsid w:val="00EA3E87"/>
    <w:rsid w:val="00EA7A22"/>
    <w:rsid w:val="00EA7DE2"/>
    <w:rsid w:val="00EB004F"/>
    <w:rsid w:val="00EB6AC3"/>
    <w:rsid w:val="00EC6D59"/>
    <w:rsid w:val="00EC703C"/>
    <w:rsid w:val="00ED0777"/>
    <w:rsid w:val="00ED2DE0"/>
    <w:rsid w:val="00ED6645"/>
    <w:rsid w:val="00ED6F4E"/>
    <w:rsid w:val="00EE37EE"/>
    <w:rsid w:val="00EE6EB1"/>
    <w:rsid w:val="00EF43D5"/>
    <w:rsid w:val="00EF4E23"/>
    <w:rsid w:val="00EF691D"/>
    <w:rsid w:val="00F0000C"/>
    <w:rsid w:val="00F002E5"/>
    <w:rsid w:val="00F03838"/>
    <w:rsid w:val="00F03945"/>
    <w:rsid w:val="00F04C86"/>
    <w:rsid w:val="00F0598E"/>
    <w:rsid w:val="00F11D4E"/>
    <w:rsid w:val="00F12CC8"/>
    <w:rsid w:val="00F20765"/>
    <w:rsid w:val="00F20D44"/>
    <w:rsid w:val="00F22314"/>
    <w:rsid w:val="00F238CE"/>
    <w:rsid w:val="00F24EE1"/>
    <w:rsid w:val="00F35CB9"/>
    <w:rsid w:val="00F36445"/>
    <w:rsid w:val="00F37D41"/>
    <w:rsid w:val="00F412D7"/>
    <w:rsid w:val="00F43996"/>
    <w:rsid w:val="00F45AD5"/>
    <w:rsid w:val="00F45F72"/>
    <w:rsid w:val="00F47184"/>
    <w:rsid w:val="00F51398"/>
    <w:rsid w:val="00F521B6"/>
    <w:rsid w:val="00F53C1F"/>
    <w:rsid w:val="00F53D7D"/>
    <w:rsid w:val="00F54201"/>
    <w:rsid w:val="00F5464F"/>
    <w:rsid w:val="00F6446E"/>
    <w:rsid w:val="00F64A92"/>
    <w:rsid w:val="00F657F3"/>
    <w:rsid w:val="00F80BF6"/>
    <w:rsid w:val="00F81802"/>
    <w:rsid w:val="00F82819"/>
    <w:rsid w:val="00F8452D"/>
    <w:rsid w:val="00F95BCB"/>
    <w:rsid w:val="00F96634"/>
    <w:rsid w:val="00F96A5C"/>
    <w:rsid w:val="00FA1FBC"/>
    <w:rsid w:val="00FA2C97"/>
    <w:rsid w:val="00FA2FC5"/>
    <w:rsid w:val="00FB15C3"/>
    <w:rsid w:val="00FB35BE"/>
    <w:rsid w:val="00FC43B8"/>
    <w:rsid w:val="00FC4E58"/>
    <w:rsid w:val="00FC51C4"/>
    <w:rsid w:val="00FC7004"/>
    <w:rsid w:val="00FD06A0"/>
    <w:rsid w:val="00FD13FB"/>
    <w:rsid w:val="00FD228E"/>
    <w:rsid w:val="00FD4E9B"/>
    <w:rsid w:val="00FD7D5F"/>
    <w:rsid w:val="00FE1A2F"/>
    <w:rsid w:val="00FE5F50"/>
    <w:rsid w:val="00FF1B25"/>
    <w:rsid w:val="00FF7A85"/>
    <w:rsid w:val="018B30C2"/>
    <w:rsid w:val="02813B04"/>
    <w:rsid w:val="03F0214E"/>
    <w:rsid w:val="04314F30"/>
    <w:rsid w:val="046F214C"/>
    <w:rsid w:val="04D35C6E"/>
    <w:rsid w:val="06107F33"/>
    <w:rsid w:val="06325B44"/>
    <w:rsid w:val="06684982"/>
    <w:rsid w:val="09BB1FC6"/>
    <w:rsid w:val="0A5A5DC4"/>
    <w:rsid w:val="0AB77A2F"/>
    <w:rsid w:val="0AC41994"/>
    <w:rsid w:val="0BFD28E4"/>
    <w:rsid w:val="0C1B01C3"/>
    <w:rsid w:val="0D0E0F2A"/>
    <w:rsid w:val="0DD87EAD"/>
    <w:rsid w:val="0F635DF8"/>
    <w:rsid w:val="10881DF6"/>
    <w:rsid w:val="108C4F0A"/>
    <w:rsid w:val="111D3473"/>
    <w:rsid w:val="1162335A"/>
    <w:rsid w:val="13B61995"/>
    <w:rsid w:val="141E7899"/>
    <w:rsid w:val="153C0007"/>
    <w:rsid w:val="16120B81"/>
    <w:rsid w:val="165D6CAE"/>
    <w:rsid w:val="17E531F7"/>
    <w:rsid w:val="19F55BCD"/>
    <w:rsid w:val="1A0B3DDD"/>
    <w:rsid w:val="1A1B6230"/>
    <w:rsid w:val="1A751B4A"/>
    <w:rsid w:val="1B7457C9"/>
    <w:rsid w:val="1BD73E6F"/>
    <w:rsid w:val="1F8F6F61"/>
    <w:rsid w:val="203F2354"/>
    <w:rsid w:val="217C52A6"/>
    <w:rsid w:val="24192B24"/>
    <w:rsid w:val="249262B8"/>
    <w:rsid w:val="27C44B4F"/>
    <w:rsid w:val="29684A53"/>
    <w:rsid w:val="2A2D00A9"/>
    <w:rsid w:val="2AAF68CF"/>
    <w:rsid w:val="2D7258C6"/>
    <w:rsid w:val="2E343CBB"/>
    <w:rsid w:val="2E574E83"/>
    <w:rsid w:val="2E7A1926"/>
    <w:rsid w:val="306C46D7"/>
    <w:rsid w:val="3193557F"/>
    <w:rsid w:val="31C005BB"/>
    <w:rsid w:val="3227360A"/>
    <w:rsid w:val="357910E0"/>
    <w:rsid w:val="35F35B81"/>
    <w:rsid w:val="38226957"/>
    <w:rsid w:val="38B94E67"/>
    <w:rsid w:val="39466C4F"/>
    <w:rsid w:val="396A13EA"/>
    <w:rsid w:val="39BF7557"/>
    <w:rsid w:val="39DD2E67"/>
    <w:rsid w:val="3A8A588E"/>
    <w:rsid w:val="3B026B0F"/>
    <w:rsid w:val="3B1B1B7D"/>
    <w:rsid w:val="3C1464F1"/>
    <w:rsid w:val="3DCC2998"/>
    <w:rsid w:val="3F5538EE"/>
    <w:rsid w:val="41134E62"/>
    <w:rsid w:val="44DB4418"/>
    <w:rsid w:val="453A37A1"/>
    <w:rsid w:val="45CB0E87"/>
    <w:rsid w:val="45F568DE"/>
    <w:rsid w:val="464A0A4C"/>
    <w:rsid w:val="475F4C9D"/>
    <w:rsid w:val="47E34A30"/>
    <w:rsid w:val="488A54A4"/>
    <w:rsid w:val="4A8A424F"/>
    <w:rsid w:val="4B405171"/>
    <w:rsid w:val="4B7C3ED4"/>
    <w:rsid w:val="4E7E6B37"/>
    <w:rsid w:val="506A70B0"/>
    <w:rsid w:val="508B3BDB"/>
    <w:rsid w:val="50C677A9"/>
    <w:rsid w:val="51486F2A"/>
    <w:rsid w:val="51E61A1E"/>
    <w:rsid w:val="52F4603B"/>
    <w:rsid w:val="54693532"/>
    <w:rsid w:val="56CD1466"/>
    <w:rsid w:val="56F77E4E"/>
    <w:rsid w:val="592D1CAB"/>
    <w:rsid w:val="5956582A"/>
    <w:rsid w:val="5A5F2402"/>
    <w:rsid w:val="5B6F544B"/>
    <w:rsid w:val="5D23790D"/>
    <w:rsid w:val="5E8D610B"/>
    <w:rsid w:val="611236F1"/>
    <w:rsid w:val="64192203"/>
    <w:rsid w:val="646605FE"/>
    <w:rsid w:val="67137888"/>
    <w:rsid w:val="676E094C"/>
    <w:rsid w:val="67751DB5"/>
    <w:rsid w:val="67A644C4"/>
    <w:rsid w:val="6891562D"/>
    <w:rsid w:val="69614B69"/>
    <w:rsid w:val="69B304BD"/>
    <w:rsid w:val="6A070C95"/>
    <w:rsid w:val="6CE00556"/>
    <w:rsid w:val="6CE34371"/>
    <w:rsid w:val="7005690A"/>
    <w:rsid w:val="706044C2"/>
    <w:rsid w:val="707217B7"/>
    <w:rsid w:val="70F826C0"/>
    <w:rsid w:val="72063E6D"/>
    <w:rsid w:val="72293730"/>
    <w:rsid w:val="724A4A01"/>
    <w:rsid w:val="72FB3E87"/>
    <w:rsid w:val="73116912"/>
    <w:rsid w:val="73954482"/>
    <w:rsid w:val="785B03CB"/>
    <w:rsid w:val="787B1083"/>
    <w:rsid w:val="7D4F20E1"/>
    <w:rsid w:val="7D99752A"/>
    <w:rsid w:val="7F024C4D"/>
    <w:rsid w:val="7F135E19"/>
    <w:rsid w:val="FBFF564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MingLiU_HKSCS" w:hAnsi="MingLiU_HKSCS" w:eastAsia="MingLiU_HKSCS" w:cs="MingLiU_HKSCS"/>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unhideWhenUsed/>
    <w:uiPriority w:val="1"/>
  </w:style>
  <w:style w:type="table" w:default="1" w:styleId="8">
    <w:name w:val="Normal Table"/>
    <w:unhideWhenUsed/>
    <w:qFormat/>
    <w:uiPriority w:val="99"/>
    <w:tblPr>
      <w:tblStyle w:val="8"/>
      <w:tblCellMar>
        <w:top w:w="0" w:type="dxa"/>
        <w:left w:w="108" w:type="dxa"/>
        <w:bottom w:w="0" w:type="dxa"/>
        <w:right w:w="108" w:type="dxa"/>
      </w:tblCellMar>
    </w:tblPr>
  </w:style>
  <w:style w:type="paragraph" w:customStyle="1" w:styleId="2">
    <w:name w:val="Heading2"/>
    <w:next w:val="1"/>
    <w:qFormat/>
    <w:uiPriority w:val="0"/>
    <w:pPr>
      <w:spacing w:beforeAutospacing="1" w:afterAutospacing="1"/>
      <w:textAlignment w:val="baseline"/>
    </w:pPr>
    <w:rPr>
      <w:rFonts w:ascii="宋体" w:hAnsi="宋体" w:eastAsia="宋体" w:cs="Times New Roman"/>
      <w:b/>
      <w:sz w:val="36"/>
      <w:szCs w:val="36"/>
      <w:lang w:val="en-US" w:eastAsia="zh-CN" w:bidi="ar-SA"/>
    </w:rPr>
  </w:style>
  <w:style w:type="paragraph" w:styleId="3">
    <w:name w:val="annotation text"/>
    <w:basedOn w:val="1"/>
    <w:semiHidden/>
    <w:qFormat/>
    <w:uiPriority w:val="0"/>
    <w:pPr>
      <w:jc w:val="left"/>
    </w:pPr>
  </w:style>
  <w:style w:type="paragraph" w:styleId="4">
    <w:name w:val="Balloon Text"/>
    <w:basedOn w:val="1"/>
    <w:semiHidden/>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semiHidden/>
    <w:qFormat/>
    <w:uiPriority w:val="0"/>
    <w:rPr>
      <w:b/>
      <w:bCs/>
    </w:rPr>
  </w:style>
  <w:style w:type="character" w:styleId="10">
    <w:name w:val="annotation reference"/>
    <w:semiHidden/>
    <w:qFormat/>
    <w:uiPriority w:val="0"/>
    <w:rPr>
      <w:sz w:val="21"/>
      <w:szCs w:val="21"/>
    </w:rPr>
  </w:style>
  <w:style w:type="paragraph" w:customStyle="1" w:styleId="11">
    <w:name w:val="正文文本1"/>
    <w:basedOn w:val="1"/>
    <w:qFormat/>
    <w:uiPriority w:val="0"/>
    <w:pPr>
      <w:widowControl w:val="0"/>
      <w:shd w:val="clear" w:color="auto" w:fill="auto"/>
      <w:spacing w:line="442" w:lineRule="auto"/>
      <w:ind w:firstLine="400"/>
    </w:pPr>
    <w:rPr>
      <w:rFonts w:ascii="宋体" w:hAnsi="宋体" w:eastAsia="宋体" w:cs="宋体"/>
      <w:sz w:val="30"/>
      <w:szCs w:val="30"/>
      <w:u w:val="none"/>
      <w:lang w:val="zh-CN" w:eastAsia="zh-CN" w:bidi="zh-CN"/>
    </w:rPr>
  </w:style>
  <w:style w:type="paragraph" w:customStyle="1" w:styleId="12">
    <w:name w:val="Revisio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zhlx</Company>
  <Pages>3</Pages>
  <Words>178</Words>
  <Characters>1020</Characters>
  <Lines>8</Lines>
  <Paragraphs>2</Paragraphs>
  <TotalTime>24</TotalTime>
  <ScaleCrop>false</ScaleCrop>
  <LinksUpToDate>false</LinksUpToDate>
  <CharactersWithSpaces>1196</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2012-01-07T19:13:00Z</dcterms:created>
  <dc:creator>lx</dc:creator>
  <dc:description>ZHGenApp().GetProperty("Certification")</dc:description>
  <cp:lastModifiedBy>user</cp:lastModifiedBy>
  <cp:lastPrinted>2020-02-03T16:13:14Z</cp:lastPrinted>
  <dcterms:modified xsi:type="dcterms:W3CDTF">2026-08-07T10:43:45Z</dcterms:modified>
  <dc:title>年部门预算编制说明</dc:title>
  <cp:revision>94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ies>
</file>